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IC SemiBold" w:hAnsi="VIC SemiBold"/>
          <w:b w:val="0"/>
        </w:rPr>
        <w:alias w:val="Title"/>
        <w:tag w:val=""/>
        <w:id w:val="-1540807229"/>
        <w:placeholder>
          <w:docPart w:val="119698BD7414459DB3B8DE948CE8A2E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A46288" w:rsidRPr="002A797F" w:rsidRDefault="00DF0E5B" w:rsidP="007A4444">
          <w:pPr>
            <w:pStyle w:val="Title"/>
            <w:rPr>
              <w:rFonts w:ascii="VIC SemiBold" w:hAnsi="VIC SemiBold"/>
              <w:b w:val="0"/>
            </w:rPr>
          </w:pPr>
          <w:proofErr w:type="spellStart"/>
          <w:r w:rsidRPr="00DF0E5B">
            <w:rPr>
              <w:rFonts w:ascii="VIC SemiBold" w:hAnsi="VIC SemiBold"/>
              <w:b w:val="0"/>
            </w:rPr>
            <w:t>Levosimendan</w:t>
          </w:r>
          <w:proofErr w:type="spellEnd"/>
        </w:p>
      </w:sdtContent>
    </w:sdt>
    <w:p w:rsidR="001E698F" w:rsidRPr="0096053F" w:rsidRDefault="001E698F" w:rsidP="001E698F">
      <w:pPr>
        <w:pStyle w:val="Heading2"/>
      </w:pPr>
      <w:r w:rsidRPr="0096053F">
        <w:t>Applicable areas</w:t>
      </w:r>
    </w:p>
    <w:p w:rsidR="001E698F" w:rsidRDefault="001E698F" w:rsidP="001E698F">
      <w:pPr>
        <w:pStyle w:val="Heading2"/>
      </w:pPr>
      <w:r w:rsidRPr="005350E0">
        <w:rPr>
          <w:color w:val="A6A6A6" w:themeColor="background1" w:themeShade="A6"/>
        </w:rPr>
        <w:t>This section will be left blank for each hospital to complete in accordance with local practice. Examples: ICU, ED, OR, Ward 2B</w:t>
      </w:r>
    </w:p>
    <w:p w:rsidR="001E698F" w:rsidRDefault="001E698F" w:rsidP="00DF0E5B">
      <w:pPr>
        <w:pStyle w:val="Heading2"/>
      </w:pPr>
    </w:p>
    <w:p w:rsidR="00DF0E5B" w:rsidRPr="00C4312A" w:rsidRDefault="00DF0E5B" w:rsidP="00DF0E5B">
      <w:pPr>
        <w:pStyle w:val="Heading2"/>
      </w:pPr>
      <w:r w:rsidRPr="00C4312A">
        <w:t>Mechanism of action/pharmacology</w:t>
      </w:r>
    </w:p>
    <w:p w:rsidR="00DF0E5B" w:rsidRPr="00DF0E5B" w:rsidRDefault="00DF0E5B" w:rsidP="00DF0E5B">
      <w:pPr>
        <w:pStyle w:val="Normalfollowingheading"/>
      </w:pPr>
      <w:proofErr w:type="spellStart"/>
      <w:r w:rsidRPr="00DF0E5B">
        <w:t>Levosimendan</w:t>
      </w:r>
      <w:proofErr w:type="spellEnd"/>
      <w:r w:rsidRPr="00DF0E5B">
        <w:t xml:space="preserve"> is an </w:t>
      </w:r>
      <w:proofErr w:type="spellStart"/>
      <w:r w:rsidRPr="00DF0E5B">
        <w:t>inodilator</w:t>
      </w:r>
      <w:proofErr w:type="spellEnd"/>
      <w:r w:rsidRPr="00DF0E5B">
        <w:t xml:space="preserve">, which increases myocardial contractility by enhancing cardiac sensitivity to calcium. Despite the improvement in ventricular function, </w:t>
      </w:r>
      <w:proofErr w:type="spellStart"/>
      <w:r w:rsidRPr="00DF0E5B">
        <w:t>levosimendan</w:t>
      </w:r>
      <w:proofErr w:type="spellEnd"/>
      <w:r w:rsidRPr="00DF0E5B">
        <w:t xml:space="preserve"> does not increase myocardial oxygen uptake significantly.</w:t>
      </w:r>
      <w:r w:rsidRPr="001E698F">
        <w:rPr>
          <w:vertAlign w:val="superscript"/>
        </w:rPr>
        <w:t>1</w:t>
      </w:r>
      <w:r w:rsidRPr="00DF0E5B">
        <w:t xml:space="preserve"> Intracellular calcium is unaffected, thus limiting arrhythmic potential. The positive inotropic effect is independent of </w:t>
      </w:r>
      <w:r w:rsidRPr="00DF0E5B">
        <w:rPr>
          <w:rFonts w:ascii="Times New Roman" w:hAnsi="Times New Roman" w:cs="Times New Roman"/>
        </w:rPr>
        <w:t>β</w:t>
      </w:r>
      <w:r w:rsidRPr="00DF0E5B">
        <w:t xml:space="preserve"> receptors and cAMP (cyclic adenosine monophosphate). </w:t>
      </w:r>
    </w:p>
    <w:p w:rsidR="00DF0E5B" w:rsidRPr="00B05D59" w:rsidRDefault="00DF0E5B" w:rsidP="00DF0E5B">
      <w:proofErr w:type="spellStart"/>
      <w:r w:rsidRPr="00B05D59">
        <w:t>Levosimendan</w:t>
      </w:r>
      <w:proofErr w:type="spellEnd"/>
      <w:r w:rsidRPr="00B05D59">
        <w:t xml:space="preserve"> also opens ATP</w:t>
      </w:r>
      <w:r>
        <w:t>-</w:t>
      </w:r>
      <w:r w:rsidRPr="00B05D59">
        <w:t>sensitive vascular potassium channels, causing vasodilation in veins, arteries and coronary arteries. This results in afterload reduction.</w:t>
      </w:r>
      <w:r w:rsidRPr="00B05D59">
        <w:rPr>
          <w:vertAlign w:val="superscript"/>
        </w:rPr>
        <w:t>1</w:t>
      </w:r>
    </w:p>
    <w:p w:rsidR="00DF0E5B" w:rsidRPr="00B05D59" w:rsidRDefault="00DF0E5B" w:rsidP="00DF0E5B">
      <w:r w:rsidRPr="00B05D59">
        <w:t>Onset of action: Rapidly distributed. Peak plasma concentration of active metabolite (OR-1986) in 48</w:t>
      </w:r>
      <w:r>
        <w:t>–</w:t>
      </w:r>
      <w:r w:rsidRPr="00B05D59">
        <w:t>78 hours.</w:t>
      </w:r>
      <w:r w:rsidRPr="00B05D59">
        <w:rPr>
          <w:vertAlign w:val="superscript"/>
        </w:rPr>
        <w:t>1</w:t>
      </w:r>
    </w:p>
    <w:p w:rsidR="00DF0E5B" w:rsidRPr="00B05D59" w:rsidRDefault="00DF0E5B" w:rsidP="00DF0E5B">
      <w:r w:rsidRPr="00B05D59">
        <w:t xml:space="preserve">Duration of action: Haemodynamic effects sustained for approximately </w:t>
      </w:r>
      <w:r w:rsidR="001E698F">
        <w:t>one</w:t>
      </w:r>
      <w:r w:rsidRPr="00B05D59">
        <w:t xml:space="preserve"> week after cessation of parent drug.</w:t>
      </w:r>
      <w:r w:rsidRPr="00B05D59">
        <w:rPr>
          <w:vertAlign w:val="superscript"/>
        </w:rPr>
        <w:t>2</w:t>
      </w:r>
    </w:p>
    <w:p w:rsidR="00DF0E5B" w:rsidRDefault="00AC6A9B" w:rsidP="00DF0E5B">
      <w:r>
        <w:t>Half-</w:t>
      </w:r>
      <w:r w:rsidR="00DF0E5B" w:rsidRPr="00B05D59">
        <w:t>life: 1 hour (parent drug); 80 hours (active metabolite OR-1986).</w:t>
      </w:r>
      <w:r w:rsidR="00DF0E5B" w:rsidRPr="00B05D59">
        <w:rPr>
          <w:vertAlign w:val="superscript"/>
        </w:rPr>
        <w:t>2</w:t>
      </w:r>
      <w:r w:rsidR="00DF0E5B" w:rsidRPr="00B05D59">
        <w:t xml:space="preserve"> </w:t>
      </w:r>
    </w:p>
    <w:p w:rsidR="00DF0E5B" w:rsidRPr="00C4312A" w:rsidRDefault="00DF0E5B" w:rsidP="00DF0E5B">
      <w:pPr>
        <w:pStyle w:val="Heading2"/>
      </w:pPr>
      <w:r w:rsidRPr="00C4312A">
        <w:t>Indications</w:t>
      </w:r>
    </w:p>
    <w:p w:rsidR="00DF0E5B" w:rsidRPr="00B05D59" w:rsidRDefault="00DF0E5B" w:rsidP="00DF0E5B">
      <w:pPr>
        <w:pStyle w:val="Normalfollowingheading"/>
      </w:pPr>
      <w:r w:rsidRPr="00B05D59">
        <w:t>Severe decompensated heart failure unresponsive to other therapies.</w:t>
      </w:r>
    </w:p>
    <w:p w:rsidR="00DF0E5B" w:rsidRPr="00B05D59" w:rsidRDefault="00DF0E5B" w:rsidP="00DF0E5B">
      <w:pPr>
        <w:pStyle w:val="Normalfollowingheading"/>
      </w:pPr>
      <w:r w:rsidRPr="00B05D59">
        <w:t xml:space="preserve">Cardiogenic shock post cardiac surgery in patients with left ventricular ejection fraction less than 40%. </w:t>
      </w:r>
    </w:p>
    <w:p w:rsidR="00DF0E5B" w:rsidRPr="00DF0E5B" w:rsidRDefault="00DF0E5B" w:rsidP="00DF0E5B">
      <w:pPr>
        <w:pStyle w:val="Normalfollowingheading"/>
        <w:rPr>
          <w:vertAlign w:val="superscript"/>
        </w:rPr>
      </w:pPr>
      <w:r w:rsidRPr="00B05D59">
        <w:t>Evidence of mortality benefit for these indications is lacking.</w:t>
      </w:r>
      <w:r w:rsidRPr="00B05D59">
        <w:rPr>
          <w:vertAlign w:val="superscript"/>
        </w:rPr>
        <w:t>3,4</w:t>
      </w:r>
    </w:p>
    <w:p w:rsidR="00DF0E5B" w:rsidRPr="00C4312A" w:rsidRDefault="00DF0E5B" w:rsidP="00DF0E5B">
      <w:pPr>
        <w:pStyle w:val="Heading2"/>
      </w:pPr>
      <w:r w:rsidRPr="00C4312A">
        <w:t>Precautions</w:t>
      </w:r>
    </w:p>
    <w:p w:rsidR="00DF0E5B" w:rsidRPr="00DF0E5B" w:rsidRDefault="00DF0E5B" w:rsidP="00DF0E5B">
      <w:pPr>
        <w:pStyle w:val="Bullet1"/>
        <w:rPr>
          <w:rStyle w:val="BookTitle"/>
          <w:rFonts w:eastAsiaTheme="majorEastAsia"/>
        </w:rPr>
      </w:pPr>
      <w:r w:rsidRPr="00DF0E5B">
        <w:t>Hype</w:t>
      </w:r>
      <w:r w:rsidRPr="00DF0E5B">
        <w:rPr>
          <w:rStyle w:val="BookTitle"/>
          <w:rFonts w:eastAsiaTheme="majorEastAsia"/>
        </w:rPr>
        <w:t xml:space="preserve">rsensitivity to </w:t>
      </w:r>
      <w:proofErr w:type="spellStart"/>
      <w:r w:rsidRPr="00DF0E5B">
        <w:rPr>
          <w:rStyle w:val="BookTitle"/>
          <w:rFonts w:eastAsiaTheme="majorEastAsia"/>
        </w:rPr>
        <w:t>levosimendan</w:t>
      </w:r>
      <w:proofErr w:type="spellEnd"/>
      <w:r w:rsidRPr="00DF0E5B">
        <w:rPr>
          <w:rStyle w:val="BookTitle"/>
          <w:rFonts w:eastAsiaTheme="majorEastAsia"/>
        </w:rPr>
        <w:t xml:space="preserve"> or any of the excipients</w:t>
      </w:r>
      <w:r w:rsidRPr="00F51E5C">
        <w:rPr>
          <w:rStyle w:val="BookTitle"/>
          <w:rFonts w:eastAsiaTheme="majorEastAsia"/>
          <w:vertAlign w:val="superscript"/>
        </w:rPr>
        <w:t>5</w:t>
      </w:r>
    </w:p>
    <w:p w:rsidR="00DF0E5B" w:rsidRPr="00DF0E5B" w:rsidRDefault="00DF0E5B" w:rsidP="00DF0E5B">
      <w:pPr>
        <w:pStyle w:val="Bullet1"/>
        <w:rPr>
          <w:rStyle w:val="BookTitle"/>
          <w:rFonts w:eastAsiaTheme="majorEastAsia"/>
        </w:rPr>
      </w:pPr>
      <w:r w:rsidRPr="00DF0E5B">
        <w:rPr>
          <w:rStyle w:val="BookTitle"/>
          <w:rFonts w:eastAsiaTheme="majorEastAsia"/>
        </w:rPr>
        <w:t>Hypotension due to uncorrected hypovolaemia</w:t>
      </w:r>
      <w:r w:rsidRPr="00F51E5C">
        <w:rPr>
          <w:rStyle w:val="BookTitle"/>
          <w:rFonts w:eastAsiaTheme="majorEastAsia"/>
          <w:vertAlign w:val="superscript"/>
        </w:rPr>
        <w:t>5</w:t>
      </w:r>
    </w:p>
    <w:p w:rsidR="00DF0E5B" w:rsidRPr="00DF0E5B" w:rsidRDefault="00DF0E5B" w:rsidP="00DF0E5B">
      <w:pPr>
        <w:pStyle w:val="Bullet1"/>
      </w:pPr>
      <w:r w:rsidRPr="00DF0E5B">
        <w:rPr>
          <w:rStyle w:val="BookTitle"/>
          <w:rFonts w:eastAsiaTheme="majorEastAsia"/>
        </w:rPr>
        <w:t>Significant</w:t>
      </w:r>
      <w:r w:rsidRPr="00DF0E5B">
        <w:t xml:space="preserve"> </w:t>
      </w:r>
      <w:r w:rsidRPr="00DF0E5B">
        <w:rPr>
          <w:rStyle w:val="BookTitle"/>
          <w:rFonts w:eastAsiaTheme="majorEastAsia"/>
        </w:rPr>
        <w:t>mechanical obstruction affecting ventricular filling, outflow or both</w:t>
      </w:r>
      <w:r w:rsidRPr="00F51E5C">
        <w:rPr>
          <w:rStyle w:val="BookTitle"/>
          <w:rFonts w:eastAsiaTheme="majorEastAsia"/>
          <w:vertAlign w:val="superscript"/>
        </w:rPr>
        <w:t>5</w:t>
      </w:r>
    </w:p>
    <w:p w:rsidR="00DF0E5B" w:rsidRPr="00DF0E5B" w:rsidRDefault="00DF0E5B" w:rsidP="00DF0E5B">
      <w:pPr>
        <w:pStyle w:val="Bullet1"/>
        <w:rPr>
          <w:rStyle w:val="BookTitle"/>
          <w:rFonts w:eastAsiaTheme="majorEastAsia"/>
        </w:rPr>
      </w:pPr>
      <w:r w:rsidRPr="00DF0E5B">
        <w:rPr>
          <w:rStyle w:val="BookTitle"/>
          <w:rFonts w:eastAsiaTheme="majorEastAsia"/>
        </w:rPr>
        <w:t>Hypertrophic obstructive cardiomyopathy</w:t>
      </w:r>
      <w:r w:rsidRPr="00F51E5C">
        <w:rPr>
          <w:rStyle w:val="BookTitle"/>
          <w:rFonts w:eastAsiaTheme="majorEastAsia"/>
          <w:vertAlign w:val="superscript"/>
        </w:rPr>
        <w:t>5</w:t>
      </w:r>
    </w:p>
    <w:p w:rsidR="00DF0E5B" w:rsidRPr="00DF0E5B" w:rsidRDefault="00DF0E5B" w:rsidP="00DF0E5B">
      <w:pPr>
        <w:pStyle w:val="Bullet1"/>
        <w:rPr>
          <w:rStyle w:val="BookTitle"/>
          <w:rFonts w:eastAsiaTheme="majorEastAsia"/>
        </w:rPr>
      </w:pPr>
      <w:r w:rsidRPr="00DF0E5B">
        <w:rPr>
          <w:rStyle w:val="BookTitle"/>
          <w:rFonts w:eastAsiaTheme="majorEastAsia"/>
        </w:rPr>
        <w:t>Atrial fibrillation</w:t>
      </w:r>
      <w:r w:rsidRPr="00DF0E5B" w:rsidDel="00126E81">
        <w:rPr>
          <w:rStyle w:val="BookTitle"/>
          <w:rFonts w:eastAsiaTheme="majorEastAsia"/>
        </w:rPr>
        <w:t xml:space="preserve"> </w:t>
      </w:r>
      <w:r w:rsidRPr="00DF0E5B">
        <w:rPr>
          <w:rStyle w:val="BookTitle"/>
          <w:rFonts w:eastAsiaTheme="majorEastAsia"/>
        </w:rPr>
        <w:t>with rapid ventricular response, ventricular tachycardia, history of Torsades de Pointes, long QTc or concomitantly on medications that prolong the QTc interval</w:t>
      </w:r>
      <w:r w:rsidRPr="00F51E5C">
        <w:rPr>
          <w:rStyle w:val="BookTitle"/>
          <w:rFonts w:eastAsiaTheme="majorEastAsia"/>
          <w:vertAlign w:val="superscript"/>
        </w:rPr>
        <w:t>5</w:t>
      </w:r>
    </w:p>
    <w:p w:rsidR="00DF0E5B" w:rsidRPr="00DF0E5B" w:rsidRDefault="00DF0E5B" w:rsidP="00DF0E5B">
      <w:pPr>
        <w:pStyle w:val="Bullet1"/>
        <w:rPr>
          <w:rStyle w:val="BookTitle"/>
          <w:rFonts w:eastAsiaTheme="majorEastAsia"/>
        </w:rPr>
      </w:pPr>
      <w:r w:rsidRPr="00DF0E5B">
        <w:rPr>
          <w:rStyle w:val="BookTitle"/>
          <w:rFonts w:eastAsiaTheme="majorEastAsia"/>
        </w:rPr>
        <w:t>Ongoing coronary ischaemia</w:t>
      </w:r>
      <w:r w:rsidRPr="00F51E5C">
        <w:rPr>
          <w:rStyle w:val="BookTitle"/>
          <w:rFonts w:eastAsiaTheme="majorEastAsia"/>
          <w:vertAlign w:val="superscript"/>
        </w:rPr>
        <w:t>5</w:t>
      </w:r>
    </w:p>
    <w:p w:rsidR="00DF0E5B" w:rsidRPr="00DF0E5B" w:rsidRDefault="00DF0E5B" w:rsidP="00DF0E5B">
      <w:pPr>
        <w:pStyle w:val="Bullet1"/>
        <w:rPr>
          <w:rStyle w:val="BookTitle"/>
          <w:rFonts w:eastAsiaTheme="majorEastAsia"/>
        </w:rPr>
      </w:pPr>
      <w:r w:rsidRPr="00DF0E5B">
        <w:rPr>
          <w:rStyle w:val="BookTitle"/>
          <w:rFonts w:eastAsiaTheme="majorEastAsia"/>
        </w:rPr>
        <w:t>Heart failure due to diastolic dysfunction – unlikely to benefit</w:t>
      </w:r>
    </w:p>
    <w:p w:rsidR="00DF0E5B" w:rsidRPr="00DF0E5B" w:rsidRDefault="00DF0E5B" w:rsidP="00DF0E5B">
      <w:pPr>
        <w:pStyle w:val="Bullet1"/>
        <w:rPr>
          <w:rStyle w:val="BookTitle"/>
          <w:rFonts w:eastAsiaTheme="majorEastAsia"/>
        </w:rPr>
      </w:pPr>
      <w:r w:rsidRPr="00DF0E5B">
        <w:rPr>
          <w:rStyle w:val="BookTitle"/>
          <w:rFonts w:eastAsiaTheme="majorEastAsia"/>
        </w:rPr>
        <w:lastRenderedPageBreak/>
        <w:t>Severe hepatic impairment may result in more pronounced and prolonged effects</w:t>
      </w:r>
      <w:r w:rsidRPr="00F51E5C">
        <w:rPr>
          <w:rStyle w:val="BookTitle"/>
          <w:rFonts w:eastAsiaTheme="majorEastAsia"/>
          <w:vertAlign w:val="superscript"/>
        </w:rPr>
        <w:t>6</w:t>
      </w:r>
    </w:p>
    <w:p w:rsidR="00DF0E5B" w:rsidRDefault="00DF0E5B" w:rsidP="00DF0E5B">
      <w:pPr>
        <w:pStyle w:val="Bullet1"/>
      </w:pPr>
      <w:r w:rsidRPr="00DF0E5B">
        <w:rPr>
          <w:rStyle w:val="BookTitle"/>
          <w:rFonts w:eastAsiaTheme="majorEastAsia"/>
        </w:rPr>
        <w:t xml:space="preserve">Severe renal impairment may result in more pronounced and prolonged </w:t>
      </w:r>
      <w:proofErr w:type="gramStart"/>
      <w:r w:rsidRPr="00DF0E5B">
        <w:rPr>
          <w:rStyle w:val="BookTitle"/>
          <w:rFonts w:eastAsiaTheme="majorEastAsia"/>
        </w:rPr>
        <w:t>effects</w:t>
      </w:r>
      <w:r w:rsidR="00A8014A">
        <w:rPr>
          <w:rStyle w:val="BookTitle"/>
          <w:rFonts w:eastAsiaTheme="majorEastAsia"/>
        </w:rPr>
        <w:t>.</w:t>
      </w:r>
      <w:r w:rsidR="00F51E5C" w:rsidRPr="00F51E5C">
        <w:rPr>
          <w:rStyle w:val="BookTitle"/>
          <w:rFonts w:eastAsiaTheme="majorEastAsia"/>
          <w:vertAlign w:val="superscript"/>
        </w:rPr>
        <w:t>.</w:t>
      </w:r>
      <w:proofErr w:type="gramEnd"/>
      <w:r w:rsidRPr="00F51E5C">
        <w:rPr>
          <w:rStyle w:val="BookTitle"/>
          <w:rFonts w:eastAsiaTheme="majorEastAsia"/>
          <w:vertAlign w:val="superscript"/>
        </w:rPr>
        <w:t>7</w:t>
      </w:r>
    </w:p>
    <w:p w:rsidR="00DF0E5B" w:rsidRPr="00C4312A" w:rsidRDefault="00DF0E5B" w:rsidP="00DF0E5B">
      <w:pPr>
        <w:pStyle w:val="Heading2"/>
      </w:pPr>
      <w:r w:rsidRPr="00C4312A">
        <w:t>Medication presentation</w:t>
      </w:r>
    </w:p>
    <w:p w:rsidR="00DF0E5B" w:rsidRPr="00DF0E5B" w:rsidRDefault="00DF0E5B" w:rsidP="00DF0E5B">
      <w:pPr>
        <w:pStyle w:val="Normalfollowingheading"/>
      </w:pPr>
      <w:r w:rsidRPr="00DF0E5B">
        <w:t>12.5 mg/5mL vial</w:t>
      </w:r>
      <w:r w:rsidR="00A8014A">
        <w:t>.</w:t>
      </w:r>
    </w:p>
    <w:p w:rsidR="00DF0E5B" w:rsidRDefault="00DF0E5B" w:rsidP="00DF0E5B">
      <w:r w:rsidRPr="00B05D59">
        <w:t xml:space="preserve">Stock not registered in Australia </w:t>
      </w:r>
      <w:r>
        <w:t xml:space="preserve">– </w:t>
      </w:r>
      <w:r w:rsidRPr="00B05D59">
        <w:t>will require completion of a Special Access Scheme Category A form</w:t>
      </w:r>
      <w:r w:rsidR="00C45B3D">
        <w:t>.</w:t>
      </w:r>
    </w:p>
    <w:p w:rsidR="00DF0E5B" w:rsidRPr="00C4312A" w:rsidRDefault="00DF0E5B" w:rsidP="00DF0E5B">
      <w:pPr>
        <w:pStyle w:val="Heading2"/>
      </w:pPr>
      <w:r w:rsidRPr="00C4312A">
        <w:t>Medicati</w:t>
      </w:r>
      <w:r w:rsidRPr="00E04F11">
        <w:t>on</w:t>
      </w:r>
      <w:r w:rsidRPr="00C4312A">
        <w:t xml:space="preserve"> storage</w:t>
      </w:r>
    </w:p>
    <w:p w:rsidR="00DF0E5B" w:rsidRPr="00DF0E5B" w:rsidRDefault="00DF0E5B" w:rsidP="00DF0E5B">
      <w:pPr>
        <w:pStyle w:val="Normalfollowingheading"/>
      </w:pPr>
      <w:r w:rsidRPr="00DF0E5B">
        <w:t>Refrigerate (2–8°C). Do not freeze.  During storage, concentrate in vial is clear/yellow to orange. May turn more orange during storage, which does not indicate a loss of potency (may still be used until labelled expiry date)</w:t>
      </w:r>
      <w:r w:rsidR="00A8014A">
        <w:t>.</w:t>
      </w:r>
      <w:r w:rsidRPr="00DF0E5B">
        <w:rPr>
          <w:vertAlign w:val="superscript"/>
        </w:rPr>
        <w:t>5,8</w:t>
      </w:r>
    </w:p>
    <w:p w:rsidR="00DF0E5B" w:rsidRDefault="00DF0E5B" w:rsidP="00DF0E5B">
      <w:pPr>
        <w:pStyle w:val="Normalfollowingheading"/>
      </w:pPr>
      <w:r w:rsidRPr="00B05D59">
        <w:t>Infusion solution is stable for 24 hours at 25°C.</w:t>
      </w:r>
      <w:r w:rsidRPr="00B05D59">
        <w:rPr>
          <w:vertAlign w:val="superscript"/>
        </w:rPr>
        <w:t>8</w:t>
      </w:r>
    </w:p>
    <w:p w:rsidR="00DF0E5B" w:rsidRDefault="00DF0E5B" w:rsidP="00DF0E5B">
      <w:pPr>
        <w:pStyle w:val="Heading2"/>
      </w:pPr>
      <w:r w:rsidRPr="00C4312A">
        <w:t xml:space="preserve">Preparation </w:t>
      </w:r>
    </w:p>
    <w:p w:rsidR="00DF0E5B" w:rsidRDefault="00DF0E5B" w:rsidP="00DF0E5B">
      <w:pPr>
        <w:pStyle w:val="Normalfollowingheading"/>
      </w:pPr>
      <w:r w:rsidRPr="00B05D59">
        <w:t>Dilute 12.5</w:t>
      </w:r>
      <w:r>
        <w:t xml:space="preserve"> </w:t>
      </w:r>
      <w:r w:rsidRPr="00B05D59">
        <w:t>mg (5</w:t>
      </w:r>
      <w:r>
        <w:t xml:space="preserve"> </w:t>
      </w:r>
      <w:r w:rsidRPr="00B05D59">
        <w:t>mL) in 250</w:t>
      </w:r>
      <w:r>
        <w:t xml:space="preserve"> </w:t>
      </w:r>
      <w:r w:rsidRPr="00B05D59">
        <w:t>mL glucose 5%.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6"/>
        <w:gridCol w:w="6696"/>
      </w:tblGrid>
      <w:tr w:rsidR="00DF0E5B" w:rsidRPr="00064E2D" w:rsidTr="00064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</w:tcPr>
          <w:p w:rsidR="00DF0E5B" w:rsidRPr="00064E2D" w:rsidRDefault="00DF0E5B" w:rsidP="00DF0E5B">
            <w:pPr>
              <w:rPr>
                <w:sz w:val="18"/>
                <w:szCs w:val="18"/>
              </w:rPr>
            </w:pPr>
          </w:p>
        </w:tc>
        <w:tc>
          <w:tcPr>
            <w:tcW w:w="6849" w:type="dxa"/>
          </w:tcPr>
          <w:p w:rsidR="00DF0E5B" w:rsidRPr="00064E2D" w:rsidRDefault="00DF0E5B" w:rsidP="00DF0E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4E2D">
              <w:rPr>
                <w:sz w:val="18"/>
                <w:szCs w:val="18"/>
              </w:rPr>
              <w:t>Infusion pump</w:t>
            </w:r>
          </w:p>
        </w:tc>
      </w:tr>
      <w:tr w:rsidR="00DF0E5B" w:rsidRPr="00064E2D" w:rsidTr="00064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</w:tcPr>
          <w:p w:rsidR="00DF0E5B" w:rsidRPr="00064E2D" w:rsidRDefault="00DF0E5B" w:rsidP="00203938">
            <w:pPr>
              <w:pStyle w:val="Body"/>
              <w:spacing w:before="60" w:after="60" w:line="240" w:lineRule="auto"/>
              <w:rPr>
                <w:rFonts w:ascii="VIC" w:hAnsi="VIC"/>
                <w:b w:val="0"/>
                <w:color w:val="007586" w:themeColor="text2"/>
                <w:sz w:val="18"/>
                <w:szCs w:val="18"/>
              </w:rPr>
            </w:pPr>
            <w:r w:rsidRPr="00064E2D">
              <w:rPr>
                <w:rFonts w:ascii="VIC" w:hAnsi="VIC"/>
                <w:color w:val="007586" w:themeColor="text2"/>
                <w:sz w:val="18"/>
                <w:szCs w:val="18"/>
              </w:rPr>
              <w:t>Prescribe</w:t>
            </w:r>
          </w:p>
        </w:tc>
        <w:tc>
          <w:tcPr>
            <w:tcW w:w="6849" w:type="dxa"/>
          </w:tcPr>
          <w:p w:rsidR="00DF0E5B" w:rsidRPr="00064E2D" w:rsidRDefault="00DF0E5B" w:rsidP="0049070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4E2D">
              <w:rPr>
                <w:sz w:val="18"/>
                <w:szCs w:val="18"/>
              </w:rPr>
              <w:t>12.5 mg in 250 mL</w:t>
            </w:r>
          </w:p>
        </w:tc>
      </w:tr>
      <w:tr w:rsidR="00DF0E5B" w:rsidRPr="00064E2D" w:rsidTr="00064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</w:tcPr>
          <w:p w:rsidR="00DF0E5B" w:rsidRPr="00064E2D" w:rsidRDefault="00DF0E5B" w:rsidP="00203938">
            <w:pPr>
              <w:pStyle w:val="Body"/>
              <w:spacing w:before="60" w:after="60" w:line="240" w:lineRule="auto"/>
              <w:rPr>
                <w:rFonts w:ascii="VIC" w:hAnsi="VIC"/>
                <w:b w:val="0"/>
                <w:color w:val="007586" w:themeColor="text2"/>
                <w:sz w:val="18"/>
                <w:szCs w:val="18"/>
              </w:rPr>
            </w:pPr>
            <w:r w:rsidRPr="00064E2D">
              <w:rPr>
                <w:rFonts w:ascii="VIC" w:hAnsi="VIC"/>
                <w:color w:val="007586" w:themeColor="text2"/>
                <w:sz w:val="18"/>
                <w:szCs w:val="18"/>
              </w:rPr>
              <w:t>Make up infusion in</w:t>
            </w:r>
          </w:p>
        </w:tc>
        <w:tc>
          <w:tcPr>
            <w:tcW w:w="6849" w:type="dxa"/>
          </w:tcPr>
          <w:p w:rsidR="00DF0E5B" w:rsidRPr="00064E2D" w:rsidRDefault="00DF0E5B" w:rsidP="0049070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4E2D">
              <w:rPr>
                <w:sz w:val="18"/>
                <w:szCs w:val="18"/>
              </w:rPr>
              <w:t>250 mL bag of glucose 5%</w:t>
            </w:r>
          </w:p>
        </w:tc>
      </w:tr>
      <w:tr w:rsidR="00DF0E5B" w:rsidRPr="00064E2D" w:rsidTr="00064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</w:tcPr>
          <w:p w:rsidR="00DF0E5B" w:rsidRPr="00064E2D" w:rsidRDefault="00DF0E5B" w:rsidP="00203938">
            <w:pPr>
              <w:pStyle w:val="Body"/>
              <w:spacing w:before="60" w:after="60" w:line="240" w:lineRule="auto"/>
              <w:rPr>
                <w:rFonts w:ascii="VIC" w:hAnsi="VIC"/>
                <w:b w:val="0"/>
                <w:color w:val="007586" w:themeColor="text2"/>
                <w:sz w:val="18"/>
                <w:szCs w:val="18"/>
              </w:rPr>
            </w:pPr>
            <w:r w:rsidRPr="00064E2D">
              <w:rPr>
                <w:rFonts w:ascii="VIC" w:hAnsi="VIC"/>
                <w:color w:val="007586" w:themeColor="text2"/>
                <w:sz w:val="18"/>
                <w:szCs w:val="18"/>
              </w:rPr>
              <w:t>Volume to be removed from IV bag</w:t>
            </w:r>
          </w:p>
        </w:tc>
        <w:tc>
          <w:tcPr>
            <w:tcW w:w="6849" w:type="dxa"/>
          </w:tcPr>
          <w:p w:rsidR="00DF0E5B" w:rsidRPr="00064E2D" w:rsidRDefault="00DF0E5B" w:rsidP="0049070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4E2D">
              <w:rPr>
                <w:sz w:val="18"/>
                <w:szCs w:val="18"/>
              </w:rPr>
              <w:t>5 mL</w:t>
            </w:r>
          </w:p>
        </w:tc>
      </w:tr>
      <w:tr w:rsidR="00DF0E5B" w:rsidRPr="00064E2D" w:rsidTr="00064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</w:tcPr>
          <w:p w:rsidR="00DF0E5B" w:rsidRPr="00064E2D" w:rsidRDefault="00DF0E5B" w:rsidP="00203938">
            <w:pPr>
              <w:pStyle w:val="Body"/>
              <w:spacing w:before="60" w:after="60" w:line="240" w:lineRule="auto"/>
              <w:rPr>
                <w:rFonts w:ascii="VIC" w:hAnsi="VIC"/>
                <w:b w:val="0"/>
                <w:color w:val="007586" w:themeColor="text2"/>
                <w:sz w:val="18"/>
                <w:szCs w:val="18"/>
              </w:rPr>
            </w:pPr>
            <w:r w:rsidRPr="00064E2D">
              <w:rPr>
                <w:rFonts w:ascii="VIC" w:hAnsi="VIC"/>
                <w:color w:val="007586" w:themeColor="text2"/>
                <w:sz w:val="18"/>
                <w:szCs w:val="18"/>
              </w:rPr>
              <w:t>Drug dose to be added</w:t>
            </w:r>
          </w:p>
        </w:tc>
        <w:tc>
          <w:tcPr>
            <w:tcW w:w="6849" w:type="dxa"/>
          </w:tcPr>
          <w:p w:rsidR="00DF0E5B" w:rsidRPr="00064E2D" w:rsidRDefault="00DF0E5B" w:rsidP="0049070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4E2D">
              <w:rPr>
                <w:sz w:val="18"/>
                <w:szCs w:val="18"/>
              </w:rPr>
              <w:t>12.5 mg (5 mL)</w:t>
            </w:r>
          </w:p>
        </w:tc>
      </w:tr>
      <w:tr w:rsidR="00DF0E5B" w:rsidRPr="00064E2D" w:rsidTr="00064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</w:tcPr>
          <w:p w:rsidR="00DF0E5B" w:rsidRPr="00064E2D" w:rsidRDefault="00DF0E5B" w:rsidP="00203938">
            <w:pPr>
              <w:pStyle w:val="Body"/>
              <w:spacing w:before="60" w:after="60" w:line="240" w:lineRule="auto"/>
              <w:rPr>
                <w:rFonts w:ascii="VIC" w:hAnsi="VIC"/>
                <w:b w:val="0"/>
                <w:color w:val="007586" w:themeColor="text2"/>
                <w:sz w:val="18"/>
                <w:szCs w:val="18"/>
              </w:rPr>
            </w:pPr>
            <w:r w:rsidRPr="00064E2D">
              <w:rPr>
                <w:rFonts w:ascii="VIC" w:hAnsi="VIC"/>
                <w:color w:val="007586" w:themeColor="text2"/>
                <w:sz w:val="18"/>
                <w:szCs w:val="18"/>
              </w:rPr>
              <w:t>Final volume</w:t>
            </w:r>
          </w:p>
        </w:tc>
        <w:tc>
          <w:tcPr>
            <w:tcW w:w="6849" w:type="dxa"/>
          </w:tcPr>
          <w:p w:rsidR="00DF0E5B" w:rsidRPr="00064E2D" w:rsidRDefault="00DF0E5B" w:rsidP="0049070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4E2D">
              <w:rPr>
                <w:sz w:val="18"/>
                <w:szCs w:val="18"/>
              </w:rPr>
              <w:t>250 mL</w:t>
            </w:r>
          </w:p>
        </w:tc>
      </w:tr>
      <w:tr w:rsidR="00DF0E5B" w:rsidRPr="00064E2D" w:rsidTr="00064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</w:tcPr>
          <w:p w:rsidR="00DF0E5B" w:rsidRPr="00064E2D" w:rsidRDefault="00DF0E5B" w:rsidP="00203938">
            <w:pPr>
              <w:pStyle w:val="Body"/>
              <w:spacing w:before="60" w:after="60" w:line="240" w:lineRule="auto"/>
              <w:rPr>
                <w:rFonts w:ascii="VIC" w:hAnsi="VIC"/>
                <w:b w:val="0"/>
                <w:color w:val="007586" w:themeColor="text2"/>
                <w:sz w:val="18"/>
                <w:szCs w:val="18"/>
              </w:rPr>
            </w:pPr>
            <w:r w:rsidRPr="00064E2D">
              <w:rPr>
                <w:rFonts w:ascii="VIC" w:hAnsi="VIC"/>
                <w:color w:val="007586" w:themeColor="text2"/>
                <w:sz w:val="18"/>
                <w:szCs w:val="18"/>
              </w:rPr>
              <w:t>Final concentration</w:t>
            </w:r>
          </w:p>
        </w:tc>
        <w:tc>
          <w:tcPr>
            <w:tcW w:w="6849" w:type="dxa"/>
          </w:tcPr>
          <w:p w:rsidR="00DF0E5B" w:rsidRPr="00064E2D" w:rsidRDefault="00DF0E5B" w:rsidP="0049070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4E2D">
              <w:rPr>
                <w:sz w:val="18"/>
                <w:szCs w:val="18"/>
              </w:rPr>
              <w:t>50 microg/mL</w:t>
            </w:r>
          </w:p>
        </w:tc>
      </w:tr>
      <w:tr w:rsidR="00DF0E5B" w:rsidRPr="00064E2D" w:rsidTr="00064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</w:tcPr>
          <w:p w:rsidR="00DF0E5B" w:rsidRPr="00064E2D" w:rsidRDefault="00DF0E5B" w:rsidP="00203938">
            <w:pPr>
              <w:pStyle w:val="Body"/>
              <w:spacing w:before="60" w:after="60" w:line="240" w:lineRule="auto"/>
              <w:rPr>
                <w:rFonts w:ascii="VIC" w:hAnsi="VIC"/>
                <w:b w:val="0"/>
                <w:color w:val="007586" w:themeColor="text2"/>
                <w:sz w:val="18"/>
                <w:szCs w:val="18"/>
              </w:rPr>
            </w:pPr>
            <w:r w:rsidRPr="00064E2D">
              <w:rPr>
                <w:rFonts w:ascii="VIC" w:hAnsi="VIC"/>
                <w:color w:val="007586" w:themeColor="text2"/>
                <w:sz w:val="18"/>
                <w:szCs w:val="18"/>
              </w:rPr>
              <w:t>1mL/hr =</w:t>
            </w:r>
          </w:p>
        </w:tc>
        <w:tc>
          <w:tcPr>
            <w:tcW w:w="6849" w:type="dxa"/>
          </w:tcPr>
          <w:p w:rsidR="00DF0E5B" w:rsidRPr="00064E2D" w:rsidRDefault="00DF0E5B" w:rsidP="0049070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4E2D">
              <w:rPr>
                <w:sz w:val="18"/>
                <w:szCs w:val="18"/>
              </w:rPr>
              <w:t>0.83 microg/min</w:t>
            </w:r>
          </w:p>
        </w:tc>
      </w:tr>
    </w:tbl>
    <w:p w:rsidR="00DF0E5B" w:rsidRPr="00465893" w:rsidRDefault="00DF0E5B" w:rsidP="00DF0E5B">
      <w:pPr>
        <w:pStyle w:val="Heading2"/>
      </w:pPr>
      <w:r w:rsidRPr="00465893">
        <w:t>Administration – this guideline is intended for central access only</w:t>
      </w:r>
    </w:p>
    <w:p w:rsidR="00DF0E5B" w:rsidRPr="00DF0E5B" w:rsidRDefault="00DF0E5B" w:rsidP="00DF0E5B">
      <w:pPr>
        <w:pStyle w:val="Normalfollowingheading"/>
      </w:pPr>
      <w:r w:rsidRPr="00DF0E5B">
        <w:t>Administer continuous intravenous infusion through a central access line.</w:t>
      </w:r>
    </w:p>
    <w:p w:rsidR="00DF0E5B" w:rsidRPr="00F0243E" w:rsidRDefault="00DF0E5B" w:rsidP="00DF0E5B">
      <w:pPr>
        <w:rPr>
          <w:lang w:val="en-US"/>
        </w:rPr>
      </w:pPr>
      <w:r w:rsidRPr="00F0243E">
        <w:rPr>
          <w:lang w:val="en-US"/>
        </w:rPr>
        <w:t xml:space="preserve">Infusions should be administered via </w:t>
      </w:r>
      <w:r>
        <w:rPr>
          <w:lang w:val="en-US"/>
        </w:rPr>
        <w:t>a</w:t>
      </w:r>
      <w:r w:rsidR="001E698F">
        <w:rPr>
          <w:lang w:val="en-US"/>
        </w:rPr>
        <w:t>n</w:t>
      </w:r>
      <w:r w:rsidRPr="00F0243E">
        <w:rPr>
          <w:lang w:val="en-US"/>
        </w:rPr>
        <w:t xml:space="preserve"> infusion pump, preferably with medication error reduction software enabled.</w:t>
      </w:r>
    </w:p>
    <w:p w:rsidR="00DF0E5B" w:rsidRPr="005B7E65" w:rsidRDefault="00DF0E5B" w:rsidP="00DF0E5B">
      <w:pPr>
        <w:rPr>
          <w:lang w:val="en-US"/>
        </w:rPr>
      </w:pPr>
      <w:r w:rsidRPr="00F0243E">
        <w:rPr>
          <w:lang w:val="en-US"/>
        </w:rPr>
        <w:t xml:space="preserve">Avoid administration in lines where other drugs or fluids may be </w:t>
      </w:r>
      <w:proofErr w:type="spellStart"/>
      <w:r w:rsidRPr="00F0243E">
        <w:rPr>
          <w:lang w:val="en-US"/>
        </w:rPr>
        <w:t>bolused</w:t>
      </w:r>
      <w:proofErr w:type="spellEnd"/>
      <w:r w:rsidRPr="00F0243E">
        <w:rPr>
          <w:lang w:val="en-US"/>
        </w:rPr>
        <w:t xml:space="preserve"> or flushed.</w:t>
      </w:r>
    </w:p>
    <w:p w:rsidR="00DF0E5B" w:rsidRPr="00C4312A" w:rsidRDefault="00DF0E5B" w:rsidP="00DF0E5B">
      <w:pPr>
        <w:pStyle w:val="Heading2"/>
      </w:pPr>
      <w:r w:rsidRPr="00C4312A">
        <w:t>Dosing</w:t>
      </w:r>
    </w:p>
    <w:p w:rsidR="00DF0E5B" w:rsidRPr="00B05D59" w:rsidRDefault="00DF0E5B" w:rsidP="00DF0E5B">
      <w:pPr>
        <w:pStyle w:val="Normalfollowingheading"/>
      </w:pPr>
      <w:r w:rsidRPr="00B05D59">
        <w:t>In common practice the loading dose is omitted as it is associated with hypotension.</w:t>
      </w:r>
      <w:r w:rsidRPr="00B05D59">
        <w:rPr>
          <w:vertAlign w:val="superscript"/>
        </w:rPr>
        <w:t>9</w:t>
      </w:r>
    </w:p>
    <w:p w:rsidR="00DF0E5B" w:rsidRDefault="00DF0E5B" w:rsidP="00DF0E5B">
      <w:pPr>
        <w:rPr>
          <w:vertAlign w:val="superscript"/>
        </w:rPr>
      </w:pPr>
      <w:r w:rsidRPr="00B05D59">
        <w:t>Usual dose range: 0.05</w:t>
      </w:r>
      <w:r>
        <w:t xml:space="preserve"> to </w:t>
      </w:r>
      <w:r w:rsidRPr="00B05D59">
        <w:t>0.2</w:t>
      </w:r>
      <w:r>
        <w:t xml:space="preserve"> </w:t>
      </w:r>
      <w:r w:rsidRPr="00B05D59">
        <w:t xml:space="preserve">microg/kg/min. Dose based on actual body weight up to a maximum of </w:t>
      </w:r>
      <w:r>
        <w:br/>
      </w:r>
      <w:r w:rsidRPr="00B05D59">
        <w:t>120</w:t>
      </w:r>
      <w:r>
        <w:t xml:space="preserve"> </w:t>
      </w:r>
      <w:r w:rsidRPr="00B05D59">
        <w:t>kg.</w:t>
      </w:r>
      <w:r w:rsidRPr="00B05D59">
        <w:rPr>
          <w:vertAlign w:val="superscript"/>
        </w:rPr>
        <w:t>5</w:t>
      </w:r>
    </w:p>
    <w:p w:rsidR="00DF0E5B" w:rsidRPr="00B05D59" w:rsidRDefault="00DF0E5B" w:rsidP="00DF0E5B">
      <w:r w:rsidRPr="00B05D59">
        <w:rPr>
          <w:b/>
        </w:rPr>
        <w:t>Commence infusion at 0.05</w:t>
      </w:r>
      <w:r>
        <w:rPr>
          <w:b/>
        </w:rPr>
        <w:t xml:space="preserve"> </w:t>
      </w:r>
      <w:r w:rsidRPr="00B05D59">
        <w:rPr>
          <w:b/>
        </w:rPr>
        <w:t>microg/kg/min.</w:t>
      </w:r>
      <w:r>
        <w:t xml:space="preserve"> </w:t>
      </w:r>
      <w:r w:rsidRPr="00B05D59">
        <w:t>If the initial rate is tolerated, consider increasing the maintenance rate to 0.1</w:t>
      </w:r>
      <w:r>
        <w:t xml:space="preserve"> </w:t>
      </w:r>
      <w:r w:rsidRPr="00B05D59">
        <w:t xml:space="preserve">microg/kg/min after 60 minutes. If the patient remains </w:t>
      </w:r>
      <w:proofErr w:type="spellStart"/>
      <w:r w:rsidRPr="00B05D59">
        <w:t>haemodynamically</w:t>
      </w:r>
      <w:proofErr w:type="spellEnd"/>
      <w:r w:rsidRPr="00B05D59">
        <w:t xml:space="preserve"> stable, further increase the dose to 0.2</w:t>
      </w:r>
      <w:r>
        <w:t xml:space="preserve"> </w:t>
      </w:r>
      <w:r w:rsidRPr="00B05D59">
        <w:t>microg/kg/min for the remainder of the infusion.</w:t>
      </w:r>
    </w:p>
    <w:p w:rsidR="00DF0E5B" w:rsidRDefault="00DF0E5B" w:rsidP="00DF0E5B">
      <w:r w:rsidRPr="00B05D59">
        <w:lastRenderedPageBreak/>
        <w:t xml:space="preserve">If the patient is </w:t>
      </w:r>
      <w:proofErr w:type="spellStart"/>
      <w:r w:rsidRPr="00B05D59">
        <w:t>haemodynamically</w:t>
      </w:r>
      <w:proofErr w:type="spellEnd"/>
      <w:r w:rsidRPr="00B05D59">
        <w:t xml:space="preserve"> unstable, postpone the dose increase for several hours or consider returning to previously stable dose. When adjusting the dose rate</w:t>
      </w:r>
      <w:r>
        <w:t>,</w:t>
      </w:r>
      <w:r w:rsidRPr="00B05D59">
        <w:t xml:space="preserve"> </w:t>
      </w:r>
      <w:proofErr w:type="gramStart"/>
      <w:r w:rsidRPr="00B05D59">
        <w:t>take into account</w:t>
      </w:r>
      <w:proofErr w:type="gramEnd"/>
      <w:r w:rsidRPr="00B05D59">
        <w:t xml:space="preserve"> the long half-life of the active metabolite.</w:t>
      </w:r>
    </w:p>
    <w:p w:rsidR="00DF0E5B" w:rsidRDefault="00DF0E5B" w:rsidP="00DF0E5B">
      <w:pPr>
        <w:rPr>
          <w:vertAlign w:val="superscript"/>
        </w:rPr>
      </w:pPr>
      <w:r w:rsidRPr="00B05D59">
        <w:t>The infusion is usually ceased at 24 hours without weaning the infusion rate. Experience with use of infusions beyond 24 hours, and with repeat doses, is limited.</w:t>
      </w:r>
      <w:r w:rsidRPr="00B05D59">
        <w:rPr>
          <w:vertAlign w:val="superscript"/>
        </w:rPr>
        <w:t>1,4</w:t>
      </w:r>
    </w:p>
    <w:p w:rsidR="00DF0E5B" w:rsidRPr="00B05D59" w:rsidRDefault="00DF0E5B" w:rsidP="00DF0E5B">
      <w:r w:rsidRPr="006224BE">
        <w:rPr>
          <w:b/>
        </w:rPr>
        <w:t>Infusion rate guide:</w:t>
      </w:r>
      <w:r>
        <w:t xml:space="preserve"> Continuous infusion rate (mL/hr) (using 50 microg/mL solution)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9"/>
        <w:gridCol w:w="2580"/>
        <w:gridCol w:w="2580"/>
        <w:gridCol w:w="2580"/>
      </w:tblGrid>
      <w:tr w:rsidR="00DF0E5B" w:rsidRPr="00064E2D" w:rsidTr="00DF0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:rsidR="00DF0E5B" w:rsidRPr="00064E2D" w:rsidRDefault="00DF0E5B" w:rsidP="00064E2D">
            <w:pPr>
              <w:pStyle w:val="Tablecolhead"/>
              <w:jc w:val="center"/>
              <w:rPr>
                <w:rFonts w:ascii="VIC" w:hAnsi="VIC"/>
                <w:b/>
                <w:sz w:val="18"/>
              </w:rPr>
            </w:pPr>
            <w:r w:rsidRPr="00064E2D">
              <w:rPr>
                <w:rFonts w:ascii="VIC" w:hAnsi="VIC"/>
                <w:b/>
                <w:sz w:val="18"/>
              </w:rPr>
              <w:t>Patient’s weight (kg)</w:t>
            </w:r>
          </w:p>
        </w:tc>
        <w:tc>
          <w:tcPr>
            <w:tcW w:w="2580" w:type="dxa"/>
          </w:tcPr>
          <w:p w:rsidR="00DF0E5B" w:rsidRPr="00064E2D" w:rsidRDefault="00DF0E5B" w:rsidP="00064E2D">
            <w:pPr>
              <w:pStyle w:val="Tablecol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/>
                <w:sz w:val="18"/>
              </w:rPr>
            </w:pPr>
            <w:r w:rsidRPr="00064E2D">
              <w:rPr>
                <w:rFonts w:ascii="VIC" w:hAnsi="VIC"/>
                <w:b/>
                <w:sz w:val="18"/>
              </w:rPr>
              <w:t xml:space="preserve">Infusion rate (mL/hr) </w:t>
            </w:r>
            <w:r w:rsidRPr="00064E2D">
              <w:rPr>
                <w:rFonts w:ascii="VIC" w:hAnsi="VIC"/>
                <w:b/>
                <w:sz w:val="18"/>
              </w:rPr>
              <w:br/>
              <w:t>0.05 microg/kg/min</w:t>
            </w:r>
          </w:p>
        </w:tc>
        <w:tc>
          <w:tcPr>
            <w:tcW w:w="2580" w:type="dxa"/>
          </w:tcPr>
          <w:p w:rsidR="00DF0E5B" w:rsidRPr="00064E2D" w:rsidRDefault="00DF0E5B" w:rsidP="00064E2D">
            <w:pPr>
              <w:pStyle w:val="Tablecol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/>
                <w:sz w:val="18"/>
              </w:rPr>
            </w:pPr>
            <w:r w:rsidRPr="00064E2D">
              <w:rPr>
                <w:rFonts w:ascii="VIC" w:hAnsi="VIC"/>
                <w:b/>
                <w:sz w:val="18"/>
              </w:rPr>
              <w:t xml:space="preserve">Infusion rate (mL/hr) </w:t>
            </w:r>
            <w:r w:rsidRPr="00064E2D">
              <w:rPr>
                <w:rFonts w:ascii="VIC" w:hAnsi="VIC"/>
                <w:b/>
                <w:sz w:val="18"/>
              </w:rPr>
              <w:br/>
              <w:t>0.1 microg/kg/min</w:t>
            </w:r>
          </w:p>
        </w:tc>
        <w:tc>
          <w:tcPr>
            <w:tcW w:w="2580" w:type="dxa"/>
          </w:tcPr>
          <w:p w:rsidR="00DF0E5B" w:rsidRPr="00064E2D" w:rsidRDefault="00DF0E5B" w:rsidP="00064E2D">
            <w:pPr>
              <w:pStyle w:val="Tablecol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/>
                <w:sz w:val="18"/>
              </w:rPr>
            </w:pPr>
            <w:r w:rsidRPr="00064E2D">
              <w:rPr>
                <w:rFonts w:ascii="VIC" w:hAnsi="VIC"/>
                <w:b/>
                <w:sz w:val="18"/>
              </w:rPr>
              <w:t xml:space="preserve">Infusion rate (mL/hr) </w:t>
            </w:r>
            <w:r w:rsidRPr="00064E2D">
              <w:rPr>
                <w:rFonts w:ascii="VIC" w:hAnsi="VIC"/>
                <w:b/>
                <w:sz w:val="18"/>
              </w:rPr>
              <w:br/>
              <w:t>0.2 microg/kg/min</w:t>
            </w:r>
          </w:p>
        </w:tc>
      </w:tr>
      <w:tr w:rsidR="00DF0E5B" w:rsidRPr="00064E2D" w:rsidTr="00DF0E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:rsidR="00DF0E5B" w:rsidRPr="00064E2D" w:rsidRDefault="00DF0E5B" w:rsidP="00DF0E5B">
            <w:pPr>
              <w:pStyle w:val="Tabletext"/>
              <w:jc w:val="center"/>
              <w:rPr>
                <w:sz w:val="18"/>
              </w:rPr>
            </w:pPr>
            <w:r w:rsidRPr="00064E2D">
              <w:rPr>
                <w:sz w:val="18"/>
              </w:rPr>
              <w:t>40</w:t>
            </w:r>
          </w:p>
        </w:tc>
        <w:tc>
          <w:tcPr>
            <w:tcW w:w="2580" w:type="dxa"/>
          </w:tcPr>
          <w:p w:rsidR="00DF0E5B" w:rsidRPr="00064E2D" w:rsidRDefault="00DF0E5B" w:rsidP="00DF0E5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64E2D">
              <w:rPr>
                <w:sz w:val="18"/>
              </w:rPr>
              <w:t>2</w:t>
            </w:r>
          </w:p>
        </w:tc>
        <w:tc>
          <w:tcPr>
            <w:tcW w:w="2580" w:type="dxa"/>
          </w:tcPr>
          <w:p w:rsidR="00DF0E5B" w:rsidRPr="00064E2D" w:rsidRDefault="00DF0E5B" w:rsidP="00DF0E5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64E2D">
              <w:rPr>
                <w:sz w:val="18"/>
              </w:rPr>
              <w:t>5</w:t>
            </w:r>
          </w:p>
        </w:tc>
        <w:tc>
          <w:tcPr>
            <w:tcW w:w="2580" w:type="dxa"/>
          </w:tcPr>
          <w:p w:rsidR="00DF0E5B" w:rsidRPr="00064E2D" w:rsidRDefault="00DF0E5B" w:rsidP="00DF0E5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64E2D">
              <w:rPr>
                <w:sz w:val="18"/>
              </w:rPr>
              <w:t>10</w:t>
            </w:r>
          </w:p>
        </w:tc>
      </w:tr>
      <w:tr w:rsidR="00DF0E5B" w:rsidRPr="00064E2D" w:rsidTr="00DF0E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:rsidR="00DF0E5B" w:rsidRPr="00064E2D" w:rsidRDefault="00DF0E5B" w:rsidP="00DF0E5B">
            <w:pPr>
              <w:pStyle w:val="Tabletext"/>
              <w:jc w:val="center"/>
              <w:rPr>
                <w:sz w:val="18"/>
              </w:rPr>
            </w:pPr>
            <w:r w:rsidRPr="00064E2D">
              <w:rPr>
                <w:sz w:val="18"/>
              </w:rPr>
              <w:t>50</w:t>
            </w:r>
          </w:p>
        </w:tc>
        <w:tc>
          <w:tcPr>
            <w:tcW w:w="2580" w:type="dxa"/>
          </w:tcPr>
          <w:p w:rsidR="00DF0E5B" w:rsidRPr="00064E2D" w:rsidRDefault="00DF0E5B" w:rsidP="00DF0E5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64E2D">
              <w:rPr>
                <w:sz w:val="18"/>
              </w:rPr>
              <w:t>3</w:t>
            </w:r>
          </w:p>
        </w:tc>
        <w:tc>
          <w:tcPr>
            <w:tcW w:w="2580" w:type="dxa"/>
          </w:tcPr>
          <w:p w:rsidR="00DF0E5B" w:rsidRPr="00064E2D" w:rsidRDefault="00DF0E5B" w:rsidP="00DF0E5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64E2D">
              <w:rPr>
                <w:sz w:val="18"/>
              </w:rPr>
              <w:t>6</w:t>
            </w:r>
          </w:p>
        </w:tc>
        <w:tc>
          <w:tcPr>
            <w:tcW w:w="2580" w:type="dxa"/>
          </w:tcPr>
          <w:p w:rsidR="00DF0E5B" w:rsidRPr="00064E2D" w:rsidRDefault="00DF0E5B" w:rsidP="00DF0E5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64E2D">
              <w:rPr>
                <w:sz w:val="18"/>
              </w:rPr>
              <w:t>12</w:t>
            </w:r>
          </w:p>
        </w:tc>
      </w:tr>
      <w:tr w:rsidR="00DF0E5B" w:rsidRPr="00064E2D" w:rsidTr="00DF0E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:rsidR="00DF0E5B" w:rsidRPr="00064E2D" w:rsidRDefault="00DF0E5B" w:rsidP="00DF0E5B">
            <w:pPr>
              <w:pStyle w:val="Tabletext"/>
              <w:jc w:val="center"/>
              <w:rPr>
                <w:sz w:val="18"/>
              </w:rPr>
            </w:pPr>
            <w:r w:rsidRPr="00064E2D">
              <w:rPr>
                <w:sz w:val="18"/>
              </w:rPr>
              <w:t>60</w:t>
            </w:r>
          </w:p>
        </w:tc>
        <w:tc>
          <w:tcPr>
            <w:tcW w:w="2580" w:type="dxa"/>
          </w:tcPr>
          <w:p w:rsidR="00DF0E5B" w:rsidRPr="00064E2D" w:rsidRDefault="00DF0E5B" w:rsidP="00DF0E5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64E2D">
              <w:rPr>
                <w:sz w:val="18"/>
              </w:rPr>
              <w:t>4</w:t>
            </w:r>
          </w:p>
        </w:tc>
        <w:tc>
          <w:tcPr>
            <w:tcW w:w="2580" w:type="dxa"/>
          </w:tcPr>
          <w:p w:rsidR="00DF0E5B" w:rsidRPr="00064E2D" w:rsidRDefault="00DF0E5B" w:rsidP="00DF0E5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64E2D">
              <w:rPr>
                <w:sz w:val="18"/>
              </w:rPr>
              <w:t>7</w:t>
            </w:r>
          </w:p>
        </w:tc>
        <w:tc>
          <w:tcPr>
            <w:tcW w:w="2580" w:type="dxa"/>
          </w:tcPr>
          <w:p w:rsidR="00DF0E5B" w:rsidRPr="00064E2D" w:rsidRDefault="00DF0E5B" w:rsidP="00DF0E5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64E2D">
              <w:rPr>
                <w:sz w:val="18"/>
              </w:rPr>
              <w:t>14</w:t>
            </w:r>
          </w:p>
        </w:tc>
      </w:tr>
      <w:tr w:rsidR="00DF0E5B" w:rsidRPr="00064E2D" w:rsidTr="00DF0E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:rsidR="00DF0E5B" w:rsidRPr="00064E2D" w:rsidRDefault="00DF0E5B" w:rsidP="00DF0E5B">
            <w:pPr>
              <w:pStyle w:val="Tabletext"/>
              <w:jc w:val="center"/>
              <w:rPr>
                <w:sz w:val="18"/>
              </w:rPr>
            </w:pPr>
            <w:r w:rsidRPr="00064E2D">
              <w:rPr>
                <w:sz w:val="18"/>
              </w:rPr>
              <w:t>70</w:t>
            </w:r>
          </w:p>
        </w:tc>
        <w:tc>
          <w:tcPr>
            <w:tcW w:w="2580" w:type="dxa"/>
          </w:tcPr>
          <w:p w:rsidR="00DF0E5B" w:rsidRPr="00064E2D" w:rsidRDefault="00DF0E5B" w:rsidP="00DF0E5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64E2D">
              <w:rPr>
                <w:sz w:val="18"/>
              </w:rPr>
              <w:t>4</w:t>
            </w:r>
          </w:p>
        </w:tc>
        <w:tc>
          <w:tcPr>
            <w:tcW w:w="2580" w:type="dxa"/>
          </w:tcPr>
          <w:p w:rsidR="00DF0E5B" w:rsidRPr="00064E2D" w:rsidRDefault="00DF0E5B" w:rsidP="00DF0E5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64E2D">
              <w:rPr>
                <w:sz w:val="18"/>
              </w:rPr>
              <w:t>8</w:t>
            </w:r>
          </w:p>
        </w:tc>
        <w:tc>
          <w:tcPr>
            <w:tcW w:w="2580" w:type="dxa"/>
          </w:tcPr>
          <w:p w:rsidR="00DF0E5B" w:rsidRPr="00064E2D" w:rsidRDefault="00DF0E5B" w:rsidP="00DF0E5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64E2D">
              <w:rPr>
                <w:sz w:val="18"/>
              </w:rPr>
              <w:t>17</w:t>
            </w:r>
          </w:p>
        </w:tc>
      </w:tr>
      <w:tr w:rsidR="00DF0E5B" w:rsidRPr="00064E2D" w:rsidTr="00DF0E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:rsidR="00DF0E5B" w:rsidRPr="00064E2D" w:rsidRDefault="00DF0E5B" w:rsidP="00DF0E5B">
            <w:pPr>
              <w:pStyle w:val="Tabletext"/>
              <w:jc w:val="center"/>
              <w:rPr>
                <w:sz w:val="18"/>
              </w:rPr>
            </w:pPr>
            <w:r w:rsidRPr="00064E2D">
              <w:rPr>
                <w:sz w:val="18"/>
              </w:rPr>
              <w:t>80</w:t>
            </w:r>
          </w:p>
        </w:tc>
        <w:tc>
          <w:tcPr>
            <w:tcW w:w="2580" w:type="dxa"/>
          </w:tcPr>
          <w:p w:rsidR="00DF0E5B" w:rsidRPr="00064E2D" w:rsidRDefault="00DF0E5B" w:rsidP="00DF0E5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64E2D">
              <w:rPr>
                <w:sz w:val="18"/>
              </w:rPr>
              <w:t>5</w:t>
            </w:r>
          </w:p>
        </w:tc>
        <w:tc>
          <w:tcPr>
            <w:tcW w:w="2580" w:type="dxa"/>
          </w:tcPr>
          <w:p w:rsidR="00DF0E5B" w:rsidRPr="00064E2D" w:rsidRDefault="00DF0E5B" w:rsidP="00DF0E5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64E2D">
              <w:rPr>
                <w:sz w:val="18"/>
              </w:rPr>
              <w:t>10</w:t>
            </w:r>
          </w:p>
        </w:tc>
        <w:tc>
          <w:tcPr>
            <w:tcW w:w="2580" w:type="dxa"/>
          </w:tcPr>
          <w:p w:rsidR="00DF0E5B" w:rsidRPr="00064E2D" w:rsidRDefault="00DF0E5B" w:rsidP="00DF0E5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64E2D">
              <w:rPr>
                <w:sz w:val="18"/>
              </w:rPr>
              <w:t>19</w:t>
            </w:r>
          </w:p>
        </w:tc>
      </w:tr>
      <w:tr w:rsidR="00DF0E5B" w:rsidRPr="00064E2D" w:rsidTr="00DF0E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:rsidR="00DF0E5B" w:rsidRPr="00064E2D" w:rsidRDefault="00DF0E5B" w:rsidP="00DF0E5B">
            <w:pPr>
              <w:pStyle w:val="Tabletext"/>
              <w:jc w:val="center"/>
              <w:rPr>
                <w:sz w:val="18"/>
              </w:rPr>
            </w:pPr>
            <w:r w:rsidRPr="00064E2D">
              <w:rPr>
                <w:sz w:val="18"/>
              </w:rPr>
              <w:t>90</w:t>
            </w:r>
          </w:p>
        </w:tc>
        <w:tc>
          <w:tcPr>
            <w:tcW w:w="2580" w:type="dxa"/>
          </w:tcPr>
          <w:p w:rsidR="00DF0E5B" w:rsidRPr="00064E2D" w:rsidRDefault="00DF0E5B" w:rsidP="00DF0E5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64E2D">
              <w:rPr>
                <w:sz w:val="18"/>
              </w:rPr>
              <w:t>5</w:t>
            </w:r>
          </w:p>
        </w:tc>
        <w:tc>
          <w:tcPr>
            <w:tcW w:w="2580" w:type="dxa"/>
          </w:tcPr>
          <w:p w:rsidR="00DF0E5B" w:rsidRPr="00064E2D" w:rsidRDefault="00DF0E5B" w:rsidP="00DF0E5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64E2D">
              <w:rPr>
                <w:sz w:val="18"/>
              </w:rPr>
              <w:t>11</w:t>
            </w:r>
          </w:p>
        </w:tc>
        <w:tc>
          <w:tcPr>
            <w:tcW w:w="2580" w:type="dxa"/>
          </w:tcPr>
          <w:p w:rsidR="00DF0E5B" w:rsidRPr="00064E2D" w:rsidRDefault="00DF0E5B" w:rsidP="00DF0E5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64E2D">
              <w:rPr>
                <w:sz w:val="18"/>
              </w:rPr>
              <w:t>22</w:t>
            </w:r>
          </w:p>
        </w:tc>
      </w:tr>
      <w:tr w:rsidR="00DF0E5B" w:rsidRPr="00064E2D" w:rsidTr="00DF0E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:rsidR="00DF0E5B" w:rsidRPr="00064E2D" w:rsidRDefault="00DF0E5B" w:rsidP="00DF0E5B">
            <w:pPr>
              <w:pStyle w:val="Tabletext"/>
              <w:jc w:val="center"/>
              <w:rPr>
                <w:sz w:val="18"/>
              </w:rPr>
            </w:pPr>
            <w:r w:rsidRPr="00064E2D">
              <w:rPr>
                <w:sz w:val="18"/>
              </w:rPr>
              <w:t>100</w:t>
            </w:r>
          </w:p>
        </w:tc>
        <w:tc>
          <w:tcPr>
            <w:tcW w:w="2580" w:type="dxa"/>
          </w:tcPr>
          <w:p w:rsidR="00DF0E5B" w:rsidRPr="00064E2D" w:rsidRDefault="00DF0E5B" w:rsidP="00DF0E5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64E2D">
              <w:rPr>
                <w:sz w:val="18"/>
              </w:rPr>
              <w:t>6</w:t>
            </w:r>
          </w:p>
        </w:tc>
        <w:tc>
          <w:tcPr>
            <w:tcW w:w="2580" w:type="dxa"/>
          </w:tcPr>
          <w:p w:rsidR="00DF0E5B" w:rsidRPr="00064E2D" w:rsidRDefault="00DF0E5B" w:rsidP="00DF0E5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64E2D">
              <w:rPr>
                <w:sz w:val="18"/>
              </w:rPr>
              <w:t>12</w:t>
            </w:r>
          </w:p>
        </w:tc>
        <w:tc>
          <w:tcPr>
            <w:tcW w:w="2580" w:type="dxa"/>
          </w:tcPr>
          <w:p w:rsidR="00DF0E5B" w:rsidRPr="00064E2D" w:rsidRDefault="00DF0E5B" w:rsidP="00DF0E5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64E2D">
              <w:rPr>
                <w:sz w:val="18"/>
              </w:rPr>
              <w:t>24</w:t>
            </w:r>
          </w:p>
        </w:tc>
      </w:tr>
      <w:tr w:rsidR="00DF0E5B" w:rsidRPr="00064E2D" w:rsidTr="00DF0E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:rsidR="00DF0E5B" w:rsidRPr="00064E2D" w:rsidRDefault="00DF0E5B" w:rsidP="00DF0E5B">
            <w:pPr>
              <w:pStyle w:val="Tabletext"/>
              <w:jc w:val="center"/>
              <w:rPr>
                <w:sz w:val="18"/>
              </w:rPr>
            </w:pPr>
            <w:r w:rsidRPr="00064E2D">
              <w:rPr>
                <w:sz w:val="18"/>
              </w:rPr>
              <w:t>110</w:t>
            </w:r>
          </w:p>
        </w:tc>
        <w:tc>
          <w:tcPr>
            <w:tcW w:w="2580" w:type="dxa"/>
          </w:tcPr>
          <w:p w:rsidR="00DF0E5B" w:rsidRPr="00064E2D" w:rsidRDefault="00DF0E5B" w:rsidP="00DF0E5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64E2D">
              <w:rPr>
                <w:sz w:val="18"/>
              </w:rPr>
              <w:t>7</w:t>
            </w:r>
          </w:p>
        </w:tc>
        <w:tc>
          <w:tcPr>
            <w:tcW w:w="2580" w:type="dxa"/>
          </w:tcPr>
          <w:p w:rsidR="00DF0E5B" w:rsidRPr="00064E2D" w:rsidRDefault="00DF0E5B" w:rsidP="00DF0E5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64E2D">
              <w:rPr>
                <w:sz w:val="18"/>
              </w:rPr>
              <w:t>13</w:t>
            </w:r>
          </w:p>
        </w:tc>
        <w:tc>
          <w:tcPr>
            <w:tcW w:w="2580" w:type="dxa"/>
          </w:tcPr>
          <w:p w:rsidR="00DF0E5B" w:rsidRPr="00064E2D" w:rsidRDefault="00DF0E5B" w:rsidP="00DF0E5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64E2D">
              <w:rPr>
                <w:sz w:val="18"/>
              </w:rPr>
              <w:t>26</w:t>
            </w:r>
          </w:p>
        </w:tc>
      </w:tr>
      <w:tr w:rsidR="00DF0E5B" w:rsidRPr="00064E2D" w:rsidTr="00DF0E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:rsidR="00DF0E5B" w:rsidRPr="00064E2D" w:rsidRDefault="00DF0E5B" w:rsidP="00DF0E5B">
            <w:pPr>
              <w:pStyle w:val="Tabletext"/>
              <w:jc w:val="center"/>
              <w:rPr>
                <w:sz w:val="18"/>
              </w:rPr>
            </w:pPr>
            <w:r w:rsidRPr="00064E2D">
              <w:rPr>
                <w:sz w:val="18"/>
              </w:rPr>
              <w:t>120</w:t>
            </w:r>
          </w:p>
        </w:tc>
        <w:tc>
          <w:tcPr>
            <w:tcW w:w="2580" w:type="dxa"/>
          </w:tcPr>
          <w:p w:rsidR="00DF0E5B" w:rsidRPr="00064E2D" w:rsidRDefault="00DF0E5B" w:rsidP="00DF0E5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64E2D">
              <w:rPr>
                <w:sz w:val="18"/>
              </w:rPr>
              <w:t>7</w:t>
            </w:r>
          </w:p>
        </w:tc>
        <w:tc>
          <w:tcPr>
            <w:tcW w:w="2580" w:type="dxa"/>
          </w:tcPr>
          <w:p w:rsidR="00DF0E5B" w:rsidRPr="00064E2D" w:rsidRDefault="00DF0E5B" w:rsidP="00DF0E5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64E2D">
              <w:rPr>
                <w:sz w:val="18"/>
              </w:rPr>
              <w:t>14</w:t>
            </w:r>
          </w:p>
        </w:tc>
        <w:tc>
          <w:tcPr>
            <w:tcW w:w="2580" w:type="dxa"/>
          </w:tcPr>
          <w:p w:rsidR="00DF0E5B" w:rsidRPr="00064E2D" w:rsidRDefault="00DF0E5B" w:rsidP="00DF0E5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64E2D">
              <w:rPr>
                <w:sz w:val="18"/>
              </w:rPr>
              <w:t>29</w:t>
            </w:r>
          </w:p>
        </w:tc>
      </w:tr>
    </w:tbl>
    <w:p w:rsidR="00DF0E5B" w:rsidRPr="00C4312A" w:rsidRDefault="00DF0E5B" w:rsidP="00DF0E5B">
      <w:pPr>
        <w:pStyle w:val="Heading2"/>
      </w:pPr>
      <w:r w:rsidRPr="00C4312A">
        <w:t>Monitoring</w:t>
      </w:r>
    </w:p>
    <w:p w:rsidR="00DF0E5B" w:rsidRPr="00DF0E5B" w:rsidRDefault="00DF0E5B" w:rsidP="00DF0E5B">
      <w:pPr>
        <w:pStyle w:val="Bullet1"/>
      </w:pPr>
      <w:r w:rsidRPr="00DF0E5B">
        <w:t>Continuous blood pressure and cardiac monitoring for the duration of the infusion</w:t>
      </w:r>
    </w:p>
    <w:p w:rsidR="00DF0E5B" w:rsidRDefault="00DF0E5B" w:rsidP="00DF0E5B">
      <w:pPr>
        <w:pStyle w:val="Bullet1"/>
        <w:rPr>
          <w:rStyle w:val="BookTitle"/>
        </w:rPr>
      </w:pPr>
      <w:r w:rsidRPr="00DF0E5B">
        <w:t>Continue monitoring ECG, blood pressure, heart rate and electrolytes for 7–10 days after infusion completion. Extended periods of monitoring may be needed in patients with renal or hepatic impairment.</w:t>
      </w:r>
      <w:r w:rsidRPr="00DF0E5B">
        <w:rPr>
          <w:vertAlign w:val="superscript"/>
        </w:rPr>
        <w:t>4</w:t>
      </w:r>
    </w:p>
    <w:p w:rsidR="00DF0E5B" w:rsidRPr="009750B7" w:rsidRDefault="00DF0E5B" w:rsidP="00DF0E5B">
      <w:pPr>
        <w:pStyle w:val="Heading2"/>
        <w:rPr>
          <w:rStyle w:val="BookTitle"/>
        </w:rPr>
      </w:pPr>
      <w:r w:rsidRPr="009750B7">
        <w:rPr>
          <w:rStyle w:val="BookTitle"/>
        </w:rPr>
        <w:t>Side effects</w:t>
      </w:r>
    </w:p>
    <w:p w:rsidR="00DF0E5B" w:rsidRPr="00267179" w:rsidRDefault="00DF0E5B" w:rsidP="00DF0E5B">
      <w:pPr>
        <w:pStyle w:val="Bullet1"/>
        <w:numPr>
          <w:ilvl w:val="0"/>
          <w:numId w:val="8"/>
        </w:numPr>
        <w:rPr>
          <w:lang w:val="en-US"/>
        </w:rPr>
      </w:pPr>
      <w:r w:rsidRPr="00267179">
        <w:rPr>
          <w:lang w:val="en-US"/>
        </w:rPr>
        <w:t>Hypotension</w:t>
      </w:r>
      <w:r w:rsidRPr="00267179">
        <w:rPr>
          <w:vertAlign w:val="superscript"/>
          <w:lang w:val="en-US"/>
        </w:rPr>
        <w:t>1</w:t>
      </w:r>
    </w:p>
    <w:p w:rsidR="00DF0E5B" w:rsidRPr="00267179" w:rsidRDefault="00DF0E5B" w:rsidP="00DF0E5B">
      <w:pPr>
        <w:pStyle w:val="Bullet1"/>
        <w:numPr>
          <w:ilvl w:val="0"/>
          <w:numId w:val="8"/>
        </w:numPr>
        <w:rPr>
          <w:lang w:val="en-US"/>
        </w:rPr>
      </w:pPr>
      <w:r w:rsidRPr="00267179">
        <w:rPr>
          <w:lang w:val="en-US"/>
        </w:rPr>
        <w:t>Headache</w:t>
      </w:r>
      <w:r w:rsidRPr="00267179">
        <w:rPr>
          <w:vertAlign w:val="superscript"/>
          <w:lang w:val="en-US"/>
        </w:rPr>
        <w:t>1</w:t>
      </w:r>
    </w:p>
    <w:p w:rsidR="00DF0E5B" w:rsidRPr="00267179" w:rsidRDefault="00DF0E5B" w:rsidP="00DF0E5B">
      <w:pPr>
        <w:pStyle w:val="Bullet1"/>
        <w:numPr>
          <w:ilvl w:val="0"/>
          <w:numId w:val="8"/>
        </w:numPr>
        <w:rPr>
          <w:lang w:val="en-US"/>
        </w:rPr>
      </w:pPr>
      <w:r w:rsidRPr="00267179">
        <w:rPr>
          <w:lang w:val="en-US"/>
        </w:rPr>
        <w:t>Hypokalaemia</w:t>
      </w:r>
      <w:r w:rsidRPr="00267179">
        <w:rPr>
          <w:vertAlign w:val="superscript"/>
          <w:lang w:val="en-US"/>
        </w:rPr>
        <w:t>4</w:t>
      </w:r>
    </w:p>
    <w:p w:rsidR="00DF0E5B" w:rsidRPr="00DF0E5B" w:rsidRDefault="00DF0E5B" w:rsidP="00DF0E5B">
      <w:pPr>
        <w:pStyle w:val="Bullet1"/>
        <w:numPr>
          <w:ilvl w:val="0"/>
          <w:numId w:val="8"/>
        </w:numPr>
        <w:rPr>
          <w:lang w:val="en-US"/>
        </w:rPr>
      </w:pPr>
      <w:r w:rsidRPr="00267179">
        <w:rPr>
          <w:lang w:val="en-US"/>
        </w:rPr>
        <w:t>Arrhythmias including tachycardia, atrial fibrillation and ventricular tachycardia</w:t>
      </w:r>
      <w:r w:rsidR="00CC4925">
        <w:rPr>
          <w:lang w:val="en-US"/>
        </w:rPr>
        <w:t>.</w:t>
      </w:r>
      <w:r w:rsidRPr="00267179">
        <w:rPr>
          <w:vertAlign w:val="superscript"/>
          <w:lang w:val="en-US"/>
        </w:rPr>
        <w:t>4</w:t>
      </w:r>
    </w:p>
    <w:p w:rsidR="00DF0E5B" w:rsidRPr="00C4312A" w:rsidRDefault="00DF0E5B" w:rsidP="00DF0E5B">
      <w:pPr>
        <w:pStyle w:val="Heading2"/>
        <w:rPr>
          <w:lang w:val="en-US"/>
        </w:rPr>
      </w:pPr>
      <w:r w:rsidRPr="00C4312A">
        <w:rPr>
          <w:lang w:val="en-US"/>
        </w:rPr>
        <w:t>Compatibilities</w:t>
      </w:r>
    </w:p>
    <w:p w:rsidR="00DF0E5B" w:rsidRPr="00C4312A" w:rsidRDefault="00DF0E5B" w:rsidP="00DF0E5B">
      <w:pPr>
        <w:pStyle w:val="Normalfollowingheading"/>
        <w:rPr>
          <w:lang w:val="en-US"/>
        </w:rPr>
      </w:pPr>
      <w:r w:rsidRPr="00C4312A">
        <w:rPr>
          <w:lang w:val="en-US"/>
        </w:rPr>
        <w:t>Consult the following references</w:t>
      </w:r>
      <w:r>
        <w:rPr>
          <w:lang w:val="en-US"/>
        </w:rPr>
        <w:t>,</w:t>
      </w:r>
      <w:r w:rsidRPr="00C4312A">
        <w:rPr>
          <w:lang w:val="en-US"/>
        </w:rPr>
        <w:t xml:space="preserve"> which are available online through </w:t>
      </w:r>
      <w:r w:rsidRPr="009415FF">
        <w:t xml:space="preserve">the </w:t>
      </w:r>
      <w:hyperlink r:id="rId8" w:history="1">
        <w:r w:rsidRPr="00CC4925">
          <w:rPr>
            <w:rStyle w:val="Hyperlink"/>
            <w:rFonts w:cs="Raleway"/>
          </w:rPr>
          <w:t>Clinicians Health Channel</w:t>
        </w:r>
      </w:hyperlink>
      <w:r w:rsidRPr="00CC4925">
        <w:t>:</w:t>
      </w:r>
    </w:p>
    <w:p w:rsidR="00DF0E5B" w:rsidRPr="00FF6B35" w:rsidRDefault="00DF0E5B" w:rsidP="00DF0E5B">
      <w:pPr>
        <w:pStyle w:val="Bullet1"/>
        <w:numPr>
          <w:ilvl w:val="0"/>
          <w:numId w:val="8"/>
        </w:numPr>
        <w:rPr>
          <w:rStyle w:val="BookTitle"/>
          <w:rFonts w:eastAsiaTheme="majorEastAsia"/>
          <w:b/>
        </w:rPr>
      </w:pPr>
      <w:r w:rsidRPr="00FF6B35">
        <w:rPr>
          <w:rStyle w:val="BookTitle"/>
          <w:rFonts w:eastAsiaTheme="majorEastAsia"/>
        </w:rPr>
        <w:t>Australian injectable drugs handbook</w:t>
      </w:r>
    </w:p>
    <w:p w:rsidR="00DF0E5B" w:rsidRPr="00DF0E5B" w:rsidRDefault="00DF0E5B" w:rsidP="00DF0E5B">
      <w:pPr>
        <w:pStyle w:val="Bullet1"/>
        <w:numPr>
          <w:ilvl w:val="0"/>
          <w:numId w:val="8"/>
        </w:numPr>
        <w:rPr>
          <w:rFonts w:eastAsiaTheme="majorEastAsia"/>
        </w:rPr>
      </w:pPr>
      <w:proofErr w:type="spellStart"/>
      <w:r w:rsidRPr="00FF6B35">
        <w:rPr>
          <w:rStyle w:val="BookTitle"/>
          <w:rFonts w:eastAsiaTheme="majorEastAsia"/>
        </w:rPr>
        <w:t>Trissel’s</w:t>
      </w:r>
      <w:proofErr w:type="spellEnd"/>
      <w:r w:rsidRPr="00FF6B35">
        <w:rPr>
          <w:rStyle w:val="BookTitle"/>
          <w:rFonts w:eastAsiaTheme="majorEastAsia"/>
        </w:rPr>
        <w:t>™ in IV compatibility (Micromedex)</w:t>
      </w:r>
      <w:r w:rsidRPr="009750B7">
        <w:rPr>
          <w:rStyle w:val="BookTitle"/>
          <w:rFonts w:eastAsiaTheme="majorEastAsia"/>
        </w:rPr>
        <w:t xml:space="preserve"> – from the site homepage, select the ‘IV Compatibility’ tab</w:t>
      </w:r>
      <w:r w:rsidR="00CC4925">
        <w:rPr>
          <w:rStyle w:val="BookTitle"/>
          <w:rFonts w:eastAsiaTheme="majorEastAsia"/>
        </w:rPr>
        <w:t>.</w:t>
      </w:r>
    </w:p>
    <w:p w:rsidR="00DF0E5B" w:rsidRPr="00C4312A" w:rsidRDefault="00DF0E5B" w:rsidP="00DF0E5B">
      <w:pPr>
        <w:pStyle w:val="Heading2"/>
        <w:rPr>
          <w:highlight w:val="yellow"/>
          <w:vertAlign w:val="superscript"/>
          <w:lang w:val="en-US"/>
        </w:rPr>
      </w:pPr>
      <w:r>
        <w:rPr>
          <w:lang w:val="en-US"/>
        </w:rPr>
        <w:t>Important drug interaction</w:t>
      </w:r>
      <w:r w:rsidRPr="00C4312A">
        <w:rPr>
          <w:lang w:val="en-US"/>
        </w:rPr>
        <w:t xml:space="preserve"> </w:t>
      </w:r>
    </w:p>
    <w:p w:rsidR="00DF0E5B" w:rsidRPr="00DF0E5B" w:rsidRDefault="00DF0E5B" w:rsidP="00DF0E5B">
      <w:pPr>
        <w:pStyle w:val="Normalfollowingheading"/>
        <w:rPr>
          <w:vertAlign w:val="superscript"/>
          <w:lang w:val="en-US"/>
        </w:rPr>
      </w:pPr>
      <w:r w:rsidRPr="00B05D59">
        <w:rPr>
          <w:b/>
          <w:lang w:val="en-US"/>
        </w:rPr>
        <w:t>Isosorbide mononitrate</w:t>
      </w:r>
      <w:r w:rsidRPr="00B05D59">
        <w:rPr>
          <w:lang w:val="en-US"/>
        </w:rPr>
        <w:t xml:space="preserve"> – significant potentiation of orthostatic hypotension.</w:t>
      </w:r>
      <w:r w:rsidRPr="00B05D59">
        <w:rPr>
          <w:vertAlign w:val="superscript"/>
          <w:lang w:val="en-US"/>
        </w:rPr>
        <w:t>4</w:t>
      </w:r>
    </w:p>
    <w:p w:rsidR="00DF0E5B" w:rsidRDefault="00DF0E5B">
      <w:pPr>
        <w:rPr>
          <w:rFonts w:ascii="VIC SemiBold" w:eastAsiaTheme="majorEastAsia" w:hAnsi="VIC SemiBold" w:cstheme="majorBidi"/>
          <w:bCs/>
          <w:color w:val="000000" w:themeColor="text1"/>
          <w:sz w:val="24"/>
          <w:szCs w:val="22"/>
        </w:rPr>
      </w:pPr>
      <w:r>
        <w:br w:type="page"/>
      </w:r>
    </w:p>
    <w:p w:rsidR="00DF0E5B" w:rsidRPr="00C4312A" w:rsidRDefault="00DF0E5B" w:rsidP="0052657B">
      <w:pPr>
        <w:pStyle w:val="Heading2"/>
      </w:pPr>
      <w:r w:rsidRPr="00C4312A">
        <w:lastRenderedPageBreak/>
        <w:t>References</w:t>
      </w:r>
    </w:p>
    <w:p w:rsidR="00DF0E5B" w:rsidRPr="00DF0E5B" w:rsidRDefault="00DF0E5B" w:rsidP="00DF0E5B">
      <w:pPr>
        <w:pStyle w:val="ListParagraph"/>
        <w:numPr>
          <w:ilvl w:val="0"/>
          <w:numId w:val="17"/>
        </w:numPr>
        <w:spacing w:before="60" w:after="60" w:line="240" w:lineRule="auto"/>
        <w:ind w:left="357" w:hanging="357"/>
        <w:contextualSpacing w:val="0"/>
        <w:rPr>
          <w:rFonts w:eastAsia="Times New Roman"/>
          <w:color w:val="222222"/>
          <w:sz w:val="16"/>
          <w:szCs w:val="16"/>
        </w:rPr>
      </w:pPr>
      <w:proofErr w:type="spellStart"/>
      <w:r w:rsidRPr="00DF0E5B">
        <w:rPr>
          <w:rFonts w:eastAsia="Times New Roman"/>
          <w:color w:val="222222"/>
          <w:sz w:val="16"/>
          <w:szCs w:val="16"/>
        </w:rPr>
        <w:t>Antila</w:t>
      </w:r>
      <w:proofErr w:type="spellEnd"/>
      <w:r w:rsidRPr="00DF0E5B">
        <w:rPr>
          <w:rFonts w:eastAsia="Times New Roman"/>
          <w:color w:val="222222"/>
          <w:sz w:val="16"/>
          <w:szCs w:val="16"/>
        </w:rPr>
        <w:t xml:space="preserve"> S, Sundberg S, </w:t>
      </w:r>
      <w:proofErr w:type="spellStart"/>
      <w:r w:rsidRPr="00DF0E5B">
        <w:rPr>
          <w:rFonts w:eastAsia="Times New Roman"/>
          <w:color w:val="222222"/>
          <w:sz w:val="16"/>
          <w:szCs w:val="16"/>
        </w:rPr>
        <w:t>Lehtonen</w:t>
      </w:r>
      <w:proofErr w:type="spellEnd"/>
      <w:r w:rsidRPr="00DF0E5B">
        <w:rPr>
          <w:rFonts w:eastAsia="Times New Roman"/>
          <w:color w:val="222222"/>
          <w:sz w:val="16"/>
          <w:szCs w:val="16"/>
        </w:rPr>
        <w:t xml:space="preserve"> LA. Clinical pharmacology of </w:t>
      </w:r>
      <w:proofErr w:type="spellStart"/>
      <w:r w:rsidRPr="00DF0E5B">
        <w:rPr>
          <w:rFonts w:eastAsia="Times New Roman"/>
          <w:color w:val="222222"/>
          <w:sz w:val="16"/>
          <w:szCs w:val="16"/>
        </w:rPr>
        <w:t>levosimendan</w:t>
      </w:r>
      <w:proofErr w:type="spellEnd"/>
      <w:r w:rsidRPr="00DF0E5B">
        <w:rPr>
          <w:rFonts w:eastAsia="Times New Roman"/>
          <w:color w:val="222222"/>
          <w:sz w:val="16"/>
          <w:szCs w:val="16"/>
        </w:rPr>
        <w:t>. Clinical Pharmacokinetics. 2007; 46(7):535–552</w:t>
      </w:r>
    </w:p>
    <w:p w:rsidR="00DF0E5B" w:rsidRPr="00DF0E5B" w:rsidRDefault="00DF0E5B" w:rsidP="00DF0E5B">
      <w:pPr>
        <w:pStyle w:val="ListParagraph"/>
        <w:numPr>
          <w:ilvl w:val="0"/>
          <w:numId w:val="17"/>
        </w:numPr>
        <w:spacing w:before="60" w:after="60" w:line="240" w:lineRule="auto"/>
        <w:ind w:left="357" w:hanging="357"/>
        <w:contextualSpacing w:val="0"/>
        <w:rPr>
          <w:rFonts w:eastAsia="Times New Roman"/>
          <w:color w:val="222222"/>
          <w:sz w:val="16"/>
          <w:szCs w:val="16"/>
        </w:rPr>
      </w:pPr>
      <w:r w:rsidRPr="00DF0E5B">
        <w:rPr>
          <w:rFonts w:eastAsia="Times New Roman"/>
          <w:color w:val="222222"/>
          <w:sz w:val="16"/>
          <w:szCs w:val="16"/>
        </w:rPr>
        <w:t xml:space="preserve">Pathak A, </w:t>
      </w:r>
      <w:proofErr w:type="spellStart"/>
      <w:r w:rsidRPr="00DF0E5B">
        <w:rPr>
          <w:rFonts w:eastAsia="Times New Roman"/>
          <w:color w:val="222222"/>
          <w:sz w:val="16"/>
          <w:szCs w:val="16"/>
        </w:rPr>
        <w:t>Lebrin</w:t>
      </w:r>
      <w:proofErr w:type="spellEnd"/>
      <w:r w:rsidRPr="00DF0E5B">
        <w:rPr>
          <w:rFonts w:eastAsia="Times New Roman"/>
          <w:color w:val="222222"/>
          <w:sz w:val="16"/>
          <w:szCs w:val="16"/>
        </w:rPr>
        <w:t xml:space="preserve"> M, Vaccaro A, et al. Pharmacology of </w:t>
      </w:r>
      <w:proofErr w:type="spellStart"/>
      <w:r w:rsidRPr="00DF0E5B">
        <w:rPr>
          <w:rFonts w:eastAsia="Times New Roman"/>
          <w:color w:val="222222"/>
          <w:sz w:val="16"/>
          <w:szCs w:val="16"/>
        </w:rPr>
        <w:t>levosimendan</w:t>
      </w:r>
      <w:proofErr w:type="spellEnd"/>
      <w:r w:rsidRPr="00DF0E5B">
        <w:rPr>
          <w:rFonts w:eastAsia="Times New Roman"/>
          <w:color w:val="222222"/>
          <w:sz w:val="16"/>
          <w:szCs w:val="16"/>
        </w:rPr>
        <w:t>: inotropic, vasodilatory and cardioprotective effects. Journal of Clinical Pharmacy and Therapeutics. 2013; 38(5):341–349.</w:t>
      </w:r>
    </w:p>
    <w:p w:rsidR="00DF0E5B" w:rsidRPr="00DF0E5B" w:rsidRDefault="00DF0E5B" w:rsidP="00DF0E5B">
      <w:pPr>
        <w:pStyle w:val="ListParagraph"/>
        <w:numPr>
          <w:ilvl w:val="0"/>
          <w:numId w:val="17"/>
        </w:numPr>
        <w:spacing w:before="60" w:after="60" w:line="240" w:lineRule="auto"/>
        <w:ind w:left="357" w:hanging="357"/>
        <w:contextualSpacing w:val="0"/>
        <w:rPr>
          <w:sz w:val="16"/>
          <w:szCs w:val="16"/>
          <w:lang w:val="en-US"/>
        </w:rPr>
      </w:pPr>
      <w:proofErr w:type="spellStart"/>
      <w:r w:rsidRPr="00DF0E5B">
        <w:rPr>
          <w:rFonts w:eastAsia="Times New Roman"/>
          <w:color w:val="222222"/>
          <w:sz w:val="16"/>
          <w:szCs w:val="16"/>
        </w:rPr>
        <w:t>Landoni</w:t>
      </w:r>
      <w:proofErr w:type="spellEnd"/>
      <w:r w:rsidRPr="00DF0E5B">
        <w:rPr>
          <w:rFonts w:eastAsia="Times New Roman"/>
          <w:color w:val="222222"/>
          <w:sz w:val="16"/>
          <w:szCs w:val="16"/>
        </w:rPr>
        <w:t xml:space="preserve"> G, </w:t>
      </w:r>
      <w:proofErr w:type="spellStart"/>
      <w:r w:rsidRPr="00DF0E5B">
        <w:rPr>
          <w:rFonts w:eastAsia="Times New Roman"/>
          <w:color w:val="222222"/>
          <w:sz w:val="16"/>
          <w:szCs w:val="16"/>
        </w:rPr>
        <w:t>Lomivorotov</w:t>
      </w:r>
      <w:proofErr w:type="spellEnd"/>
      <w:r w:rsidRPr="00DF0E5B">
        <w:rPr>
          <w:rFonts w:eastAsia="Times New Roman"/>
          <w:color w:val="222222"/>
          <w:sz w:val="16"/>
          <w:szCs w:val="16"/>
        </w:rPr>
        <w:t xml:space="preserve"> VV, Alvaro G, et al. </w:t>
      </w:r>
      <w:proofErr w:type="spellStart"/>
      <w:r w:rsidRPr="00DF0E5B">
        <w:rPr>
          <w:rFonts w:eastAsia="Times New Roman"/>
          <w:color w:val="222222"/>
          <w:sz w:val="16"/>
          <w:szCs w:val="16"/>
        </w:rPr>
        <w:t>Levosimendan</w:t>
      </w:r>
      <w:proofErr w:type="spellEnd"/>
      <w:r w:rsidRPr="00DF0E5B">
        <w:rPr>
          <w:rFonts w:eastAsia="Times New Roman"/>
          <w:color w:val="222222"/>
          <w:sz w:val="16"/>
          <w:szCs w:val="16"/>
        </w:rPr>
        <w:t xml:space="preserve"> for hemodynamic support after cardiac surgery. New England Journal of Medicine. 25 May 2017</w:t>
      </w:r>
    </w:p>
    <w:p w:rsidR="00DF0E5B" w:rsidRPr="00DF0E5B" w:rsidRDefault="00DF0E5B" w:rsidP="00DF0E5B">
      <w:pPr>
        <w:pStyle w:val="ListParagraph"/>
        <w:numPr>
          <w:ilvl w:val="0"/>
          <w:numId w:val="17"/>
        </w:numPr>
        <w:spacing w:before="60" w:after="60" w:line="240" w:lineRule="auto"/>
        <w:ind w:left="357" w:hanging="357"/>
        <w:contextualSpacing w:val="0"/>
        <w:rPr>
          <w:rFonts w:eastAsia="Times New Roman"/>
          <w:color w:val="222222"/>
          <w:sz w:val="16"/>
          <w:szCs w:val="16"/>
        </w:rPr>
      </w:pPr>
      <w:proofErr w:type="spellStart"/>
      <w:r w:rsidRPr="00DF0E5B">
        <w:rPr>
          <w:rFonts w:eastAsia="Times New Roman"/>
          <w:color w:val="222222"/>
          <w:sz w:val="16"/>
          <w:szCs w:val="16"/>
        </w:rPr>
        <w:t>Mebazaa</w:t>
      </w:r>
      <w:proofErr w:type="spellEnd"/>
      <w:r w:rsidRPr="00DF0E5B">
        <w:rPr>
          <w:rFonts w:eastAsia="Times New Roman"/>
          <w:color w:val="222222"/>
          <w:sz w:val="16"/>
          <w:szCs w:val="16"/>
        </w:rPr>
        <w:t xml:space="preserve"> A, </w:t>
      </w:r>
      <w:proofErr w:type="spellStart"/>
      <w:r w:rsidRPr="00DF0E5B">
        <w:rPr>
          <w:rFonts w:eastAsia="Times New Roman"/>
          <w:color w:val="222222"/>
          <w:sz w:val="16"/>
          <w:szCs w:val="16"/>
        </w:rPr>
        <w:t>Nieminen</w:t>
      </w:r>
      <w:proofErr w:type="spellEnd"/>
      <w:r w:rsidRPr="00DF0E5B">
        <w:rPr>
          <w:rFonts w:eastAsia="Times New Roman"/>
          <w:color w:val="222222"/>
          <w:sz w:val="16"/>
          <w:szCs w:val="16"/>
        </w:rPr>
        <w:t xml:space="preserve"> MS, Packer M, et al. Survive Investigators. </w:t>
      </w:r>
      <w:proofErr w:type="spellStart"/>
      <w:r w:rsidRPr="00DF0E5B">
        <w:rPr>
          <w:rFonts w:eastAsia="Times New Roman"/>
          <w:color w:val="222222"/>
          <w:sz w:val="16"/>
          <w:szCs w:val="16"/>
        </w:rPr>
        <w:t>Levosimendan</w:t>
      </w:r>
      <w:proofErr w:type="spellEnd"/>
      <w:r w:rsidRPr="00DF0E5B">
        <w:rPr>
          <w:rFonts w:eastAsia="Times New Roman"/>
          <w:color w:val="222222"/>
          <w:sz w:val="16"/>
          <w:szCs w:val="16"/>
        </w:rPr>
        <w:t xml:space="preserve"> vs dobutamine for patients with acute decompensated heart failure: the SURVIVE Randomized Trial. JAMA. 2007; 297(17):1883–1891</w:t>
      </w:r>
    </w:p>
    <w:p w:rsidR="00DF0E5B" w:rsidRPr="00DF0E5B" w:rsidRDefault="00DF0E5B" w:rsidP="00DF0E5B">
      <w:pPr>
        <w:pStyle w:val="ListParagraph"/>
        <w:numPr>
          <w:ilvl w:val="0"/>
          <w:numId w:val="17"/>
        </w:numPr>
        <w:spacing w:before="60" w:after="60" w:line="240" w:lineRule="auto"/>
        <w:ind w:left="357" w:hanging="357"/>
        <w:contextualSpacing w:val="0"/>
        <w:rPr>
          <w:rStyle w:val="Hyperlink"/>
          <w:color w:val="auto"/>
          <w:sz w:val="16"/>
          <w:szCs w:val="16"/>
          <w:lang w:val="en-US"/>
        </w:rPr>
      </w:pPr>
      <w:r w:rsidRPr="00DF0E5B">
        <w:rPr>
          <w:sz w:val="16"/>
          <w:szCs w:val="16"/>
          <w:lang w:val="en-US"/>
        </w:rPr>
        <w:t xml:space="preserve">Orion Pharma. </w:t>
      </w:r>
      <w:hyperlink r:id="rId9" w:history="1">
        <w:r w:rsidRPr="00DF0E5B">
          <w:rPr>
            <w:rStyle w:val="Hyperlink"/>
            <w:sz w:val="16"/>
            <w:szCs w:val="16"/>
            <w:lang w:val="en-US"/>
          </w:rPr>
          <w:t>Simdax Product Information</w:t>
        </w:r>
      </w:hyperlink>
      <w:r w:rsidRPr="00DF0E5B">
        <w:rPr>
          <w:sz w:val="16"/>
          <w:szCs w:val="16"/>
          <w:lang w:val="en-US"/>
        </w:rPr>
        <w:t xml:space="preserve"> (updated 2012) [online] (accessed 12 October 2017). Available from: www.simdax.com</w:t>
      </w:r>
    </w:p>
    <w:p w:rsidR="00DF0E5B" w:rsidRPr="00DF0E5B" w:rsidRDefault="00DF0E5B" w:rsidP="00DF0E5B">
      <w:pPr>
        <w:pStyle w:val="ListParagraph"/>
        <w:numPr>
          <w:ilvl w:val="0"/>
          <w:numId w:val="17"/>
        </w:numPr>
        <w:spacing w:before="60" w:after="60" w:line="240" w:lineRule="auto"/>
        <w:ind w:left="357" w:hanging="357"/>
        <w:contextualSpacing w:val="0"/>
        <w:rPr>
          <w:rFonts w:eastAsia="Times New Roman"/>
          <w:color w:val="222222"/>
          <w:sz w:val="16"/>
          <w:szCs w:val="16"/>
        </w:rPr>
      </w:pPr>
      <w:proofErr w:type="spellStart"/>
      <w:r w:rsidRPr="00DF0E5B">
        <w:rPr>
          <w:rFonts w:eastAsia="Times New Roman"/>
          <w:color w:val="222222"/>
          <w:sz w:val="16"/>
          <w:szCs w:val="16"/>
        </w:rPr>
        <w:t>Puttonen</w:t>
      </w:r>
      <w:proofErr w:type="spellEnd"/>
      <w:r w:rsidRPr="00DF0E5B">
        <w:rPr>
          <w:rFonts w:eastAsia="Times New Roman"/>
          <w:color w:val="222222"/>
          <w:sz w:val="16"/>
          <w:szCs w:val="16"/>
        </w:rPr>
        <w:t xml:space="preserve"> J, Kantele S, Ruck A, et al. Pharmacokinetics of intravenous </w:t>
      </w:r>
      <w:proofErr w:type="spellStart"/>
      <w:r w:rsidRPr="00DF0E5B">
        <w:rPr>
          <w:rFonts w:eastAsia="Times New Roman"/>
          <w:color w:val="222222"/>
          <w:sz w:val="16"/>
          <w:szCs w:val="16"/>
        </w:rPr>
        <w:t>levosimendan</w:t>
      </w:r>
      <w:proofErr w:type="spellEnd"/>
      <w:r w:rsidRPr="00DF0E5B">
        <w:rPr>
          <w:rFonts w:eastAsia="Times New Roman"/>
          <w:color w:val="222222"/>
          <w:sz w:val="16"/>
          <w:szCs w:val="16"/>
        </w:rPr>
        <w:t xml:space="preserve"> and its metabolites in subjects with hepatic impairment. The Journal of Clinical Pharmacology. 2008; 48(4):445–454</w:t>
      </w:r>
    </w:p>
    <w:p w:rsidR="00DF0E5B" w:rsidRPr="00DF0E5B" w:rsidRDefault="00DF0E5B" w:rsidP="00DF0E5B">
      <w:pPr>
        <w:pStyle w:val="ListParagraph"/>
        <w:numPr>
          <w:ilvl w:val="0"/>
          <w:numId w:val="17"/>
        </w:numPr>
        <w:spacing w:before="60" w:after="60" w:line="240" w:lineRule="auto"/>
        <w:ind w:left="357" w:hanging="357"/>
        <w:contextualSpacing w:val="0"/>
        <w:rPr>
          <w:rFonts w:eastAsia="Times New Roman"/>
          <w:color w:val="222222"/>
          <w:sz w:val="16"/>
          <w:szCs w:val="16"/>
        </w:rPr>
      </w:pPr>
      <w:proofErr w:type="spellStart"/>
      <w:r w:rsidRPr="00DF0E5B">
        <w:rPr>
          <w:rFonts w:eastAsia="Times New Roman"/>
          <w:color w:val="222222"/>
          <w:sz w:val="16"/>
          <w:szCs w:val="16"/>
        </w:rPr>
        <w:t>Puttonen</w:t>
      </w:r>
      <w:proofErr w:type="spellEnd"/>
      <w:r w:rsidRPr="00DF0E5B">
        <w:rPr>
          <w:rFonts w:eastAsia="Times New Roman"/>
          <w:color w:val="222222"/>
          <w:sz w:val="16"/>
          <w:szCs w:val="16"/>
        </w:rPr>
        <w:t xml:space="preserve"> J, </w:t>
      </w:r>
      <w:proofErr w:type="spellStart"/>
      <w:r w:rsidRPr="00DF0E5B">
        <w:rPr>
          <w:rFonts w:eastAsia="Times New Roman"/>
          <w:color w:val="222222"/>
          <w:sz w:val="16"/>
          <w:szCs w:val="16"/>
        </w:rPr>
        <w:t>Kantete</w:t>
      </w:r>
      <w:proofErr w:type="spellEnd"/>
      <w:r w:rsidRPr="00DF0E5B">
        <w:rPr>
          <w:rFonts w:eastAsia="Times New Roman"/>
          <w:color w:val="222222"/>
          <w:sz w:val="16"/>
          <w:szCs w:val="16"/>
        </w:rPr>
        <w:t xml:space="preserve"> S, </w:t>
      </w:r>
      <w:proofErr w:type="spellStart"/>
      <w:r w:rsidRPr="00DF0E5B">
        <w:rPr>
          <w:rFonts w:eastAsia="Times New Roman"/>
          <w:color w:val="222222"/>
          <w:sz w:val="16"/>
          <w:szCs w:val="16"/>
        </w:rPr>
        <w:t>Kivikko</w:t>
      </w:r>
      <w:proofErr w:type="spellEnd"/>
      <w:r w:rsidRPr="00DF0E5B">
        <w:rPr>
          <w:rFonts w:eastAsia="Times New Roman"/>
          <w:color w:val="222222"/>
          <w:sz w:val="16"/>
          <w:szCs w:val="16"/>
        </w:rPr>
        <w:t xml:space="preserve"> M, et al. Effect of severe renal failure and haemodialysis on the pharmacokinetics of </w:t>
      </w:r>
      <w:proofErr w:type="spellStart"/>
      <w:r w:rsidRPr="00DF0E5B">
        <w:rPr>
          <w:rFonts w:eastAsia="Times New Roman"/>
          <w:color w:val="222222"/>
          <w:sz w:val="16"/>
          <w:szCs w:val="16"/>
        </w:rPr>
        <w:t>levosimendan</w:t>
      </w:r>
      <w:proofErr w:type="spellEnd"/>
      <w:r w:rsidRPr="00DF0E5B">
        <w:rPr>
          <w:rFonts w:eastAsia="Times New Roman"/>
          <w:color w:val="222222"/>
          <w:sz w:val="16"/>
          <w:szCs w:val="16"/>
        </w:rPr>
        <w:t xml:space="preserve"> and its metabolites. Clinical Pharmacokinetics. 2007; 46(3):235–246</w:t>
      </w:r>
    </w:p>
    <w:p w:rsidR="00DF0E5B" w:rsidRPr="00DF0E5B" w:rsidRDefault="00DF0E5B" w:rsidP="00DF0E5B">
      <w:pPr>
        <w:pStyle w:val="ListParagraph"/>
        <w:numPr>
          <w:ilvl w:val="0"/>
          <w:numId w:val="17"/>
        </w:numPr>
        <w:spacing w:before="60" w:after="60" w:line="240" w:lineRule="auto"/>
        <w:ind w:left="357" w:hanging="357"/>
        <w:contextualSpacing w:val="0"/>
        <w:rPr>
          <w:rFonts w:eastAsia="Times New Roman"/>
          <w:color w:val="222222"/>
          <w:sz w:val="16"/>
          <w:szCs w:val="16"/>
        </w:rPr>
      </w:pPr>
      <w:r w:rsidRPr="00DF0E5B">
        <w:rPr>
          <w:sz w:val="16"/>
          <w:szCs w:val="16"/>
        </w:rPr>
        <w:t xml:space="preserve">Australian injectable drugs </w:t>
      </w:r>
      <w:proofErr w:type="spellStart"/>
      <w:r w:rsidRPr="00DF0E5B">
        <w:rPr>
          <w:sz w:val="16"/>
          <w:szCs w:val="16"/>
        </w:rPr>
        <w:t>dandbook</w:t>
      </w:r>
      <w:proofErr w:type="spellEnd"/>
      <w:r w:rsidRPr="00DF0E5B">
        <w:rPr>
          <w:sz w:val="16"/>
          <w:szCs w:val="16"/>
        </w:rPr>
        <w:t xml:space="preserve"> (AIDH) [online] (accessed 11 October 2017)</w:t>
      </w:r>
    </w:p>
    <w:tbl>
      <w:tblPr>
        <w:tblStyle w:val="SCVInformationTable"/>
        <w:tblpPr w:leftFromText="181" w:rightFromText="181" w:vertAnchor="page" w:horzAnchor="margin" w:tblpY="13629"/>
        <w:tblW w:w="10603" w:type="dxa"/>
        <w:shd w:val="clear" w:color="auto" w:fill="F2F2F3"/>
        <w:tblLook w:val="0600" w:firstRow="0" w:lastRow="0" w:firstColumn="0" w:lastColumn="0" w:noHBand="1" w:noVBand="1"/>
      </w:tblPr>
      <w:tblGrid>
        <w:gridCol w:w="3955"/>
        <w:gridCol w:w="3955"/>
        <w:gridCol w:w="2693"/>
      </w:tblGrid>
      <w:tr w:rsidR="00AB099D" w:rsidRPr="00736C0C" w:rsidTr="00AB099D">
        <w:trPr>
          <w:trHeight w:val="1531"/>
        </w:trPr>
        <w:tc>
          <w:tcPr>
            <w:tcW w:w="3955" w:type="dxa"/>
            <w:tcMar>
              <w:left w:w="113" w:type="dxa"/>
            </w:tcMar>
          </w:tcPr>
          <w:p w:rsidR="00AB099D" w:rsidRPr="00736C0C" w:rsidRDefault="00AB099D" w:rsidP="00AB099D">
            <w:pPr>
              <w:spacing w:line="235" w:lineRule="auto"/>
            </w:pPr>
            <w:r w:rsidRPr="00292213">
              <w:rPr>
                <w:sz w:val="24"/>
              </w:rPr>
              <w:t xml:space="preserve">To receive this publication in </w:t>
            </w:r>
            <w:r w:rsidRPr="00292213">
              <w:rPr>
                <w:sz w:val="24"/>
              </w:rPr>
              <w:br/>
              <w:t xml:space="preserve">an accessible format phone </w:t>
            </w:r>
            <w:r>
              <w:rPr>
                <w:sz w:val="24"/>
              </w:rPr>
              <w:t>9096 1384</w:t>
            </w:r>
            <w:r w:rsidRPr="00292213">
              <w:rPr>
                <w:sz w:val="24"/>
              </w:rPr>
              <w:t xml:space="preserve">, using the National Relay Service 13 36 77 if required, or email </w:t>
            </w:r>
            <w:r w:rsidRPr="00292213">
              <w:rPr>
                <w:b/>
                <w:sz w:val="24"/>
              </w:rPr>
              <w:t>info@safercare.vic.gov.au</w:t>
            </w:r>
          </w:p>
        </w:tc>
        <w:tc>
          <w:tcPr>
            <w:tcW w:w="3955" w:type="dxa"/>
          </w:tcPr>
          <w:p w:rsidR="00AB099D" w:rsidRDefault="00AB099D" w:rsidP="00AB099D">
            <w:pPr>
              <w:spacing w:line="230" w:lineRule="auto"/>
              <w:rPr>
                <w:sz w:val="13"/>
                <w:szCs w:val="13"/>
              </w:rPr>
            </w:pPr>
            <w:r w:rsidRPr="00292213">
              <w:rPr>
                <w:sz w:val="13"/>
                <w:szCs w:val="13"/>
              </w:rPr>
              <w:t>Printed copies of this document may not be the most recent version.</w:t>
            </w:r>
          </w:p>
          <w:p w:rsidR="00AB099D" w:rsidRPr="007A4444" w:rsidRDefault="00AB099D" w:rsidP="00AB099D">
            <w:pPr>
              <w:spacing w:line="230" w:lineRule="auto"/>
              <w:rPr>
                <w:sz w:val="13"/>
                <w:szCs w:val="13"/>
              </w:rPr>
            </w:pPr>
            <w:r w:rsidRPr="007A4444">
              <w:rPr>
                <w:sz w:val="13"/>
                <w:szCs w:val="13"/>
              </w:rPr>
              <w:t>Authorised and published by the Victorian Government, 1 Treasury Place, Melbourne.</w:t>
            </w:r>
          </w:p>
          <w:p w:rsidR="00AB099D" w:rsidRDefault="00AB099D" w:rsidP="00AB099D">
            <w:pPr>
              <w:spacing w:line="230" w:lineRule="auto"/>
              <w:rPr>
                <w:sz w:val="13"/>
                <w:szCs w:val="13"/>
              </w:rPr>
            </w:pPr>
            <w:r w:rsidRPr="007A4444">
              <w:rPr>
                <w:sz w:val="13"/>
                <w:szCs w:val="13"/>
              </w:rPr>
              <w:t xml:space="preserve">© State of Victoria, Australia, Safer Care Victoria, </w:t>
            </w:r>
            <w:r>
              <w:rPr>
                <w:sz w:val="13"/>
                <w:szCs w:val="13"/>
              </w:rPr>
              <w:t xml:space="preserve">December </w:t>
            </w:r>
            <w:r w:rsidRPr="007A4444">
              <w:rPr>
                <w:sz w:val="13"/>
                <w:szCs w:val="13"/>
              </w:rPr>
              <w:t xml:space="preserve">2018 </w:t>
            </w:r>
          </w:p>
          <w:p w:rsidR="00AB099D" w:rsidRPr="007A4444" w:rsidRDefault="00AB099D" w:rsidP="00AB099D">
            <w:pPr>
              <w:spacing w:line="230" w:lineRule="auto"/>
              <w:rPr>
                <w:sz w:val="13"/>
                <w:szCs w:val="13"/>
              </w:rPr>
            </w:pPr>
            <w:r w:rsidRPr="007A4444">
              <w:rPr>
                <w:sz w:val="13"/>
                <w:szCs w:val="13"/>
              </w:rPr>
              <w:t>ISBN</w:t>
            </w:r>
            <w:r>
              <w:rPr>
                <w:sz w:val="13"/>
                <w:szCs w:val="13"/>
              </w:rPr>
              <w:t xml:space="preserve"> </w:t>
            </w:r>
            <w:r w:rsidR="00A722E0" w:rsidRPr="00A722E0">
              <w:rPr>
                <w:rFonts w:cs="Arial"/>
                <w:sz w:val="12"/>
              </w:rPr>
              <w:t>978-1-76069-717-</w:t>
            </w:r>
            <w:proofErr w:type="gramStart"/>
            <w:r w:rsidR="00A722E0" w:rsidRPr="00A722E0">
              <w:rPr>
                <w:rFonts w:cs="Arial"/>
                <w:sz w:val="12"/>
              </w:rPr>
              <w:t>4</w:t>
            </w:r>
            <w:r w:rsidR="00A722E0">
              <w:rPr>
                <w:rFonts w:ascii="Arial" w:hAnsi="Arial" w:cs="Arial"/>
                <w:b/>
                <w:bCs/>
                <w:sz w:val="12"/>
              </w:rPr>
              <w:t xml:space="preserve"> </w:t>
            </w:r>
            <w:r w:rsidRPr="00A722E0">
              <w:rPr>
                <w:sz w:val="5"/>
                <w:szCs w:val="13"/>
              </w:rPr>
              <w:t xml:space="preserve"> </w:t>
            </w:r>
            <w:r w:rsidRPr="007A4444">
              <w:rPr>
                <w:sz w:val="13"/>
                <w:szCs w:val="13"/>
              </w:rPr>
              <w:t>(</w:t>
            </w:r>
            <w:proofErr w:type="gramEnd"/>
            <w:r w:rsidRPr="007A4444">
              <w:rPr>
                <w:sz w:val="13"/>
                <w:szCs w:val="13"/>
              </w:rPr>
              <w:t>online/print)</w:t>
            </w:r>
          </w:p>
          <w:p w:rsidR="00AB099D" w:rsidRDefault="00AB099D" w:rsidP="00AB099D">
            <w:pPr>
              <w:spacing w:line="230" w:lineRule="auto"/>
              <w:rPr>
                <w:sz w:val="13"/>
                <w:szCs w:val="13"/>
              </w:rPr>
            </w:pPr>
            <w:r w:rsidRPr="007A4444">
              <w:rPr>
                <w:sz w:val="13"/>
                <w:szCs w:val="13"/>
              </w:rPr>
              <w:t xml:space="preserve">Available at </w:t>
            </w:r>
            <w:hyperlink r:id="rId10" w:history="1">
              <w:r w:rsidRPr="002C713F">
                <w:rPr>
                  <w:rStyle w:val="Hyperlink"/>
                  <w:sz w:val="13"/>
                  <w:szCs w:val="13"/>
                </w:rPr>
                <w:t>www.safercare.vic.gov.au</w:t>
              </w:r>
            </w:hyperlink>
          </w:p>
          <w:p w:rsidR="00AB099D" w:rsidRPr="007A4444" w:rsidRDefault="00AB099D" w:rsidP="00AB099D">
            <w:pPr>
              <w:spacing w:line="23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Email criticalcare.clinicalnetwork@safercare.vic.gov.au</w:t>
            </w:r>
          </w:p>
        </w:tc>
        <w:tc>
          <w:tcPr>
            <w:tcW w:w="2693" w:type="dxa"/>
          </w:tcPr>
          <w:p w:rsidR="00AB099D" w:rsidRPr="00736C0C" w:rsidRDefault="00AB099D" w:rsidP="00AB099D">
            <w:pPr>
              <w:rPr>
                <w:szCs w:val="15"/>
              </w:rPr>
            </w:pPr>
            <w:r>
              <w:rPr>
                <w:noProof/>
                <w:szCs w:val="15"/>
              </w:rPr>
              <w:drawing>
                <wp:inline distT="0" distB="0" distL="0" distR="0" wp14:anchorId="0FFEDC07" wp14:editId="3F4BB742">
                  <wp:extent cx="972000" cy="558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tate 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5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E5B" w:rsidRPr="00DF0E5B" w:rsidRDefault="00DF0E5B" w:rsidP="00BC7DFB">
      <w:pPr>
        <w:pStyle w:val="ListParagraph"/>
        <w:numPr>
          <w:ilvl w:val="0"/>
          <w:numId w:val="17"/>
        </w:numPr>
        <w:spacing w:before="60" w:after="60" w:line="240" w:lineRule="auto"/>
        <w:ind w:left="357" w:hanging="357"/>
        <w:contextualSpacing w:val="0"/>
        <w:rPr>
          <w:rFonts w:eastAsia="Times New Roman"/>
          <w:color w:val="222222"/>
          <w:sz w:val="16"/>
          <w:szCs w:val="16"/>
        </w:rPr>
      </w:pPr>
      <w:proofErr w:type="spellStart"/>
      <w:r w:rsidRPr="00DF0E5B">
        <w:rPr>
          <w:rFonts w:eastAsia="Times New Roman"/>
          <w:color w:val="222222"/>
          <w:sz w:val="16"/>
          <w:szCs w:val="16"/>
        </w:rPr>
        <w:t>Aidonidis</w:t>
      </w:r>
      <w:proofErr w:type="spellEnd"/>
      <w:r w:rsidRPr="00DF0E5B">
        <w:rPr>
          <w:rFonts w:eastAsia="Times New Roman"/>
          <w:color w:val="222222"/>
          <w:sz w:val="16"/>
          <w:szCs w:val="16"/>
        </w:rPr>
        <w:t xml:space="preserve"> G, </w:t>
      </w:r>
      <w:proofErr w:type="spellStart"/>
      <w:r w:rsidRPr="00DF0E5B">
        <w:rPr>
          <w:rFonts w:eastAsia="Times New Roman"/>
          <w:color w:val="222222"/>
          <w:sz w:val="16"/>
          <w:szCs w:val="16"/>
        </w:rPr>
        <w:t>Kanonidis</w:t>
      </w:r>
      <w:proofErr w:type="spellEnd"/>
      <w:r w:rsidRPr="00DF0E5B">
        <w:rPr>
          <w:rFonts w:eastAsia="Times New Roman"/>
          <w:color w:val="222222"/>
          <w:sz w:val="16"/>
          <w:szCs w:val="16"/>
        </w:rPr>
        <w:t xml:space="preserve"> I, </w:t>
      </w:r>
      <w:proofErr w:type="spellStart"/>
      <w:r w:rsidRPr="00DF0E5B">
        <w:rPr>
          <w:rFonts w:eastAsia="Times New Roman"/>
          <w:color w:val="222222"/>
          <w:sz w:val="16"/>
          <w:szCs w:val="16"/>
        </w:rPr>
        <w:t>Koutsimanis</w:t>
      </w:r>
      <w:proofErr w:type="spellEnd"/>
      <w:r w:rsidRPr="00DF0E5B">
        <w:rPr>
          <w:rFonts w:eastAsia="Times New Roman"/>
          <w:color w:val="222222"/>
          <w:sz w:val="16"/>
          <w:szCs w:val="16"/>
        </w:rPr>
        <w:t xml:space="preserve"> V, et al. Efficiency and safety of prolonged </w:t>
      </w:r>
      <w:proofErr w:type="spellStart"/>
      <w:r w:rsidRPr="00DF0E5B">
        <w:rPr>
          <w:rFonts w:eastAsia="Times New Roman"/>
          <w:color w:val="222222"/>
          <w:sz w:val="16"/>
          <w:szCs w:val="16"/>
        </w:rPr>
        <w:t>levosimendan</w:t>
      </w:r>
      <w:proofErr w:type="spellEnd"/>
      <w:r w:rsidRPr="00DF0E5B">
        <w:rPr>
          <w:rFonts w:eastAsia="Times New Roman"/>
          <w:color w:val="222222"/>
          <w:sz w:val="16"/>
          <w:szCs w:val="16"/>
        </w:rPr>
        <w:t xml:space="preserve"> infusion in patients with acute heart failure. Cardiology Research and Practice. 2011 31 Mar:342302.</w:t>
      </w:r>
    </w:p>
    <w:p w:rsidR="007A4444" w:rsidRDefault="007A4444" w:rsidP="007A4444">
      <w:pPr>
        <w:pStyle w:val="NoSpacing"/>
        <w:sectPr w:rsidR="007A4444" w:rsidSect="000905F7">
          <w:headerReference w:type="first" r:id="rId12"/>
          <w:pgSz w:w="11906" w:h="16838" w:code="9"/>
          <w:pgMar w:top="2438" w:right="737" w:bottom="680" w:left="737" w:header="539" w:footer="624" w:gutter="0"/>
          <w:cols w:space="284"/>
          <w:titlePg/>
          <w:docGrid w:linePitch="360"/>
        </w:sectPr>
      </w:pPr>
    </w:p>
    <w:p w:rsidR="00897157" w:rsidRDefault="0052657B" w:rsidP="0052657B">
      <w:pPr>
        <w:pStyle w:val="Heading2"/>
      </w:pPr>
      <w:r>
        <w:t>Acknowledgements</w:t>
      </w:r>
    </w:p>
    <w:p w:rsidR="0052657B" w:rsidRPr="0052657B" w:rsidRDefault="0052657B" w:rsidP="0052657B">
      <w:pPr>
        <w:pStyle w:val="Normalfollowingheading"/>
      </w:pPr>
      <w:r w:rsidRPr="0052657B">
        <w:t xml:space="preserve">We would like to thank the pharmacists involved in writing the guidelines: Melissa </w:t>
      </w:r>
      <w:proofErr w:type="spellStart"/>
      <w:r w:rsidRPr="0052657B">
        <w:t>Ankravs</w:t>
      </w:r>
      <w:proofErr w:type="spellEnd"/>
      <w:r w:rsidRPr="0052657B">
        <w:t>, Melanie Kowalski, Rachel Fyfe, Robyn Ingram,</w:t>
      </w:r>
      <w:bookmarkStart w:id="0" w:name="_GoBack"/>
      <w:bookmarkEnd w:id="0"/>
      <w:r w:rsidRPr="0052657B">
        <w:t xml:space="preserve"> </w:t>
      </w:r>
      <w:proofErr w:type="spellStart"/>
      <w:r w:rsidRPr="0052657B">
        <w:t>Annalie</w:t>
      </w:r>
      <w:proofErr w:type="spellEnd"/>
      <w:r w:rsidRPr="0052657B">
        <w:t xml:space="preserve"> Jones, Susan </w:t>
      </w:r>
      <w:proofErr w:type="spellStart"/>
      <w:r w:rsidRPr="0052657B">
        <w:t>Trevillian</w:t>
      </w:r>
      <w:proofErr w:type="spellEnd"/>
      <w:r w:rsidRPr="0052657B">
        <w:t>, and Lucy Sharrock.</w:t>
      </w:r>
    </w:p>
    <w:sectPr w:rsidR="0052657B" w:rsidRPr="0052657B" w:rsidSect="0052657B">
      <w:type w:val="continuous"/>
      <w:pgSz w:w="11906" w:h="16838" w:code="9"/>
      <w:pgMar w:top="2438" w:right="737" w:bottom="680" w:left="737" w:header="539" w:footer="62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97F" w:rsidRDefault="002A797F" w:rsidP="002A797F">
      <w:r>
        <w:separator/>
      </w:r>
    </w:p>
  </w:endnote>
  <w:endnote w:type="continuationSeparator" w:id="0">
    <w:p w:rsidR="002A797F" w:rsidRDefault="002A797F" w:rsidP="002A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rebuchet MS"/>
    <w:charset w:val="00"/>
    <w:family w:val="swiss"/>
    <w:pitch w:val="variable"/>
    <w:sig w:usb0="00000001" w:usb1="5000205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97F" w:rsidRDefault="002A797F" w:rsidP="002A797F"/>
  </w:footnote>
  <w:footnote w:type="continuationSeparator" w:id="0">
    <w:p w:rsidR="002A797F" w:rsidRDefault="002A797F" w:rsidP="002A79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5F7" w:rsidRDefault="000905F7" w:rsidP="002A797F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51C804E" wp14:editId="1173263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22800" cy="1206000"/>
          <wp:effectExtent l="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10791"/>
    <w:multiLevelType w:val="hybridMultilevel"/>
    <w:tmpl w:val="16AC4B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341E0ED3"/>
    <w:multiLevelType w:val="hybridMultilevel"/>
    <w:tmpl w:val="E3C80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700BF"/>
    <w:multiLevelType w:val="hybridMultilevel"/>
    <w:tmpl w:val="9918C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93A12AA"/>
    <w:multiLevelType w:val="multilevel"/>
    <w:tmpl w:val="3DBE2574"/>
    <w:lvl w:ilvl="0">
      <w:start w:val="1"/>
      <w:numFmt w:val="bullet"/>
      <w:pStyle w:val="Bullet1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6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8" w15:restartNumberingAfterBreak="0">
    <w:nsid w:val="461135B8"/>
    <w:multiLevelType w:val="hybridMultilevel"/>
    <w:tmpl w:val="2AA8BC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F3703"/>
    <w:multiLevelType w:val="hybridMultilevel"/>
    <w:tmpl w:val="62085E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972D2"/>
    <w:multiLevelType w:val="hybridMultilevel"/>
    <w:tmpl w:val="7952C3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7ED50557"/>
    <w:multiLevelType w:val="hybridMultilevel"/>
    <w:tmpl w:val="FB603E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13"/>
  </w:num>
  <w:num w:numId="5">
    <w:abstractNumId w:val="1"/>
  </w:num>
  <w:num w:numId="6">
    <w:abstractNumId w:val="6"/>
  </w:num>
  <w:num w:numId="7">
    <w:abstractNumId w:val="11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9"/>
  </w:num>
  <w:num w:numId="13">
    <w:abstractNumId w:val="2"/>
  </w:num>
  <w:num w:numId="14">
    <w:abstractNumId w:val="8"/>
  </w:num>
  <w:num w:numId="15">
    <w:abstractNumId w:val="10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7F"/>
    <w:rsid w:val="00012F6F"/>
    <w:rsid w:val="00014213"/>
    <w:rsid w:val="00014B55"/>
    <w:rsid w:val="00020E3E"/>
    <w:rsid w:val="00023BF3"/>
    <w:rsid w:val="00026811"/>
    <w:rsid w:val="0004185E"/>
    <w:rsid w:val="00053181"/>
    <w:rsid w:val="00056988"/>
    <w:rsid w:val="00064E2D"/>
    <w:rsid w:val="00072279"/>
    <w:rsid w:val="00073407"/>
    <w:rsid w:val="00075E6C"/>
    <w:rsid w:val="00081C12"/>
    <w:rsid w:val="00087D42"/>
    <w:rsid w:val="000905F7"/>
    <w:rsid w:val="000B29AD"/>
    <w:rsid w:val="000C6372"/>
    <w:rsid w:val="000D7841"/>
    <w:rsid w:val="000E392D"/>
    <w:rsid w:val="000E39B6"/>
    <w:rsid w:val="000E3D05"/>
    <w:rsid w:val="000F4288"/>
    <w:rsid w:val="000F7165"/>
    <w:rsid w:val="00102379"/>
    <w:rsid w:val="00103722"/>
    <w:rsid w:val="001065D6"/>
    <w:rsid w:val="001068D5"/>
    <w:rsid w:val="00121252"/>
    <w:rsid w:val="00124609"/>
    <w:rsid w:val="001254CE"/>
    <w:rsid w:val="0013637A"/>
    <w:rsid w:val="001422CC"/>
    <w:rsid w:val="00145346"/>
    <w:rsid w:val="00155FB0"/>
    <w:rsid w:val="001617B6"/>
    <w:rsid w:val="00165E66"/>
    <w:rsid w:val="00196143"/>
    <w:rsid w:val="001A24FC"/>
    <w:rsid w:val="001C6993"/>
    <w:rsid w:val="001C7BAE"/>
    <w:rsid w:val="001E31FA"/>
    <w:rsid w:val="001E48F9"/>
    <w:rsid w:val="001E64F6"/>
    <w:rsid w:val="001E698F"/>
    <w:rsid w:val="001E7AEB"/>
    <w:rsid w:val="00204B82"/>
    <w:rsid w:val="00212987"/>
    <w:rsid w:val="00222BEB"/>
    <w:rsid w:val="00225E60"/>
    <w:rsid w:val="00230BBB"/>
    <w:rsid w:val="0023202C"/>
    <w:rsid w:val="00234619"/>
    <w:rsid w:val="00235BE2"/>
    <w:rsid w:val="00245043"/>
    <w:rsid w:val="0025110D"/>
    <w:rsid w:val="0026028E"/>
    <w:rsid w:val="00284FA2"/>
    <w:rsid w:val="00292213"/>
    <w:rsid w:val="00292D36"/>
    <w:rsid w:val="00294A5A"/>
    <w:rsid w:val="00297281"/>
    <w:rsid w:val="00297A47"/>
    <w:rsid w:val="002A5891"/>
    <w:rsid w:val="002A797F"/>
    <w:rsid w:val="002B03F1"/>
    <w:rsid w:val="002B5C34"/>
    <w:rsid w:val="002B5E2B"/>
    <w:rsid w:val="002B6DAA"/>
    <w:rsid w:val="002C0C5B"/>
    <w:rsid w:val="002D70F7"/>
    <w:rsid w:val="002D711A"/>
    <w:rsid w:val="002D7336"/>
    <w:rsid w:val="002E3396"/>
    <w:rsid w:val="002E6454"/>
    <w:rsid w:val="002F0B22"/>
    <w:rsid w:val="002F2953"/>
    <w:rsid w:val="0031149C"/>
    <w:rsid w:val="0036778F"/>
    <w:rsid w:val="0038771C"/>
    <w:rsid w:val="003A430B"/>
    <w:rsid w:val="003A541A"/>
    <w:rsid w:val="003A6923"/>
    <w:rsid w:val="003C2C67"/>
    <w:rsid w:val="003C2D4C"/>
    <w:rsid w:val="003C3B3A"/>
    <w:rsid w:val="003C5BA4"/>
    <w:rsid w:val="003E3E26"/>
    <w:rsid w:val="003F1295"/>
    <w:rsid w:val="003F5102"/>
    <w:rsid w:val="003F76FC"/>
    <w:rsid w:val="004002EB"/>
    <w:rsid w:val="00407A79"/>
    <w:rsid w:val="00422DDC"/>
    <w:rsid w:val="004231B5"/>
    <w:rsid w:val="004236C8"/>
    <w:rsid w:val="00427681"/>
    <w:rsid w:val="00433DB7"/>
    <w:rsid w:val="0045347E"/>
    <w:rsid w:val="00453750"/>
    <w:rsid w:val="00456941"/>
    <w:rsid w:val="00460BD5"/>
    <w:rsid w:val="004702EA"/>
    <w:rsid w:val="0048259C"/>
    <w:rsid w:val="00482D02"/>
    <w:rsid w:val="00484326"/>
    <w:rsid w:val="00490369"/>
    <w:rsid w:val="004A7519"/>
    <w:rsid w:val="004B64B1"/>
    <w:rsid w:val="004D01AC"/>
    <w:rsid w:val="004D3518"/>
    <w:rsid w:val="004D62D6"/>
    <w:rsid w:val="004D6898"/>
    <w:rsid w:val="004F3F4E"/>
    <w:rsid w:val="00510167"/>
    <w:rsid w:val="00513E86"/>
    <w:rsid w:val="0052657B"/>
    <w:rsid w:val="005306A2"/>
    <w:rsid w:val="0053416C"/>
    <w:rsid w:val="00541C2F"/>
    <w:rsid w:val="00552DE4"/>
    <w:rsid w:val="00563527"/>
    <w:rsid w:val="00567B1F"/>
    <w:rsid w:val="0057407A"/>
    <w:rsid w:val="0058124E"/>
    <w:rsid w:val="005875A3"/>
    <w:rsid w:val="00593129"/>
    <w:rsid w:val="005953EA"/>
    <w:rsid w:val="005A3416"/>
    <w:rsid w:val="005B061F"/>
    <w:rsid w:val="005B27FE"/>
    <w:rsid w:val="005B76DF"/>
    <w:rsid w:val="005B79CB"/>
    <w:rsid w:val="005E08D7"/>
    <w:rsid w:val="005E4C16"/>
    <w:rsid w:val="005E5947"/>
    <w:rsid w:val="005F61DF"/>
    <w:rsid w:val="0060163A"/>
    <w:rsid w:val="006023F9"/>
    <w:rsid w:val="00610559"/>
    <w:rsid w:val="00614076"/>
    <w:rsid w:val="00632F2E"/>
    <w:rsid w:val="006332F6"/>
    <w:rsid w:val="006413F2"/>
    <w:rsid w:val="006534B2"/>
    <w:rsid w:val="0065615D"/>
    <w:rsid w:val="00657011"/>
    <w:rsid w:val="006650B5"/>
    <w:rsid w:val="006651B1"/>
    <w:rsid w:val="00665778"/>
    <w:rsid w:val="00676E5F"/>
    <w:rsid w:val="00680577"/>
    <w:rsid w:val="006945CA"/>
    <w:rsid w:val="006A3309"/>
    <w:rsid w:val="006A3A5A"/>
    <w:rsid w:val="006A5B34"/>
    <w:rsid w:val="006C77A9"/>
    <w:rsid w:val="006D4720"/>
    <w:rsid w:val="006E6CDF"/>
    <w:rsid w:val="006F37F2"/>
    <w:rsid w:val="006F6693"/>
    <w:rsid w:val="00707FE8"/>
    <w:rsid w:val="00714AAE"/>
    <w:rsid w:val="00724962"/>
    <w:rsid w:val="00724A0F"/>
    <w:rsid w:val="00726D2F"/>
    <w:rsid w:val="00736732"/>
    <w:rsid w:val="00740019"/>
    <w:rsid w:val="00746426"/>
    <w:rsid w:val="00750BF9"/>
    <w:rsid w:val="00750CBE"/>
    <w:rsid w:val="007650D2"/>
    <w:rsid w:val="00766B5A"/>
    <w:rsid w:val="00772209"/>
    <w:rsid w:val="007770A5"/>
    <w:rsid w:val="007834F2"/>
    <w:rsid w:val="00791020"/>
    <w:rsid w:val="007A04D2"/>
    <w:rsid w:val="007A4444"/>
    <w:rsid w:val="007A5F82"/>
    <w:rsid w:val="007D5F9E"/>
    <w:rsid w:val="007E098F"/>
    <w:rsid w:val="007E3BA2"/>
    <w:rsid w:val="007E6F9B"/>
    <w:rsid w:val="007F1A4C"/>
    <w:rsid w:val="007F723F"/>
    <w:rsid w:val="008022C3"/>
    <w:rsid w:val="008041E6"/>
    <w:rsid w:val="008065D2"/>
    <w:rsid w:val="00815A8A"/>
    <w:rsid w:val="0082194C"/>
    <w:rsid w:val="008222FF"/>
    <w:rsid w:val="008241FF"/>
    <w:rsid w:val="008411E9"/>
    <w:rsid w:val="00841617"/>
    <w:rsid w:val="0084200F"/>
    <w:rsid w:val="00843B2C"/>
    <w:rsid w:val="00844F16"/>
    <w:rsid w:val="00855FF9"/>
    <w:rsid w:val="0086277A"/>
    <w:rsid w:val="008668A8"/>
    <w:rsid w:val="008703D8"/>
    <w:rsid w:val="008768AD"/>
    <w:rsid w:val="00880AC4"/>
    <w:rsid w:val="008816EE"/>
    <w:rsid w:val="00897157"/>
    <w:rsid w:val="00897447"/>
    <w:rsid w:val="008A4900"/>
    <w:rsid w:val="008A55FE"/>
    <w:rsid w:val="008A58D2"/>
    <w:rsid w:val="008B146D"/>
    <w:rsid w:val="008B42AD"/>
    <w:rsid w:val="008B5666"/>
    <w:rsid w:val="008C2C15"/>
    <w:rsid w:val="008D0281"/>
    <w:rsid w:val="008E2348"/>
    <w:rsid w:val="008F6D45"/>
    <w:rsid w:val="00916AD5"/>
    <w:rsid w:val="00922944"/>
    <w:rsid w:val="00936479"/>
    <w:rsid w:val="00937A10"/>
    <w:rsid w:val="00953A2C"/>
    <w:rsid w:val="00966115"/>
    <w:rsid w:val="009834C0"/>
    <w:rsid w:val="00986AAC"/>
    <w:rsid w:val="00995526"/>
    <w:rsid w:val="009A1DA2"/>
    <w:rsid w:val="009A3704"/>
    <w:rsid w:val="009A4739"/>
    <w:rsid w:val="009A674F"/>
    <w:rsid w:val="009A6D22"/>
    <w:rsid w:val="009B199C"/>
    <w:rsid w:val="009B61F1"/>
    <w:rsid w:val="009B62E0"/>
    <w:rsid w:val="009C3D88"/>
    <w:rsid w:val="009E1651"/>
    <w:rsid w:val="009E3858"/>
    <w:rsid w:val="009E467D"/>
    <w:rsid w:val="009E70DD"/>
    <w:rsid w:val="009F2ED9"/>
    <w:rsid w:val="009F3231"/>
    <w:rsid w:val="009F5C58"/>
    <w:rsid w:val="00A023A0"/>
    <w:rsid w:val="00A05EBC"/>
    <w:rsid w:val="00A1562B"/>
    <w:rsid w:val="00A170F4"/>
    <w:rsid w:val="00A21408"/>
    <w:rsid w:val="00A21CFD"/>
    <w:rsid w:val="00A25B78"/>
    <w:rsid w:val="00A46288"/>
    <w:rsid w:val="00A46BA8"/>
    <w:rsid w:val="00A47634"/>
    <w:rsid w:val="00A612FE"/>
    <w:rsid w:val="00A70B49"/>
    <w:rsid w:val="00A722E0"/>
    <w:rsid w:val="00A8014A"/>
    <w:rsid w:val="00A92D94"/>
    <w:rsid w:val="00AA26B8"/>
    <w:rsid w:val="00AB099D"/>
    <w:rsid w:val="00AC0B87"/>
    <w:rsid w:val="00AC2624"/>
    <w:rsid w:val="00AC32A8"/>
    <w:rsid w:val="00AC6A9B"/>
    <w:rsid w:val="00AD7E4E"/>
    <w:rsid w:val="00AF4D58"/>
    <w:rsid w:val="00AF6666"/>
    <w:rsid w:val="00AF7BC5"/>
    <w:rsid w:val="00B81B44"/>
    <w:rsid w:val="00B9053B"/>
    <w:rsid w:val="00BA0C37"/>
    <w:rsid w:val="00BA3782"/>
    <w:rsid w:val="00BB4D98"/>
    <w:rsid w:val="00BB4EBF"/>
    <w:rsid w:val="00BB59E0"/>
    <w:rsid w:val="00BC3422"/>
    <w:rsid w:val="00BC6E19"/>
    <w:rsid w:val="00BC7DFB"/>
    <w:rsid w:val="00BD11C2"/>
    <w:rsid w:val="00BD5018"/>
    <w:rsid w:val="00BE5ADC"/>
    <w:rsid w:val="00BF4F96"/>
    <w:rsid w:val="00C015B9"/>
    <w:rsid w:val="00C022F9"/>
    <w:rsid w:val="00C032EA"/>
    <w:rsid w:val="00C06EB5"/>
    <w:rsid w:val="00C1145F"/>
    <w:rsid w:val="00C11CD1"/>
    <w:rsid w:val="00C32D49"/>
    <w:rsid w:val="00C33AD3"/>
    <w:rsid w:val="00C35D53"/>
    <w:rsid w:val="00C41B3C"/>
    <w:rsid w:val="00C43F06"/>
    <w:rsid w:val="00C45B3D"/>
    <w:rsid w:val="00C51C01"/>
    <w:rsid w:val="00C637E1"/>
    <w:rsid w:val="00C67EAC"/>
    <w:rsid w:val="00C70D50"/>
    <w:rsid w:val="00C72252"/>
    <w:rsid w:val="00C907D7"/>
    <w:rsid w:val="00C92338"/>
    <w:rsid w:val="00CA05DC"/>
    <w:rsid w:val="00CA7B47"/>
    <w:rsid w:val="00CB3976"/>
    <w:rsid w:val="00CC4925"/>
    <w:rsid w:val="00CD0307"/>
    <w:rsid w:val="00CD3C79"/>
    <w:rsid w:val="00CD3D1B"/>
    <w:rsid w:val="00D02663"/>
    <w:rsid w:val="00D0633E"/>
    <w:rsid w:val="00D12E74"/>
    <w:rsid w:val="00D2312F"/>
    <w:rsid w:val="00D23B04"/>
    <w:rsid w:val="00D269C1"/>
    <w:rsid w:val="00D41230"/>
    <w:rsid w:val="00D41B2F"/>
    <w:rsid w:val="00D44953"/>
    <w:rsid w:val="00D542F3"/>
    <w:rsid w:val="00D54513"/>
    <w:rsid w:val="00D54AAE"/>
    <w:rsid w:val="00D5644B"/>
    <w:rsid w:val="00D56E25"/>
    <w:rsid w:val="00D57E89"/>
    <w:rsid w:val="00D6560D"/>
    <w:rsid w:val="00D65D77"/>
    <w:rsid w:val="00D718D7"/>
    <w:rsid w:val="00D814B7"/>
    <w:rsid w:val="00D90688"/>
    <w:rsid w:val="00DA3AAD"/>
    <w:rsid w:val="00DA3F36"/>
    <w:rsid w:val="00DB312B"/>
    <w:rsid w:val="00DC5654"/>
    <w:rsid w:val="00DC658F"/>
    <w:rsid w:val="00DC674A"/>
    <w:rsid w:val="00DE60CC"/>
    <w:rsid w:val="00DF0E5B"/>
    <w:rsid w:val="00E03F35"/>
    <w:rsid w:val="00E26B32"/>
    <w:rsid w:val="00E31CD4"/>
    <w:rsid w:val="00E31E60"/>
    <w:rsid w:val="00E33E08"/>
    <w:rsid w:val="00E407B6"/>
    <w:rsid w:val="00E41EF1"/>
    <w:rsid w:val="00E42942"/>
    <w:rsid w:val="00E65A0A"/>
    <w:rsid w:val="00E71BDF"/>
    <w:rsid w:val="00E75CCB"/>
    <w:rsid w:val="00E8245B"/>
    <w:rsid w:val="00E82C21"/>
    <w:rsid w:val="00E82F59"/>
    <w:rsid w:val="00E83CA7"/>
    <w:rsid w:val="00E92192"/>
    <w:rsid w:val="00E95A71"/>
    <w:rsid w:val="00EB7014"/>
    <w:rsid w:val="00EC5CDE"/>
    <w:rsid w:val="00EC7F2A"/>
    <w:rsid w:val="00ED3077"/>
    <w:rsid w:val="00ED487E"/>
    <w:rsid w:val="00ED64F1"/>
    <w:rsid w:val="00EE33A1"/>
    <w:rsid w:val="00EE7A0D"/>
    <w:rsid w:val="00F0222C"/>
    <w:rsid w:val="00F06647"/>
    <w:rsid w:val="00F12312"/>
    <w:rsid w:val="00F17CE1"/>
    <w:rsid w:val="00F2115C"/>
    <w:rsid w:val="00F22ABA"/>
    <w:rsid w:val="00F25919"/>
    <w:rsid w:val="00F25F4B"/>
    <w:rsid w:val="00F27C9D"/>
    <w:rsid w:val="00F36B12"/>
    <w:rsid w:val="00F51E5C"/>
    <w:rsid w:val="00F60F9F"/>
    <w:rsid w:val="00F61246"/>
    <w:rsid w:val="00F64F08"/>
    <w:rsid w:val="00F70055"/>
    <w:rsid w:val="00F734F5"/>
    <w:rsid w:val="00F73B5B"/>
    <w:rsid w:val="00F90EA5"/>
    <w:rsid w:val="00F91F5A"/>
    <w:rsid w:val="00F966B1"/>
    <w:rsid w:val="00F97D48"/>
    <w:rsid w:val="00FA0311"/>
    <w:rsid w:val="00FA1489"/>
    <w:rsid w:val="00FA16AC"/>
    <w:rsid w:val="00FD50F0"/>
    <w:rsid w:val="00FD640F"/>
    <w:rsid w:val="00FD6B4C"/>
    <w:rsid w:val="00FE04C6"/>
    <w:rsid w:val="00FE0553"/>
    <w:rsid w:val="00FE25D0"/>
    <w:rsid w:val="00FE6CB3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9E729F8"/>
  <w15:docId w15:val="{D3A09D24-CAB5-4BFD-880A-FDC286D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7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Subtle Reference" w:qFormat="1"/>
    <w:lsdException w:name="Intense Reference" w:semiHidden="1"/>
    <w:lsdException w:name="Book Title" w:semiHidden="1" w:uiPriority="33" w:qFormat="1"/>
    <w:lsdException w:name="Bibliography" w:semiHidden="1" w:unhideWhenUsed="1"/>
    <w:lsdException w:name="TOC Heading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2A797F"/>
    <w:rPr>
      <w:rFonts w:ascii="VIC" w:hAnsi="VIC" w:cstheme="majorHAnsi"/>
    </w:rPr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A797F"/>
    <w:pPr>
      <w:keepNext/>
      <w:keepLines/>
      <w:spacing w:before="280" w:after="60" w:line="240" w:lineRule="auto"/>
      <w:outlineLvl w:val="1"/>
    </w:pPr>
    <w:rPr>
      <w:rFonts w:ascii="VIC SemiBold" w:eastAsiaTheme="majorEastAsia" w:hAnsi="VIC SemiBold" w:cstheme="majorBidi"/>
      <w:bCs/>
      <w:caps/>
      <w:color w:val="007586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567B1F"/>
    <w:pPr>
      <w:keepNext/>
      <w:keepLines/>
      <w:spacing w:before="240" w:after="50" w:line="240" w:lineRule="auto"/>
      <w:outlineLvl w:val="2"/>
    </w:pPr>
    <w:rPr>
      <w:rFonts w:ascii="VIC SemiBold" w:eastAsiaTheme="majorEastAsia" w:hAnsi="VIC SemiBold" w:cstheme="majorBidi"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80808B" w:themeColor="accent5"/>
        <w:bottom w:val="single" w:sz="2" w:space="0" w:color="80808B" w:themeColor="accent5"/>
        <w:insideH w:val="single" w:sz="2" w:space="0" w:color="80808B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CCD0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7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2A797F"/>
    <w:rPr>
      <w:rFonts w:ascii="VIC SemiBold" w:eastAsiaTheme="majorEastAsia" w:hAnsi="VIC SemiBold" w:cstheme="majorBidi"/>
      <w:bCs/>
      <w:caps/>
      <w:color w:val="007586" w:themeColor="text2"/>
      <w:sz w:val="24"/>
      <w:szCs w:val="26"/>
    </w:rPr>
  </w:style>
  <w:style w:type="paragraph" w:customStyle="1" w:styleId="Bullet1">
    <w:name w:val="Bullet 1"/>
    <w:uiPriority w:val="1"/>
    <w:qFormat/>
    <w:rsid w:val="00292213"/>
    <w:pPr>
      <w:numPr>
        <w:numId w:val="9"/>
      </w:numPr>
      <w:spacing w:before="60" w:after="60"/>
    </w:pPr>
    <w:rPr>
      <w:rFonts w:ascii="VIC" w:eastAsia="Times New Roman" w:hAnsi="VIC" w:cs="Calibri"/>
    </w:rPr>
  </w:style>
  <w:style w:type="paragraph" w:customStyle="1" w:styleId="Bullet2">
    <w:name w:val="Bullet 2"/>
    <w:basedOn w:val="Bullet1"/>
    <w:uiPriority w:val="1"/>
    <w:qFormat/>
    <w:rsid w:val="00294A5A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567B1F"/>
    <w:rPr>
      <w:rFonts w:ascii="VIC SemiBold" w:eastAsiaTheme="majorEastAsia" w:hAnsi="VIC SemiBold" w:cstheme="majorBidi"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"/>
    <w:uiPriority w:val="1"/>
    <w:qFormat/>
    <w:rsid w:val="009B62E0"/>
    <w:pPr>
      <w:spacing w:line="252" w:lineRule="auto"/>
      <w:ind w:left="792"/>
    </w:p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A4444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A4444"/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A05EBC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</w:rPr>
      <w:tblPr/>
      <w:tcPr>
        <w:shd w:val="clear" w:color="auto" w:fill="AD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paragraph" w:customStyle="1" w:styleId="Tabletext">
    <w:name w:val="Table text"/>
    <w:basedOn w:val="Normal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7586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34"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</w:rPr>
      <w:tblPr/>
      <w:tcPr>
        <w:shd w:val="clear" w:color="auto" w:fill="CCE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</w:rPr>
      <w:tblPr/>
      <w:tcPr>
        <w:shd w:val="clear" w:color="auto" w:fill="E5F1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1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7586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7586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A797F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EC6" w:themeFill="accent3" w:themeFillShade="CC"/>
      </w:tcPr>
    </w:tblStylePr>
    <w:tblStylePr w:type="lastRow">
      <w:rPr>
        <w:b/>
        <w:bCs/>
        <w:color w:val="86BEC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A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A62" w:themeColor="accent1" w:themeShade="99"/>
          <w:insideV w:val="nil"/>
        </w:tcBorders>
        <w:shd w:val="clear" w:color="auto" w:fill="265A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A62" w:themeFill="accent1" w:themeFillShade="99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99D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98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983" w:themeColor="accent2" w:themeShade="99"/>
          <w:insideV w:val="nil"/>
        </w:tcBorders>
        <w:shd w:val="clear" w:color="auto" w:fill="3E798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983" w:themeFill="accent2" w:themeFillShade="99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BFDC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FA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FA9" w:themeColor="accent3" w:themeShade="99"/>
          <w:insideV w:val="nil"/>
        </w:tcBorders>
        <w:shd w:val="clear" w:color="auto" w:fill="4F9FA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FA9" w:themeFill="accent3" w:themeFillShade="99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DE1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B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717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65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98A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848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B7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customStyle="1" w:styleId="GridTable1Light1">
    <w:name w:val="Grid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D9DF" w:themeColor="accent1" w:themeTint="66"/>
        <w:left w:val="single" w:sz="4" w:space="0" w:color="ADD9DF" w:themeColor="accent1" w:themeTint="66"/>
        <w:bottom w:val="single" w:sz="4" w:space="0" w:color="ADD9DF" w:themeColor="accent1" w:themeTint="66"/>
        <w:right w:val="single" w:sz="4" w:space="0" w:color="ADD9DF" w:themeColor="accent1" w:themeTint="66"/>
        <w:insideH w:val="single" w:sz="4" w:space="0" w:color="ADD9DF" w:themeColor="accent1" w:themeTint="66"/>
        <w:insideV w:val="single" w:sz="4" w:space="0" w:color="AD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E3E7" w:themeColor="accent2" w:themeTint="66"/>
        <w:left w:val="single" w:sz="4" w:space="0" w:color="CCE3E7" w:themeColor="accent2" w:themeTint="66"/>
        <w:bottom w:val="single" w:sz="4" w:space="0" w:color="CCE3E7" w:themeColor="accent2" w:themeTint="66"/>
        <w:right w:val="single" w:sz="4" w:space="0" w:color="CCE3E7" w:themeColor="accent2" w:themeTint="66"/>
        <w:insideH w:val="single" w:sz="4" w:space="0" w:color="CCE3E7" w:themeColor="accent2" w:themeTint="66"/>
        <w:insideV w:val="single" w:sz="4" w:space="0" w:color="CCE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F1F3" w:themeColor="accent3" w:themeTint="66"/>
        <w:left w:val="single" w:sz="4" w:space="0" w:color="E5F1F3" w:themeColor="accent3" w:themeTint="66"/>
        <w:bottom w:val="single" w:sz="4" w:space="0" w:color="E5F1F3" w:themeColor="accent3" w:themeTint="66"/>
        <w:right w:val="single" w:sz="4" w:space="0" w:color="E5F1F3" w:themeColor="accent3" w:themeTint="66"/>
        <w:insideH w:val="single" w:sz="4" w:space="0" w:color="E5F1F3" w:themeColor="accent3" w:themeTint="66"/>
        <w:insideV w:val="single" w:sz="4" w:space="0" w:color="E5F1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5C6CF" w:themeColor="accent1" w:themeTint="99"/>
        <w:bottom w:val="single" w:sz="2" w:space="0" w:color="85C6CF" w:themeColor="accent1" w:themeTint="99"/>
        <w:insideH w:val="single" w:sz="2" w:space="0" w:color="85C6CF" w:themeColor="accent1" w:themeTint="99"/>
        <w:insideV w:val="single" w:sz="2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6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5DB" w:themeColor="accent2" w:themeTint="99"/>
        <w:bottom w:val="single" w:sz="2" w:space="0" w:color="B2D5DB" w:themeColor="accent2" w:themeTint="99"/>
        <w:insideH w:val="single" w:sz="2" w:space="0" w:color="B2D5DB" w:themeColor="accent2" w:themeTint="99"/>
        <w:insideV w:val="single" w:sz="2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AED" w:themeColor="accent3" w:themeTint="99"/>
        <w:bottom w:val="single" w:sz="2" w:space="0" w:color="D8EAED" w:themeColor="accent3" w:themeTint="99"/>
        <w:insideH w:val="single" w:sz="2" w:space="0" w:color="D8EAED" w:themeColor="accent3" w:themeTint="99"/>
        <w:insideV w:val="single" w:sz="2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A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ADD9D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CCE3E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E5F1F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1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  <w:shd w:val="clear" w:color="auto" w:fill="CCE7EB" w:themeFill="accent1" w:themeFillTint="3F"/>
      </w:tcPr>
    </w:tblStylePr>
    <w:tblStylePr w:type="band2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1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  <w:shd w:val="clear" w:color="auto" w:fill="DFEDF0" w:themeFill="accent2" w:themeFillTint="3F"/>
      </w:tcPr>
    </w:tblStylePr>
    <w:tblStylePr w:type="band2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1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  <w:shd w:val="clear" w:color="auto" w:fill="EFF6F7" w:themeFill="accent3" w:themeFillTint="3F"/>
      </w:tcPr>
    </w:tblStylePr>
    <w:tblStylePr w:type="band2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bottom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bottom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bottom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98A4" w:themeColor="accent1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98A4" w:themeColor="accent1"/>
          <w:right w:val="single" w:sz="4" w:space="0" w:color="4098A4" w:themeColor="accent1"/>
        </w:tcBorders>
      </w:tcPr>
    </w:tblStylePr>
    <w:tblStylePr w:type="band1Horz">
      <w:tblPr/>
      <w:tcPr>
        <w:tcBorders>
          <w:top w:val="single" w:sz="4" w:space="0" w:color="4098A4" w:themeColor="accent1"/>
          <w:bottom w:val="single" w:sz="4" w:space="0" w:color="4098A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98A4" w:themeColor="accent1"/>
          <w:left w:val="nil"/>
        </w:tcBorders>
      </w:tcPr>
    </w:tblStylePr>
    <w:tblStylePr w:type="swCell">
      <w:tblPr/>
      <w:tcPr>
        <w:tcBorders>
          <w:top w:val="double" w:sz="4" w:space="0" w:color="4098A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AC3" w:themeColor="accent2"/>
          <w:right w:val="single" w:sz="4" w:space="0" w:color="80BAC3" w:themeColor="accent2"/>
        </w:tcBorders>
      </w:tcPr>
    </w:tblStylePr>
    <w:tblStylePr w:type="band1Horz">
      <w:tblPr/>
      <w:tcPr>
        <w:tcBorders>
          <w:top w:val="single" w:sz="4" w:space="0" w:color="80BAC3" w:themeColor="accent2"/>
          <w:bottom w:val="single" w:sz="4" w:space="0" w:color="80BA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AC3" w:themeColor="accent2"/>
          <w:left w:val="nil"/>
        </w:tcBorders>
      </w:tcPr>
    </w:tblStylePr>
    <w:tblStylePr w:type="swCell">
      <w:tblPr/>
      <w:tcPr>
        <w:tcBorders>
          <w:top w:val="double" w:sz="4" w:space="0" w:color="80BAC3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DE1" w:themeColor="accent3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DE1" w:themeColor="accent3"/>
          <w:right w:val="single" w:sz="4" w:space="0" w:color="BFDDE1" w:themeColor="accent3"/>
        </w:tcBorders>
      </w:tcPr>
    </w:tblStylePr>
    <w:tblStylePr w:type="band1Horz">
      <w:tblPr/>
      <w:tcPr>
        <w:tcBorders>
          <w:top w:val="single" w:sz="4" w:space="0" w:color="BFDDE1" w:themeColor="accent3"/>
          <w:bottom w:val="single" w:sz="4" w:space="0" w:color="BFDD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DE1" w:themeColor="accent3"/>
          <w:left w:val="nil"/>
        </w:tcBorders>
      </w:tcPr>
    </w:tblStylePr>
    <w:tblStylePr w:type="swCell">
      <w:tblPr/>
      <w:tcPr>
        <w:tcBorders>
          <w:top w:val="double" w:sz="4" w:space="0" w:color="BFDDE1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98A4" w:themeColor="accent1"/>
        <w:left w:val="single" w:sz="24" w:space="0" w:color="4098A4" w:themeColor="accent1"/>
        <w:bottom w:val="single" w:sz="24" w:space="0" w:color="4098A4" w:themeColor="accent1"/>
        <w:right w:val="single" w:sz="24" w:space="0" w:color="4098A4" w:themeColor="accent1"/>
      </w:tblBorders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AC3" w:themeColor="accent2"/>
        <w:left w:val="single" w:sz="24" w:space="0" w:color="80BAC3" w:themeColor="accent2"/>
        <w:bottom w:val="single" w:sz="24" w:space="0" w:color="80BAC3" w:themeColor="accent2"/>
        <w:right w:val="single" w:sz="24" w:space="0" w:color="80BAC3" w:themeColor="accent2"/>
      </w:tblBorders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DE1" w:themeColor="accent3"/>
        <w:left w:val="single" w:sz="24" w:space="0" w:color="BFDDE1" w:themeColor="accent3"/>
        <w:bottom w:val="single" w:sz="24" w:space="0" w:color="BFDDE1" w:themeColor="accent3"/>
        <w:right w:val="single" w:sz="24" w:space="0" w:color="BFDDE1" w:themeColor="accent3"/>
      </w:tblBorders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4098A4" w:themeColor="accent1"/>
        <w:bottom w:val="single" w:sz="4" w:space="0" w:color="4098A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98A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80BAC3" w:themeColor="accent2"/>
        <w:bottom w:val="single" w:sz="4" w:space="0" w:color="80BA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A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BFDDE1" w:themeColor="accent3"/>
        <w:bottom w:val="single" w:sz="4" w:space="0" w:color="BFDD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D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98A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98A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98A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98A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A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A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A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A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D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D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D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D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  <w:insideV w:val="single" w:sz="8" w:space="0" w:color="66B8C3" w:themeColor="accent1" w:themeTint="BF"/>
      </w:tblBorders>
    </w:tblPr>
    <w:tcPr>
      <w:shd w:val="clear" w:color="auto" w:fill="CC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8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  <w:insideV w:val="single" w:sz="8" w:space="0" w:color="9FCBD2" w:themeColor="accent2" w:themeTint="BF"/>
      </w:tblBorders>
    </w:tblPr>
    <w:tcPr>
      <w:shd w:val="clear" w:color="auto" w:fill="DFED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B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  <w:insideV w:val="single" w:sz="8" w:space="0" w:color="CEE5E8" w:themeColor="accent3" w:themeTint="BF"/>
      </w:tblBorders>
    </w:tblPr>
    <w:tcPr>
      <w:shd w:val="clear" w:color="auto" w:fill="EFF6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5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cPr>
      <w:shd w:val="clear" w:color="auto" w:fill="CC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CEF" w:themeFill="accent1" w:themeFillTint="33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tcBorders>
          <w:insideH w:val="single" w:sz="6" w:space="0" w:color="4098A4" w:themeColor="accent1"/>
          <w:insideV w:val="single" w:sz="6" w:space="0" w:color="4098A4" w:themeColor="accent1"/>
        </w:tcBorders>
        <w:shd w:val="clear" w:color="auto" w:fill="99D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cPr>
      <w:shd w:val="clear" w:color="auto" w:fill="DFED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3" w:themeFill="accent2" w:themeFillTint="33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tcBorders>
          <w:insideH w:val="single" w:sz="6" w:space="0" w:color="80BAC3" w:themeColor="accent2"/>
          <w:insideV w:val="single" w:sz="6" w:space="0" w:color="80BAC3" w:themeColor="accent2"/>
        </w:tcBorders>
        <w:shd w:val="clear" w:color="auto" w:fill="BFDC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cPr>
      <w:shd w:val="clear" w:color="auto" w:fill="EFF6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9" w:themeFill="accent3" w:themeFillTint="33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tcBorders>
          <w:insideH w:val="single" w:sz="6" w:space="0" w:color="BFDDE1" w:themeColor="accent3"/>
          <w:insideV w:val="single" w:sz="6" w:space="0" w:color="BFDDE1" w:themeColor="accent3"/>
        </w:tcBorders>
        <w:shd w:val="clear" w:color="auto" w:fill="DFEE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D0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D0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D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C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CE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98A4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shd w:val="clear" w:color="auto" w:fill="CC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AC3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shd w:val="clear" w:color="auto" w:fill="DFED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DE1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shd w:val="clear" w:color="auto" w:fill="EFF6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98A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98A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98A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98A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AC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A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A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D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DE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D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D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7E098F"/>
    <w:pPr>
      <w:spacing w:before="100" w:after="100"/>
    </w:pPr>
    <w:rPr>
      <w:color w:val="007586" w:themeColor="text2"/>
    </w:rPr>
  </w:style>
  <w:style w:type="paragraph" w:customStyle="1" w:styleId="PulloutHeading">
    <w:name w:val="Pullout Heading"/>
    <w:basedOn w:val="PulloutText"/>
    <w:next w:val="PulloutText"/>
    <w:uiPriority w:val="1"/>
    <w:qFormat/>
    <w:rsid w:val="007E098F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paragraph" w:customStyle="1" w:styleId="Body">
    <w:name w:val="Body"/>
    <w:basedOn w:val="Normal"/>
    <w:uiPriority w:val="99"/>
    <w:rsid w:val="002A797F"/>
    <w:pPr>
      <w:suppressAutoHyphens/>
      <w:autoSpaceDE w:val="0"/>
      <w:autoSpaceDN w:val="0"/>
      <w:adjustRightInd w:val="0"/>
      <w:spacing w:before="0" w:after="170" w:line="260" w:lineRule="atLeast"/>
      <w:textAlignment w:val="center"/>
    </w:pPr>
    <w:rPr>
      <w:rFonts w:ascii="Raleway" w:eastAsiaTheme="minorHAnsi" w:hAnsi="Raleway" w:cs="Raleway"/>
      <w:color w:val="000000"/>
      <w:lang w:val="en-GB" w:eastAsia="en-US"/>
    </w:rPr>
  </w:style>
  <w:style w:type="character" w:styleId="BookTitle">
    <w:name w:val="Book Title"/>
    <w:aliases w:val="Dot points"/>
    <w:uiPriority w:val="33"/>
    <w:qFormat/>
    <w:rsid w:val="002A797F"/>
  </w:style>
  <w:style w:type="paragraph" w:customStyle="1" w:styleId="Tablecolhead">
    <w:name w:val="Table col head"/>
    <w:basedOn w:val="Body"/>
    <w:qFormat/>
    <w:rsid w:val="00593129"/>
    <w:pPr>
      <w:snapToGrid w:val="0"/>
      <w:spacing w:before="60" w:after="60" w:line="240" w:lineRule="auto"/>
    </w:pPr>
    <w:rPr>
      <w:rFonts w:eastAsia="MS Mincho"/>
      <w:b/>
      <w:color w:val="007F9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health.vic.gov.au/clinicianshealthchanne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afercare.vic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mdax.com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afer%20Care%20Victoria\Common%20folder%20(for%20all%20SCV)\Branding%20toolkit\1.%20Templates\1.%20Safer%20Care%20Victoria\Fact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9698BD7414459DB3B8DE948CE8A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BCB44-5041-43F5-9D84-730CB2379BF7}"/>
      </w:docPartPr>
      <w:docPartBody>
        <w:p w:rsidR="00973ECD" w:rsidRDefault="00973ECD">
          <w:pPr>
            <w:pStyle w:val="119698BD7414459DB3B8DE948CE8A2E9"/>
          </w:pPr>
          <w:r w:rsidRPr="0080378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rebuchet MS"/>
    <w:charset w:val="00"/>
    <w:family w:val="swiss"/>
    <w:pitch w:val="variable"/>
    <w:sig w:usb0="00000001" w:usb1="5000205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ECD"/>
    <w:rsid w:val="0097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"/>
    <w:semiHidden/>
    <w:rPr>
      <w:color w:val="808080"/>
    </w:rPr>
  </w:style>
  <w:style w:type="paragraph" w:customStyle="1" w:styleId="119698BD7414459DB3B8DE948CE8A2E9">
    <w:name w:val="119698BD7414459DB3B8DE948CE8A2E9"/>
  </w:style>
  <w:style w:type="paragraph" w:customStyle="1" w:styleId="ED64744474CD4692B141CF39C5384E32">
    <w:name w:val="ED64744474CD4692B141CF39C5384E32"/>
  </w:style>
  <w:style w:type="paragraph" w:customStyle="1" w:styleId="A1571EFD677E498783B20E42C2AC57A5">
    <w:name w:val="A1571EFD677E498783B20E42C2AC57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E4F54-4187-41A3-A672-D1FB1791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sheet.dotx</Template>
  <TotalTime>0</TotalTime>
  <Pages>4</Pages>
  <Words>1114</Words>
  <Characters>6350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Levosimendan</vt:lpstr>
    </vt:vector>
  </TitlesOfParts>
  <Company>Department of Treasury and Finance</Company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Levosimendan</dc:title>
  <dc:creator>Emma D Gumbleton (DHHS)</dc:creator>
  <cp:lastModifiedBy>Freya L Jones (DHHS)</cp:lastModifiedBy>
  <cp:revision>2</cp:revision>
  <cp:lastPrinted>2018-05-20T09:23:00Z</cp:lastPrinted>
  <dcterms:created xsi:type="dcterms:W3CDTF">2018-12-04T06:02:00Z</dcterms:created>
  <dcterms:modified xsi:type="dcterms:W3CDTF">2018-12-04T06:02:00Z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346754aa-f64f-4676-8998-5678c96f0a97</vt:lpwstr>
  </property>
  <property fmtid="{D5CDD505-2E9C-101B-9397-08002B2CF9AE}" pid="3" name="PSPFClassification">
    <vt:lpwstr>Do Not Mark</vt:lpwstr>
  </property>
</Properties>
</file>