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IC SemiBold" w:hAnsi="VIC SemiBold"/>
          <w:b w:val="0"/>
        </w:rPr>
        <w:alias w:val="Title"/>
        <w:tag w:val=""/>
        <w:id w:val="-1540807229"/>
        <w:placeholder>
          <w:docPart w:val="119698BD7414459DB3B8DE948CE8A2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46288" w:rsidRPr="002A797F" w:rsidRDefault="00262F9B" w:rsidP="007A4444">
          <w:pPr>
            <w:pStyle w:val="Title"/>
            <w:rPr>
              <w:rFonts w:ascii="VIC SemiBold" w:hAnsi="VIC SemiBold"/>
              <w:b w:val="0"/>
            </w:rPr>
          </w:pPr>
          <w:r w:rsidRPr="00262F9B">
            <w:rPr>
              <w:rFonts w:ascii="VIC SemiBold" w:hAnsi="VIC SemiBold"/>
              <w:b w:val="0"/>
            </w:rPr>
            <w:t>Milrinone</w:t>
          </w:r>
        </w:p>
      </w:sdtContent>
    </w:sdt>
    <w:p w:rsidR="00CF3F17" w:rsidRPr="0096053F" w:rsidRDefault="00CF3F17" w:rsidP="00CF3F17">
      <w:pPr>
        <w:pStyle w:val="Heading2"/>
      </w:pPr>
      <w:r w:rsidRPr="0096053F">
        <w:t>Applicable areas</w:t>
      </w:r>
    </w:p>
    <w:p w:rsidR="00CF3F17" w:rsidRDefault="00CF3F17" w:rsidP="00CF3F17">
      <w:pPr>
        <w:pStyle w:val="Heading2"/>
      </w:pPr>
      <w:r w:rsidRPr="005350E0">
        <w:rPr>
          <w:color w:val="A6A6A6" w:themeColor="background1" w:themeShade="A6"/>
        </w:rPr>
        <w:t>This section will be left blank for each hospital to complete in accordance with local practice. Examples: ICU, ED, OR, Ward 2B</w:t>
      </w:r>
    </w:p>
    <w:p w:rsidR="00CF3F17" w:rsidRDefault="00CF3F17" w:rsidP="00262F9B">
      <w:pPr>
        <w:pStyle w:val="Heading2"/>
      </w:pPr>
    </w:p>
    <w:p w:rsidR="00262F9B" w:rsidRPr="00C4312A" w:rsidRDefault="00262F9B" w:rsidP="00262F9B">
      <w:pPr>
        <w:pStyle w:val="Heading2"/>
      </w:pPr>
      <w:r w:rsidRPr="00C4312A">
        <w:t>Mechanism of action/pharmacology</w:t>
      </w:r>
    </w:p>
    <w:p w:rsidR="00262F9B" w:rsidRPr="005A2B55" w:rsidRDefault="00262F9B" w:rsidP="00262F9B">
      <w:pPr>
        <w:pStyle w:val="Normalfollowingheading"/>
        <w:rPr>
          <w:vertAlign w:val="superscript"/>
        </w:rPr>
      </w:pPr>
      <w:r w:rsidRPr="005A2B55">
        <w:t>Milrinone is a positive inotrope and vasodilator, with little chronotropic activity. Milrinone selectively inhibits PEAK III cAMP</w:t>
      </w:r>
      <w:r w:rsidR="00CF3F17">
        <w:t xml:space="preserve"> (cyclic adenosine monophosphate)</w:t>
      </w:r>
      <w:r w:rsidR="00CF3F17" w:rsidRPr="005A2B55">
        <w:t xml:space="preserve"> </w:t>
      </w:r>
      <w:r w:rsidRPr="005A2B55">
        <w:t>phosphodiesterase isozyme in cardiac and vascular muscle, leading to an increase in intracellular ionised calcium and contractile force in cardiac muscle.</w:t>
      </w:r>
      <w:r w:rsidRPr="005A2B55">
        <w:rPr>
          <w:vertAlign w:val="superscript"/>
        </w:rPr>
        <w:t>1,2</w:t>
      </w:r>
      <w:r w:rsidRPr="005A2B55">
        <w:t xml:space="preserve"> This activity results in left ventricular afterload reduction, with an increase in cardiac output and a reduction in total peripheral resistance.</w:t>
      </w:r>
      <w:r w:rsidRPr="005A2B55">
        <w:rPr>
          <w:vertAlign w:val="superscript"/>
        </w:rPr>
        <w:t>3</w:t>
      </w:r>
    </w:p>
    <w:p w:rsidR="00262F9B" w:rsidRPr="005A2B55" w:rsidRDefault="00262F9B" w:rsidP="00262F9B">
      <w:pPr>
        <w:rPr>
          <w:vertAlign w:val="superscript"/>
        </w:rPr>
      </w:pPr>
      <w:r w:rsidRPr="005A2B55">
        <w:t>Onset of action: 5–15 minutes</w:t>
      </w:r>
      <w:r w:rsidR="00627FBD">
        <w:t>.</w:t>
      </w:r>
      <w:r w:rsidRPr="005A2B55">
        <w:rPr>
          <w:vertAlign w:val="superscript"/>
        </w:rPr>
        <w:t>4</w:t>
      </w:r>
    </w:p>
    <w:p w:rsidR="00262F9B" w:rsidRPr="005A2B55" w:rsidRDefault="00262F9B" w:rsidP="00262F9B">
      <w:pPr>
        <w:rPr>
          <w:vertAlign w:val="superscript"/>
        </w:rPr>
      </w:pPr>
      <w:r w:rsidRPr="005A2B55">
        <w:t>Duration of action: 3–5 hours</w:t>
      </w:r>
      <w:r w:rsidR="00627FBD">
        <w:t>.</w:t>
      </w:r>
      <w:r w:rsidRPr="005A2B55">
        <w:rPr>
          <w:vertAlign w:val="superscript"/>
        </w:rPr>
        <w:t>1</w:t>
      </w:r>
    </w:p>
    <w:p w:rsidR="00262F9B" w:rsidRPr="005A2B55" w:rsidRDefault="00262F9B" w:rsidP="00262F9B">
      <w:pPr>
        <w:rPr>
          <w:vertAlign w:val="superscript"/>
        </w:rPr>
      </w:pPr>
      <w:r w:rsidRPr="005A2B55">
        <w:t>Half-life: 2–4 hours, renal impairment prolongs half-life</w:t>
      </w:r>
      <w:r w:rsidR="00627FBD">
        <w:t>.</w:t>
      </w:r>
      <w:r w:rsidRPr="005A2B55">
        <w:rPr>
          <w:vertAlign w:val="superscript"/>
        </w:rPr>
        <w:t>4</w:t>
      </w:r>
    </w:p>
    <w:p w:rsidR="00262F9B" w:rsidRPr="00C4312A" w:rsidRDefault="00262F9B" w:rsidP="00262F9B">
      <w:pPr>
        <w:pStyle w:val="Heading2"/>
      </w:pPr>
      <w:r w:rsidRPr="00C4312A">
        <w:t>Indications</w:t>
      </w:r>
    </w:p>
    <w:p w:rsidR="00262F9B" w:rsidRPr="005A2B55" w:rsidRDefault="00262F9B" w:rsidP="00262F9B">
      <w:pPr>
        <w:pStyle w:val="Normalfollowingheading"/>
      </w:pPr>
      <w:r w:rsidRPr="005A2B55">
        <w:t>Cardiogenic shock secondary to acute decompensated systolic heart failure</w:t>
      </w:r>
      <w:r w:rsidR="00207E25">
        <w:t>.</w:t>
      </w:r>
    </w:p>
    <w:p w:rsidR="00262F9B" w:rsidRPr="005A2B55" w:rsidRDefault="00262F9B" w:rsidP="00262F9B">
      <w:r w:rsidRPr="005A2B55">
        <w:t>Short-term therapy for severe heart failure refractory to other treatment</w:t>
      </w:r>
      <w:r w:rsidR="00207E25">
        <w:t>.</w:t>
      </w:r>
    </w:p>
    <w:p w:rsidR="00262F9B" w:rsidRPr="00262F9B" w:rsidRDefault="00262F9B" w:rsidP="00262F9B">
      <w:pPr>
        <w:rPr>
          <w:vertAlign w:val="superscript"/>
        </w:rPr>
      </w:pPr>
      <w:r w:rsidRPr="005A2B55">
        <w:t>Low cardiac output states post cardiac surgery</w:t>
      </w:r>
      <w:r w:rsidR="000B31A6">
        <w:t>.</w:t>
      </w:r>
      <w:r w:rsidRPr="005A2B55">
        <w:rPr>
          <w:vertAlign w:val="superscript"/>
        </w:rPr>
        <w:t>2,5</w:t>
      </w:r>
    </w:p>
    <w:p w:rsidR="00262F9B" w:rsidRPr="00C4312A" w:rsidRDefault="00262F9B" w:rsidP="00262F9B">
      <w:pPr>
        <w:pStyle w:val="Heading2"/>
      </w:pPr>
      <w:r w:rsidRPr="00C4312A">
        <w:t>Precautions</w:t>
      </w:r>
    </w:p>
    <w:p w:rsidR="00262F9B" w:rsidRPr="00501E3F" w:rsidRDefault="00262F9B" w:rsidP="00262F9B">
      <w:pPr>
        <w:pStyle w:val="Bullet1"/>
        <w:numPr>
          <w:ilvl w:val="0"/>
          <w:numId w:val="8"/>
        </w:numPr>
      </w:pPr>
      <w:r w:rsidRPr="009A2BD3">
        <w:rPr>
          <w:rStyle w:val="BookTitle"/>
          <w:rFonts w:eastAsiaTheme="majorEastAsia"/>
        </w:rPr>
        <w:t>Hypersensitivity</w:t>
      </w:r>
      <w:r w:rsidRPr="00501E3F">
        <w:t xml:space="preserve"> to milrinone or other bipyridines</w:t>
      </w:r>
      <w:r w:rsidRPr="009C237A">
        <w:rPr>
          <w:vertAlign w:val="superscript"/>
        </w:rPr>
        <w:t>2</w:t>
      </w:r>
    </w:p>
    <w:p w:rsidR="00262F9B" w:rsidRPr="00501E3F" w:rsidRDefault="00262F9B" w:rsidP="00262F9B">
      <w:pPr>
        <w:pStyle w:val="Bullet1"/>
        <w:numPr>
          <w:ilvl w:val="0"/>
          <w:numId w:val="8"/>
        </w:numPr>
      </w:pPr>
      <w:r w:rsidRPr="009A2BD3">
        <w:rPr>
          <w:rStyle w:val="BookTitle"/>
          <w:rFonts w:eastAsiaTheme="majorEastAsia"/>
        </w:rPr>
        <w:t>Hypotension</w:t>
      </w:r>
      <w:r w:rsidRPr="00501E3F">
        <w:t xml:space="preserve"> due to uncorrected hypovolaemia</w:t>
      </w:r>
    </w:p>
    <w:p w:rsidR="00262F9B" w:rsidRPr="00501E3F" w:rsidRDefault="00262F9B" w:rsidP="00262F9B">
      <w:pPr>
        <w:pStyle w:val="Bullet1"/>
        <w:numPr>
          <w:ilvl w:val="0"/>
          <w:numId w:val="8"/>
        </w:numPr>
      </w:pPr>
      <w:r w:rsidRPr="009A2BD3">
        <w:rPr>
          <w:rStyle w:val="BookTitle"/>
          <w:rFonts w:eastAsiaTheme="majorEastAsia"/>
        </w:rPr>
        <w:t>Severe</w:t>
      </w:r>
      <w:r w:rsidRPr="00501E3F">
        <w:t xml:space="preserve"> obstructive aortic or pulmonary valvular disease or hypertrophic subaortic stenosis – milrinone may aggravate outflow tract obstruction</w:t>
      </w:r>
      <w:r w:rsidRPr="009C237A">
        <w:rPr>
          <w:vertAlign w:val="superscript"/>
        </w:rPr>
        <w:t>2</w:t>
      </w:r>
    </w:p>
    <w:p w:rsidR="00262F9B" w:rsidRPr="00501E3F" w:rsidRDefault="00262F9B" w:rsidP="00262F9B">
      <w:pPr>
        <w:pStyle w:val="Bullet1"/>
        <w:numPr>
          <w:ilvl w:val="0"/>
          <w:numId w:val="8"/>
        </w:numPr>
      </w:pPr>
      <w:r w:rsidRPr="00501E3F">
        <w:t xml:space="preserve">Risk of systolic anterior motion of the mitral valve and/or dynamic left ventricular outflow tract </w:t>
      </w:r>
      <w:r w:rsidRPr="009A2BD3">
        <w:rPr>
          <w:rStyle w:val="BookTitle"/>
          <w:rFonts w:eastAsiaTheme="majorEastAsia"/>
        </w:rPr>
        <w:t>obstruction</w:t>
      </w:r>
    </w:p>
    <w:p w:rsidR="00262F9B" w:rsidRDefault="00262F9B" w:rsidP="00262F9B">
      <w:pPr>
        <w:pStyle w:val="Bullet1"/>
        <w:numPr>
          <w:ilvl w:val="0"/>
          <w:numId w:val="8"/>
        </w:numPr>
      </w:pPr>
      <w:r w:rsidRPr="009A2BD3">
        <w:rPr>
          <w:rStyle w:val="BookTitle"/>
          <w:rFonts w:eastAsiaTheme="majorEastAsia"/>
        </w:rPr>
        <w:t>Supraventricular</w:t>
      </w:r>
      <w:r w:rsidRPr="00501E3F">
        <w:t xml:space="preserve"> and ventricular arrhythmias </w:t>
      </w:r>
    </w:p>
    <w:p w:rsidR="00262F9B" w:rsidRPr="00262F9B" w:rsidRDefault="00262F9B" w:rsidP="00262F9B">
      <w:pPr>
        <w:pStyle w:val="Bullet1"/>
        <w:numPr>
          <w:ilvl w:val="0"/>
          <w:numId w:val="8"/>
        </w:numPr>
      </w:pPr>
      <w:r>
        <w:t>S</w:t>
      </w:r>
      <w:r w:rsidRPr="00501E3F">
        <w:t>evere</w:t>
      </w:r>
      <w:r>
        <w:t xml:space="preserve"> renal impairment (</w:t>
      </w:r>
      <w:proofErr w:type="spellStart"/>
      <w:r>
        <w:t>CrCl</w:t>
      </w:r>
      <w:proofErr w:type="spellEnd"/>
      <w:r>
        <w:t xml:space="preserve"> &lt; 30 mL/min) increases the terminal elimination half-life; consider dose </w:t>
      </w:r>
      <w:r w:rsidRPr="009A2BD3">
        <w:rPr>
          <w:rStyle w:val="BookTitle"/>
          <w:rFonts w:eastAsiaTheme="majorEastAsia"/>
        </w:rPr>
        <w:t>reduction</w:t>
      </w:r>
      <w:r w:rsidR="000B31A6">
        <w:rPr>
          <w:rStyle w:val="BookTitle"/>
          <w:rFonts w:eastAsiaTheme="majorEastAsia"/>
        </w:rPr>
        <w:t>.</w:t>
      </w:r>
      <w:r w:rsidRPr="009A2BD3">
        <w:rPr>
          <w:rStyle w:val="BookTitle"/>
          <w:rFonts w:eastAsiaTheme="majorEastAsia"/>
          <w:vertAlign w:val="superscript"/>
        </w:rPr>
        <w:t>2</w:t>
      </w:r>
    </w:p>
    <w:p w:rsidR="00262F9B" w:rsidRPr="00C4312A" w:rsidRDefault="00262F9B" w:rsidP="00262F9B">
      <w:pPr>
        <w:pStyle w:val="Heading2"/>
      </w:pPr>
      <w:r w:rsidRPr="00C4312A">
        <w:t>Medication presentation</w:t>
      </w:r>
    </w:p>
    <w:p w:rsidR="00262F9B" w:rsidRDefault="00262F9B" w:rsidP="00262F9B">
      <w:pPr>
        <w:pStyle w:val="Normalfollowingheading"/>
      </w:pPr>
      <w:r>
        <w:t xml:space="preserve">10 mg/10mL </w:t>
      </w:r>
      <w:proofErr w:type="gramStart"/>
      <w:r>
        <w:t>ampoule</w:t>
      </w:r>
      <w:proofErr w:type="gramEnd"/>
      <w:r w:rsidR="00E64F8B">
        <w:t>.</w:t>
      </w:r>
    </w:p>
    <w:p w:rsidR="00262F9B" w:rsidRPr="00C4312A" w:rsidRDefault="00262F9B" w:rsidP="00262F9B">
      <w:pPr>
        <w:pStyle w:val="Heading2"/>
      </w:pPr>
      <w:r w:rsidRPr="00C4312A">
        <w:lastRenderedPageBreak/>
        <w:t>Medicati</w:t>
      </w:r>
      <w:r w:rsidRPr="00E04F11">
        <w:t>on</w:t>
      </w:r>
      <w:r w:rsidRPr="00C4312A">
        <w:t xml:space="preserve"> storage</w:t>
      </w:r>
    </w:p>
    <w:p w:rsidR="00262F9B" w:rsidRPr="00C56589" w:rsidRDefault="00262F9B" w:rsidP="00262F9B">
      <w:pPr>
        <w:rPr>
          <w:vertAlign w:val="superscript"/>
        </w:rPr>
      </w:pPr>
      <w:r>
        <w:t>Store vials below 30°C. Do not freeze.</w:t>
      </w:r>
      <w:r>
        <w:rPr>
          <w:vertAlign w:val="superscript"/>
        </w:rPr>
        <w:t>6</w:t>
      </w:r>
    </w:p>
    <w:p w:rsidR="00262F9B" w:rsidRPr="00262F9B" w:rsidRDefault="00262F9B" w:rsidP="00262F9B">
      <w:pPr>
        <w:rPr>
          <w:vertAlign w:val="superscript"/>
        </w:rPr>
      </w:pPr>
      <w:r>
        <w:t>Infusion solutions are stable for up to 24 hours</w:t>
      </w:r>
      <w:r w:rsidR="00E64F8B">
        <w:t>.</w:t>
      </w:r>
      <w:r>
        <w:rPr>
          <w:vertAlign w:val="superscript"/>
        </w:rPr>
        <w:t>6</w:t>
      </w:r>
    </w:p>
    <w:p w:rsidR="00262F9B" w:rsidRDefault="00262F9B" w:rsidP="00262F9B">
      <w:pPr>
        <w:pStyle w:val="Heading2"/>
      </w:pPr>
      <w:r w:rsidRPr="00C4312A">
        <w:t xml:space="preserve">Preparation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74"/>
        <w:gridCol w:w="3475"/>
      </w:tblGrid>
      <w:tr w:rsidR="00262F9B" w:rsidRPr="00262F9B" w:rsidTr="00262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262F9B" w:rsidRPr="00262F9B" w:rsidRDefault="00262F9B" w:rsidP="00262F9B">
            <w:pPr>
              <w:pStyle w:val="Normalfollowingheading"/>
              <w:rPr>
                <w:sz w:val="18"/>
              </w:rPr>
            </w:pPr>
          </w:p>
        </w:tc>
        <w:tc>
          <w:tcPr>
            <w:tcW w:w="3549" w:type="dxa"/>
          </w:tcPr>
          <w:p w:rsidR="00262F9B" w:rsidRPr="00262F9B" w:rsidRDefault="00262F9B" w:rsidP="00262F9B">
            <w:pPr>
              <w:pStyle w:val="Normalfollowing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IV bag</w:t>
            </w:r>
          </w:p>
        </w:tc>
        <w:tc>
          <w:tcPr>
            <w:tcW w:w="3550" w:type="dxa"/>
          </w:tcPr>
          <w:p w:rsidR="00262F9B" w:rsidRPr="00262F9B" w:rsidRDefault="00262F9B" w:rsidP="00262F9B">
            <w:pPr>
              <w:pStyle w:val="Normalfollowing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Syringe driver</w:t>
            </w:r>
          </w:p>
        </w:tc>
      </w:tr>
      <w:tr w:rsidR="00262F9B" w:rsidRPr="00262F9B" w:rsidTr="00262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262F9B" w:rsidRPr="00262F9B" w:rsidRDefault="00262F9B" w:rsidP="00E70E67">
            <w:pPr>
              <w:pStyle w:val="Tabletext"/>
              <w:rPr>
                <w:b w:val="0"/>
                <w:sz w:val="18"/>
              </w:rPr>
            </w:pPr>
            <w:r w:rsidRPr="00262F9B">
              <w:rPr>
                <w:sz w:val="18"/>
              </w:rPr>
              <w:t>Prescribe</w:t>
            </w:r>
          </w:p>
        </w:tc>
        <w:tc>
          <w:tcPr>
            <w:tcW w:w="3549" w:type="dxa"/>
          </w:tcPr>
          <w:p w:rsidR="00262F9B" w:rsidRPr="00262F9B" w:rsidRDefault="00262F9B" w:rsidP="004305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20 mg in 100 mL</w:t>
            </w:r>
          </w:p>
        </w:tc>
        <w:tc>
          <w:tcPr>
            <w:tcW w:w="3550" w:type="dxa"/>
          </w:tcPr>
          <w:p w:rsidR="00262F9B" w:rsidRPr="00262F9B" w:rsidRDefault="00262F9B" w:rsidP="00BC7E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10 mg in 50 mL</w:t>
            </w:r>
          </w:p>
        </w:tc>
      </w:tr>
      <w:tr w:rsidR="00262F9B" w:rsidRPr="00262F9B" w:rsidTr="00262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262F9B" w:rsidRPr="00262F9B" w:rsidRDefault="00262F9B" w:rsidP="00E70E67">
            <w:pPr>
              <w:pStyle w:val="Tabletext"/>
              <w:rPr>
                <w:b w:val="0"/>
                <w:sz w:val="18"/>
              </w:rPr>
            </w:pPr>
            <w:r w:rsidRPr="00262F9B">
              <w:rPr>
                <w:sz w:val="18"/>
              </w:rPr>
              <w:t>Make up infusion in</w:t>
            </w:r>
          </w:p>
        </w:tc>
        <w:tc>
          <w:tcPr>
            <w:tcW w:w="3549" w:type="dxa"/>
          </w:tcPr>
          <w:p w:rsidR="00262F9B" w:rsidRPr="00262F9B" w:rsidRDefault="00262F9B" w:rsidP="004305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100 mL bag of glucose 5%*</w:t>
            </w:r>
          </w:p>
        </w:tc>
        <w:tc>
          <w:tcPr>
            <w:tcW w:w="3550" w:type="dxa"/>
          </w:tcPr>
          <w:p w:rsidR="00262F9B" w:rsidRPr="00262F9B" w:rsidRDefault="00262F9B" w:rsidP="00BC7E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Glucose 5%*</w:t>
            </w:r>
          </w:p>
        </w:tc>
      </w:tr>
      <w:tr w:rsidR="00262F9B" w:rsidRPr="00262F9B" w:rsidTr="00262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262F9B" w:rsidRPr="00262F9B" w:rsidRDefault="00262F9B" w:rsidP="00E70E67">
            <w:pPr>
              <w:pStyle w:val="Tabletext"/>
              <w:rPr>
                <w:b w:val="0"/>
                <w:sz w:val="18"/>
              </w:rPr>
            </w:pPr>
            <w:r w:rsidRPr="00262F9B">
              <w:rPr>
                <w:sz w:val="18"/>
              </w:rPr>
              <w:t>Volume to be removed from IV bag</w:t>
            </w:r>
          </w:p>
        </w:tc>
        <w:tc>
          <w:tcPr>
            <w:tcW w:w="3549" w:type="dxa"/>
          </w:tcPr>
          <w:p w:rsidR="00262F9B" w:rsidRPr="00262F9B" w:rsidRDefault="00262F9B" w:rsidP="004305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20 mL</w:t>
            </w:r>
          </w:p>
        </w:tc>
        <w:tc>
          <w:tcPr>
            <w:tcW w:w="3550" w:type="dxa"/>
          </w:tcPr>
          <w:p w:rsidR="00262F9B" w:rsidRPr="00262F9B" w:rsidRDefault="00262F9B" w:rsidP="00BC7E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Not applicable</w:t>
            </w:r>
          </w:p>
          <w:p w:rsidR="00262F9B" w:rsidRPr="00262F9B" w:rsidRDefault="00262F9B" w:rsidP="00BC7E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Draw up 40 mL in the syringe</w:t>
            </w:r>
          </w:p>
        </w:tc>
      </w:tr>
      <w:tr w:rsidR="00262F9B" w:rsidRPr="00262F9B" w:rsidTr="00262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262F9B" w:rsidRPr="00262F9B" w:rsidRDefault="00262F9B" w:rsidP="00E70E67">
            <w:pPr>
              <w:pStyle w:val="Tabletext"/>
              <w:rPr>
                <w:b w:val="0"/>
                <w:sz w:val="18"/>
              </w:rPr>
            </w:pPr>
            <w:r w:rsidRPr="00262F9B">
              <w:rPr>
                <w:sz w:val="18"/>
              </w:rPr>
              <w:t>Drug dose to be added</w:t>
            </w:r>
          </w:p>
        </w:tc>
        <w:tc>
          <w:tcPr>
            <w:tcW w:w="3549" w:type="dxa"/>
          </w:tcPr>
          <w:p w:rsidR="00262F9B" w:rsidRPr="00262F9B" w:rsidRDefault="00262F9B" w:rsidP="004305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20 mg (20 mL)</w:t>
            </w:r>
          </w:p>
        </w:tc>
        <w:tc>
          <w:tcPr>
            <w:tcW w:w="3550" w:type="dxa"/>
          </w:tcPr>
          <w:p w:rsidR="00262F9B" w:rsidRPr="00262F9B" w:rsidRDefault="00262F9B" w:rsidP="00BC7E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10 mg (10 mL)</w:t>
            </w:r>
          </w:p>
        </w:tc>
      </w:tr>
      <w:tr w:rsidR="00262F9B" w:rsidRPr="00262F9B" w:rsidTr="00262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262F9B" w:rsidRPr="00262F9B" w:rsidRDefault="00262F9B" w:rsidP="00E70E67">
            <w:pPr>
              <w:pStyle w:val="Tabletext"/>
              <w:rPr>
                <w:b w:val="0"/>
                <w:sz w:val="18"/>
              </w:rPr>
            </w:pPr>
            <w:r w:rsidRPr="00262F9B">
              <w:rPr>
                <w:sz w:val="18"/>
              </w:rPr>
              <w:t>Final volume</w:t>
            </w:r>
          </w:p>
        </w:tc>
        <w:tc>
          <w:tcPr>
            <w:tcW w:w="3549" w:type="dxa"/>
          </w:tcPr>
          <w:p w:rsidR="00262F9B" w:rsidRPr="00262F9B" w:rsidRDefault="00262F9B" w:rsidP="004305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100 mL</w:t>
            </w:r>
          </w:p>
        </w:tc>
        <w:tc>
          <w:tcPr>
            <w:tcW w:w="3550" w:type="dxa"/>
          </w:tcPr>
          <w:p w:rsidR="00262F9B" w:rsidRPr="00262F9B" w:rsidRDefault="00262F9B" w:rsidP="00BC7E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50 mL</w:t>
            </w:r>
          </w:p>
        </w:tc>
      </w:tr>
      <w:tr w:rsidR="00262F9B" w:rsidRPr="00262F9B" w:rsidTr="00262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262F9B" w:rsidRPr="00262F9B" w:rsidRDefault="00262F9B" w:rsidP="00E70E67">
            <w:pPr>
              <w:pStyle w:val="Tabletext"/>
              <w:rPr>
                <w:b w:val="0"/>
                <w:sz w:val="18"/>
              </w:rPr>
            </w:pPr>
            <w:r w:rsidRPr="00262F9B">
              <w:rPr>
                <w:sz w:val="18"/>
              </w:rPr>
              <w:t>Final concentration</w:t>
            </w:r>
          </w:p>
        </w:tc>
        <w:tc>
          <w:tcPr>
            <w:tcW w:w="3549" w:type="dxa"/>
          </w:tcPr>
          <w:p w:rsidR="00262F9B" w:rsidRPr="00262F9B" w:rsidRDefault="00262F9B" w:rsidP="004305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200 microg/mL</w:t>
            </w:r>
          </w:p>
        </w:tc>
        <w:tc>
          <w:tcPr>
            <w:tcW w:w="3550" w:type="dxa"/>
          </w:tcPr>
          <w:p w:rsidR="00262F9B" w:rsidRPr="00262F9B" w:rsidRDefault="00262F9B" w:rsidP="00BC7E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200 microg/mL</w:t>
            </w:r>
          </w:p>
        </w:tc>
      </w:tr>
      <w:tr w:rsidR="00262F9B" w:rsidRPr="00262F9B" w:rsidTr="00262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262F9B" w:rsidRPr="00262F9B" w:rsidRDefault="00262F9B" w:rsidP="00E70E67">
            <w:pPr>
              <w:pStyle w:val="Tabletext"/>
              <w:rPr>
                <w:b w:val="0"/>
                <w:sz w:val="18"/>
              </w:rPr>
            </w:pPr>
            <w:r w:rsidRPr="00262F9B">
              <w:rPr>
                <w:sz w:val="18"/>
              </w:rPr>
              <w:t>1mL/hr =</w:t>
            </w:r>
          </w:p>
        </w:tc>
        <w:tc>
          <w:tcPr>
            <w:tcW w:w="3549" w:type="dxa"/>
          </w:tcPr>
          <w:p w:rsidR="00262F9B" w:rsidRPr="00262F9B" w:rsidRDefault="00262F9B" w:rsidP="004305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200 microg/hr</w:t>
            </w:r>
          </w:p>
        </w:tc>
        <w:tc>
          <w:tcPr>
            <w:tcW w:w="3550" w:type="dxa"/>
          </w:tcPr>
          <w:p w:rsidR="00262F9B" w:rsidRPr="00262F9B" w:rsidRDefault="00262F9B" w:rsidP="00BC7E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62F9B">
              <w:rPr>
                <w:sz w:val="18"/>
              </w:rPr>
              <w:t>200 microg/hr</w:t>
            </w:r>
          </w:p>
        </w:tc>
      </w:tr>
    </w:tbl>
    <w:p w:rsidR="00262F9B" w:rsidRPr="00262F9B" w:rsidRDefault="00262F9B" w:rsidP="00262F9B">
      <w:pPr>
        <w:pStyle w:val="Normalfollowingheading"/>
      </w:pPr>
      <w:r w:rsidRPr="00262F9B">
        <w:rPr>
          <w:sz w:val="16"/>
        </w:rPr>
        <w:t>* Glucose 5% is preferred for dilution of all inotropes and vasopressors. However, milrinone is also compatible with Hartmann’s and sodium chloride 0.9%.</w:t>
      </w:r>
      <w:r w:rsidRPr="00262F9B">
        <w:rPr>
          <w:sz w:val="16"/>
          <w:vertAlign w:val="superscript"/>
        </w:rPr>
        <w:t>6</w:t>
      </w:r>
    </w:p>
    <w:p w:rsidR="00262F9B" w:rsidRPr="00C50CA5" w:rsidRDefault="00262F9B" w:rsidP="00262F9B">
      <w:pPr>
        <w:pStyle w:val="Heading2"/>
      </w:pPr>
      <w:r w:rsidRPr="00C50CA5">
        <w:t>Administration – this guideline is intended for central access only</w:t>
      </w:r>
    </w:p>
    <w:p w:rsidR="00262F9B" w:rsidRPr="00445507" w:rsidRDefault="00262F9B" w:rsidP="00262F9B">
      <w:pPr>
        <w:pStyle w:val="Normalfollowingheading"/>
        <w:rPr>
          <w:vertAlign w:val="superscript"/>
        </w:rPr>
      </w:pPr>
      <w:r>
        <w:t xml:space="preserve">Administer continuous intravenous infusion through a </w:t>
      </w:r>
      <w:r w:rsidRPr="00B140EF">
        <w:t xml:space="preserve">central access </w:t>
      </w:r>
      <w:r w:rsidRPr="003E7B8B">
        <w:t>line</w:t>
      </w:r>
      <w:r>
        <w:t>.</w:t>
      </w:r>
      <w:r>
        <w:rPr>
          <w:vertAlign w:val="superscript"/>
        </w:rPr>
        <w:t>6</w:t>
      </w:r>
    </w:p>
    <w:p w:rsidR="00262F9B" w:rsidRDefault="00262F9B" w:rsidP="00262F9B">
      <w:r>
        <w:t>Infusions should be administered via a syringe driver or infusion pump, preferably with medication error reduction software enabled.</w:t>
      </w:r>
    </w:p>
    <w:p w:rsidR="00262F9B" w:rsidRPr="0040059B" w:rsidRDefault="00262F9B" w:rsidP="00262F9B">
      <w:pPr>
        <w:rPr>
          <w:vertAlign w:val="superscript"/>
        </w:rPr>
      </w:pPr>
      <w:r>
        <w:t xml:space="preserve">Avoid administration via lines where other drugs or fluids may be </w:t>
      </w:r>
      <w:proofErr w:type="spellStart"/>
      <w:r>
        <w:t>bolused</w:t>
      </w:r>
      <w:proofErr w:type="spellEnd"/>
      <w:r>
        <w:t xml:space="preserve"> or flushed.</w:t>
      </w:r>
      <w:r>
        <w:rPr>
          <w:vertAlign w:val="superscript"/>
        </w:rPr>
        <w:t>7</w:t>
      </w:r>
      <w:r>
        <w:t xml:space="preserve"> </w:t>
      </w:r>
    </w:p>
    <w:p w:rsidR="00262F9B" w:rsidRPr="00C4312A" w:rsidRDefault="00262F9B" w:rsidP="00262F9B">
      <w:pPr>
        <w:pStyle w:val="Heading2"/>
      </w:pPr>
      <w:r w:rsidRPr="00C4312A">
        <w:t>Dosing</w:t>
      </w:r>
    </w:p>
    <w:p w:rsidR="00262F9B" w:rsidRDefault="00262F9B" w:rsidP="00262F9B">
      <w:pPr>
        <w:pStyle w:val="Normalfollowingheading"/>
        <w:rPr>
          <w:vertAlign w:val="superscript"/>
        </w:rPr>
      </w:pPr>
      <w:r>
        <w:t>Starting rate: 0.1 microg/kg/min.</w:t>
      </w:r>
      <w:r>
        <w:rPr>
          <w:vertAlign w:val="superscript"/>
        </w:rPr>
        <w:t>8</w:t>
      </w:r>
    </w:p>
    <w:p w:rsidR="00262F9B" w:rsidRPr="00A04C28" w:rsidRDefault="00262F9B" w:rsidP="00262F9B">
      <w:r w:rsidRPr="00A04C28">
        <w:t>In common practice the loading dose is omitted as it is associated with hypotension.</w:t>
      </w:r>
    </w:p>
    <w:p w:rsidR="00262F9B" w:rsidRDefault="00262F9B" w:rsidP="00262F9B">
      <w:r>
        <w:t>Usual rate range: 0.125 to 0.35 microg/kg/min.</w:t>
      </w:r>
      <w:r>
        <w:rPr>
          <w:vertAlign w:val="superscript"/>
        </w:rPr>
        <w:t>9</w:t>
      </w:r>
    </w:p>
    <w:p w:rsidR="00262F9B" w:rsidRDefault="00262F9B" w:rsidP="00262F9B">
      <w:r>
        <w:t>Titrate in accordance with haemodynamic and clinical response, with dose adjustments every 2–4 hours due to long half-life.</w:t>
      </w:r>
    </w:p>
    <w:p w:rsidR="00262F9B" w:rsidRDefault="00262F9B" w:rsidP="00262F9B">
      <w:pPr>
        <w:rPr>
          <w:vertAlign w:val="superscript"/>
        </w:rPr>
      </w:pPr>
      <w:r>
        <w:t>Maximum rate: 0.75 microg/kg/min.</w:t>
      </w:r>
      <w:r>
        <w:rPr>
          <w:vertAlign w:val="superscript"/>
        </w:rPr>
        <w:t>2</w:t>
      </w:r>
    </w:p>
    <w:p w:rsidR="00262F9B" w:rsidRDefault="00262F9B" w:rsidP="00262F9B">
      <w:r>
        <w:t>Dose based on actual body weight up to a maximum of 120 kg.</w:t>
      </w:r>
      <w:r>
        <w:rPr>
          <w:vertAlign w:val="superscript"/>
        </w:rPr>
        <w:t>10</w:t>
      </w:r>
      <w:r>
        <w:t xml:space="preserve"> </w:t>
      </w:r>
    </w:p>
    <w:p w:rsidR="00262F9B" w:rsidRDefault="00262F9B" w:rsidP="00262F9B">
      <w:r>
        <w:t>Weaning: The infusion should be weaned slowly (2–4-hourly), monitoring for clinical signs of inadequate cardiac output.</w:t>
      </w:r>
    </w:p>
    <w:p w:rsidR="00262F9B" w:rsidRDefault="00262F9B">
      <w:pPr>
        <w:rPr>
          <w:b/>
        </w:rPr>
      </w:pPr>
      <w:r>
        <w:rPr>
          <w:b/>
        </w:rPr>
        <w:br w:type="page"/>
      </w:r>
    </w:p>
    <w:p w:rsidR="00262F9B" w:rsidRPr="009A2BD3" w:rsidRDefault="00262F9B" w:rsidP="00262F9B">
      <w:pPr>
        <w:rPr>
          <w:b/>
        </w:rPr>
      </w:pPr>
      <w:r w:rsidRPr="001F2E8B">
        <w:rPr>
          <w:b/>
        </w:rPr>
        <w:lastRenderedPageBreak/>
        <w:t>Infusion rate guide:</w:t>
      </w:r>
      <w:r>
        <w:t xml:space="preserve"> </w:t>
      </w:r>
      <w:r w:rsidRPr="001F2E8B">
        <w:t>Maintenance</w:t>
      </w:r>
      <w:r>
        <w:t xml:space="preserve"> continuous</w:t>
      </w:r>
      <w:r w:rsidRPr="001F2E8B">
        <w:t xml:space="preserve"> infusion rate </w:t>
      </w:r>
      <w:r>
        <w:t xml:space="preserve">for </w:t>
      </w:r>
      <w:r w:rsidRPr="001F2E8B">
        <w:t>milrinone (mL/hr)</w:t>
      </w:r>
      <w:r w:rsidDel="00EE6F31">
        <w:rPr>
          <w:b/>
        </w:rPr>
        <w:t xml:space="preserve"> </w:t>
      </w:r>
      <w:r w:rsidRPr="00BE32E7">
        <w:t>(using 200</w:t>
      </w:r>
      <w:r>
        <w:t xml:space="preserve"> </w:t>
      </w:r>
      <w:r w:rsidRPr="00BE32E7">
        <w:t>microg</w:t>
      </w:r>
      <w:r w:rsidRPr="00FA370D">
        <w:t>/mL solution</w:t>
      </w:r>
      <w:r>
        <w:t>)</w:t>
      </w:r>
      <w:r w:rsidR="00207E25">
        <w:t>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27"/>
        <w:gridCol w:w="787"/>
        <w:gridCol w:w="1380"/>
        <w:gridCol w:w="1380"/>
        <w:gridCol w:w="1380"/>
        <w:gridCol w:w="1380"/>
        <w:gridCol w:w="1380"/>
        <w:gridCol w:w="1380"/>
        <w:gridCol w:w="1380"/>
      </w:tblGrid>
      <w:tr w:rsidR="00262F9B" w:rsidRPr="00262F9B" w:rsidTr="00627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gridSpan w:val="2"/>
          </w:tcPr>
          <w:p w:rsidR="00262F9B" w:rsidRPr="00262F9B" w:rsidRDefault="00262F9B" w:rsidP="00262F9B">
            <w:pPr>
              <w:pStyle w:val="Tablecolhead"/>
              <w:jc w:val="center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Patient weight (kg)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Infusion rate (mL/hr)</w:t>
            </w:r>
          </w:p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0.05</w:t>
            </w:r>
          </w:p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6"/>
              </w:rPr>
            </w:pPr>
            <w:r w:rsidRPr="00262F9B">
              <w:rPr>
                <w:rFonts w:ascii="VIC" w:hAnsi="VIC"/>
                <w:szCs w:val="16"/>
              </w:rPr>
              <w:t>microg/kg/min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Infusion rate (mL/hr)</w:t>
            </w:r>
          </w:p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0.1</w:t>
            </w:r>
          </w:p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6"/>
              </w:rPr>
            </w:pPr>
            <w:r w:rsidRPr="00262F9B">
              <w:rPr>
                <w:rFonts w:ascii="VIC" w:hAnsi="VIC"/>
                <w:szCs w:val="16"/>
              </w:rPr>
              <w:t>microg/kg/min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Infusion rate (mL/hr)</w:t>
            </w:r>
          </w:p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0.15</w:t>
            </w:r>
          </w:p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6"/>
              </w:rPr>
            </w:pPr>
            <w:r w:rsidRPr="00262F9B">
              <w:rPr>
                <w:rFonts w:ascii="VIC" w:hAnsi="VIC"/>
                <w:szCs w:val="16"/>
              </w:rPr>
              <w:t>microg/kg/min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Infusion rate (mL/hr)</w:t>
            </w:r>
          </w:p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0.2</w:t>
            </w:r>
          </w:p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6"/>
              </w:rPr>
            </w:pPr>
            <w:r w:rsidRPr="00262F9B">
              <w:rPr>
                <w:rFonts w:ascii="VIC" w:hAnsi="VIC"/>
                <w:szCs w:val="16"/>
              </w:rPr>
              <w:t>microg/kg/min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Infusion rate (mL/hr)</w:t>
            </w:r>
          </w:p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0.25</w:t>
            </w:r>
          </w:p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6"/>
              </w:rPr>
            </w:pPr>
            <w:r w:rsidRPr="00262F9B">
              <w:rPr>
                <w:rFonts w:ascii="VIC" w:hAnsi="VIC"/>
                <w:szCs w:val="16"/>
              </w:rPr>
              <w:t>microg/kg/min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Infusion rate (mL/hr)</w:t>
            </w:r>
          </w:p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0.3</w:t>
            </w:r>
          </w:p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6"/>
              </w:rPr>
            </w:pPr>
            <w:r w:rsidRPr="00262F9B">
              <w:rPr>
                <w:rFonts w:ascii="VIC" w:hAnsi="VIC"/>
                <w:szCs w:val="16"/>
              </w:rPr>
              <w:t>microg/kg/min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>Infusion rate (mL/hr)</w:t>
            </w:r>
          </w:p>
          <w:p w:rsidR="00262F9B" w:rsidRPr="00262F9B" w:rsidRDefault="00262F9B" w:rsidP="00262F9B">
            <w:pPr>
              <w:pStyle w:val="Tablecol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62F9B">
              <w:rPr>
                <w:rFonts w:ascii="VIC" w:hAnsi="VIC"/>
              </w:rPr>
              <w:t xml:space="preserve">0.35 </w:t>
            </w:r>
            <w:r w:rsidRPr="00262F9B">
              <w:rPr>
                <w:rFonts w:ascii="VIC" w:hAnsi="VIC"/>
                <w:szCs w:val="16"/>
              </w:rPr>
              <w:t>microg/kg/min</w:t>
            </w:r>
          </w:p>
        </w:tc>
      </w:tr>
      <w:tr w:rsidR="00262F9B" w:rsidRPr="00262F9B" w:rsidTr="00627FBD">
        <w:trPr>
          <w:gridBefore w:val="1"/>
          <w:wBefore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262F9B" w:rsidRPr="00262F9B" w:rsidRDefault="00262F9B" w:rsidP="00262F9B">
            <w:pPr>
              <w:pStyle w:val="Tabletext"/>
              <w:jc w:val="center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40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0.6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1.2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1.8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2.4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3.6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4.2</w:t>
            </w:r>
          </w:p>
        </w:tc>
      </w:tr>
      <w:tr w:rsidR="00262F9B" w:rsidRPr="00262F9B" w:rsidTr="00627FBD">
        <w:trPr>
          <w:gridBefore w:val="1"/>
          <w:wBefore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262F9B" w:rsidRPr="00262F9B" w:rsidRDefault="00262F9B" w:rsidP="00262F9B">
            <w:pPr>
              <w:pStyle w:val="Tabletext"/>
              <w:jc w:val="center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50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0.75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1.5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2.25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3.8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4.5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5.25</w:t>
            </w:r>
          </w:p>
        </w:tc>
      </w:tr>
      <w:tr w:rsidR="00262F9B" w:rsidRPr="00262F9B" w:rsidTr="00627FBD">
        <w:trPr>
          <w:gridBefore w:val="1"/>
          <w:wBefore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262F9B" w:rsidRPr="00262F9B" w:rsidRDefault="00262F9B" w:rsidP="00262F9B">
            <w:pPr>
              <w:pStyle w:val="Tabletext"/>
              <w:jc w:val="center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60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0.9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1.8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2.7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3.6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4.5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5.4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6.3</w:t>
            </w:r>
          </w:p>
        </w:tc>
      </w:tr>
      <w:tr w:rsidR="00262F9B" w:rsidRPr="00262F9B" w:rsidTr="00627FBD">
        <w:trPr>
          <w:gridBefore w:val="1"/>
          <w:wBefore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262F9B" w:rsidRPr="00262F9B" w:rsidRDefault="00262F9B" w:rsidP="00262F9B">
            <w:pPr>
              <w:pStyle w:val="Tabletext"/>
              <w:jc w:val="center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70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1.05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2.1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3.15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4.2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5.3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6.3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7.35</w:t>
            </w:r>
          </w:p>
        </w:tc>
      </w:tr>
      <w:tr w:rsidR="00262F9B" w:rsidRPr="00262F9B" w:rsidTr="00627FBD">
        <w:trPr>
          <w:gridBefore w:val="1"/>
          <w:wBefore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262F9B" w:rsidRPr="00262F9B" w:rsidRDefault="00262F9B" w:rsidP="00262F9B">
            <w:pPr>
              <w:pStyle w:val="Tabletext"/>
              <w:jc w:val="center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80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1.2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2.4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3.6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4.8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6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7.2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8.4</w:t>
            </w:r>
          </w:p>
        </w:tc>
      </w:tr>
      <w:tr w:rsidR="00262F9B" w:rsidRPr="00262F9B" w:rsidTr="00627FBD">
        <w:trPr>
          <w:gridBefore w:val="1"/>
          <w:wBefore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262F9B" w:rsidRPr="00262F9B" w:rsidRDefault="00262F9B" w:rsidP="00262F9B">
            <w:pPr>
              <w:pStyle w:val="Tabletext"/>
              <w:jc w:val="center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90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1.35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2.7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4.05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5.4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6.8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8.1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9.45</w:t>
            </w:r>
          </w:p>
        </w:tc>
      </w:tr>
      <w:tr w:rsidR="00262F9B" w:rsidRPr="00262F9B" w:rsidTr="00627FBD">
        <w:trPr>
          <w:gridBefore w:val="1"/>
          <w:wBefore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262F9B" w:rsidRPr="00262F9B" w:rsidRDefault="00262F9B" w:rsidP="00262F9B">
            <w:pPr>
              <w:pStyle w:val="Tabletext"/>
              <w:jc w:val="center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1.5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4.5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6.0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7.5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9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10.5</w:t>
            </w:r>
          </w:p>
        </w:tc>
      </w:tr>
      <w:tr w:rsidR="00262F9B" w:rsidRPr="00262F9B" w:rsidTr="00627FBD">
        <w:trPr>
          <w:gridBefore w:val="1"/>
          <w:wBefore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262F9B" w:rsidRPr="00262F9B" w:rsidRDefault="00262F9B" w:rsidP="00262F9B">
            <w:pPr>
              <w:pStyle w:val="Tabletext"/>
              <w:jc w:val="center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110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1.65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3.3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4.95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6.6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8.3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9.9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11.55</w:t>
            </w:r>
          </w:p>
        </w:tc>
      </w:tr>
      <w:tr w:rsidR="00262F9B" w:rsidRPr="00262F9B" w:rsidTr="00627FBD">
        <w:trPr>
          <w:gridBefore w:val="1"/>
          <w:wBefore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262F9B" w:rsidRPr="00262F9B" w:rsidRDefault="00262F9B" w:rsidP="00262F9B">
            <w:pPr>
              <w:pStyle w:val="Tabletext"/>
              <w:jc w:val="center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120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1.8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3.6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5.4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7.2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9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10.8</w:t>
            </w:r>
          </w:p>
        </w:tc>
        <w:tc>
          <w:tcPr>
            <w:tcW w:w="1377" w:type="dxa"/>
          </w:tcPr>
          <w:p w:rsidR="00262F9B" w:rsidRPr="00262F9B" w:rsidRDefault="00262F9B" w:rsidP="00262F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2F9B">
              <w:rPr>
                <w:sz w:val="18"/>
                <w:szCs w:val="18"/>
              </w:rPr>
              <w:t>12.6</w:t>
            </w:r>
          </w:p>
        </w:tc>
      </w:tr>
    </w:tbl>
    <w:p w:rsidR="00262F9B" w:rsidRDefault="00262F9B" w:rsidP="00262F9B">
      <w:pPr>
        <w:pStyle w:val="Tabletext"/>
      </w:pPr>
      <w:r>
        <w:t xml:space="preserve">Calculation: </w:t>
      </w:r>
    </w:p>
    <w:p w:rsidR="00262F9B" w:rsidRDefault="00262F9B" w:rsidP="00262F9B">
      <w:pPr>
        <w:pStyle w:val="Tabletext"/>
      </w:pPr>
      <w:r>
        <w:t>Infusion rate (mL/hr) = (patient weight (kg) × dose (microg/kg/min) × 60) ÷ infusion strength (microg/mL)</w:t>
      </w:r>
      <w:r w:rsidR="00207E25">
        <w:t>.</w:t>
      </w:r>
    </w:p>
    <w:p w:rsidR="00262F9B" w:rsidRPr="00C4312A" w:rsidRDefault="00262F9B" w:rsidP="00262F9B">
      <w:pPr>
        <w:pStyle w:val="Heading2"/>
      </w:pPr>
      <w:r w:rsidRPr="00C4312A">
        <w:t>Monitoring</w:t>
      </w:r>
    </w:p>
    <w:p w:rsidR="00262F9B" w:rsidRPr="00D562D9" w:rsidRDefault="00262F9B" w:rsidP="00262F9B">
      <w:pPr>
        <w:rPr>
          <w:rStyle w:val="BookTitle"/>
        </w:rPr>
      </w:pPr>
      <w:r w:rsidRPr="00D562D9">
        <w:rPr>
          <w:rStyle w:val="BookTitle"/>
        </w:rPr>
        <w:t>Continuous blood pressure and cardiac monitoring for the duration of the infusion</w:t>
      </w:r>
      <w:r w:rsidR="00525271">
        <w:rPr>
          <w:rStyle w:val="BookTitle"/>
        </w:rPr>
        <w:t>.</w:t>
      </w:r>
      <w:r>
        <w:rPr>
          <w:rStyle w:val="BookTitle"/>
          <w:vertAlign w:val="superscript"/>
        </w:rPr>
        <w:t>6</w:t>
      </w:r>
    </w:p>
    <w:p w:rsidR="00262F9B" w:rsidRPr="009A2BD3" w:rsidRDefault="00262F9B" w:rsidP="00262F9B">
      <w:pPr>
        <w:rPr>
          <w:rStyle w:val="BookTitle"/>
        </w:rPr>
      </w:pPr>
      <w:r w:rsidRPr="009A2BD3">
        <w:rPr>
          <w:rStyle w:val="BookTitle"/>
        </w:rPr>
        <w:t>Daily 12-lead ECG</w:t>
      </w:r>
      <w:r w:rsidR="00525271">
        <w:rPr>
          <w:rStyle w:val="BookTitle"/>
        </w:rPr>
        <w:t>.</w:t>
      </w:r>
    </w:p>
    <w:p w:rsidR="00262F9B" w:rsidRDefault="00262F9B" w:rsidP="00262F9B">
      <w:pPr>
        <w:rPr>
          <w:rStyle w:val="BookTitle"/>
        </w:rPr>
      </w:pPr>
      <w:r w:rsidRPr="009A2BD3">
        <w:rPr>
          <w:rStyle w:val="BookTitle"/>
        </w:rPr>
        <w:t>Monitor fluid balance and electrolytes at least daily</w:t>
      </w:r>
      <w:r w:rsidR="00525271">
        <w:rPr>
          <w:rStyle w:val="BookTitle"/>
        </w:rPr>
        <w:t>.</w:t>
      </w:r>
    </w:p>
    <w:p w:rsidR="00262F9B" w:rsidRPr="009750B7" w:rsidRDefault="00262F9B" w:rsidP="00262F9B">
      <w:pPr>
        <w:pStyle w:val="Heading2"/>
        <w:rPr>
          <w:rStyle w:val="BookTitle"/>
        </w:rPr>
      </w:pPr>
      <w:r w:rsidRPr="009750B7">
        <w:rPr>
          <w:rStyle w:val="BookTitle"/>
        </w:rPr>
        <w:t>Side effects</w:t>
      </w:r>
    </w:p>
    <w:p w:rsidR="00262F9B" w:rsidRPr="009A2BD3" w:rsidRDefault="00262F9B" w:rsidP="00262F9B">
      <w:pPr>
        <w:pStyle w:val="Bullet1"/>
        <w:numPr>
          <w:ilvl w:val="0"/>
          <w:numId w:val="8"/>
        </w:numPr>
        <w:rPr>
          <w:rStyle w:val="BookTitle"/>
          <w:rFonts w:eastAsiaTheme="majorEastAsia"/>
        </w:rPr>
      </w:pPr>
      <w:r w:rsidRPr="009A2BD3">
        <w:rPr>
          <w:rStyle w:val="BookTitle"/>
          <w:rFonts w:eastAsiaTheme="majorEastAsia"/>
        </w:rPr>
        <w:t>Supraventricular and ventricular arrhythmias</w:t>
      </w:r>
      <w:r w:rsidRPr="009A2BD3">
        <w:rPr>
          <w:rStyle w:val="BookTitle"/>
          <w:rFonts w:eastAsiaTheme="majorEastAsia"/>
          <w:vertAlign w:val="superscript"/>
        </w:rPr>
        <w:t>5</w:t>
      </w:r>
    </w:p>
    <w:p w:rsidR="00262F9B" w:rsidRPr="00501E3F" w:rsidRDefault="00262F9B" w:rsidP="00262F9B">
      <w:pPr>
        <w:pStyle w:val="Bullet1"/>
        <w:numPr>
          <w:ilvl w:val="0"/>
          <w:numId w:val="8"/>
        </w:numPr>
      </w:pPr>
      <w:r>
        <w:t>Hypotension – concomitant vasopressor use may be required</w:t>
      </w:r>
      <w:r>
        <w:rPr>
          <w:vertAlign w:val="superscript"/>
        </w:rPr>
        <w:t>5</w:t>
      </w:r>
    </w:p>
    <w:p w:rsidR="00262F9B" w:rsidRPr="00262F9B" w:rsidRDefault="00262F9B" w:rsidP="00262F9B">
      <w:pPr>
        <w:pStyle w:val="Bullet1"/>
        <w:numPr>
          <w:ilvl w:val="0"/>
          <w:numId w:val="8"/>
        </w:numPr>
        <w:rPr>
          <w:rFonts w:eastAsiaTheme="majorEastAsia"/>
        </w:rPr>
      </w:pPr>
      <w:r w:rsidRPr="009A2BD3">
        <w:rPr>
          <w:rStyle w:val="BookTitle"/>
          <w:rFonts w:eastAsiaTheme="majorEastAsia"/>
        </w:rPr>
        <w:t>Mild thrombocytopenia</w:t>
      </w:r>
      <w:r w:rsidR="00525271">
        <w:rPr>
          <w:rStyle w:val="BookTitle"/>
          <w:rFonts w:eastAsiaTheme="majorEastAsia"/>
        </w:rPr>
        <w:t>.</w:t>
      </w:r>
      <w:r w:rsidRPr="009A2BD3">
        <w:rPr>
          <w:rStyle w:val="BookTitle"/>
          <w:rFonts w:eastAsiaTheme="majorEastAsia"/>
          <w:vertAlign w:val="superscript"/>
        </w:rPr>
        <w:t>5</w:t>
      </w:r>
    </w:p>
    <w:p w:rsidR="00262F9B" w:rsidRPr="00C4312A" w:rsidRDefault="00262F9B" w:rsidP="00262F9B">
      <w:pPr>
        <w:pStyle w:val="Heading2"/>
        <w:rPr>
          <w:lang w:val="en-US"/>
        </w:rPr>
      </w:pPr>
      <w:r w:rsidRPr="00C4312A">
        <w:rPr>
          <w:lang w:val="en-US"/>
        </w:rPr>
        <w:t>Compatibilities</w:t>
      </w:r>
    </w:p>
    <w:p w:rsidR="00262F9B" w:rsidRPr="00C4312A" w:rsidRDefault="00262F9B" w:rsidP="00262F9B">
      <w:pPr>
        <w:pStyle w:val="Normalfollowingheading"/>
        <w:rPr>
          <w:lang w:val="en-US"/>
        </w:rPr>
      </w:pPr>
      <w:r w:rsidRPr="005A2B55">
        <w:t xml:space="preserve">Consult the following references, which are available online through the </w:t>
      </w:r>
      <w:hyperlink r:id="rId8" w:history="1">
        <w:r w:rsidRPr="005A2B55">
          <w:t>Clinicians Health Channel</w:t>
        </w:r>
      </w:hyperlink>
      <w:r w:rsidRPr="009415FF">
        <w:t>:</w:t>
      </w:r>
    </w:p>
    <w:p w:rsidR="00262F9B" w:rsidRPr="005A2B55" w:rsidRDefault="00262F9B" w:rsidP="00262F9B">
      <w:pPr>
        <w:pStyle w:val="Bullet1"/>
        <w:numPr>
          <w:ilvl w:val="0"/>
          <w:numId w:val="8"/>
        </w:numPr>
        <w:rPr>
          <w:rStyle w:val="BookTitle"/>
          <w:rFonts w:eastAsiaTheme="majorEastAsia"/>
        </w:rPr>
      </w:pPr>
      <w:r w:rsidRPr="005A2B55">
        <w:rPr>
          <w:rStyle w:val="BookTitle"/>
          <w:rFonts w:eastAsiaTheme="majorEastAsia"/>
        </w:rPr>
        <w:t>Australian injectable drugs handbook</w:t>
      </w:r>
    </w:p>
    <w:p w:rsidR="00262F9B" w:rsidRPr="00262F9B" w:rsidRDefault="00262F9B" w:rsidP="00262F9B">
      <w:pPr>
        <w:pStyle w:val="Bullet1"/>
        <w:numPr>
          <w:ilvl w:val="0"/>
          <w:numId w:val="8"/>
        </w:numPr>
        <w:rPr>
          <w:rFonts w:eastAsiaTheme="majorEastAsia"/>
        </w:rPr>
      </w:pPr>
      <w:proofErr w:type="spellStart"/>
      <w:r w:rsidRPr="005A2B55">
        <w:rPr>
          <w:rStyle w:val="BookTitle"/>
          <w:rFonts w:eastAsiaTheme="majorEastAsia"/>
        </w:rPr>
        <w:t>Trissel’s</w:t>
      </w:r>
      <w:proofErr w:type="spellEnd"/>
      <w:r w:rsidRPr="005A2B55">
        <w:rPr>
          <w:rStyle w:val="BookTitle"/>
          <w:rFonts w:eastAsiaTheme="majorEastAsia"/>
        </w:rPr>
        <w:t>™ in IV compatibility (Micromedex) – from the site homepage, select the ‘IV Compatibility’ tab</w:t>
      </w:r>
      <w:r w:rsidR="00525271">
        <w:rPr>
          <w:rStyle w:val="BookTitle"/>
          <w:rFonts w:eastAsiaTheme="majorEastAsia"/>
        </w:rPr>
        <w:t>.</w:t>
      </w:r>
    </w:p>
    <w:p w:rsidR="00262F9B" w:rsidRPr="008E4F7A" w:rsidRDefault="00262F9B" w:rsidP="00262F9B">
      <w:pPr>
        <w:pStyle w:val="Heading2"/>
        <w:rPr>
          <w:rStyle w:val="BookTitle"/>
          <w:vertAlign w:val="superscript"/>
        </w:rPr>
      </w:pPr>
      <w:r w:rsidRPr="00C4312A">
        <w:rPr>
          <w:lang w:val="en-US"/>
        </w:rPr>
        <w:t xml:space="preserve">Important drug interactions </w:t>
      </w:r>
    </w:p>
    <w:p w:rsidR="00262F9B" w:rsidRDefault="00262F9B" w:rsidP="00262F9B">
      <w:pPr>
        <w:pStyle w:val="Normalfollowingheading"/>
      </w:pPr>
      <w:r w:rsidRPr="00A04C28">
        <w:rPr>
          <w:b/>
        </w:rPr>
        <w:t>Anagrelide</w:t>
      </w:r>
      <w:r>
        <w:t xml:space="preserve"> or </w:t>
      </w:r>
      <w:r w:rsidRPr="00A04C28">
        <w:rPr>
          <w:b/>
        </w:rPr>
        <w:t>cilostazol</w:t>
      </w:r>
      <w:r>
        <w:t xml:space="preserve"> are </w:t>
      </w:r>
      <w:r w:rsidRPr="009A2BD3">
        <w:rPr>
          <w:rStyle w:val="BookTitle"/>
        </w:rPr>
        <w:t>agents</w:t>
      </w:r>
      <w:r>
        <w:t xml:space="preserve"> that also inhibit phosphodiesterase III and, in combination with milrinone, may increase the risk of adverse effects.</w:t>
      </w:r>
      <w:r>
        <w:rPr>
          <w:vertAlign w:val="superscript"/>
        </w:rPr>
        <w:t>5,11</w:t>
      </w:r>
    </w:p>
    <w:p w:rsidR="00262F9B" w:rsidRDefault="00262F9B">
      <w:pPr>
        <w:rPr>
          <w:rFonts w:ascii="VIC SemiBold" w:eastAsiaTheme="majorEastAsia" w:hAnsi="VIC SemiBold" w:cstheme="majorBidi"/>
          <w:bCs/>
          <w:color w:val="000000" w:themeColor="text1"/>
          <w:sz w:val="24"/>
          <w:szCs w:val="22"/>
        </w:rPr>
      </w:pPr>
      <w:r>
        <w:br w:type="page"/>
      </w:r>
    </w:p>
    <w:p w:rsidR="00262F9B" w:rsidRPr="00C4312A" w:rsidRDefault="00262F9B" w:rsidP="005C619A">
      <w:pPr>
        <w:pStyle w:val="Heading2"/>
      </w:pPr>
      <w:r w:rsidRPr="00C4312A">
        <w:lastRenderedPageBreak/>
        <w:t>References</w:t>
      </w:r>
    </w:p>
    <w:p w:rsidR="00262F9B" w:rsidRPr="00262F9B" w:rsidRDefault="00262F9B" w:rsidP="00262F9B">
      <w:pPr>
        <w:pStyle w:val="References"/>
        <w:contextualSpacing w:val="0"/>
        <w:rPr>
          <w:rFonts w:ascii="VIC" w:hAnsi="VIC"/>
          <w:sz w:val="16"/>
        </w:rPr>
      </w:pPr>
      <w:r w:rsidRPr="00262F9B">
        <w:rPr>
          <w:rFonts w:ascii="VIC" w:hAnsi="VIC"/>
          <w:sz w:val="16"/>
        </w:rPr>
        <w:t>Micromedex [online] (accessed 29 November 2017)</w:t>
      </w:r>
    </w:p>
    <w:p w:rsidR="00262F9B" w:rsidRPr="00262F9B" w:rsidRDefault="00262F9B" w:rsidP="00262F9B">
      <w:pPr>
        <w:pStyle w:val="References"/>
        <w:contextualSpacing w:val="0"/>
        <w:rPr>
          <w:rFonts w:ascii="VIC" w:hAnsi="VIC"/>
          <w:sz w:val="16"/>
        </w:rPr>
      </w:pPr>
      <w:r w:rsidRPr="00262F9B">
        <w:rPr>
          <w:rFonts w:ascii="VIC" w:hAnsi="VIC"/>
          <w:sz w:val="16"/>
        </w:rPr>
        <w:t>MIMS [online] (accessed 29 November 2017)</w:t>
      </w:r>
    </w:p>
    <w:p w:rsidR="00262F9B" w:rsidRPr="00262F9B" w:rsidRDefault="00262F9B" w:rsidP="00262F9B">
      <w:pPr>
        <w:pStyle w:val="References"/>
        <w:contextualSpacing w:val="0"/>
        <w:rPr>
          <w:rFonts w:ascii="VIC" w:hAnsi="VIC"/>
          <w:sz w:val="16"/>
        </w:rPr>
      </w:pPr>
      <w:r w:rsidRPr="00262F9B">
        <w:rPr>
          <w:rFonts w:ascii="VIC" w:hAnsi="VIC"/>
          <w:sz w:val="16"/>
        </w:rPr>
        <w:t xml:space="preserve">Shipley J, Tolman D, </w:t>
      </w:r>
      <w:proofErr w:type="spellStart"/>
      <w:r w:rsidRPr="00262F9B">
        <w:rPr>
          <w:rFonts w:ascii="VIC" w:hAnsi="VIC"/>
          <w:sz w:val="16"/>
        </w:rPr>
        <w:t>Hastillo</w:t>
      </w:r>
      <w:proofErr w:type="spellEnd"/>
      <w:r w:rsidRPr="00262F9B">
        <w:rPr>
          <w:rFonts w:ascii="VIC" w:hAnsi="VIC"/>
          <w:sz w:val="16"/>
        </w:rPr>
        <w:t xml:space="preserve"> A,</w:t>
      </w:r>
      <w:r w:rsidRPr="00262F9B">
        <w:rPr>
          <w:rFonts w:ascii="VIC" w:hAnsi="VIC" w:cs="Arial"/>
          <w:color w:val="545454"/>
          <w:sz w:val="16"/>
          <w:shd w:val="clear" w:color="auto" w:fill="FFFFFF"/>
        </w:rPr>
        <w:t xml:space="preserve"> </w:t>
      </w:r>
      <w:r w:rsidRPr="00262F9B">
        <w:rPr>
          <w:rFonts w:ascii="VIC" w:hAnsi="VIC"/>
          <w:sz w:val="16"/>
        </w:rPr>
        <w:t>et al. Milrinone: basic and clinical pharmacology and acute and chronic management. The American Journal of the Medical Sciences 1996; 311(6):286–291</w:t>
      </w:r>
    </w:p>
    <w:p w:rsidR="00262F9B" w:rsidRPr="00262F9B" w:rsidRDefault="00262F9B" w:rsidP="00262F9B">
      <w:pPr>
        <w:pStyle w:val="References"/>
        <w:contextualSpacing w:val="0"/>
        <w:rPr>
          <w:rFonts w:ascii="VIC" w:hAnsi="VIC"/>
          <w:sz w:val="16"/>
        </w:rPr>
      </w:pPr>
      <w:r w:rsidRPr="00262F9B">
        <w:rPr>
          <w:rFonts w:ascii="VIC" w:hAnsi="VIC"/>
          <w:sz w:val="16"/>
        </w:rPr>
        <w:t>Lexicomp [online] (accessed 29 November 2017)</w:t>
      </w:r>
    </w:p>
    <w:p w:rsidR="00262F9B" w:rsidRPr="00262F9B" w:rsidRDefault="00262F9B" w:rsidP="00262F9B">
      <w:pPr>
        <w:pStyle w:val="References"/>
        <w:contextualSpacing w:val="0"/>
        <w:rPr>
          <w:rFonts w:ascii="VIC" w:hAnsi="VIC"/>
          <w:sz w:val="16"/>
        </w:rPr>
      </w:pPr>
      <w:r w:rsidRPr="00262F9B">
        <w:rPr>
          <w:rFonts w:ascii="VIC" w:hAnsi="VIC"/>
          <w:sz w:val="16"/>
        </w:rPr>
        <w:t>Australian medicines handbook [online] (accessed 29 November 2017)</w:t>
      </w:r>
    </w:p>
    <w:p w:rsidR="00262F9B" w:rsidRPr="00262F9B" w:rsidRDefault="00262F9B" w:rsidP="00262F9B">
      <w:pPr>
        <w:pStyle w:val="References"/>
        <w:contextualSpacing w:val="0"/>
        <w:rPr>
          <w:rFonts w:ascii="VIC" w:hAnsi="VIC"/>
          <w:sz w:val="16"/>
        </w:rPr>
      </w:pPr>
      <w:r w:rsidRPr="00262F9B">
        <w:rPr>
          <w:rFonts w:ascii="VIC" w:hAnsi="VIC"/>
          <w:sz w:val="16"/>
        </w:rPr>
        <w:t>Australian injectable drugs handbook (AIDH) [online] (accessed 17 October 2017)</w:t>
      </w:r>
    </w:p>
    <w:p w:rsidR="00262F9B" w:rsidRPr="00262F9B" w:rsidRDefault="00262F9B" w:rsidP="00262F9B">
      <w:pPr>
        <w:pStyle w:val="References"/>
        <w:contextualSpacing w:val="0"/>
        <w:rPr>
          <w:rFonts w:ascii="VIC" w:hAnsi="VIC"/>
          <w:sz w:val="16"/>
        </w:rPr>
      </w:pPr>
      <w:r w:rsidRPr="00262F9B">
        <w:rPr>
          <w:rFonts w:ascii="VIC" w:hAnsi="VIC"/>
          <w:sz w:val="16"/>
        </w:rPr>
        <w:t xml:space="preserve">University College London Hospitals (UCL). UCL hospitals injectable medicines administration guide: pharmacy department, 3rd </w:t>
      </w:r>
      <w:proofErr w:type="spellStart"/>
      <w:r w:rsidRPr="00262F9B">
        <w:rPr>
          <w:rFonts w:ascii="VIC" w:hAnsi="VIC"/>
          <w:sz w:val="16"/>
        </w:rPr>
        <w:t>edn</w:t>
      </w:r>
      <w:proofErr w:type="spellEnd"/>
      <w:r w:rsidRPr="00262F9B">
        <w:rPr>
          <w:rFonts w:ascii="VIC" w:hAnsi="VIC"/>
          <w:sz w:val="16"/>
        </w:rPr>
        <w:t>. Wiley-Blackwell, Chichester, 2013</w:t>
      </w:r>
    </w:p>
    <w:p w:rsidR="00262F9B" w:rsidRPr="00262F9B" w:rsidRDefault="00262F9B" w:rsidP="00262F9B">
      <w:pPr>
        <w:pStyle w:val="References"/>
        <w:contextualSpacing w:val="0"/>
        <w:rPr>
          <w:rFonts w:ascii="VIC" w:hAnsi="VIC"/>
          <w:sz w:val="16"/>
        </w:rPr>
      </w:pPr>
      <w:r w:rsidRPr="00262F9B">
        <w:rPr>
          <w:rFonts w:ascii="VIC" w:hAnsi="VIC"/>
          <w:sz w:val="16"/>
        </w:rPr>
        <w:t xml:space="preserve">Baruch L, </w:t>
      </w:r>
      <w:proofErr w:type="spellStart"/>
      <w:r w:rsidRPr="00262F9B">
        <w:rPr>
          <w:rFonts w:ascii="VIC" w:hAnsi="VIC"/>
          <w:sz w:val="16"/>
        </w:rPr>
        <w:t>Patacsil</w:t>
      </w:r>
      <w:proofErr w:type="spellEnd"/>
      <w:r w:rsidRPr="00262F9B">
        <w:rPr>
          <w:rFonts w:ascii="VIC" w:hAnsi="VIC"/>
          <w:sz w:val="16"/>
        </w:rPr>
        <w:t xml:space="preserve"> P, Hameed A, et al, Pharmacodynamic effects of milrinone with and without a bolus loading infusion. American Heart Journal, 2001;141(2):266–273</w:t>
      </w:r>
    </w:p>
    <w:p w:rsidR="00262F9B" w:rsidRPr="00262F9B" w:rsidRDefault="00262F9B" w:rsidP="00262F9B">
      <w:pPr>
        <w:pStyle w:val="References"/>
        <w:contextualSpacing w:val="0"/>
        <w:rPr>
          <w:rFonts w:ascii="VIC" w:hAnsi="VIC"/>
          <w:sz w:val="16"/>
        </w:rPr>
      </w:pPr>
      <w:r w:rsidRPr="00262F9B">
        <w:rPr>
          <w:rFonts w:ascii="VIC" w:hAnsi="VIC"/>
          <w:sz w:val="16"/>
        </w:rPr>
        <w:t>Yancy C, Jessup M, Bozkurt B, et al. 2013 ACCF/AHA guideline for the management of heart failure: a report of the American College of Cardiology Foundation/American Heart Association Task Force on Practice Guidelines. Journal of the American College of Cardiology 2013; 62(16</w:t>
      </w:r>
      <w:proofErr w:type="gramStart"/>
      <w:r w:rsidRPr="00262F9B">
        <w:rPr>
          <w:rFonts w:ascii="VIC" w:hAnsi="VIC"/>
          <w:sz w:val="16"/>
        </w:rPr>
        <w:t>):e</w:t>
      </w:r>
      <w:proofErr w:type="gramEnd"/>
      <w:r w:rsidRPr="00262F9B">
        <w:rPr>
          <w:rFonts w:ascii="VIC" w:hAnsi="VIC"/>
          <w:sz w:val="16"/>
        </w:rPr>
        <w:t>147–239</w:t>
      </w:r>
    </w:p>
    <w:p w:rsidR="00262F9B" w:rsidRPr="00262F9B" w:rsidRDefault="00262F9B" w:rsidP="00262F9B">
      <w:pPr>
        <w:pStyle w:val="References"/>
        <w:contextualSpacing w:val="0"/>
        <w:rPr>
          <w:rFonts w:ascii="VIC" w:hAnsi="VIC"/>
          <w:sz w:val="16"/>
        </w:rPr>
      </w:pPr>
      <w:r w:rsidRPr="00262F9B">
        <w:rPr>
          <w:rFonts w:ascii="VIC" w:hAnsi="VIC"/>
          <w:sz w:val="16"/>
        </w:rPr>
        <w:t xml:space="preserve">Kane-Gill S, </w:t>
      </w:r>
      <w:proofErr w:type="spellStart"/>
      <w:r w:rsidRPr="00262F9B">
        <w:rPr>
          <w:rFonts w:ascii="VIC" w:hAnsi="VIC"/>
          <w:sz w:val="16"/>
        </w:rPr>
        <w:t>Dasta</w:t>
      </w:r>
      <w:proofErr w:type="spellEnd"/>
      <w:r w:rsidRPr="00262F9B">
        <w:rPr>
          <w:rFonts w:ascii="VIC" w:hAnsi="VIC"/>
          <w:sz w:val="16"/>
        </w:rPr>
        <w:t xml:space="preserve"> J-F (</w:t>
      </w:r>
      <w:proofErr w:type="spellStart"/>
      <w:r w:rsidRPr="00262F9B">
        <w:rPr>
          <w:rFonts w:ascii="VIC" w:hAnsi="VIC"/>
          <w:sz w:val="16"/>
        </w:rPr>
        <w:t>eds</w:t>
      </w:r>
      <w:proofErr w:type="spellEnd"/>
      <w:r w:rsidRPr="00262F9B">
        <w:rPr>
          <w:rFonts w:ascii="VIC" w:hAnsi="VIC"/>
          <w:sz w:val="16"/>
        </w:rPr>
        <w:t>). High-risk IV medications in special patient populations. Springer, London, 2011</w:t>
      </w:r>
    </w:p>
    <w:tbl>
      <w:tblPr>
        <w:tblStyle w:val="SCVInformationTable"/>
        <w:tblpPr w:leftFromText="181" w:rightFromText="181" w:vertAnchor="page" w:horzAnchor="margin" w:tblpY="13778"/>
        <w:tblW w:w="10603" w:type="dxa"/>
        <w:shd w:val="clear" w:color="auto" w:fill="F2F2F3"/>
        <w:tblLook w:val="0600" w:firstRow="0" w:lastRow="0" w:firstColumn="0" w:lastColumn="0" w:noHBand="1" w:noVBand="1"/>
      </w:tblPr>
      <w:tblGrid>
        <w:gridCol w:w="3955"/>
        <w:gridCol w:w="3955"/>
        <w:gridCol w:w="2693"/>
      </w:tblGrid>
      <w:tr w:rsidR="00740975" w:rsidRPr="00736C0C" w:rsidTr="00740975">
        <w:trPr>
          <w:trHeight w:val="1531"/>
        </w:trPr>
        <w:tc>
          <w:tcPr>
            <w:tcW w:w="3955" w:type="dxa"/>
            <w:tcMar>
              <w:left w:w="113" w:type="dxa"/>
            </w:tcMar>
          </w:tcPr>
          <w:p w:rsidR="00740975" w:rsidRPr="00736C0C" w:rsidRDefault="00740975" w:rsidP="00740975">
            <w:pPr>
              <w:spacing w:line="235" w:lineRule="auto"/>
            </w:pPr>
            <w:r w:rsidRPr="00292213">
              <w:rPr>
                <w:sz w:val="24"/>
              </w:rPr>
              <w:t xml:space="preserve">To receive this publication in </w:t>
            </w:r>
            <w:r w:rsidRPr="00292213">
              <w:rPr>
                <w:sz w:val="24"/>
              </w:rPr>
              <w:br/>
              <w:t xml:space="preserve">an accessible format phone </w:t>
            </w:r>
            <w:r>
              <w:rPr>
                <w:sz w:val="24"/>
              </w:rPr>
              <w:t>9096 1384</w:t>
            </w:r>
            <w:r w:rsidRPr="00292213">
              <w:rPr>
                <w:sz w:val="24"/>
              </w:rPr>
              <w:t xml:space="preserve">, using the National Relay Service 13 36 77 if required, or email </w:t>
            </w:r>
            <w:r w:rsidRPr="00292213">
              <w:rPr>
                <w:b/>
                <w:sz w:val="24"/>
              </w:rPr>
              <w:t>info@safercare.vic.gov.au</w:t>
            </w:r>
          </w:p>
        </w:tc>
        <w:tc>
          <w:tcPr>
            <w:tcW w:w="3955" w:type="dxa"/>
          </w:tcPr>
          <w:p w:rsidR="00740975" w:rsidRDefault="00740975" w:rsidP="00740975">
            <w:pPr>
              <w:spacing w:line="230" w:lineRule="auto"/>
              <w:rPr>
                <w:sz w:val="13"/>
                <w:szCs w:val="13"/>
              </w:rPr>
            </w:pPr>
            <w:r w:rsidRPr="00292213">
              <w:rPr>
                <w:sz w:val="13"/>
                <w:szCs w:val="13"/>
              </w:rPr>
              <w:t>Printed copies of this document may not be the most recent version.</w:t>
            </w:r>
          </w:p>
          <w:p w:rsidR="00740975" w:rsidRPr="007A4444" w:rsidRDefault="00740975" w:rsidP="00740975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>Authorised and published by the Victorian Government, 1 Treasury Place, Melbourne.</w:t>
            </w:r>
          </w:p>
          <w:p w:rsidR="00740975" w:rsidRDefault="00740975" w:rsidP="00740975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 xml:space="preserve">© State of Victoria, Australia, Safer Care Victoria, </w:t>
            </w:r>
            <w:r>
              <w:rPr>
                <w:sz w:val="13"/>
                <w:szCs w:val="13"/>
              </w:rPr>
              <w:t xml:space="preserve">December </w:t>
            </w:r>
            <w:r w:rsidRPr="007A4444">
              <w:rPr>
                <w:sz w:val="13"/>
                <w:szCs w:val="13"/>
              </w:rPr>
              <w:t xml:space="preserve">2018 </w:t>
            </w:r>
          </w:p>
          <w:p w:rsidR="00740975" w:rsidRPr="007A4444" w:rsidRDefault="00740975" w:rsidP="00740975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>ISBN</w:t>
            </w:r>
            <w:r>
              <w:rPr>
                <w:sz w:val="13"/>
                <w:szCs w:val="13"/>
              </w:rPr>
              <w:t xml:space="preserve"> </w:t>
            </w:r>
            <w:r w:rsidR="00627FBD" w:rsidRPr="00627FBD">
              <w:rPr>
                <w:rFonts w:cs="Arial"/>
                <w:sz w:val="12"/>
              </w:rPr>
              <w:t>978-1-76069-720-</w:t>
            </w:r>
            <w:proofErr w:type="gramStart"/>
            <w:r w:rsidR="00627FBD" w:rsidRPr="00627FBD">
              <w:rPr>
                <w:rFonts w:cs="Arial"/>
                <w:sz w:val="12"/>
              </w:rPr>
              <w:t>4</w:t>
            </w:r>
            <w:r w:rsidR="00627FBD" w:rsidRPr="00627FBD">
              <w:rPr>
                <w:rFonts w:ascii="Arial" w:hAnsi="Arial" w:cs="Arial"/>
                <w:b/>
                <w:bCs/>
                <w:sz w:val="12"/>
              </w:rPr>
              <w:t> </w:t>
            </w:r>
            <w:r w:rsidRPr="00627FBD">
              <w:rPr>
                <w:sz w:val="5"/>
                <w:szCs w:val="13"/>
              </w:rPr>
              <w:t xml:space="preserve"> </w:t>
            </w:r>
            <w:r w:rsidRPr="007A4444">
              <w:rPr>
                <w:sz w:val="13"/>
                <w:szCs w:val="13"/>
              </w:rPr>
              <w:t>(</w:t>
            </w:r>
            <w:proofErr w:type="gramEnd"/>
            <w:r w:rsidRPr="007A4444">
              <w:rPr>
                <w:sz w:val="13"/>
                <w:szCs w:val="13"/>
              </w:rPr>
              <w:t>online/print)</w:t>
            </w:r>
          </w:p>
          <w:p w:rsidR="00740975" w:rsidRDefault="00740975" w:rsidP="00740975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 xml:space="preserve">Available at </w:t>
            </w:r>
            <w:hyperlink r:id="rId9" w:history="1">
              <w:r w:rsidRPr="002C713F">
                <w:rPr>
                  <w:rStyle w:val="Hyperlink"/>
                  <w:sz w:val="13"/>
                  <w:szCs w:val="13"/>
                </w:rPr>
                <w:t>www.safercare.vic.gov.au</w:t>
              </w:r>
            </w:hyperlink>
          </w:p>
          <w:p w:rsidR="00740975" w:rsidRPr="007A4444" w:rsidRDefault="00740975" w:rsidP="00740975">
            <w:pPr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Email criticalcare.clinicalnetwork@safercare.vic.gov.au</w:t>
            </w:r>
          </w:p>
        </w:tc>
        <w:tc>
          <w:tcPr>
            <w:tcW w:w="2693" w:type="dxa"/>
          </w:tcPr>
          <w:p w:rsidR="00740975" w:rsidRPr="00736C0C" w:rsidRDefault="00740975" w:rsidP="00740975">
            <w:pPr>
              <w:rPr>
                <w:szCs w:val="15"/>
              </w:rPr>
            </w:pPr>
            <w:r>
              <w:rPr>
                <w:noProof/>
                <w:szCs w:val="15"/>
              </w:rPr>
              <w:drawing>
                <wp:inline distT="0" distB="0" distL="0" distR="0" wp14:anchorId="7F438343" wp14:editId="5C0F8EBC">
                  <wp:extent cx="972000" cy="558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tat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E5B" w:rsidRPr="00262F9B" w:rsidRDefault="00262F9B" w:rsidP="00262F9B">
      <w:pPr>
        <w:pStyle w:val="References"/>
        <w:contextualSpacing w:val="0"/>
        <w:rPr>
          <w:rFonts w:ascii="VIC" w:hAnsi="VIC"/>
          <w:sz w:val="16"/>
        </w:rPr>
      </w:pPr>
      <w:r w:rsidRPr="00262F9B">
        <w:rPr>
          <w:rFonts w:ascii="VIC" w:hAnsi="VIC"/>
          <w:sz w:val="16"/>
        </w:rPr>
        <w:t>Stockley’s drug interactions [online] (accessed 29 November 2017)</w:t>
      </w:r>
    </w:p>
    <w:p w:rsidR="007A4444" w:rsidRPr="00D1323F" w:rsidRDefault="007A4444" w:rsidP="00D1323F">
      <w:pPr>
        <w:pStyle w:val="NoSpacing"/>
        <w:rPr>
          <w:sz w:val="10"/>
          <w:szCs w:val="16"/>
        </w:rPr>
        <w:sectPr w:rsidR="007A4444" w:rsidRPr="00D1323F" w:rsidSect="000905F7">
          <w:headerReference w:type="first" r:id="rId11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:rsidR="00897157" w:rsidRDefault="00897157" w:rsidP="00D1323F">
      <w:pPr>
        <w:spacing w:before="0" w:after="0" w:line="240" w:lineRule="auto"/>
        <w:rPr>
          <w:sz w:val="10"/>
          <w:szCs w:val="16"/>
        </w:rPr>
      </w:pPr>
    </w:p>
    <w:p w:rsidR="005C619A" w:rsidRDefault="005C619A" w:rsidP="005C619A">
      <w:pPr>
        <w:pStyle w:val="Heading2"/>
        <w:sectPr w:rsidR="005C619A" w:rsidSect="000905F7"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</w:p>
    <w:p w:rsidR="005C619A" w:rsidRDefault="005C619A" w:rsidP="005C619A">
      <w:pPr>
        <w:pStyle w:val="Heading2"/>
      </w:pPr>
      <w:r>
        <w:t>Acknowledgements</w:t>
      </w:r>
    </w:p>
    <w:p w:rsidR="005C619A" w:rsidRPr="005C619A" w:rsidRDefault="005C619A" w:rsidP="005C619A">
      <w:pPr>
        <w:pStyle w:val="Normalfollowingheading"/>
      </w:pPr>
      <w:r w:rsidRPr="005C619A">
        <w:t xml:space="preserve">We would like to thank the pharmacists involved in writing the guidelines: Melissa </w:t>
      </w:r>
      <w:proofErr w:type="spellStart"/>
      <w:r w:rsidRPr="005C619A">
        <w:t>Ankravs</w:t>
      </w:r>
      <w:proofErr w:type="spellEnd"/>
      <w:r w:rsidRPr="005C619A">
        <w:t xml:space="preserve">, Melanie Kowalski, Rachel Fyfe, Robyn Ingram, </w:t>
      </w:r>
      <w:proofErr w:type="spellStart"/>
      <w:r w:rsidRPr="005C619A">
        <w:t>Annalie</w:t>
      </w:r>
      <w:proofErr w:type="spellEnd"/>
      <w:r w:rsidRPr="005C619A">
        <w:t xml:space="preserve"> Jones, Susan </w:t>
      </w:r>
      <w:proofErr w:type="spellStart"/>
      <w:r w:rsidRPr="005C619A">
        <w:t>Trevillian</w:t>
      </w:r>
      <w:proofErr w:type="spellEnd"/>
      <w:r w:rsidRPr="005C619A">
        <w:t>, and Lucy Sharrock.</w:t>
      </w:r>
      <w:bookmarkStart w:id="0" w:name="_GoBack"/>
      <w:bookmarkEnd w:id="0"/>
    </w:p>
    <w:sectPr w:rsidR="005C619A" w:rsidRPr="005C619A" w:rsidSect="005C619A">
      <w:type w:val="continuous"/>
      <w:pgSz w:w="11906" w:h="16838" w:code="9"/>
      <w:pgMar w:top="2438" w:right="737" w:bottom="680" w:left="737" w:header="539" w:footer="62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97F" w:rsidRDefault="002A797F" w:rsidP="002A797F">
      <w:r>
        <w:separator/>
      </w:r>
    </w:p>
  </w:endnote>
  <w:endnote w:type="continuationSeparator" w:id="0">
    <w:p w:rsidR="002A797F" w:rsidRDefault="002A797F" w:rsidP="002A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00"/>
    <w:family w:val="swiss"/>
    <w:pitch w:val="variable"/>
    <w:sig w:usb0="00000001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97F" w:rsidRDefault="002A797F" w:rsidP="002A797F"/>
  </w:footnote>
  <w:footnote w:type="continuationSeparator" w:id="0">
    <w:p w:rsidR="002A797F" w:rsidRDefault="002A797F" w:rsidP="002A7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5F7" w:rsidRDefault="000905F7" w:rsidP="002A797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8BF70A" wp14:editId="0490F5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22800" cy="120600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0B4"/>
    <w:multiLevelType w:val="multilevel"/>
    <w:tmpl w:val="C58AD904"/>
    <w:lvl w:ilvl="0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10791"/>
    <w:multiLevelType w:val="hybridMultilevel"/>
    <w:tmpl w:val="16AC4B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341E0ED3"/>
    <w:multiLevelType w:val="hybridMultilevel"/>
    <w:tmpl w:val="E3C8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700BF"/>
    <w:multiLevelType w:val="hybridMultilevel"/>
    <w:tmpl w:val="9918C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93A12AA"/>
    <w:multiLevelType w:val="multilevel"/>
    <w:tmpl w:val="3DBE2574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461135B8"/>
    <w:multiLevelType w:val="hybridMultilevel"/>
    <w:tmpl w:val="2AA8B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F3703"/>
    <w:multiLevelType w:val="hybridMultilevel"/>
    <w:tmpl w:val="62085E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72D2"/>
    <w:multiLevelType w:val="hybridMultilevel"/>
    <w:tmpl w:val="7952C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7ED50557"/>
    <w:multiLevelType w:val="hybridMultilevel"/>
    <w:tmpl w:val="FB603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4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  <w:num w:numId="15">
    <w:abstractNumId w:val="11"/>
  </w:num>
  <w:num w:numId="16">
    <w:abstractNumId w:val="1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7F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64E2D"/>
    <w:rsid w:val="00072279"/>
    <w:rsid w:val="00073407"/>
    <w:rsid w:val="00075E6C"/>
    <w:rsid w:val="00081C12"/>
    <w:rsid w:val="00087D42"/>
    <w:rsid w:val="000905F7"/>
    <w:rsid w:val="000B29AD"/>
    <w:rsid w:val="000B31A6"/>
    <w:rsid w:val="000C6372"/>
    <w:rsid w:val="000D7841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637A"/>
    <w:rsid w:val="001422CC"/>
    <w:rsid w:val="00145346"/>
    <w:rsid w:val="00155FB0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7AEB"/>
    <w:rsid w:val="00204B82"/>
    <w:rsid w:val="00207E25"/>
    <w:rsid w:val="00212987"/>
    <w:rsid w:val="00222BEB"/>
    <w:rsid w:val="00225E60"/>
    <w:rsid w:val="00230BBB"/>
    <w:rsid w:val="0023202C"/>
    <w:rsid w:val="00234619"/>
    <w:rsid w:val="00235BE2"/>
    <w:rsid w:val="00245043"/>
    <w:rsid w:val="0025110D"/>
    <w:rsid w:val="0026028E"/>
    <w:rsid w:val="00262F9B"/>
    <w:rsid w:val="00284FA2"/>
    <w:rsid w:val="00292213"/>
    <w:rsid w:val="00292D36"/>
    <w:rsid w:val="00294A5A"/>
    <w:rsid w:val="00297281"/>
    <w:rsid w:val="00297A47"/>
    <w:rsid w:val="002A5891"/>
    <w:rsid w:val="002A797F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0B22"/>
    <w:rsid w:val="002F2953"/>
    <w:rsid w:val="0031149C"/>
    <w:rsid w:val="0036778F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F3F4E"/>
    <w:rsid w:val="00510167"/>
    <w:rsid w:val="00513E86"/>
    <w:rsid w:val="00523901"/>
    <w:rsid w:val="00525271"/>
    <w:rsid w:val="005306A2"/>
    <w:rsid w:val="0053416C"/>
    <w:rsid w:val="00541C2F"/>
    <w:rsid w:val="00552DE4"/>
    <w:rsid w:val="00563527"/>
    <w:rsid w:val="00567B1F"/>
    <w:rsid w:val="0057407A"/>
    <w:rsid w:val="0058124E"/>
    <w:rsid w:val="005875A3"/>
    <w:rsid w:val="00593129"/>
    <w:rsid w:val="005953EA"/>
    <w:rsid w:val="005A3416"/>
    <w:rsid w:val="005B061F"/>
    <w:rsid w:val="005B27FE"/>
    <w:rsid w:val="005B76DF"/>
    <w:rsid w:val="005B79CB"/>
    <w:rsid w:val="005C619A"/>
    <w:rsid w:val="005E08D7"/>
    <w:rsid w:val="005E4C16"/>
    <w:rsid w:val="005E5947"/>
    <w:rsid w:val="005F61DF"/>
    <w:rsid w:val="0060163A"/>
    <w:rsid w:val="006023F9"/>
    <w:rsid w:val="00610559"/>
    <w:rsid w:val="00614076"/>
    <w:rsid w:val="00627FBD"/>
    <w:rsid w:val="00632F2E"/>
    <w:rsid w:val="006332F6"/>
    <w:rsid w:val="006413F2"/>
    <w:rsid w:val="006534B2"/>
    <w:rsid w:val="0065615D"/>
    <w:rsid w:val="00657011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4720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0975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D5F9E"/>
    <w:rsid w:val="007E098F"/>
    <w:rsid w:val="007E3BA2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A4900"/>
    <w:rsid w:val="008A55FE"/>
    <w:rsid w:val="008A58D2"/>
    <w:rsid w:val="008B146D"/>
    <w:rsid w:val="008B42AD"/>
    <w:rsid w:val="008B5666"/>
    <w:rsid w:val="008C2C15"/>
    <w:rsid w:val="008D0281"/>
    <w:rsid w:val="008E2348"/>
    <w:rsid w:val="008F6D45"/>
    <w:rsid w:val="00916AD5"/>
    <w:rsid w:val="00922944"/>
    <w:rsid w:val="00936479"/>
    <w:rsid w:val="00937A10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612FE"/>
    <w:rsid w:val="00A70B49"/>
    <w:rsid w:val="00A92D94"/>
    <w:rsid w:val="00AA26B8"/>
    <w:rsid w:val="00AC0B87"/>
    <w:rsid w:val="00AC2624"/>
    <w:rsid w:val="00AC32A8"/>
    <w:rsid w:val="00AD7E4E"/>
    <w:rsid w:val="00AF4D58"/>
    <w:rsid w:val="00AF6666"/>
    <w:rsid w:val="00AF7BC5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C7DFB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D0307"/>
    <w:rsid w:val="00CD3C79"/>
    <w:rsid w:val="00CD3D1B"/>
    <w:rsid w:val="00CF3F17"/>
    <w:rsid w:val="00D02663"/>
    <w:rsid w:val="00D0633E"/>
    <w:rsid w:val="00D12E74"/>
    <w:rsid w:val="00D1323F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A3AAD"/>
    <w:rsid w:val="00DA3F36"/>
    <w:rsid w:val="00DB312B"/>
    <w:rsid w:val="00DC5654"/>
    <w:rsid w:val="00DC658F"/>
    <w:rsid w:val="00DC674A"/>
    <w:rsid w:val="00DE60CC"/>
    <w:rsid w:val="00DF0E5B"/>
    <w:rsid w:val="00E03F35"/>
    <w:rsid w:val="00E26B32"/>
    <w:rsid w:val="00E31CD4"/>
    <w:rsid w:val="00E31E60"/>
    <w:rsid w:val="00E33E08"/>
    <w:rsid w:val="00E407B6"/>
    <w:rsid w:val="00E41EF1"/>
    <w:rsid w:val="00E42942"/>
    <w:rsid w:val="00E64F8B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60F9F"/>
    <w:rsid w:val="00F61246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6D2614"/>
  <w15:docId w15:val="{7C3C17B1-93A3-4C75-AF30-12FA0938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7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uiPriority="33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2A797F"/>
    <w:rPr>
      <w:rFonts w:ascii="VIC" w:hAnsi="VIC" w:cstheme="majorHAnsi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A797F"/>
    <w:pPr>
      <w:keepNext/>
      <w:keepLines/>
      <w:spacing w:before="280" w:after="60" w:line="240" w:lineRule="auto"/>
      <w:outlineLvl w:val="1"/>
    </w:pPr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567B1F"/>
    <w:pPr>
      <w:keepNext/>
      <w:keepLines/>
      <w:spacing w:before="240" w:after="50" w:line="240" w:lineRule="auto"/>
      <w:outlineLvl w:val="2"/>
    </w:pPr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7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2A797F"/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292213"/>
    <w:pPr>
      <w:numPr>
        <w:numId w:val="9"/>
      </w:numPr>
      <w:spacing w:before="60" w:after="60"/>
    </w:pPr>
    <w:rPr>
      <w:rFonts w:ascii="VIC" w:eastAsia="Times New Roman" w:hAnsi="VIC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567B1F"/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A797F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2A797F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character" w:styleId="BookTitle">
    <w:name w:val="Book Title"/>
    <w:aliases w:val="Dot points"/>
    <w:uiPriority w:val="33"/>
    <w:qFormat/>
    <w:rsid w:val="002A797F"/>
  </w:style>
  <w:style w:type="paragraph" w:customStyle="1" w:styleId="Tablecolhead">
    <w:name w:val="Table col head"/>
    <w:basedOn w:val="Body"/>
    <w:qFormat/>
    <w:rsid w:val="00593129"/>
    <w:pPr>
      <w:snapToGrid w:val="0"/>
      <w:spacing w:before="60" w:after="60" w:line="240" w:lineRule="auto"/>
    </w:pPr>
    <w:rPr>
      <w:rFonts w:eastAsia="MS Mincho"/>
      <w:b/>
      <w:color w:val="007F92"/>
      <w:lang w:eastAsia="en-GB"/>
    </w:rPr>
  </w:style>
  <w:style w:type="paragraph" w:customStyle="1" w:styleId="References">
    <w:name w:val="References"/>
    <w:basedOn w:val="Normal"/>
    <w:qFormat/>
    <w:rsid w:val="00D1323F"/>
    <w:pPr>
      <w:numPr>
        <w:numId w:val="18"/>
      </w:numPr>
      <w:shd w:val="clear" w:color="auto" w:fill="FFFFFF"/>
      <w:spacing w:before="60" w:after="60" w:line="240" w:lineRule="auto"/>
      <w:ind w:left="357" w:hanging="357"/>
      <w:contextualSpacing/>
    </w:pPr>
    <w:rPr>
      <w:rFonts w:asciiTheme="majorHAnsi" w:eastAsiaTheme="minorHAnsi" w:hAnsiTheme="majorHAnsi"/>
      <w:iCs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clinicianshealthchanne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afercare.vi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1.%20Templates\1.%20Safer%20Care%20Victoria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9698BD7414459DB3B8DE948CE8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CB44-5041-43F5-9D84-730CB2379BF7}"/>
      </w:docPartPr>
      <w:docPartBody>
        <w:p w:rsidR="00973ECD" w:rsidRDefault="00973ECD">
          <w:pPr>
            <w:pStyle w:val="119698BD7414459DB3B8DE948CE8A2E9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00"/>
    <w:family w:val="swiss"/>
    <w:pitch w:val="variable"/>
    <w:sig w:usb0="00000001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ECD"/>
    <w:rsid w:val="009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119698BD7414459DB3B8DE948CE8A2E9">
    <w:name w:val="119698BD7414459DB3B8DE948CE8A2E9"/>
  </w:style>
  <w:style w:type="paragraph" w:customStyle="1" w:styleId="ED64744474CD4692B141CF39C5384E32">
    <w:name w:val="ED64744474CD4692B141CF39C5384E32"/>
  </w:style>
  <w:style w:type="paragraph" w:customStyle="1" w:styleId="A1571EFD677E498783B20E42C2AC57A5">
    <w:name w:val="A1571EFD677E498783B20E42C2AC5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6EAD-ED9B-444A-9F87-379CE36A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1</TotalTime>
  <Pages>4</Pages>
  <Words>1014</Words>
  <Characters>5785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Milrinone</vt:lpstr>
    </vt:vector>
  </TitlesOfParts>
  <Company>Department of Treasury and Finance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Milrinone</dc:title>
  <dc:creator>Emma D Gumbleton (DHHS)</dc:creator>
  <cp:lastModifiedBy>Freya L Jones (DHHS)</cp:lastModifiedBy>
  <cp:revision>2</cp:revision>
  <cp:lastPrinted>2018-05-20T09:23:00Z</cp:lastPrinted>
  <dcterms:created xsi:type="dcterms:W3CDTF">2018-12-04T23:07:00Z</dcterms:created>
  <dcterms:modified xsi:type="dcterms:W3CDTF">2018-12-04T23:07:00Z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