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EC150B5D444544A3A5A5044F9D9F9F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46288" w:rsidRPr="00DA3F36" w:rsidRDefault="008B7D8A" w:rsidP="007A4444">
          <w:pPr>
            <w:pStyle w:val="Title"/>
          </w:pPr>
          <w:r w:rsidRPr="008B7D8A">
            <w:rPr>
              <w:rFonts w:ascii="VIC SemiBold" w:hAnsi="VIC SemiBold"/>
              <w:b w:val="0"/>
            </w:rPr>
            <w:t>Response to the VSCC 2015–17 triennial report</w:t>
          </w:r>
        </w:p>
      </w:sdtContent>
    </w:sdt>
    <w:p w:rsidR="008B7D8A" w:rsidRPr="008B7D8A" w:rsidRDefault="008B7D8A" w:rsidP="008B7D8A">
      <w:pPr>
        <w:pStyle w:val="IntroductoryText"/>
      </w:pPr>
      <w:r w:rsidRPr="008B7D8A">
        <w:t xml:space="preserve">Safer Care Victoria welcomes the release of the Victorian Surgical Consultative Council </w:t>
      </w:r>
      <w:r>
        <w:t>(VSCC) 2015–</w:t>
      </w:r>
      <w:r w:rsidRPr="008B7D8A">
        <w:t xml:space="preserve">17 triennial report. The report includes recommendations </w:t>
      </w:r>
      <w:r w:rsidR="00A63DE6">
        <w:t>from the</w:t>
      </w:r>
      <w:r w:rsidR="003509EE">
        <w:t>ir</w:t>
      </w:r>
      <w:r w:rsidRPr="008B7D8A">
        <w:t xml:space="preserve"> review of reported sentinel events over this period</w:t>
      </w:r>
      <w:r>
        <w:t>.</w:t>
      </w:r>
      <w:r w:rsidR="00A63DE6">
        <w:t xml:space="preserve"> For our response to these recommendations, please see over page. </w:t>
      </w:r>
    </w:p>
    <w:p w:rsidR="008B7D8A" w:rsidRPr="008B7D8A" w:rsidRDefault="00F051D5" w:rsidP="008B7D8A">
      <w:r>
        <w:t>Council</w:t>
      </w:r>
      <w:r w:rsidR="008B7D8A" w:rsidRPr="008B7D8A">
        <w:t xml:space="preserve"> recommendations include:</w:t>
      </w:r>
    </w:p>
    <w:p w:rsidR="008B7D8A" w:rsidRPr="008B7D8A" w:rsidRDefault="008B7D8A" w:rsidP="008B7D8A">
      <w:pPr>
        <w:pStyle w:val="Bullet1"/>
        <w:rPr>
          <w:rStyle w:val="BookTitle"/>
          <w:rFonts w:ascii="VIC" w:hAnsi="VIC" w:cs="Calibri"/>
        </w:rPr>
      </w:pPr>
      <w:r>
        <w:rPr>
          <w:rStyle w:val="BookTitle"/>
          <w:rFonts w:ascii="VIC" w:hAnsi="VIC" w:cs="Calibri"/>
        </w:rPr>
        <w:t>increased vigilance among</w:t>
      </w:r>
      <w:r w:rsidRPr="008B7D8A">
        <w:rPr>
          <w:rStyle w:val="BookTitle"/>
          <w:rFonts w:ascii="VIC" w:hAnsi="VIC" w:cs="Calibri"/>
        </w:rPr>
        <w:t xml:space="preserve"> theatre personnel to surgical count and other essential processes</w:t>
      </w:r>
    </w:p>
    <w:p w:rsidR="008B7D8A" w:rsidRPr="008B7D8A" w:rsidRDefault="008B7D8A" w:rsidP="008B7D8A">
      <w:pPr>
        <w:pStyle w:val="Bullet1"/>
        <w:rPr>
          <w:rStyle w:val="BookTitle"/>
          <w:rFonts w:ascii="VIC" w:hAnsi="VIC" w:cs="Calibri"/>
        </w:rPr>
      </w:pPr>
      <w:r w:rsidRPr="008B7D8A">
        <w:rPr>
          <w:rStyle w:val="BookTitle"/>
          <w:rFonts w:ascii="VIC" w:hAnsi="VIC" w:cs="Calibri"/>
        </w:rPr>
        <w:t>enhanced focus on clinical management, communication and handover</w:t>
      </w:r>
    </w:p>
    <w:p w:rsidR="008B7D8A" w:rsidRPr="008B7D8A" w:rsidRDefault="008B7D8A" w:rsidP="008B7D8A">
      <w:pPr>
        <w:pStyle w:val="Bullet1"/>
      </w:pPr>
      <w:r w:rsidRPr="008B7D8A">
        <w:rPr>
          <w:rStyle w:val="BookTitle"/>
          <w:rFonts w:ascii="VIC" w:hAnsi="VIC" w:cs="Calibri"/>
        </w:rPr>
        <w:t>specific recommendations related to delayed recognition of harm and artery puncture.</w:t>
      </w:r>
    </w:p>
    <w:p w:rsidR="008B7D8A" w:rsidRDefault="008B7D8A" w:rsidP="008B7D8A">
      <w:r>
        <w:t>Safer Care Victoria manages the Victorian sentinel event program which aims to identify areas for both local and system</w:t>
      </w:r>
      <w:r w:rsidR="00EB3C3F">
        <w:t>-</w:t>
      </w:r>
      <w:r>
        <w:t xml:space="preserve">wide improvements in care, such as reducing the incidence of </w:t>
      </w:r>
      <w:proofErr w:type="spellStart"/>
      <w:r>
        <w:t>unretrieved</w:t>
      </w:r>
      <w:proofErr w:type="spellEnd"/>
      <w:r>
        <w:t xml:space="preserve"> surgical instruments. </w:t>
      </w:r>
    </w:p>
    <w:p w:rsidR="008B7D8A" w:rsidRPr="008256BB" w:rsidRDefault="00F051D5" w:rsidP="008B7D8A">
      <w:r>
        <w:t>Council</w:t>
      </w:r>
      <w:r w:rsidR="008B7D8A">
        <w:t xml:space="preserve"> recommendations relate to the work of the sentinel event program, which is committed to the following goals:</w:t>
      </w:r>
    </w:p>
    <w:p w:rsidR="008B7D8A" w:rsidRPr="008B7D8A" w:rsidRDefault="008B7D8A" w:rsidP="008B7D8A">
      <w:pPr>
        <w:pStyle w:val="Bullet1"/>
        <w:rPr>
          <w:rStyle w:val="BookTitle"/>
          <w:rFonts w:ascii="VIC" w:hAnsi="VIC" w:cs="Calibri"/>
        </w:rPr>
      </w:pPr>
      <w:r w:rsidRPr="008B7D8A">
        <w:rPr>
          <w:rStyle w:val="BookTitle"/>
          <w:rFonts w:ascii="VIC" w:hAnsi="VIC" w:cs="Calibri"/>
        </w:rPr>
        <w:t>health services report all sentinel events to Safer Care Victoria</w:t>
      </w:r>
    </w:p>
    <w:p w:rsidR="008B7D8A" w:rsidRPr="008B7D8A" w:rsidRDefault="008B7D8A" w:rsidP="008B7D8A">
      <w:pPr>
        <w:pStyle w:val="Bullet1"/>
        <w:rPr>
          <w:rStyle w:val="BookTitle"/>
          <w:rFonts w:ascii="VIC" w:hAnsi="VIC" w:cs="Calibri"/>
        </w:rPr>
      </w:pPr>
      <w:r w:rsidRPr="008B7D8A">
        <w:rPr>
          <w:rStyle w:val="BookTitle"/>
          <w:rFonts w:ascii="VIC" w:hAnsi="VIC" w:cs="Calibri"/>
        </w:rPr>
        <w:t>health services report sentinel events within three days of the incident</w:t>
      </w:r>
    </w:p>
    <w:p w:rsidR="008B7D8A" w:rsidRPr="008B7D8A" w:rsidRDefault="008B7D8A" w:rsidP="008B7D8A">
      <w:pPr>
        <w:pStyle w:val="Bullet1"/>
        <w:rPr>
          <w:rStyle w:val="BookTitle"/>
          <w:rFonts w:ascii="VIC" w:hAnsi="VIC" w:cs="Calibri"/>
        </w:rPr>
      </w:pPr>
      <w:r w:rsidRPr="008B7D8A">
        <w:rPr>
          <w:rStyle w:val="BookTitle"/>
          <w:rFonts w:ascii="VIC" w:hAnsi="VIC" w:cs="Calibri"/>
        </w:rPr>
        <w:t>all reviews commence as soon as practicable and resources are allocated to ensure timely submission of the review report</w:t>
      </w:r>
    </w:p>
    <w:p w:rsidR="008B7D8A" w:rsidRPr="008B7D8A" w:rsidRDefault="008B7D8A" w:rsidP="008B7D8A">
      <w:pPr>
        <w:pStyle w:val="Bullet1"/>
        <w:rPr>
          <w:rStyle w:val="BookTitle"/>
          <w:rFonts w:ascii="VIC" w:hAnsi="VIC" w:cs="Calibri"/>
        </w:rPr>
      </w:pPr>
      <w:r w:rsidRPr="008B7D8A">
        <w:rPr>
          <w:rStyle w:val="BookTitle"/>
          <w:rFonts w:ascii="VIC" w:hAnsi="VIC" w:cs="Calibri"/>
        </w:rPr>
        <w:t>all review teams include an independent external panel member</w:t>
      </w:r>
    </w:p>
    <w:p w:rsidR="008B7D8A" w:rsidRPr="008B7D8A" w:rsidRDefault="008B7D8A" w:rsidP="008B7D8A">
      <w:pPr>
        <w:pStyle w:val="Bullet1"/>
        <w:rPr>
          <w:rStyle w:val="BookTitle"/>
          <w:rFonts w:ascii="VIC" w:hAnsi="VIC" w:cs="Calibri"/>
        </w:rPr>
      </w:pPr>
      <w:r w:rsidRPr="008B7D8A">
        <w:t>health services work towards including a consumer representative on the review panel.</w:t>
      </w:r>
      <w:r w:rsidRPr="008B7D8A" w:rsidDel="00AB303D">
        <w:rPr>
          <w:rStyle w:val="BookTitle"/>
          <w:rFonts w:ascii="VIC" w:hAnsi="VIC" w:cs="Calibri"/>
        </w:rPr>
        <w:t xml:space="preserve"> </w:t>
      </w:r>
      <w:r w:rsidRPr="008B7D8A">
        <w:rPr>
          <w:rStyle w:val="BookTitle"/>
          <w:rFonts w:ascii="VIC" w:hAnsi="VIC" w:cs="Calibri"/>
        </w:rPr>
        <w:t>Each review report includes at least one finding and one strong recommendation</w:t>
      </w:r>
    </w:p>
    <w:p w:rsidR="008B7D8A" w:rsidRPr="008B7D8A" w:rsidRDefault="00A63DE6" w:rsidP="008B7D8A">
      <w:pPr>
        <w:pStyle w:val="Bullet1"/>
        <w:rPr>
          <w:rStyle w:val="BookTitle"/>
          <w:rFonts w:ascii="VIC" w:hAnsi="VIC" w:cs="Calibri"/>
        </w:rPr>
      </w:pPr>
      <w:r>
        <w:rPr>
          <w:rStyle w:val="BookTitle"/>
          <w:rFonts w:ascii="VIC" w:hAnsi="VIC" w:cs="Calibri"/>
        </w:rPr>
        <w:t>risk reduction action p</w:t>
      </w:r>
      <w:r w:rsidR="008B7D8A" w:rsidRPr="008B7D8A">
        <w:rPr>
          <w:rStyle w:val="BookTitle"/>
          <w:rFonts w:ascii="VIC" w:hAnsi="VIC" w:cs="Calibri"/>
        </w:rPr>
        <w:t>lan feedback reports are submitted three months after the root cause analysis report was submitted</w:t>
      </w:r>
    </w:p>
    <w:p w:rsidR="008B7D8A" w:rsidRPr="008B7D8A" w:rsidRDefault="008B7D8A" w:rsidP="008B7D8A">
      <w:pPr>
        <w:pStyle w:val="Bullet1"/>
      </w:pPr>
      <w:r w:rsidRPr="008B7D8A">
        <w:rPr>
          <w:rStyle w:val="BookTitle"/>
          <w:rFonts w:ascii="VIC" w:hAnsi="VIC" w:cs="Calibri"/>
        </w:rPr>
        <w:t>Safer Care Victoria and health services share the learnings and improvements from sentinel events and provide feedback on draft recommendations.</w:t>
      </w:r>
      <w:r w:rsidRPr="008B7D8A">
        <w:t xml:space="preserve"> </w:t>
      </w:r>
    </w:p>
    <w:p w:rsidR="008B7D8A" w:rsidRPr="008B7D8A" w:rsidRDefault="008B7D8A" w:rsidP="008B7D8A">
      <w:r w:rsidRPr="00376E09">
        <w:t xml:space="preserve">The </w:t>
      </w:r>
      <w:r>
        <w:t>2016–</w:t>
      </w:r>
      <w:r w:rsidRPr="00376E09">
        <w:t xml:space="preserve">17 </w:t>
      </w:r>
      <w:r>
        <w:t>sentinel e</w:t>
      </w:r>
      <w:r w:rsidRPr="00376E09">
        <w:t>vent annual report, which provides complete data and information on areas for improvement, was released in July</w:t>
      </w:r>
      <w:r>
        <w:t xml:space="preserve"> 2018 and can be accessed at </w:t>
      </w:r>
      <w:r w:rsidRPr="008B7D8A">
        <w:rPr>
          <w:b/>
          <w:color w:val="007586" w:themeColor="text2"/>
        </w:rPr>
        <w:t>bettersafercare.vic.gov.au.</w:t>
      </w:r>
      <w:r>
        <w:rPr>
          <w:rFonts w:ascii="Arial" w:hAnsi="Arial" w:cs="Arial"/>
        </w:rPr>
        <w:br w:type="page"/>
      </w:r>
    </w:p>
    <w:p w:rsidR="008B7D8A" w:rsidRPr="00AB303D" w:rsidRDefault="008B7D8A" w:rsidP="008B7D8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B7D8A" w:rsidRPr="008B7D8A" w:rsidTr="00A63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008B7D8A" w:rsidRPr="008B7D8A" w:rsidRDefault="008B7D8A" w:rsidP="008B7D8A">
            <w:pPr>
              <w:pStyle w:val="Tabletext"/>
              <w:rPr>
                <w:b w:val="0"/>
                <w:sz w:val="20"/>
              </w:rPr>
            </w:pPr>
            <w:r w:rsidRPr="008B7D8A">
              <w:rPr>
                <w:sz w:val="20"/>
              </w:rPr>
              <w:t>Recommendation</w:t>
            </w:r>
          </w:p>
        </w:tc>
        <w:tc>
          <w:tcPr>
            <w:tcW w:w="5103" w:type="dxa"/>
            <w:vAlign w:val="center"/>
          </w:tcPr>
          <w:p w:rsidR="008B7D8A" w:rsidRPr="008B7D8A" w:rsidRDefault="008B7D8A" w:rsidP="008B7D8A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8B7D8A">
              <w:rPr>
                <w:sz w:val="20"/>
              </w:rPr>
              <w:t>Safer Care Victoria response</w:t>
            </w:r>
          </w:p>
        </w:tc>
      </w:tr>
      <w:tr w:rsidR="008B7D8A" w:rsidTr="00A63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8B7D8A" w:rsidRPr="008B7D8A" w:rsidRDefault="008B7D8A" w:rsidP="008B7D8A">
            <w:pPr>
              <w:pStyle w:val="Tabletext"/>
              <w:rPr>
                <w:b w:val="0"/>
                <w:color w:val="auto"/>
                <w:sz w:val="20"/>
              </w:rPr>
            </w:pPr>
            <w:r w:rsidRPr="008B7D8A">
              <w:rPr>
                <w:b w:val="0"/>
                <w:color w:val="auto"/>
                <w:sz w:val="20"/>
              </w:rPr>
              <w:t>The Council recommends:</w:t>
            </w:r>
          </w:p>
          <w:p w:rsidR="008B7D8A" w:rsidRPr="008B7D8A" w:rsidRDefault="008B7D8A" w:rsidP="008B7D8A">
            <w:pPr>
              <w:pStyle w:val="DHHStablebullet"/>
              <w:rPr>
                <w:rFonts w:ascii="VIC" w:hAnsi="VIC"/>
                <w:b w:val="0"/>
                <w:color w:val="auto"/>
                <w:sz w:val="20"/>
              </w:rPr>
            </w:pPr>
            <w:r w:rsidRPr="008B7D8A">
              <w:rPr>
                <w:rFonts w:ascii="VIC" w:hAnsi="VIC"/>
                <w:b w:val="0"/>
                <w:color w:val="auto"/>
                <w:sz w:val="20"/>
              </w:rPr>
              <w:t>increased vigilance among theatres personnel to surgical count procedures</w:t>
            </w:r>
          </w:p>
          <w:p w:rsidR="008B7D8A" w:rsidRPr="008B7D8A" w:rsidRDefault="008B7D8A" w:rsidP="008B7D8A">
            <w:pPr>
              <w:pStyle w:val="DHHStablebullet"/>
              <w:rPr>
                <w:rFonts w:ascii="VIC" w:hAnsi="VIC"/>
                <w:b w:val="0"/>
                <w:color w:val="auto"/>
                <w:sz w:val="20"/>
              </w:rPr>
            </w:pPr>
            <w:r w:rsidRPr="008B7D8A">
              <w:rPr>
                <w:rFonts w:ascii="VIC" w:hAnsi="VIC"/>
                <w:b w:val="0"/>
                <w:color w:val="auto"/>
                <w:sz w:val="20"/>
              </w:rPr>
              <w:t>including robust procedures for counts</w:t>
            </w:r>
          </w:p>
          <w:p w:rsidR="008B7D8A" w:rsidRPr="008B7D8A" w:rsidRDefault="008B7D8A" w:rsidP="008B7D8A">
            <w:pPr>
              <w:pStyle w:val="DHHStablebullet"/>
            </w:pPr>
            <w:r w:rsidRPr="008B7D8A">
              <w:rPr>
                <w:rFonts w:ascii="VIC" w:hAnsi="VIC"/>
                <w:b w:val="0"/>
                <w:color w:val="auto"/>
                <w:sz w:val="20"/>
              </w:rPr>
              <w:t>education on count responsibilities and behaviours should be developed and incorporated in the training of all surgical and nursing staff</w:t>
            </w:r>
            <w:r w:rsidR="00A63DE6">
              <w:rPr>
                <w:color w:val="auto"/>
                <w:sz w:val="20"/>
              </w:rPr>
              <w:t>.</w:t>
            </w:r>
          </w:p>
        </w:tc>
        <w:tc>
          <w:tcPr>
            <w:tcW w:w="5103" w:type="dxa"/>
          </w:tcPr>
          <w:p w:rsidR="008B7D8A" w:rsidRPr="008B7D8A" w:rsidRDefault="00F051D5" w:rsidP="008B7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Safer Care Victoria will </w:t>
            </w:r>
            <w:r w:rsidRPr="00F051D5">
              <w:rPr>
                <w:sz w:val="20"/>
              </w:rPr>
              <w:t>send an a</w:t>
            </w:r>
            <w:r w:rsidR="008B7D8A" w:rsidRPr="00F051D5">
              <w:rPr>
                <w:sz w:val="20"/>
              </w:rPr>
              <w:t>lert to</w:t>
            </w:r>
            <w:r w:rsidR="008B7D8A" w:rsidRPr="008B7D8A">
              <w:rPr>
                <w:sz w:val="20"/>
              </w:rPr>
              <w:t xml:space="preserve"> health services setting out the Council’s findings and recommendation</w:t>
            </w:r>
            <w:r w:rsidR="00A63DE6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:rsidR="008B7D8A" w:rsidRPr="008B7D8A" w:rsidRDefault="008B7D8A" w:rsidP="008B7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7D8A">
              <w:rPr>
                <w:sz w:val="20"/>
              </w:rPr>
              <w:t>The Council will work with the Royal Australasian College of Surgeons and the Australian College of Perioperative Nurses to develop guidelines and a training module.</w:t>
            </w:r>
          </w:p>
        </w:tc>
      </w:tr>
      <w:tr w:rsidR="008B7D8A" w:rsidTr="00A63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8B7D8A" w:rsidRPr="008B7D8A" w:rsidRDefault="008B7D8A" w:rsidP="008B7D8A">
            <w:pPr>
              <w:pStyle w:val="Tabletext"/>
              <w:rPr>
                <w:b w:val="0"/>
                <w:color w:val="auto"/>
                <w:sz w:val="20"/>
              </w:rPr>
            </w:pPr>
            <w:r w:rsidRPr="008B7D8A">
              <w:rPr>
                <w:b w:val="0"/>
                <w:color w:val="auto"/>
                <w:sz w:val="20"/>
              </w:rPr>
              <w:t>The Council recommends:</w:t>
            </w:r>
          </w:p>
          <w:p w:rsidR="008B7D8A" w:rsidRPr="008B7D8A" w:rsidRDefault="008B7D8A" w:rsidP="008B7D8A">
            <w:pPr>
              <w:pStyle w:val="DHHStablebullet"/>
              <w:rPr>
                <w:rFonts w:ascii="VIC" w:hAnsi="VIC"/>
                <w:b w:val="0"/>
                <w:color w:val="auto"/>
                <w:sz w:val="20"/>
              </w:rPr>
            </w:pPr>
            <w:r w:rsidRPr="008B7D8A">
              <w:rPr>
                <w:rFonts w:ascii="VIC" w:hAnsi="VIC"/>
                <w:b w:val="0"/>
                <w:color w:val="auto"/>
                <w:sz w:val="20"/>
              </w:rPr>
              <w:t>health services enhance the focus on</w:t>
            </w:r>
            <w:r w:rsidRPr="008B7D8A">
              <w:rPr>
                <w:b w:val="0"/>
                <w:color w:val="auto"/>
                <w:sz w:val="20"/>
              </w:rPr>
              <w:t xml:space="preserve"> </w:t>
            </w:r>
            <w:r w:rsidRPr="008B7D8A">
              <w:rPr>
                <w:rFonts w:ascii="VIC" w:hAnsi="VIC"/>
                <w:b w:val="0"/>
                <w:color w:val="auto"/>
                <w:sz w:val="20"/>
              </w:rPr>
              <w:t xml:space="preserve">clinical management and communication, with clear planning, assessment and time allowed for complete and appropriate handover </w:t>
            </w:r>
          </w:p>
          <w:p w:rsidR="008B7D8A" w:rsidRPr="008B7D8A" w:rsidRDefault="008B7D8A" w:rsidP="008B7D8A">
            <w:pPr>
              <w:pStyle w:val="DHHStablebullet"/>
              <w:rPr>
                <w:rFonts w:ascii="VIC" w:hAnsi="VIC"/>
                <w:b w:val="0"/>
                <w:color w:val="auto"/>
                <w:sz w:val="20"/>
              </w:rPr>
            </w:pPr>
            <w:r w:rsidRPr="008B7D8A">
              <w:rPr>
                <w:rFonts w:ascii="VIC" w:hAnsi="VIC"/>
                <w:b w:val="0"/>
                <w:color w:val="auto"/>
                <w:sz w:val="20"/>
              </w:rPr>
              <w:t>surgical scheduling be performed according to the skill set available</w:t>
            </w:r>
          </w:p>
          <w:p w:rsidR="008B7D8A" w:rsidRPr="008B7D8A" w:rsidRDefault="008B7D8A" w:rsidP="008B7D8A">
            <w:pPr>
              <w:pStyle w:val="DHHStablebullet"/>
              <w:rPr>
                <w:b w:val="0"/>
                <w:color w:val="auto"/>
                <w:sz w:val="20"/>
              </w:rPr>
            </w:pPr>
            <w:r w:rsidRPr="008B7D8A">
              <w:rPr>
                <w:rFonts w:ascii="VIC" w:hAnsi="VIC"/>
                <w:b w:val="0"/>
                <w:color w:val="auto"/>
                <w:sz w:val="20"/>
              </w:rPr>
              <w:t>waiting list pressure should not affect surgical decision making</w:t>
            </w:r>
            <w:r w:rsidR="00F051D5">
              <w:rPr>
                <w:rFonts w:ascii="VIC" w:hAnsi="VIC"/>
                <w:b w:val="0"/>
                <w:color w:val="auto"/>
                <w:sz w:val="20"/>
              </w:rPr>
              <w:t>.</w:t>
            </w:r>
          </w:p>
        </w:tc>
        <w:tc>
          <w:tcPr>
            <w:tcW w:w="5103" w:type="dxa"/>
          </w:tcPr>
          <w:p w:rsidR="008B7D8A" w:rsidRPr="008B7D8A" w:rsidRDefault="008B7D8A" w:rsidP="008B7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7D8A">
              <w:rPr>
                <w:sz w:val="20"/>
              </w:rPr>
              <w:t xml:space="preserve">Safer Care Victoria </w:t>
            </w:r>
            <w:r w:rsidR="00F051D5">
              <w:rPr>
                <w:sz w:val="20"/>
              </w:rPr>
              <w:t>will send an alert</w:t>
            </w:r>
            <w:r w:rsidRPr="008B7D8A">
              <w:rPr>
                <w:sz w:val="20"/>
              </w:rPr>
              <w:t xml:space="preserve"> to health services setting out the Council’s findings and recommendations.</w:t>
            </w:r>
          </w:p>
          <w:p w:rsidR="008B7D8A" w:rsidRPr="008B7D8A" w:rsidRDefault="008B7D8A" w:rsidP="008B7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7D8A">
              <w:rPr>
                <w:sz w:val="20"/>
              </w:rPr>
              <w:t xml:space="preserve">The Council will work with Safer Care Victoria, </w:t>
            </w:r>
            <w:r w:rsidR="00F051D5">
              <w:rPr>
                <w:sz w:val="20"/>
              </w:rPr>
              <w:t xml:space="preserve">the </w:t>
            </w:r>
            <w:r w:rsidRPr="008B7D8A">
              <w:rPr>
                <w:sz w:val="20"/>
              </w:rPr>
              <w:t>Department of Health and Human</w:t>
            </w:r>
            <w:r w:rsidR="00F051D5">
              <w:rPr>
                <w:sz w:val="20"/>
              </w:rPr>
              <w:t xml:space="preserve"> Services</w:t>
            </w:r>
            <w:r w:rsidRPr="008B7D8A">
              <w:rPr>
                <w:sz w:val="20"/>
              </w:rPr>
              <w:t xml:space="preserve"> and the Victorian Agency for Health Information to examine the causes of </w:t>
            </w:r>
            <w:r w:rsidR="00F051D5">
              <w:rPr>
                <w:sz w:val="20"/>
              </w:rPr>
              <w:t xml:space="preserve">surgical </w:t>
            </w:r>
            <w:r w:rsidRPr="008B7D8A">
              <w:rPr>
                <w:sz w:val="20"/>
              </w:rPr>
              <w:t>delays and make recommendation</w:t>
            </w:r>
            <w:bookmarkStart w:id="0" w:name="_GoBack"/>
            <w:bookmarkEnd w:id="0"/>
            <w:r w:rsidRPr="008B7D8A">
              <w:rPr>
                <w:sz w:val="20"/>
              </w:rPr>
              <w:t>s to health services about how such delays can be minimised in line with the work underway improving theatre efficiency and u</w:t>
            </w:r>
            <w:r w:rsidR="00F051D5">
              <w:rPr>
                <w:sz w:val="20"/>
              </w:rPr>
              <w:t>se</w:t>
            </w:r>
            <w:r w:rsidRPr="008B7D8A">
              <w:rPr>
                <w:sz w:val="20"/>
              </w:rPr>
              <w:t xml:space="preserve">. </w:t>
            </w:r>
          </w:p>
        </w:tc>
      </w:tr>
      <w:tr w:rsidR="008B7D8A" w:rsidTr="00A63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8B7D8A" w:rsidRPr="008B7D8A" w:rsidRDefault="008B7D8A" w:rsidP="008B7D8A">
            <w:pPr>
              <w:pStyle w:val="Tabletext"/>
              <w:rPr>
                <w:b w:val="0"/>
                <w:color w:val="auto"/>
                <w:sz w:val="20"/>
                <w:lang w:val="en-GB"/>
              </w:rPr>
            </w:pPr>
            <w:r w:rsidRPr="008B7D8A">
              <w:rPr>
                <w:b w:val="0"/>
                <w:color w:val="auto"/>
                <w:sz w:val="20"/>
              </w:rPr>
              <w:t xml:space="preserve">The Council recommends that </w:t>
            </w:r>
            <w:r w:rsidRPr="008B7D8A">
              <w:rPr>
                <w:b w:val="0"/>
                <w:color w:val="auto"/>
                <w:sz w:val="20"/>
                <w:lang w:val="en-GB"/>
              </w:rPr>
              <w:t>intraoperative CT</w:t>
            </w:r>
            <w:r w:rsidRPr="008B7D8A">
              <w:rPr>
                <w:sz w:val="20"/>
                <w:lang w:val="en-GB"/>
              </w:rPr>
              <w:fldChar w:fldCharType="begin"/>
            </w:r>
            <w:r w:rsidRPr="008B7D8A">
              <w:rPr>
                <w:b w:val="0"/>
                <w:color w:val="auto"/>
                <w:sz w:val="20"/>
                <w:lang w:val="en-GB"/>
              </w:rPr>
              <w:instrText xml:space="preserve"> XE "CT:Computed tomography" </w:instrText>
            </w:r>
            <w:r w:rsidRPr="008B7D8A">
              <w:rPr>
                <w:sz w:val="20"/>
                <w:lang w:val="en-GB"/>
              </w:rPr>
              <w:fldChar w:fldCharType="end"/>
            </w:r>
            <w:r w:rsidRPr="008B7D8A">
              <w:rPr>
                <w:b w:val="0"/>
                <w:color w:val="auto"/>
                <w:sz w:val="20"/>
                <w:lang w:val="en-GB"/>
              </w:rPr>
              <w:t xml:space="preserve"> scanning for all complex scoliosis cases be made available.</w:t>
            </w:r>
          </w:p>
        </w:tc>
        <w:tc>
          <w:tcPr>
            <w:tcW w:w="5103" w:type="dxa"/>
          </w:tcPr>
          <w:p w:rsidR="008B7D8A" w:rsidRPr="008B7D8A" w:rsidRDefault="008B7D8A" w:rsidP="008B7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7D8A">
              <w:rPr>
                <w:sz w:val="20"/>
              </w:rPr>
              <w:t>The implementation of the availability of CT scanning for complex scoliosis cases recommendation is a decision that should be considered by each health service and their medical directors.</w:t>
            </w:r>
          </w:p>
        </w:tc>
      </w:tr>
      <w:tr w:rsidR="008B7D8A" w:rsidTr="00A63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8B7D8A" w:rsidRPr="008B7D8A" w:rsidRDefault="008B7D8A" w:rsidP="008B7D8A">
            <w:pPr>
              <w:pStyle w:val="Tabletext"/>
              <w:rPr>
                <w:b w:val="0"/>
                <w:color w:val="auto"/>
                <w:sz w:val="20"/>
              </w:rPr>
            </w:pPr>
            <w:r w:rsidRPr="008B7D8A">
              <w:rPr>
                <w:b w:val="0"/>
                <w:color w:val="auto"/>
                <w:sz w:val="20"/>
              </w:rPr>
              <w:t>The Council recommends that all surgery units performing</w:t>
            </w:r>
            <w:r w:rsidR="00A63DE6">
              <w:rPr>
                <w:b w:val="0"/>
                <w:color w:val="auto"/>
                <w:sz w:val="20"/>
              </w:rPr>
              <w:t xml:space="preserve"> complex operations have action</w:t>
            </w:r>
            <w:r w:rsidRPr="008B7D8A">
              <w:rPr>
                <w:b w:val="0"/>
                <w:color w:val="auto"/>
                <w:sz w:val="20"/>
              </w:rPr>
              <w:t xml:space="preserve"> plans in place in the event of accidental vascular injuries.</w:t>
            </w:r>
          </w:p>
        </w:tc>
        <w:tc>
          <w:tcPr>
            <w:tcW w:w="5103" w:type="dxa"/>
          </w:tcPr>
          <w:p w:rsidR="008B7D8A" w:rsidRPr="008B7D8A" w:rsidRDefault="008B7D8A" w:rsidP="008B7D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7D8A">
              <w:rPr>
                <w:sz w:val="20"/>
              </w:rPr>
              <w:t>Safer Care Victoria will work with health service medi</w:t>
            </w:r>
            <w:r w:rsidR="00A63DE6">
              <w:rPr>
                <w:sz w:val="20"/>
              </w:rPr>
              <w:t>cal executives to ensure action</w:t>
            </w:r>
            <w:r w:rsidRPr="008B7D8A">
              <w:rPr>
                <w:sz w:val="20"/>
              </w:rPr>
              <w:t xml:space="preserve"> plans are developed and implemented for accidental vascular injuries for all services undertaking complex operations. </w:t>
            </w:r>
          </w:p>
        </w:tc>
      </w:tr>
    </w:tbl>
    <w:p w:rsidR="007A4444" w:rsidRDefault="007A4444" w:rsidP="007A4444">
      <w:pPr>
        <w:pStyle w:val="NoSpacing"/>
        <w:sectPr w:rsidR="007A4444" w:rsidSect="000905F7">
          <w:footerReference w:type="default" r:id="rId8"/>
          <w:headerReference w:type="first" r:id="rId9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:rsidR="00CD3C79" w:rsidRDefault="00CD3C79" w:rsidP="008B7D8A">
      <w:pPr>
        <w:pStyle w:val="Normalfollowingheading"/>
      </w:pPr>
    </w:p>
    <w:sectPr w:rsidR="00CD3C79" w:rsidSect="00A63DE6">
      <w:type w:val="continuous"/>
      <w:pgSz w:w="11906" w:h="16838" w:code="9"/>
      <w:pgMar w:top="2438" w:right="737" w:bottom="680" w:left="737" w:header="539" w:footer="624" w:gutter="0"/>
      <w:cols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D8A" w:rsidRDefault="008B7D8A" w:rsidP="008B7D8A">
      <w:r>
        <w:separator/>
      </w:r>
    </w:p>
  </w:endnote>
  <w:endnote w:type="continuationSeparator" w:id="0">
    <w:p w:rsidR="008B7D8A" w:rsidRDefault="008B7D8A" w:rsidP="008B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206" w:type="dxa"/>
      <w:shd w:val="clear" w:color="auto" w:fill="F2F2F3"/>
      <w:tblLook w:val="0600" w:firstRow="0" w:lastRow="0" w:firstColumn="0" w:lastColumn="0" w:noHBand="1" w:noVBand="1"/>
    </w:tblPr>
    <w:tblGrid>
      <w:gridCol w:w="5245"/>
      <w:gridCol w:w="2977"/>
      <w:gridCol w:w="1984"/>
    </w:tblGrid>
    <w:tr w:rsidR="00A63DE6" w:rsidRPr="00736C0C" w:rsidTr="00551D42">
      <w:trPr>
        <w:trHeight w:val="1531"/>
      </w:trPr>
      <w:tc>
        <w:tcPr>
          <w:tcW w:w="5245" w:type="dxa"/>
          <w:tcMar>
            <w:left w:w="113" w:type="dxa"/>
          </w:tcMar>
        </w:tcPr>
        <w:p w:rsidR="00A63DE6" w:rsidRPr="00736C0C" w:rsidRDefault="00A63DE6" w:rsidP="008B7D8A">
          <w:r w:rsidRPr="00A63DE6">
            <w:rPr>
              <w:sz w:val="24"/>
            </w:rPr>
            <w:t xml:space="preserve">To receive this publication in an accessible format </w:t>
          </w:r>
          <w:r>
            <w:rPr>
              <w:sz w:val="24"/>
            </w:rPr>
            <w:t>phone 03 9096 1384</w:t>
          </w:r>
          <w:r w:rsidRPr="00A63DE6">
            <w:rPr>
              <w:sz w:val="24"/>
            </w:rPr>
            <w:t xml:space="preserve">, using the National Relay Service </w:t>
          </w:r>
          <w:r>
            <w:rPr>
              <w:sz w:val="24"/>
            </w:rPr>
            <w:br/>
          </w:r>
          <w:r w:rsidRPr="00A63DE6">
            <w:rPr>
              <w:sz w:val="24"/>
            </w:rPr>
            <w:t xml:space="preserve">13 36 77 if required, or email </w:t>
          </w:r>
          <w:r w:rsidRPr="00A63DE6">
            <w:rPr>
              <w:b/>
              <w:sz w:val="24"/>
            </w:rPr>
            <w:t>info@safercare.vic.gov.au</w:t>
          </w:r>
        </w:p>
      </w:tc>
      <w:tc>
        <w:tcPr>
          <w:tcW w:w="2977" w:type="dxa"/>
        </w:tcPr>
        <w:p w:rsidR="00A63DE6" w:rsidRPr="00551D42" w:rsidRDefault="00A63DE6" w:rsidP="008B7D8A">
          <w:pPr>
            <w:rPr>
              <w:szCs w:val="15"/>
            </w:rPr>
          </w:pPr>
          <w:r w:rsidRPr="00551D42">
            <w:rPr>
              <w:szCs w:val="15"/>
            </w:rPr>
            <w:t>Authorised and published by the Victorian Government, 1 Treasury Place, Melbourne.</w:t>
          </w:r>
        </w:p>
        <w:p w:rsidR="00A63DE6" w:rsidRPr="00551D42" w:rsidRDefault="00A63DE6" w:rsidP="008B7D8A">
          <w:pPr>
            <w:rPr>
              <w:szCs w:val="15"/>
            </w:rPr>
          </w:pPr>
          <w:r w:rsidRPr="00551D42">
            <w:rPr>
              <w:szCs w:val="15"/>
            </w:rPr>
            <w:t xml:space="preserve">© State of Victoria, Australia, Safer Care Victoria, February 2018 </w:t>
          </w:r>
        </w:p>
        <w:p w:rsidR="00A63DE6" w:rsidRPr="00551D42" w:rsidRDefault="00A63DE6" w:rsidP="008B7D8A">
          <w:pPr>
            <w:rPr>
              <w:szCs w:val="15"/>
            </w:rPr>
          </w:pPr>
          <w:r w:rsidRPr="00551D42">
            <w:rPr>
              <w:szCs w:val="15"/>
            </w:rPr>
            <w:t xml:space="preserve">Available at </w:t>
          </w:r>
          <w:hyperlink r:id="rId1" w:history="1">
            <w:r w:rsidRPr="00551D42">
              <w:rPr>
                <w:rStyle w:val="Hyperlink"/>
                <w:szCs w:val="15"/>
              </w:rPr>
              <w:t>www.safercare.vic</w:t>
            </w:r>
          </w:hyperlink>
          <w:r w:rsidRPr="00551D42">
            <w:rPr>
              <w:szCs w:val="15"/>
            </w:rPr>
            <w:t>.gov.au</w:t>
          </w:r>
        </w:p>
      </w:tc>
      <w:tc>
        <w:tcPr>
          <w:tcW w:w="1984" w:type="dxa"/>
        </w:tcPr>
        <w:p w:rsidR="00A63DE6" w:rsidRPr="00551D42" w:rsidRDefault="00A63DE6" w:rsidP="008B7D8A">
          <w:pPr>
            <w:rPr>
              <w:szCs w:val="15"/>
            </w:rPr>
          </w:pPr>
          <w:r w:rsidRPr="00551D42">
            <w:rPr>
              <w:noProof/>
              <w:szCs w:val="15"/>
            </w:rPr>
            <w:drawing>
              <wp:inline distT="0" distB="0" distL="0" distR="0" wp14:anchorId="566307D8" wp14:editId="3030D032">
                <wp:extent cx="972000" cy="5580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tate 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05F7" w:rsidRDefault="000905F7" w:rsidP="008B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D8A" w:rsidRDefault="008B7D8A" w:rsidP="008B7D8A"/>
  </w:footnote>
  <w:footnote w:type="continuationSeparator" w:id="0">
    <w:p w:rsidR="008B7D8A" w:rsidRDefault="008B7D8A" w:rsidP="008B7D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F7" w:rsidRDefault="000905F7" w:rsidP="008B7D8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779ECC" wp14:editId="5013F3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22800" cy="1206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56DA"/>
    <w:multiLevelType w:val="hybridMultilevel"/>
    <w:tmpl w:val="63648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2BC304CC"/>
    <w:multiLevelType w:val="hybridMultilevel"/>
    <w:tmpl w:val="7E0AD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93A12AA"/>
    <w:multiLevelType w:val="multilevel"/>
    <w:tmpl w:val="8E3AD28C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3F4861AB"/>
    <w:multiLevelType w:val="hybridMultilevel"/>
    <w:tmpl w:val="322C3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54BA1E5A"/>
    <w:multiLevelType w:val="multilevel"/>
    <w:tmpl w:val="1026D500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937471"/>
    <w:multiLevelType w:val="hybridMultilevel"/>
    <w:tmpl w:val="AC607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8"/>
    <w:lvlOverride w:ilvl="6">
      <w:lvl w:ilvl="6">
        <w:start w:val="1"/>
        <w:numFmt w:val="bullet"/>
        <w:lvlRestart w:val="0"/>
        <w:pStyle w:val="DHHStablebullet"/>
        <w:lvlText w:val="•"/>
        <w:lvlJc w:val="left"/>
        <w:pPr>
          <w:ind w:left="227" w:hanging="227"/>
        </w:pPr>
        <w:rPr>
          <w:rFonts w:ascii="VIC" w:hAnsi="VIC" w:hint="default"/>
          <w:color w:val="auto"/>
          <w:sz w:val="20"/>
        </w:rPr>
      </w:lvl>
    </w:lvlOverride>
  </w:num>
  <w:num w:numId="14">
    <w:abstractNumId w:val="0"/>
  </w:num>
  <w:num w:numId="15">
    <w:abstractNumId w:val="5"/>
  </w:num>
  <w:num w:numId="16">
    <w:abstractNumId w:val="8"/>
    <w:lvlOverride w:ilvl="6">
      <w:lvl w:ilvl="6">
        <w:start w:val="1"/>
        <w:numFmt w:val="bullet"/>
        <w:lvlRestart w:val="0"/>
        <w:pStyle w:val="DHHStablebullet"/>
        <w:lvlText w:val="•"/>
        <w:lvlJc w:val="left"/>
        <w:pPr>
          <w:ind w:left="227" w:hanging="227"/>
        </w:pPr>
        <w:rPr>
          <w:rFonts w:ascii="Calibri" w:hAnsi="Calibri" w:hint="default"/>
          <w:color w:val="auto"/>
        </w:rPr>
      </w:lvl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8A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424"/>
    <w:rsid w:val="00081C12"/>
    <w:rsid w:val="00087D42"/>
    <w:rsid w:val="000905F7"/>
    <w:rsid w:val="000B29AD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84FA2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1149C"/>
    <w:rsid w:val="003509EE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F3F4E"/>
    <w:rsid w:val="00510167"/>
    <w:rsid w:val="00513E86"/>
    <w:rsid w:val="005306A2"/>
    <w:rsid w:val="0053416C"/>
    <w:rsid w:val="00541C2F"/>
    <w:rsid w:val="00551D42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1066"/>
    <w:rsid w:val="007A4444"/>
    <w:rsid w:val="007A5F82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B7D8A"/>
    <w:rsid w:val="008C2C15"/>
    <w:rsid w:val="008D0281"/>
    <w:rsid w:val="008E2348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63DE6"/>
    <w:rsid w:val="00A70B49"/>
    <w:rsid w:val="00A92D94"/>
    <w:rsid w:val="00AA26B8"/>
    <w:rsid w:val="00AC0B87"/>
    <w:rsid w:val="00AC2624"/>
    <w:rsid w:val="00AC32A8"/>
    <w:rsid w:val="00AD7E4E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E60CC"/>
    <w:rsid w:val="00E03F35"/>
    <w:rsid w:val="00E26B32"/>
    <w:rsid w:val="00E31CD4"/>
    <w:rsid w:val="00E31E60"/>
    <w:rsid w:val="00E33E08"/>
    <w:rsid w:val="00E407B6"/>
    <w:rsid w:val="00E41EF1"/>
    <w:rsid w:val="00E42942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3C3F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51D5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79CA2E"/>
  <w15:docId w15:val="{A07E62FB-156B-45A9-8D81-74328E2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8B7D8A"/>
    <w:pPr>
      <w:spacing w:line="276" w:lineRule="auto"/>
    </w:pPr>
    <w:rPr>
      <w:rFonts w:ascii="VIC" w:hAnsi="VIC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8B7D8A"/>
    <w:pPr>
      <w:numPr>
        <w:numId w:val="9"/>
      </w:numPr>
      <w:spacing w:before="60" w:after="60"/>
    </w:pPr>
    <w:rPr>
      <w:rFonts w:ascii="VIC" w:eastAsiaTheme="majorEastAsia" w:hAnsi="VIC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8B7D8A"/>
    <w:pPr>
      <w:spacing w:before="280" w:after="60"/>
    </w:pPr>
    <w:rPr>
      <w:rFonts w:ascii="VIC Medium" w:hAnsi="VIC Medium"/>
      <w:color w:val="007586" w:themeColor="text2"/>
      <w:sz w:val="2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8B7D8A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BookTitle">
    <w:name w:val="Book Title"/>
    <w:aliases w:val="Dot points"/>
    <w:uiPriority w:val="33"/>
    <w:qFormat/>
    <w:rsid w:val="008B7D8A"/>
    <w:rPr>
      <w:rFonts w:asciiTheme="minorHAnsi" w:hAnsiTheme="minorHAnsi" w:cstheme="minorHAnsi"/>
      <w:color w:val="auto"/>
    </w:rPr>
  </w:style>
  <w:style w:type="paragraph" w:customStyle="1" w:styleId="DHHSbullet1">
    <w:name w:val="DHHS bullet 1"/>
    <w:basedOn w:val="Normal"/>
    <w:qFormat/>
    <w:rsid w:val="008B7D8A"/>
    <w:pPr>
      <w:numPr>
        <w:numId w:val="13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ullet2">
    <w:name w:val="DHHS bullet 2"/>
    <w:basedOn w:val="Normal"/>
    <w:uiPriority w:val="2"/>
    <w:qFormat/>
    <w:rsid w:val="008B7D8A"/>
    <w:pPr>
      <w:numPr>
        <w:ilvl w:val="2"/>
        <w:numId w:val="13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ullet1lastline">
    <w:name w:val="DHHS bullet 1 last line"/>
    <w:basedOn w:val="DHHSbullet1"/>
    <w:qFormat/>
    <w:rsid w:val="008B7D8A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8B7D8A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qFormat/>
    <w:rsid w:val="008B7D8A"/>
    <w:pPr>
      <w:numPr>
        <w:ilvl w:val="6"/>
        <w:numId w:val="13"/>
      </w:numPr>
      <w:spacing w:before="80" w:after="60" w:line="240" w:lineRule="auto"/>
    </w:pPr>
    <w:rPr>
      <w:rFonts w:ascii="Arial" w:eastAsia="Times New Roman" w:hAnsi="Arial" w:cs="Times New Roman"/>
      <w:lang w:eastAsia="en-US"/>
    </w:rPr>
  </w:style>
  <w:style w:type="numbering" w:customStyle="1" w:styleId="ZZBullets">
    <w:name w:val="ZZ Bullets"/>
    <w:rsid w:val="008B7D8A"/>
    <w:pPr>
      <w:numPr>
        <w:numId w:val="17"/>
      </w:numPr>
    </w:pPr>
  </w:style>
  <w:style w:type="paragraph" w:customStyle="1" w:styleId="DHHSbulletindent">
    <w:name w:val="DHHS bullet indent"/>
    <w:basedOn w:val="Normal"/>
    <w:uiPriority w:val="4"/>
    <w:rsid w:val="008B7D8A"/>
    <w:pPr>
      <w:numPr>
        <w:ilvl w:val="4"/>
        <w:numId w:val="13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ulletindentlastline">
    <w:name w:val="DHHS bullet indent last line"/>
    <w:basedOn w:val="Normal"/>
    <w:uiPriority w:val="4"/>
    <w:rsid w:val="008B7D8A"/>
    <w:pPr>
      <w:numPr>
        <w:ilvl w:val="5"/>
        <w:numId w:val="13"/>
      </w:numPr>
      <w:spacing w:before="0" w:after="120" w:line="270" w:lineRule="atLeast"/>
    </w:pPr>
    <w:rPr>
      <w:rFonts w:ascii="Arial" w:eastAsia="Times" w:hAnsi="Arial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afercare.v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150B5D444544A3A5A5044F9D9F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37AA-E3A7-4294-9EFD-494A37891783}"/>
      </w:docPartPr>
      <w:docPartBody>
        <w:p w:rsidR="003341F1" w:rsidRDefault="003341F1">
          <w:pPr>
            <w:pStyle w:val="EC150B5D444544A3A5A5044F9D9F9FE7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F1"/>
    <w:rsid w:val="003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EC150B5D444544A3A5A5044F9D9F9FE7">
    <w:name w:val="EC150B5D444544A3A5A5044F9D9F9FE7"/>
  </w:style>
  <w:style w:type="paragraph" w:customStyle="1" w:styleId="EE2778867A85401DA1AC86349BA8DDC3">
    <w:name w:val="EE2778867A85401DA1AC86349BA8DDC3"/>
  </w:style>
  <w:style w:type="paragraph" w:customStyle="1" w:styleId="E145F4E996774F72BFF6AC5382493F30">
    <w:name w:val="E145F4E996774F72BFF6AC5382493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C7B7-BBC6-47B6-BEAB-C0106797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the VSCC 2015–17 triennial report</vt:lpstr>
    </vt:vector>
  </TitlesOfParts>
  <Company>Department of Treasury and Finance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the VSCC 2015–17 triennial report</dc:title>
  <dc:creator>Emma D Gumbleton (DHHS)</dc:creator>
  <cp:lastModifiedBy>Freya L Jones (DHHS)</cp:lastModifiedBy>
  <cp:revision>3</cp:revision>
  <cp:lastPrinted>2018-12-21T01:37:00Z</cp:lastPrinted>
  <dcterms:created xsi:type="dcterms:W3CDTF">2019-01-31T06:27:00Z</dcterms:created>
  <dcterms:modified xsi:type="dcterms:W3CDTF">2019-01-31T22:28:00Z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