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-1540807229"/>
        <w:placeholder>
          <w:docPart w:val="574AE20D12F54ABC83CDF6E60AB897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3B30A23" w14:textId="10BED3F6" w:rsidR="00E131C8" w:rsidRPr="00E131C8" w:rsidRDefault="00D739CA" w:rsidP="00A7388B">
          <w:pPr>
            <w:pStyle w:val="Title"/>
          </w:pPr>
          <w:r>
            <w:t>Guidance on</w:t>
          </w:r>
          <w:r w:rsidR="001B159D">
            <w:t xml:space="preserve"> use of bed rails</w:t>
          </w:r>
        </w:p>
      </w:sdtContent>
    </w:sdt>
    <w:p w14:paraId="10A6384E" w14:textId="10F0EE08" w:rsidR="00D547AE" w:rsidRPr="00786D87" w:rsidRDefault="00055950" w:rsidP="00DC385D">
      <w:pPr>
        <w:pStyle w:val="IntroductoryText"/>
        <w:spacing w:after="240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 wp14:anchorId="52A6A306" wp14:editId="6FA2D250">
            <wp:simplePos x="0" y="0"/>
            <wp:positionH relativeFrom="column">
              <wp:posOffset>-439420</wp:posOffset>
            </wp:positionH>
            <wp:positionV relativeFrom="page">
              <wp:posOffset>6985</wp:posOffset>
            </wp:positionV>
            <wp:extent cx="3189600" cy="1735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CN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0" cy="1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B2C" w:rsidRPr="00804AB5">
        <w:t>How bed rails</w:t>
      </w:r>
      <w:r w:rsidR="00C551C5">
        <w:t xml:space="preserve"> are used</w:t>
      </w:r>
      <w:r w:rsidR="00235B2C">
        <w:t xml:space="preserve"> differ</w:t>
      </w:r>
      <w:r w:rsidR="009476BA">
        <w:t>s</w:t>
      </w:r>
      <w:r w:rsidR="00235B2C">
        <w:t xml:space="preserve"> </w:t>
      </w:r>
      <w:r w:rsidR="009476BA">
        <w:t>between</w:t>
      </w:r>
      <w:r w:rsidR="00D547AE" w:rsidRPr="00B81C9F">
        <w:t xml:space="preserve"> Victorian healthcare services</w:t>
      </w:r>
      <w:r w:rsidR="001B159D">
        <w:t>, including</w:t>
      </w:r>
      <w:r w:rsidR="00235B2C" w:rsidRPr="00B81C9F">
        <w:t xml:space="preserve"> </w:t>
      </w:r>
      <w:r w:rsidR="00D547AE" w:rsidRPr="008C2D64">
        <w:t>public residential aged care facilities.</w:t>
      </w:r>
      <w:r w:rsidR="00235B2C">
        <w:t xml:space="preserve"> This document </w:t>
      </w:r>
      <w:r w:rsidR="00C551C5">
        <w:t xml:space="preserve">recommends a standard approach to their use, informed by experts, clinicians and consumers. It </w:t>
      </w:r>
      <w:r w:rsidR="00235B2C">
        <w:t>will help clinicians understand when and how to use bed rails safely. It is also intended for anyone who purchases, assembles or maintains bed rails</w:t>
      </w:r>
      <w:r w:rsidR="00C551C5">
        <w:t xml:space="preserve">. </w:t>
      </w:r>
      <w:r w:rsidR="00786D87" w:rsidRPr="00D21330">
        <w:t>The guidance has been created using a consensus approach and has been referenced where there is supporting evidence.</w:t>
      </w:r>
    </w:p>
    <w:p w14:paraId="53CAD549" w14:textId="61CC921B" w:rsidR="00EE3B13" w:rsidRDefault="00D547AE" w:rsidP="00064AC7">
      <w:pPr>
        <w:pStyle w:val="Normalfollowingheading"/>
      </w:pPr>
      <w:r>
        <w:t xml:space="preserve">Injuries and deaths have occurred in Australia and overseas due to the use of bed rails. Injuries </w:t>
      </w:r>
      <w:r w:rsidR="00235B2C">
        <w:t>happen</w:t>
      </w:r>
      <w:r>
        <w:t xml:space="preserve"> when people </w:t>
      </w:r>
      <w:r w:rsidR="00235B2C">
        <w:t>try to</w:t>
      </w:r>
      <w:r>
        <w:t xml:space="preserve"> climb </w:t>
      </w:r>
      <w:r w:rsidRPr="00D21330">
        <w:t>over or through gaps in the bed rails</w:t>
      </w:r>
      <w:r w:rsidR="00D13A64" w:rsidRPr="00D21330">
        <w:t xml:space="preserve"> </w:t>
      </w:r>
      <w:r w:rsidR="00C551C5" w:rsidRPr="00D21330">
        <w:t>and some p</w:t>
      </w:r>
      <w:r w:rsidRPr="00D21330">
        <w:t>eople have suffocated between the mattress and bed rail</w:t>
      </w:r>
      <w:r w:rsidR="00EE3B13" w:rsidRPr="00D21330">
        <w:t>s.</w:t>
      </w:r>
      <w:r w:rsidR="00323512">
        <w:rPr>
          <w:vertAlign w:val="superscript"/>
        </w:rPr>
        <w:t>1,3,5</w:t>
      </w:r>
    </w:p>
    <w:p w14:paraId="3BEAAC7C" w14:textId="3C81EF93" w:rsidR="00B116A5" w:rsidRDefault="00235B2C" w:rsidP="00B116A5">
      <w:pPr>
        <w:pStyle w:val="Normalfollowingheading"/>
      </w:pPr>
      <w:r w:rsidRPr="00CC4FCD">
        <w:t>Bed rails can be used safely. But they should only be used in limited circumstances where the benefits outweigh the risks.</w:t>
      </w:r>
    </w:p>
    <w:p w14:paraId="6DB2866C" w14:textId="328FBAE4" w:rsidR="00235B2C" w:rsidRPr="00CC4FCD" w:rsidRDefault="00B116A5" w:rsidP="00064AC7">
      <w:pPr>
        <w:pStyle w:val="Normalfollowingheading"/>
      </w:pPr>
      <w:r>
        <w:t xml:space="preserve">Bed rails are </w:t>
      </w:r>
      <w:r w:rsidRPr="0087084E">
        <w:t>considered a restraint when they are used to intentionally prevent a person from getting in and out of bed.</w:t>
      </w:r>
      <w:r w:rsidR="00323512">
        <w:rPr>
          <w:vertAlign w:val="superscript"/>
        </w:rPr>
        <w:t>4</w:t>
      </w:r>
      <w:r w:rsidRPr="0087084E">
        <w:t xml:space="preserve"> This is still </w:t>
      </w:r>
      <w:r>
        <w:t xml:space="preserve">the case if a person (or their </w:t>
      </w:r>
      <w:r w:rsidR="007D218F">
        <w:t>medical treatment decision maker</w:t>
      </w:r>
      <w:r>
        <w:t>) requests or consents to their use, and when used in an emergency.</w:t>
      </w:r>
    </w:p>
    <w:p w14:paraId="04829D52" w14:textId="7F25C4D7" w:rsidR="00C551C5" w:rsidRDefault="00C551C5">
      <w:r>
        <w:rPr>
          <w:noProof/>
        </w:rPr>
        <mc:AlternateContent>
          <mc:Choice Requires="wps">
            <w:drawing>
              <wp:inline distT="0" distB="0" distL="0" distR="0" wp14:anchorId="46246476" wp14:editId="19A609D4">
                <wp:extent cx="6280030" cy="3105510"/>
                <wp:effectExtent l="0" t="0" r="2603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030" cy="31055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21D9" w14:textId="6E28F8B4" w:rsidR="00D64A9C" w:rsidRPr="004D6898" w:rsidRDefault="00D64A9C">
                            <w:pPr>
                              <w:pStyle w:val="PulloutHeading"/>
                            </w:pPr>
                            <w:r>
                              <w:t>Definitions</w:t>
                            </w:r>
                          </w:p>
                          <w:p w14:paraId="23A25B13" w14:textId="36F673EE" w:rsidR="00C551C5" w:rsidRPr="00D547AE" w:rsidRDefault="00C551C5" w:rsidP="00064AC7">
                            <w:pPr>
                              <w:pStyle w:val="PulloutText"/>
                            </w:pPr>
                            <w:r w:rsidRPr="00A7388B">
                              <w:rPr>
                                <w:rFonts w:ascii="VIC SemiBold" w:hAnsi="VIC SemiBold"/>
                                <w:bCs/>
                              </w:rPr>
                              <w:t>Bed</w:t>
                            </w:r>
                            <w:r>
                              <w:rPr>
                                <w:rFonts w:ascii="VIC SemiBold" w:hAnsi="VIC SemiBold"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547AE">
                              <w:t>‘</w:t>
                            </w:r>
                            <w:r>
                              <w:t>M</w:t>
                            </w:r>
                            <w:r w:rsidRPr="00D547AE">
                              <w:t>edical bed’ as per IEC/ISO Standard, Medical Electrical Equipment, 2015 - Part 2-52: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D547AE">
                              <w:t>Particular requirements</w:t>
                            </w:r>
                            <w:proofErr w:type="gramEnd"/>
                            <w:r w:rsidRPr="00D547AE">
                              <w:t xml:space="preserve"> for basic safety and essential performance of medical beds (IEC 60601-2-52:2009/A1:2015).</w:t>
                            </w:r>
                          </w:p>
                          <w:p w14:paraId="268CA1D3" w14:textId="10E70F05" w:rsidR="00C551C5" w:rsidRPr="00D547AE" w:rsidRDefault="00C551C5" w:rsidP="00064AC7">
                            <w:pPr>
                              <w:pStyle w:val="PulloutText"/>
                            </w:pPr>
                            <w:r w:rsidRPr="00A7388B">
                              <w:rPr>
                                <w:rFonts w:ascii="VIC SemiBold" w:hAnsi="VIC SemiBold"/>
                              </w:rPr>
                              <w:t>Bed rail</w:t>
                            </w:r>
                            <w:r>
                              <w:rPr>
                                <w:rFonts w:ascii="VIC SemiBold" w:hAnsi="VIC SemiBold"/>
                              </w:rPr>
                              <w:t xml:space="preserve">s: </w:t>
                            </w:r>
                            <w:r>
                              <w:t>A</w:t>
                            </w:r>
                            <w:r w:rsidRPr="00D547AE">
                              <w:t xml:space="preserve">n adjustable device made of metal and plastic components attached to </w:t>
                            </w:r>
                            <w:r>
                              <w:t>one</w:t>
                            </w:r>
                            <w:r w:rsidRPr="00D547AE">
                              <w:t xml:space="preserve"> or both sides of an adult medical bed. Bed rails may be different lengths and heights and may be used with padding, mesh covers or inserts between the railings.</w:t>
                            </w:r>
                          </w:p>
                          <w:p w14:paraId="7C28DEC9" w14:textId="4668B731" w:rsidR="00C551C5" w:rsidRPr="00D547AE" w:rsidRDefault="00C551C5" w:rsidP="00064AC7">
                            <w:pPr>
                              <w:pStyle w:val="PulloutText"/>
                            </w:pPr>
                            <w:r w:rsidRPr="00A7388B">
                              <w:rPr>
                                <w:rFonts w:ascii="VIC SemiBold" w:hAnsi="VIC SemiBold"/>
                              </w:rPr>
                              <w:t>Clinical assessment</w:t>
                            </w:r>
                            <w:r>
                              <w:rPr>
                                <w:rFonts w:ascii="VIC SemiBold" w:hAnsi="VIC SemiBold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 w:rsidRPr="00D547AE">
                              <w:t xml:space="preserve"> comprehensive assessment of the patient’s condition including their physiological, cognitive and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547AE">
                              <w:t>psychosocial status and can be conducted by medical, nursing or allied health staff.</w:t>
                            </w:r>
                          </w:p>
                          <w:p w14:paraId="46F7BBA2" w14:textId="6683E803" w:rsidR="00C551C5" w:rsidRPr="00A7388B" w:rsidRDefault="00C551C5" w:rsidP="00064AC7">
                            <w:pPr>
                              <w:pStyle w:val="PulloutText"/>
                            </w:pPr>
                            <w:r w:rsidRPr="00A7388B">
                              <w:rPr>
                                <w:rFonts w:ascii="VIC SemiBold" w:hAnsi="VIC SemiBold"/>
                              </w:rPr>
                              <w:t xml:space="preserve">Medical </w:t>
                            </w:r>
                            <w:r w:rsidR="00017A8F">
                              <w:rPr>
                                <w:rFonts w:ascii="VIC SemiBold" w:hAnsi="VIC SemiBold"/>
                              </w:rPr>
                              <w:t>t</w:t>
                            </w:r>
                            <w:r w:rsidRPr="00A7388B">
                              <w:rPr>
                                <w:rFonts w:ascii="VIC SemiBold" w:hAnsi="VIC SemiBold"/>
                              </w:rPr>
                              <w:t xml:space="preserve">reatment </w:t>
                            </w:r>
                            <w:r w:rsidR="00017A8F">
                              <w:rPr>
                                <w:rFonts w:ascii="VIC SemiBold" w:hAnsi="VIC SemiBold"/>
                              </w:rPr>
                              <w:t>d</w:t>
                            </w:r>
                            <w:r w:rsidRPr="00A7388B">
                              <w:rPr>
                                <w:rFonts w:ascii="VIC SemiBold" w:hAnsi="VIC SemiBold"/>
                              </w:rPr>
                              <w:t xml:space="preserve">ecision </w:t>
                            </w:r>
                            <w:r w:rsidR="00017A8F">
                              <w:rPr>
                                <w:rFonts w:ascii="VIC SemiBold" w:hAnsi="VIC SemiBold"/>
                              </w:rPr>
                              <w:t>m</w:t>
                            </w:r>
                            <w:r w:rsidRPr="00A7388B">
                              <w:rPr>
                                <w:rFonts w:ascii="VIC SemiBold" w:hAnsi="VIC SemiBold"/>
                              </w:rPr>
                              <w:t>aker</w:t>
                            </w:r>
                            <w:r w:rsidR="007D218F">
                              <w:rPr>
                                <w:rFonts w:ascii="VIC SemiBold" w:hAnsi="VIC SemiBold"/>
                              </w:rPr>
                              <w:t xml:space="preserve"> (MTDM)</w:t>
                            </w:r>
                            <w:r w:rsidR="00017A8F">
                              <w:rPr>
                                <w:rFonts w:ascii="VIC SemiBold" w:hAnsi="VIC SemiBold"/>
                              </w:rPr>
                              <w:t xml:space="preserve">: </w:t>
                            </w:r>
                            <w:r w:rsidR="00017A8F" w:rsidRPr="00064AC7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 xml:space="preserve">omeone (e.g. a carer) who is </w:t>
                            </w:r>
                            <w:r w:rsidRPr="00A7388B">
                              <w:rPr>
                                <w:bCs/>
                              </w:rPr>
                              <w:t>r</w:t>
                            </w:r>
                            <w:r w:rsidRPr="00A7388B">
                              <w:t xml:space="preserve">esponsible for making medical treatment decisions for </w:t>
                            </w:r>
                            <w:r>
                              <w:t>a person</w:t>
                            </w:r>
                            <w:r w:rsidRPr="00A7388B">
                              <w:t xml:space="preserve"> </w:t>
                            </w:r>
                            <w:r>
                              <w:t>who</w:t>
                            </w:r>
                            <w:r w:rsidRPr="00A7388B">
                              <w:t xml:space="preserve"> does not have decision</w:t>
                            </w:r>
                            <w:r>
                              <w:t>-</w:t>
                            </w:r>
                            <w:r w:rsidRPr="00A7388B">
                              <w:t>making capacity.</w:t>
                            </w:r>
                          </w:p>
                          <w:p w14:paraId="227CE580" w14:textId="63B110D6" w:rsidR="00C551C5" w:rsidRPr="00B81C9F" w:rsidRDefault="00C551C5">
                            <w:pPr>
                              <w:pStyle w:val="PulloutText"/>
                              <w:rPr>
                                <w:bCs/>
                              </w:rPr>
                            </w:pPr>
                            <w:r w:rsidRPr="00A7388B">
                              <w:rPr>
                                <w:rFonts w:ascii="VIC SemiBold" w:hAnsi="VIC SemiBold"/>
                              </w:rPr>
                              <w:t>Person</w:t>
                            </w:r>
                            <w:r w:rsidR="00017A8F">
                              <w:rPr>
                                <w:rFonts w:ascii="VIC SemiBold" w:hAnsi="VIC SemiBold"/>
                              </w:rPr>
                              <w:t xml:space="preserve">: </w:t>
                            </w:r>
                            <w:r w:rsidR="00017A8F">
                              <w:t>An a</w:t>
                            </w:r>
                            <w:r w:rsidRPr="00A7388B">
                              <w:t>dult patient</w:t>
                            </w:r>
                            <w:r w:rsidR="00017A8F">
                              <w:t xml:space="preserve">, </w:t>
                            </w:r>
                            <w:r w:rsidRPr="00A7388B">
                              <w:t>client, consumer or resident for whom the decision about bed rail use is being made.</w:t>
                            </w:r>
                          </w:p>
                        </w:txbxContent>
                      </wps:txbx>
                      <wps:bodyPr rot="0" vert="horz" wrap="square" lIns="144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246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4.5pt;height:2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" fillcolor="#edf5f7 [3214]" strokecolor="#edf5f7 [3214]" strokeweight=".5pt">
                <v:textbox inset="4mm,5mm,4mm,1mm">
                  <w:txbxContent>
                    <w:p w14:paraId="0A4421D9" w14:textId="6E28F8B4" w:rsidR="00D64A9C" w:rsidRPr="004D6898" w:rsidRDefault="00D64A9C">
                      <w:pPr>
                        <w:pStyle w:val="PulloutHeading"/>
                      </w:pPr>
                      <w:r>
                        <w:t>Definitions</w:t>
                      </w:r>
                    </w:p>
                    <w:p w14:paraId="23A25B13" w14:textId="36F673EE" w:rsidR="00C551C5" w:rsidRPr="00D547AE" w:rsidRDefault="00C551C5" w:rsidP="00064AC7">
                      <w:pPr>
                        <w:pStyle w:val="PulloutText"/>
                      </w:pPr>
                      <w:r w:rsidRPr="00A7388B">
                        <w:rPr>
                          <w:rFonts w:ascii="VIC SemiBold" w:hAnsi="VIC SemiBold"/>
                          <w:bCs/>
                        </w:rPr>
                        <w:t>Bed</w:t>
                      </w:r>
                      <w:r>
                        <w:rPr>
                          <w:rFonts w:ascii="VIC SemiBold" w:hAnsi="VIC SemiBold"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547AE">
                        <w:t>‘</w:t>
                      </w:r>
                      <w:r>
                        <w:t>M</w:t>
                      </w:r>
                      <w:r w:rsidRPr="00D547AE">
                        <w:t>edical bed’ as per IEC/ISO Standard, Medical Electrical Equipment, 2015 - Part 2-52: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547AE">
                        <w:t>Particular requirements for basic safety and essential performance of medical beds (IEC 60601-2-52:2009/A1:2015).</w:t>
                      </w:r>
                    </w:p>
                    <w:p w14:paraId="268CA1D3" w14:textId="10E70F05" w:rsidR="00C551C5" w:rsidRPr="00D547AE" w:rsidRDefault="00C551C5" w:rsidP="00064AC7">
                      <w:pPr>
                        <w:pStyle w:val="PulloutText"/>
                      </w:pPr>
                      <w:r w:rsidRPr="00A7388B">
                        <w:rPr>
                          <w:rFonts w:ascii="VIC SemiBold" w:hAnsi="VIC SemiBold"/>
                        </w:rPr>
                        <w:t>Bed rail</w:t>
                      </w:r>
                      <w:r>
                        <w:rPr>
                          <w:rFonts w:ascii="VIC SemiBold" w:hAnsi="VIC SemiBold"/>
                        </w:rPr>
                        <w:t xml:space="preserve">s: </w:t>
                      </w:r>
                      <w:r>
                        <w:t>A</w:t>
                      </w:r>
                      <w:r w:rsidRPr="00D547AE">
                        <w:t xml:space="preserve">n adjustable device made of metal and plastic components attached to </w:t>
                      </w:r>
                      <w:r>
                        <w:t>one</w:t>
                      </w:r>
                      <w:r w:rsidRPr="00D547AE">
                        <w:t xml:space="preserve"> or both sides of an adult medical bed. Bed rails may be different lengths and heights and may be used with padding, mesh covers or inserts between the railings.</w:t>
                      </w:r>
                    </w:p>
                    <w:p w14:paraId="7C28DEC9" w14:textId="4668B731" w:rsidR="00C551C5" w:rsidRPr="00D547AE" w:rsidRDefault="00C551C5" w:rsidP="00064AC7">
                      <w:pPr>
                        <w:pStyle w:val="PulloutText"/>
                      </w:pPr>
                      <w:r w:rsidRPr="00A7388B">
                        <w:rPr>
                          <w:rFonts w:ascii="VIC SemiBold" w:hAnsi="VIC SemiBold"/>
                        </w:rPr>
                        <w:t>Clinical assessment</w:t>
                      </w:r>
                      <w:r>
                        <w:rPr>
                          <w:rFonts w:ascii="VIC SemiBold" w:hAnsi="VIC SemiBold"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A</w:t>
                      </w:r>
                      <w:r w:rsidRPr="00D547AE">
                        <w:t xml:space="preserve"> comprehensive assessment of the patient’s condition including their physiological, cognitive and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547AE">
                        <w:t>psychosocial status and can be conducted by medical, nursing or allied health staff.</w:t>
                      </w:r>
                    </w:p>
                    <w:p w14:paraId="46F7BBA2" w14:textId="6683E803" w:rsidR="00C551C5" w:rsidRPr="00A7388B" w:rsidRDefault="00C551C5" w:rsidP="00064AC7">
                      <w:pPr>
                        <w:pStyle w:val="PulloutText"/>
                      </w:pPr>
                      <w:r w:rsidRPr="00A7388B">
                        <w:rPr>
                          <w:rFonts w:ascii="VIC SemiBold" w:hAnsi="VIC SemiBold"/>
                        </w:rPr>
                        <w:t xml:space="preserve">Medical </w:t>
                      </w:r>
                      <w:r w:rsidR="00017A8F">
                        <w:rPr>
                          <w:rFonts w:ascii="VIC SemiBold" w:hAnsi="VIC SemiBold"/>
                        </w:rPr>
                        <w:t>t</w:t>
                      </w:r>
                      <w:r w:rsidRPr="00A7388B">
                        <w:rPr>
                          <w:rFonts w:ascii="VIC SemiBold" w:hAnsi="VIC SemiBold"/>
                        </w:rPr>
                        <w:t xml:space="preserve">reatment </w:t>
                      </w:r>
                      <w:r w:rsidR="00017A8F">
                        <w:rPr>
                          <w:rFonts w:ascii="VIC SemiBold" w:hAnsi="VIC SemiBold"/>
                        </w:rPr>
                        <w:t>d</w:t>
                      </w:r>
                      <w:r w:rsidRPr="00A7388B">
                        <w:rPr>
                          <w:rFonts w:ascii="VIC SemiBold" w:hAnsi="VIC SemiBold"/>
                        </w:rPr>
                        <w:t xml:space="preserve">ecision </w:t>
                      </w:r>
                      <w:r w:rsidR="00017A8F">
                        <w:rPr>
                          <w:rFonts w:ascii="VIC SemiBold" w:hAnsi="VIC SemiBold"/>
                        </w:rPr>
                        <w:t>m</w:t>
                      </w:r>
                      <w:r w:rsidRPr="00A7388B">
                        <w:rPr>
                          <w:rFonts w:ascii="VIC SemiBold" w:hAnsi="VIC SemiBold"/>
                        </w:rPr>
                        <w:t>aker</w:t>
                      </w:r>
                      <w:r w:rsidR="007D218F">
                        <w:rPr>
                          <w:rFonts w:ascii="VIC SemiBold" w:hAnsi="VIC SemiBold"/>
                        </w:rPr>
                        <w:t xml:space="preserve"> (MTDM)</w:t>
                      </w:r>
                      <w:r w:rsidR="00017A8F">
                        <w:rPr>
                          <w:rFonts w:ascii="VIC SemiBold" w:hAnsi="VIC SemiBold"/>
                        </w:rPr>
                        <w:t xml:space="preserve">: </w:t>
                      </w:r>
                      <w:r w:rsidR="00017A8F" w:rsidRPr="00064AC7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 xml:space="preserve">omeone (e.g. a carer) who is </w:t>
                      </w:r>
                      <w:r w:rsidRPr="00A7388B">
                        <w:rPr>
                          <w:bCs/>
                        </w:rPr>
                        <w:t>r</w:t>
                      </w:r>
                      <w:r w:rsidRPr="00A7388B">
                        <w:t xml:space="preserve">esponsible for making medical treatment decisions for </w:t>
                      </w:r>
                      <w:r>
                        <w:t>a person</w:t>
                      </w:r>
                      <w:r w:rsidRPr="00A7388B">
                        <w:t xml:space="preserve"> </w:t>
                      </w:r>
                      <w:r>
                        <w:t>who</w:t>
                      </w:r>
                      <w:r w:rsidRPr="00A7388B">
                        <w:t xml:space="preserve"> does not have decision</w:t>
                      </w:r>
                      <w:r>
                        <w:t>-</w:t>
                      </w:r>
                      <w:r w:rsidRPr="00A7388B">
                        <w:t>making capacity.</w:t>
                      </w:r>
                    </w:p>
                    <w:p w14:paraId="227CE580" w14:textId="63B110D6" w:rsidR="00C551C5" w:rsidRPr="00B81C9F" w:rsidRDefault="00C551C5">
                      <w:pPr>
                        <w:pStyle w:val="PulloutText"/>
                        <w:rPr>
                          <w:bCs/>
                        </w:rPr>
                      </w:pPr>
                      <w:r w:rsidRPr="00A7388B">
                        <w:rPr>
                          <w:rFonts w:ascii="VIC SemiBold" w:hAnsi="VIC SemiBold"/>
                        </w:rPr>
                        <w:t>Person</w:t>
                      </w:r>
                      <w:r w:rsidR="00017A8F">
                        <w:rPr>
                          <w:rFonts w:ascii="VIC SemiBold" w:hAnsi="VIC SemiBold"/>
                        </w:rPr>
                        <w:t xml:space="preserve">: </w:t>
                      </w:r>
                      <w:r w:rsidR="00017A8F">
                        <w:t>An a</w:t>
                      </w:r>
                      <w:r w:rsidRPr="00A7388B">
                        <w:t>dult patient</w:t>
                      </w:r>
                      <w:r w:rsidR="00017A8F">
                        <w:t xml:space="preserve">, </w:t>
                      </w:r>
                      <w:r w:rsidRPr="00A7388B">
                        <w:t>client, consumer or resident for whom the decision about bed rail use is being made.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970C1" w14:textId="206CAF02" w:rsidR="00652DCF" w:rsidRDefault="00652DCF">
      <w:pPr>
        <w:sectPr w:rsidR="00652DCF" w:rsidSect="00E207BD">
          <w:footerReference w:type="default" r:id="rId9"/>
          <w:headerReference w:type="first" r:id="rId10"/>
          <w:endnotePr>
            <w:numFmt w:val="decimal"/>
          </w:endnotePr>
          <w:pgSz w:w="11906" w:h="16838" w:code="9"/>
          <w:pgMar w:top="2438" w:right="1021" w:bottom="1021" w:left="1021" w:header="539" w:footer="624" w:gutter="0"/>
          <w:cols w:space="284"/>
          <w:titlePg/>
          <w:docGrid w:linePitch="360"/>
        </w:sectPr>
      </w:pPr>
    </w:p>
    <w:p w14:paraId="59E49550" w14:textId="77777777" w:rsidR="007D218F" w:rsidRDefault="007D218F">
      <w:pPr>
        <w:rPr>
          <w:rFonts w:ascii="VIC SemiBold" w:eastAsiaTheme="majorEastAsia" w:hAnsi="VIC SemiBold" w:cstheme="majorBidi"/>
          <w:color w:val="007586" w:themeColor="text2"/>
          <w:sz w:val="24"/>
          <w:szCs w:val="26"/>
        </w:rPr>
      </w:pPr>
      <w:r>
        <w:rPr>
          <w:bCs/>
          <w:caps/>
        </w:rPr>
        <w:br w:type="page"/>
      </w:r>
    </w:p>
    <w:p w14:paraId="471CC46B" w14:textId="0F5A0CF9" w:rsidR="00E207BD" w:rsidRDefault="00AB2E3A">
      <w:pPr>
        <w:pStyle w:val="Heading2"/>
      </w:pPr>
      <w:r>
        <w:lastRenderedPageBreak/>
        <w:t>When to use bed rails</w:t>
      </w:r>
    </w:p>
    <w:p w14:paraId="0CFA901A" w14:textId="66C161E8" w:rsidR="00E207BD" w:rsidRDefault="00E207BD" w:rsidP="00064AC7">
      <w:pPr>
        <w:pStyle w:val="Normalfollowingheading"/>
      </w:pPr>
      <w:r>
        <w:t>Bed rails are recommended for use if the person is closely monitored</w:t>
      </w:r>
      <w:r w:rsidR="00017A8F">
        <w:t xml:space="preserve"> and</w:t>
      </w:r>
      <w:r>
        <w:t>:</w:t>
      </w:r>
    </w:p>
    <w:p w14:paraId="0376F2F7" w14:textId="6306CF19" w:rsidR="00E207BD" w:rsidRPr="00CC4FCD" w:rsidRDefault="00E207BD">
      <w:pPr>
        <w:pStyle w:val="Bullet1"/>
      </w:pPr>
      <w:r w:rsidRPr="00CC4FCD">
        <w:t>being transported on a bed or trolley</w:t>
      </w:r>
    </w:p>
    <w:p w14:paraId="0553A615" w14:textId="217C912E" w:rsidR="00E207BD" w:rsidRPr="00D21330" w:rsidRDefault="00E207BD">
      <w:pPr>
        <w:pStyle w:val="Bullet1"/>
      </w:pPr>
      <w:r w:rsidRPr="00CC4FCD">
        <w:t xml:space="preserve">recovering </w:t>
      </w:r>
      <w:r w:rsidRPr="00D21330">
        <w:t>from anaesthetic and is not yet fully alert</w:t>
      </w:r>
    </w:p>
    <w:p w14:paraId="75171784" w14:textId="27DC2D33" w:rsidR="00E207BD" w:rsidRPr="00D21330" w:rsidRDefault="00E207BD">
      <w:pPr>
        <w:pStyle w:val="Bullet1"/>
      </w:pPr>
      <w:r w:rsidRPr="00D21330">
        <w:t>on a bed and waiting for medical imaging.</w:t>
      </w:r>
      <w:r w:rsidR="00323512">
        <w:rPr>
          <w:vertAlign w:val="superscript"/>
        </w:rPr>
        <w:t>7</w:t>
      </w:r>
    </w:p>
    <w:p w14:paraId="1A9BDC3E" w14:textId="77777777" w:rsidR="00B81C9F" w:rsidRPr="00D21330" w:rsidRDefault="00B81C9F" w:rsidP="00064AC7">
      <w:r w:rsidRPr="00D21330">
        <w:t>You can use bed rails temporarily to help with bed mobility – for example, to help the person to reposition.</w:t>
      </w:r>
    </w:p>
    <w:p w14:paraId="1C0B6477" w14:textId="62DB620F" w:rsidR="00AB2E3A" w:rsidRPr="00D21330" w:rsidRDefault="00AB2E3A" w:rsidP="00AB2E3A">
      <w:pPr>
        <w:pStyle w:val="Normalfollowingheading"/>
      </w:pPr>
      <w:r w:rsidRPr="00D21330">
        <w:t>We do not recommend blanket use or removal of bed rails.</w:t>
      </w:r>
    </w:p>
    <w:p w14:paraId="68409114" w14:textId="1F1723D6" w:rsidR="00D64A9C" w:rsidRPr="00D21330" w:rsidRDefault="00D64A9C" w:rsidP="00D64A9C">
      <w:pPr>
        <w:rPr>
          <w:b/>
        </w:rPr>
      </w:pPr>
      <w:r w:rsidRPr="00D21330">
        <w:t>Bed rails should</w:t>
      </w:r>
      <w:r w:rsidRPr="00D21330">
        <w:rPr>
          <w:b/>
        </w:rPr>
        <w:t xml:space="preserve"> not </w:t>
      </w:r>
      <w:r w:rsidRPr="00D21330">
        <w:t>be used:</w:t>
      </w:r>
    </w:p>
    <w:p w14:paraId="100AA700" w14:textId="77777777" w:rsidR="00D64A9C" w:rsidRPr="00D21330" w:rsidRDefault="00D64A9C" w:rsidP="00D64A9C">
      <w:pPr>
        <w:pStyle w:val="Bullet1"/>
      </w:pPr>
      <w:r w:rsidRPr="00D21330">
        <w:t>against a person’s wishes</w:t>
      </w:r>
    </w:p>
    <w:p w14:paraId="03B572B6" w14:textId="48C834D1" w:rsidR="00D64A9C" w:rsidRPr="00D21330" w:rsidRDefault="00D64A9C" w:rsidP="00D64A9C">
      <w:pPr>
        <w:pStyle w:val="Bullet1"/>
      </w:pPr>
      <w:r w:rsidRPr="00D21330">
        <w:t>when a person has delirium, is disorientated, agitated or wanting to get out of bed</w:t>
      </w:r>
      <w:r w:rsidR="00E3699D" w:rsidRPr="00D21330">
        <w:t xml:space="preserve"> (and</w:t>
      </w:r>
      <w:r w:rsidRPr="00D21330">
        <w:t xml:space="preserve"> may</w:t>
      </w:r>
      <w:r w:rsidR="00E3699D" w:rsidRPr="00D21330">
        <w:t xml:space="preserve"> try</w:t>
      </w:r>
      <w:r w:rsidRPr="00D21330">
        <w:t xml:space="preserve"> to climb over the bed rails</w:t>
      </w:r>
      <w:r w:rsidR="00E3699D" w:rsidRPr="00D21330">
        <w:t>)</w:t>
      </w:r>
      <w:r w:rsidR="00323512">
        <w:rPr>
          <w:vertAlign w:val="superscript"/>
        </w:rPr>
        <w:t>1</w:t>
      </w:r>
      <w:r w:rsidR="00561591" w:rsidRPr="00D21330">
        <w:rPr>
          <w:vertAlign w:val="superscript"/>
        </w:rPr>
        <w:t>,</w:t>
      </w:r>
      <w:r w:rsidR="00323512">
        <w:rPr>
          <w:vertAlign w:val="superscript"/>
        </w:rPr>
        <w:t>5</w:t>
      </w:r>
    </w:p>
    <w:p w14:paraId="2112C5F2" w14:textId="1180F4A8" w:rsidR="00D64A9C" w:rsidRDefault="00D64A9C" w:rsidP="00064AC7">
      <w:pPr>
        <w:pStyle w:val="Bullet1"/>
      </w:pPr>
      <w:r>
        <w:t>when a person can mobilise safely and independently, unless the person has requested to use bed rails.</w:t>
      </w:r>
    </w:p>
    <w:p w14:paraId="375A893B" w14:textId="600DDDFF" w:rsidR="00AB2E3A" w:rsidRPr="00DD04A1" w:rsidRDefault="00AB2E3A" w:rsidP="00AB2E3A">
      <w:pPr>
        <w:pStyle w:val="Heading3"/>
      </w:pPr>
      <w:r w:rsidRPr="00DD04A1">
        <w:t>Requests to use bed rails</w:t>
      </w:r>
    </w:p>
    <w:p w14:paraId="37CEAC67" w14:textId="3E1C8AB8" w:rsidR="00AB2E3A" w:rsidRPr="0087084E" w:rsidRDefault="00AB2E3A" w:rsidP="00064AC7">
      <w:pPr>
        <w:pStyle w:val="Normalfollowingheading"/>
      </w:pPr>
      <w:r>
        <w:t xml:space="preserve">A person </w:t>
      </w:r>
      <w:r w:rsidR="00922711" w:rsidRPr="00ED01E9">
        <w:rPr>
          <w:color w:val="000000" w:themeColor="text1"/>
        </w:rPr>
        <w:t xml:space="preserve">and/ </w:t>
      </w:r>
      <w:r w:rsidRPr="00ED01E9">
        <w:rPr>
          <w:color w:val="000000" w:themeColor="text1"/>
        </w:rPr>
        <w:t xml:space="preserve">or their </w:t>
      </w:r>
      <w:r>
        <w:t xml:space="preserve">MTDM may request bed rails to prevent the </w:t>
      </w:r>
      <w:r w:rsidRPr="0087084E">
        <w:t>person from falling from the bed</w:t>
      </w:r>
      <w:r w:rsidR="00922711" w:rsidRPr="0087084E">
        <w:t>,</w:t>
      </w:r>
      <w:r w:rsidR="00323512">
        <w:rPr>
          <w:vertAlign w:val="superscript"/>
        </w:rPr>
        <w:t>1</w:t>
      </w:r>
      <w:r w:rsidR="00922711" w:rsidRPr="0087084E">
        <w:t xml:space="preserve"> </w:t>
      </w:r>
      <w:r w:rsidRPr="0087084E">
        <w:t>reduce fear of falling out of bed, or help with bed mobility or positioning.</w:t>
      </w:r>
    </w:p>
    <w:p w14:paraId="274F7F0B" w14:textId="77777777" w:rsidR="00AB2E3A" w:rsidRPr="00064AC7" w:rsidRDefault="00AB2E3A" w:rsidP="00AB2E3A">
      <w:r w:rsidRPr="00064AC7">
        <w:t>If a person has capacity and requests bed rails, you are obliged to use them even if it goes against your advice. In these situations, we recommend you:</w:t>
      </w:r>
    </w:p>
    <w:p w14:paraId="2FC97DF9" w14:textId="77777777" w:rsidR="00AB2E3A" w:rsidRPr="00064AC7" w:rsidRDefault="00AB2E3A" w:rsidP="00AB2E3A">
      <w:pPr>
        <w:pStyle w:val="Bullet1"/>
      </w:pPr>
      <w:r w:rsidRPr="00064AC7">
        <w:t>talk the patient through risk of using bed rails</w:t>
      </w:r>
    </w:p>
    <w:p w14:paraId="5FF27D0A" w14:textId="77777777" w:rsidR="00AB2E3A" w:rsidRPr="00064AC7" w:rsidRDefault="00AB2E3A" w:rsidP="00AB2E3A">
      <w:pPr>
        <w:pStyle w:val="Bullet1"/>
      </w:pPr>
      <w:r w:rsidRPr="00064AC7">
        <w:t>thoroughly document the person’s request, including the person’s acceptance of the risk.</w:t>
      </w:r>
    </w:p>
    <w:p w14:paraId="49EDCD4C" w14:textId="6A66F7FC" w:rsidR="00AB2E3A" w:rsidRPr="00B81C9F" w:rsidRDefault="00AB2E3A" w:rsidP="00064AC7">
      <w:r w:rsidRPr="00DD04A1">
        <w:rPr>
          <w:rFonts w:eastAsia="Times New Roman" w:cs="Calibri"/>
        </w:rPr>
        <w:t>A</w:t>
      </w:r>
      <w:r w:rsidRPr="00B81C9F">
        <w:t xml:space="preserve"> MTDM cannot insist on the use of bed rails for a person who does not have capacity</w:t>
      </w:r>
      <w:r>
        <w:t>. This is because bed rails are not considered</w:t>
      </w:r>
      <w:r w:rsidRPr="00B81C9F">
        <w:t xml:space="preserve"> a medical treatment</w:t>
      </w:r>
      <w:r>
        <w:t xml:space="preserve"> by law</w:t>
      </w:r>
      <w:r w:rsidRPr="00B81C9F">
        <w:t xml:space="preserve">. </w:t>
      </w:r>
      <w:r>
        <w:t>The only exception is when</w:t>
      </w:r>
      <w:r w:rsidRPr="00B81C9F">
        <w:t xml:space="preserve"> the person </w:t>
      </w:r>
      <w:r w:rsidRPr="00DD04A1">
        <w:t>is subject to an enduring power of attorney for personal matters that specifically authorise</w:t>
      </w:r>
      <w:r>
        <w:t>s</w:t>
      </w:r>
      <w:r w:rsidRPr="00B81C9F">
        <w:t xml:space="preserve"> the use of bed</w:t>
      </w:r>
      <w:r w:rsidR="00BA0C0C">
        <w:t xml:space="preserve"> </w:t>
      </w:r>
      <w:r w:rsidRPr="00B81C9F">
        <w:t>rails.</w:t>
      </w:r>
    </w:p>
    <w:p w14:paraId="6620EDB6" w14:textId="77777777" w:rsidR="007D218F" w:rsidRDefault="007D218F">
      <w:r>
        <w:rPr>
          <w:noProof/>
        </w:rPr>
        <mc:AlternateContent>
          <mc:Choice Requires="wps">
            <w:drawing>
              <wp:inline distT="0" distB="0" distL="0" distR="0" wp14:anchorId="7B99C01E" wp14:editId="11B6E923">
                <wp:extent cx="6263640" cy="1055973"/>
                <wp:effectExtent l="0" t="0" r="22860" b="177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05597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A96" w14:textId="77777777" w:rsidR="007D218F" w:rsidRPr="004D6898" w:rsidRDefault="007D218F" w:rsidP="007D218F">
                            <w:pPr>
                              <w:pStyle w:val="PulloutHeading"/>
                            </w:pPr>
                            <w:r>
                              <w:t>Reporting serious adverse events</w:t>
                            </w:r>
                          </w:p>
                          <w:p w14:paraId="0E2A3089" w14:textId="77777777" w:rsidR="007D218F" w:rsidRDefault="007D218F">
                            <w:pPr>
                              <w:pStyle w:val="PulloutText"/>
                            </w:pPr>
                            <w:r>
                              <w:t xml:space="preserve">Use of physical or mechanical restraint resulting in serious harm or death is classified as a sentinel event and must be reported to Safer Care Victoria. For more information, go to </w:t>
                            </w:r>
                            <w:r w:rsidRPr="00064AC7">
                              <w:rPr>
                                <w:b/>
                              </w:rPr>
                              <w:t>www.bettersafercare.vic.gov.au/sentinel-events.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9C01E" id="_x0000_s1027" type="#_x0000_t202" style="width:493.2pt;height: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" fillcolor="#edf5f7 [3214]" strokecolor="#edf5f7 [3214]" strokeweight=".5pt">
                <v:textbox style="mso-fit-shape-to-text:t" inset="5mm,5mm,4mm,1mm">
                  <w:txbxContent>
                    <w:p w14:paraId="024E3A96" w14:textId="77777777" w:rsidR="007D218F" w:rsidRPr="004D6898" w:rsidRDefault="007D218F" w:rsidP="007D218F">
                      <w:pPr>
                        <w:pStyle w:val="PulloutHeading"/>
                      </w:pPr>
                      <w:r>
                        <w:t>Reporting serious adverse events</w:t>
                      </w:r>
                    </w:p>
                    <w:p w14:paraId="0E2A3089" w14:textId="77777777" w:rsidR="007D218F" w:rsidRDefault="007D218F">
                      <w:pPr>
                        <w:pStyle w:val="PulloutText"/>
                      </w:pPr>
                      <w:r>
                        <w:t xml:space="preserve">Use of physical or mechanical restraint resulting in serious harm or death is classified as a sentinel event and must be reported to Safer Care Victoria. For more information, go to </w:t>
                      </w:r>
                      <w:r w:rsidRPr="00064AC7">
                        <w:rPr>
                          <w:b/>
                        </w:rPr>
                        <w:t>www.bettersafercare.vic.gov.au/sentinel-events.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86FDD" w14:textId="311AA461" w:rsidR="00AB2E3A" w:rsidRDefault="00AB2E3A">
      <w:pPr>
        <w:rPr>
          <w:rFonts w:ascii="VIC SemiBold" w:eastAsiaTheme="majorEastAsia" w:hAnsi="VIC SemiBold" w:cstheme="majorBidi"/>
          <w:color w:val="007586" w:themeColor="text2"/>
          <w:sz w:val="24"/>
          <w:szCs w:val="26"/>
        </w:rPr>
      </w:pPr>
      <w:r>
        <w:br w:type="page"/>
      </w:r>
    </w:p>
    <w:p w14:paraId="355FA1B3" w14:textId="77777777" w:rsidR="00AB2E3A" w:rsidRPr="00B81C9F" w:rsidRDefault="00AB2E3A" w:rsidP="00064AC7">
      <w:pPr>
        <w:pStyle w:val="Heading2"/>
      </w:pPr>
      <w:r>
        <w:lastRenderedPageBreak/>
        <w:t>Conducting an i</w:t>
      </w:r>
      <w:r w:rsidRPr="00B81C9F">
        <w:t>ndividual assessment</w:t>
      </w:r>
    </w:p>
    <w:p w14:paraId="30CB24C6" w14:textId="64E43404" w:rsidR="00AB2E3A" w:rsidRPr="00D21330" w:rsidRDefault="00AB2E3A" w:rsidP="00AB2E3A">
      <w:pPr>
        <w:pStyle w:val="Normalfollowingheading"/>
      </w:pPr>
      <w:r>
        <w:t xml:space="preserve">Conduct </w:t>
      </w:r>
      <w:r w:rsidRPr="00B53B20">
        <w:t xml:space="preserve">an </w:t>
      </w:r>
      <w:r w:rsidRPr="00D21330">
        <w:t>individual assessment of the risks and benefits of using bed rails for each person.</w:t>
      </w:r>
      <w:r w:rsidR="00323512">
        <w:rPr>
          <w:vertAlign w:val="superscript"/>
        </w:rPr>
        <w:t>5,7,8,9</w:t>
      </w:r>
    </w:p>
    <w:p w14:paraId="7C4E841C" w14:textId="1340679D" w:rsidR="00AB2E3A" w:rsidRPr="007D2935" w:rsidRDefault="00AB2E3A" w:rsidP="00AB2E3A">
      <w:pPr>
        <w:rPr>
          <w:vertAlign w:val="superscript"/>
        </w:rPr>
      </w:pPr>
      <w:r w:rsidRPr="00D21330">
        <w:t>Involve the person or their MTDM in the assessment and discuss the risks and benefits with all parties.</w:t>
      </w:r>
      <w:r w:rsidR="007D2935">
        <w:rPr>
          <w:vertAlign w:val="superscript"/>
        </w:rPr>
        <w:t>7</w:t>
      </w:r>
    </w:p>
    <w:p w14:paraId="6B2F319C" w14:textId="10868246" w:rsidR="00AB2E3A" w:rsidRPr="00D21330" w:rsidRDefault="00AB2E3A" w:rsidP="00AB2E3A">
      <w:r w:rsidRPr="00D21330">
        <w:t>Consider alternatives to bed rails and discuss these with the person or their MTDM.</w:t>
      </w:r>
      <w:r w:rsidR="007D2935">
        <w:rPr>
          <w:vertAlign w:val="superscript"/>
        </w:rPr>
        <w:t>4,10</w:t>
      </w:r>
    </w:p>
    <w:p w14:paraId="49A002CA" w14:textId="77777777" w:rsidR="00AB2E3A" w:rsidRDefault="00AB2E3A" w:rsidP="00064AC7">
      <w:r>
        <w:rPr>
          <w:noProof/>
        </w:rPr>
        <mc:AlternateContent>
          <mc:Choice Requires="wps">
            <w:drawing>
              <wp:inline distT="0" distB="0" distL="0" distR="0" wp14:anchorId="4EBFDD4F" wp14:editId="53215B07">
                <wp:extent cx="6263640" cy="3544570"/>
                <wp:effectExtent l="0" t="0" r="22860" b="1778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5445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B706" w14:textId="77777777" w:rsidR="00AB2E3A" w:rsidRDefault="00AB2E3A" w:rsidP="00AB2E3A">
                            <w:pPr>
                              <w:pStyle w:val="PulloutHeading"/>
                            </w:pPr>
                            <w:r>
                              <w:t>Alternatives to bed rails</w:t>
                            </w:r>
                          </w:p>
                          <w:p w14:paraId="7BA54AE6" w14:textId="77777777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P</w:t>
                            </w:r>
                            <w:r w:rsidRPr="00B53B20">
                              <w:t>rovide increased supervision of the person</w:t>
                            </w:r>
                          </w:p>
                          <w:p w14:paraId="0F376513" w14:textId="228D33F6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L</w:t>
                            </w:r>
                            <w:r w:rsidRPr="00B53B20">
                              <w:t xml:space="preserve">ocate the person </w:t>
                            </w:r>
                            <w:r w:rsidR="0087084E">
                              <w:t>in</w:t>
                            </w:r>
                            <w:r w:rsidRPr="00B53B20">
                              <w:t xml:space="preserve"> a high visibility area</w:t>
                            </w:r>
                          </w:p>
                          <w:p w14:paraId="5B2D45C5" w14:textId="77777777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U</w:t>
                            </w:r>
                            <w:r w:rsidRPr="00B53B20">
                              <w:t>se family or trained volunteers to provide supervision of the person</w:t>
                            </w:r>
                          </w:p>
                          <w:p w14:paraId="72DA756C" w14:textId="77777777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L</w:t>
                            </w:r>
                            <w:r w:rsidRPr="00B53B20">
                              <w:t>ower</w:t>
                            </w:r>
                            <w:r>
                              <w:t xml:space="preserve"> </w:t>
                            </w:r>
                            <w:r w:rsidRPr="00B53B20">
                              <w:t>an adjustable</w:t>
                            </w:r>
                            <w:r>
                              <w:t>-</w:t>
                            </w:r>
                            <w:r w:rsidRPr="00B53B20">
                              <w:t>height bed</w:t>
                            </w:r>
                          </w:p>
                          <w:p w14:paraId="41D7AECA" w14:textId="77777777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U</w:t>
                            </w:r>
                            <w:r w:rsidRPr="00B53B20">
                              <w:t>s</w:t>
                            </w:r>
                            <w:r>
                              <w:t>e</w:t>
                            </w:r>
                            <w:r w:rsidRPr="00B53B20">
                              <w:t xml:space="preserve"> a </w:t>
                            </w:r>
                            <w:proofErr w:type="spellStart"/>
                            <w:r w:rsidRPr="00B53B20">
                              <w:t>floorline</w:t>
                            </w:r>
                            <w:proofErr w:type="spellEnd"/>
                            <w:r w:rsidRPr="00B53B20">
                              <w:t xml:space="preserve"> bed</w:t>
                            </w:r>
                          </w:p>
                          <w:p w14:paraId="0A594D48" w14:textId="77777777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U</w:t>
                            </w:r>
                            <w:r w:rsidRPr="00B53B20">
                              <w:t>s</w:t>
                            </w:r>
                            <w:r>
                              <w:t>e</w:t>
                            </w:r>
                            <w:r w:rsidRPr="00B53B20">
                              <w:t xml:space="preserve"> a larger bed</w:t>
                            </w:r>
                          </w:p>
                          <w:p w14:paraId="1EF68B17" w14:textId="77777777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U</w:t>
                            </w:r>
                            <w:r w:rsidRPr="00B53B20">
                              <w:t>se other equipment such as bed poles, slide sheets</w:t>
                            </w:r>
                            <w:r>
                              <w:t>,</w:t>
                            </w:r>
                            <w:r w:rsidRPr="00B53B20">
                              <w:t xml:space="preserve"> crash mats, use of bed mechanics</w:t>
                            </w:r>
                          </w:p>
                          <w:p w14:paraId="7342B337" w14:textId="77777777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U</w:t>
                            </w:r>
                            <w:r w:rsidRPr="00B53B20">
                              <w:t>se positional wedges, such as pillows</w:t>
                            </w:r>
                          </w:p>
                          <w:p w14:paraId="60E23838" w14:textId="77777777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</w:t>
                            </w:r>
                            <w:r w:rsidRPr="00B53B20">
                              <w:t>it</w:t>
                            </w:r>
                            <w:r>
                              <w:t xml:space="preserve"> the person </w:t>
                            </w:r>
                            <w:r w:rsidRPr="00B53B20">
                              <w:t>out of bed during the day</w:t>
                            </w:r>
                          </w:p>
                          <w:p w14:paraId="6193A444" w14:textId="77777777" w:rsidR="00AB2E3A" w:rsidRPr="00B53B20" w:rsidRDefault="00AB2E3A" w:rsidP="00AB2E3A">
                            <w:pPr>
                              <w:pStyle w:val="Pullout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D</w:t>
                            </w:r>
                            <w:r w:rsidRPr="00B53B20">
                              <w:t>iversional activities and therapies</w:t>
                            </w:r>
                          </w:p>
                          <w:p w14:paraId="7811C26E" w14:textId="77777777" w:rsidR="00AB2E3A" w:rsidRDefault="00AB2E3A" w:rsidP="00AB2E3A">
                            <w:pPr>
                              <w:pStyle w:val="PulloutText"/>
                            </w:pPr>
                            <w:r>
                              <w:t>Always assess the risks and benefits of any alternatives and discuss these with the person and/or the MTDM.</w:t>
                            </w:r>
                          </w:p>
                          <w:p w14:paraId="5C5CEE38" w14:textId="77777777" w:rsidR="00AB2E3A" w:rsidRDefault="00AB2E3A" w:rsidP="00AB2E3A">
                            <w:pPr>
                              <w:pStyle w:val="PulloutText"/>
                            </w:pPr>
                            <w:r>
                              <w:t>Document the assessment, discussion and outcome.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BFDD4F" id="_x0000_s1028" type="#_x0000_t202" style="width:493.2pt;height:2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" fillcolor="#edf5f7 [3214]" strokecolor="#edf5f7 [3214]" strokeweight=".5pt">
                <v:textbox style="mso-fit-shape-to-text:t" inset="5mm,5mm,4mm,1mm">
                  <w:txbxContent>
                    <w:p w14:paraId="5127B706" w14:textId="77777777" w:rsidR="00AB2E3A" w:rsidRDefault="00AB2E3A" w:rsidP="00AB2E3A">
                      <w:pPr>
                        <w:pStyle w:val="PulloutHeading"/>
                      </w:pPr>
                      <w:r>
                        <w:t>Alternatives to bed rails</w:t>
                      </w:r>
                    </w:p>
                    <w:p w14:paraId="7BA54AE6" w14:textId="77777777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P</w:t>
                      </w:r>
                      <w:r w:rsidRPr="00B53B20">
                        <w:t>rovide increased supervision of the person</w:t>
                      </w:r>
                    </w:p>
                    <w:p w14:paraId="0F376513" w14:textId="228D33F6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L</w:t>
                      </w:r>
                      <w:r w:rsidRPr="00B53B20">
                        <w:t xml:space="preserve">ocate the person </w:t>
                      </w:r>
                      <w:r w:rsidR="0087084E">
                        <w:t>in</w:t>
                      </w:r>
                      <w:r w:rsidRPr="00B53B20">
                        <w:t xml:space="preserve"> a high visibility area</w:t>
                      </w:r>
                    </w:p>
                    <w:p w14:paraId="5B2D45C5" w14:textId="77777777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U</w:t>
                      </w:r>
                      <w:r w:rsidRPr="00B53B20">
                        <w:t>se family or trained volunteers to provide supervision of the person</w:t>
                      </w:r>
                    </w:p>
                    <w:p w14:paraId="72DA756C" w14:textId="77777777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L</w:t>
                      </w:r>
                      <w:r w:rsidRPr="00B53B20">
                        <w:t>ower</w:t>
                      </w:r>
                      <w:r>
                        <w:t xml:space="preserve"> </w:t>
                      </w:r>
                      <w:r w:rsidRPr="00B53B20">
                        <w:t>an adjustable</w:t>
                      </w:r>
                      <w:r>
                        <w:t>-</w:t>
                      </w:r>
                      <w:r w:rsidRPr="00B53B20">
                        <w:t>height bed</w:t>
                      </w:r>
                    </w:p>
                    <w:p w14:paraId="41D7AECA" w14:textId="77777777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U</w:t>
                      </w:r>
                      <w:r w:rsidRPr="00B53B20">
                        <w:t>s</w:t>
                      </w:r>
                      <w:r>
                        <w:t>e</w:t>
                      </w:r>
                      <w:r w:rsidRPr="00B53B20">
                        <w:t xml:space="preserve"> a </w:t>
                      </w:r>
                      <w:proofErr w:type="spellStart"/>
                      <w:r w:rsidRPr="00B53B20">
                        <w:t>floorline</w:t>
                      </w:r>
                      <w:proofErr w:type="spellEnd"/>
                      <w:r w:rsidRPr="00B53B20">
                        <w:t xml:space="preserve"> bed</w:t>
                      </w:r>
                    </w:p>
                    <w:p w14:paraId="0A594D48" w14:textId="77777777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U</w:t>
                      </w:r>
                      <w:r w:rsidRPr="00B53B20">
                        <w:t>s</w:t>
                      </w:r>
                      <w:r>
                        <w:t>e</w:t>
                      </w:r>
                      <w:r w:rsidRPr="00B53B20">
                        <w:t xml:space="preserve"> a larger bed</w:t>
                      </w:r>
                    </w:p>
                    <w:p w14:paraId="1EF68B17" w14:textId="77777777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U</w:t>
                      </w:r>
                      <w:r w:rsidRPr="00B53B20">
                        <w:t>se other equipment such as bed poles, slide sheets</w:t>
                      </w:r>
                      <w:r>
                        <w:t>,</w:t>
                      </w:r>
                      <w:r w:rsidRPr="00B53B20">
                        <w:t xml:space="preserve"> crash mats, use of bed mechanics</w:t>
                      </w:r>
                    </w:p>
                    <w:p w14:paraId="7342B337" w14:textId="77777777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U</w:t>
                      </w:r>
                      <w:r w:rsidRPr="00B53B20">
                        <w:t>se positional wedges, such as pillows</w:t>
                      </w:r>
                    </w:p>
                    <w:p w14:paraId="60E23838" w14:textId="77777777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S</w:t>
                      </w:r>
                      <w:r w:rsidRPr="00B53B20">
                        <w:t>it</w:t>
                      </w:r>
                      <w:r>
                        <w:t xml:space="preserve"> the person </w:t>
                      </w:r>
                      <w:r w:rsidRPr="00B53B20">
                        <w:t>out of bed during the day</w:t>
                      </w:r>
                    </w:p>
                    <w:p w14:paraId="6193A444" w14:textId="77777777" w:rsidR="00AB2E3A" w:rsidRPr="00B53B20" w:rsidRDefault="00AB2E3A" w:rsidP="00AB2E3A">
                      <w:pPr>
                        <w:pStyle w:val="PulloutText"/>
                        <w:numPr>
                          <w:ilvl w:val="0"/>
                          <w:numId w:val="13"/>
                        </w:numPr>
                      </w:pPr>
                      <w:r>
                        <w:t>D</w:t>
                      </w:r>
                      <w:r w:rsidRPr="00B53B20">
                        <w:t>iversional activities and therapies</w:t>
                      </w:r>
                    </w:p>
                    <w:p w14:paraId="7811C26E" w14:textId="77777777" w:rsidR="00AB2E3A" w:rsidRDefault="00AB2E3A" w:rsidP="00AB2E3A">
                      <w:pPr>
                        <w:pStyle w:val="PulloutText"/>
                      </w:pPr>
                      <w:r>
                        <w:t>Always assess the risks and benefits of any alternatives and discuss these with the person and/or the MTDM.</w:t>
                      </w:r>
                    </w:p>
                    <w:p w14:paraId="5C5CEE38" w14:textId="77777777" w:rsidR="00AB2E3A" w:rsidRDefault="00AB2E3A" w:rsidP="00AB2E3A">
                      <w:pPr>
                        <w:pStyle w:val="PulloutText"/>
                      </w:pPr>
                      <w:r>
                        <w:t>Document the assessment, discussion and outcome.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85784" w14:textId="41ADF515" w:rsidR="00AB2E3A" w:rsidRDefault="00AB2E3A" w:rsidP="00064AC7">
      <w:pPr>
        <w:pStyle w:val="Heading2"/>
      </w:pPr>
      <w:r>
        <w:t>Getting consent to use bed rails</w:t>
      </w:r>
    </w:p>
    <w:p w14:paraId="01E551D3" w14:textId="204D32FD" w:rsidR="00B81C9F" w:rsidRDefault="00603616">
      <w:pPr>
        <w:pStyle w:val="Normalfollowingheading"/>
      </w:pPr>
      <w:r>
        <w:t xml:space="preserve">Obtain consent from the </w:t>
      </w:r>
      <w:r w:rsidR="00E207BD" w:rsidRPr="00B81C9F">
        <w:t>person</w:t>
      </w:r>
      <w:r>
        <w:t xml:space="preserve"> before using bed rails</w:t>
      </w:r>
      <w:r w:rsidR="00E207BD" w:rsidRPr="00B81C9F">
        <w:t xml:space="preserve">. </w:t>
      </w:r>
    </w:p>
    <w:p w14:paraId="45BD7381" w14:textId="718DCC83" w:rsidR="00603616" w:rsidRDefault="00E207BD" w:rsidP="00064AC7">
      <w:pPr>
        <w:pStyle w:val="Normalfollowingheading"/>
      </w:pPr>
      <w:r w:rsidRPr="00B81C9F">
        <w:t>Whe</w:t>
      </w:r>
      <w:r w:rsidR="00603616">
        <w:t>n they do</w:t>
      </w:r>
      <w:r w:rsidRPr="00B81C9F">
        <w:t xml:space="preserve"> not have capacity,</w:t>
      </w:r>
      <w:r w:rsidR="00603616">
        <w:t xml:space="preserve"> obtain</w:t>
      </w:r>
      <w:r w:rsidRPr="00B81C9F">
        <w:t xml:space="preserve"> informed consent from the MTDM.</w:t>
      </w:r>
    </w:p>
    <w:p w14:paraId="28D52C6D" w14:textId="05635021" w:rsidR="00E207BD" w:rsidRDefault="00603616">
      <w:r w:rsidRPr="00064AC7">
        <w:rPr>
          <w:b/>
        </w:rPr>
        <w:t>In emergency situations</w:t>
      </w:r>
      <w:r>
        <w:t xml:space="preserve"> </w:t>
      </w:r>
      <w:r w:rsidR="009B0E41">
        <w:t xml:space="preserve">you can use bed rails without consent. But </w:t>
      </w:r>
      <w:r>
        <w:t xml:space="preserve">please obtain consent </w:t>
      </w:r>
      <w:r w:rsidR="00E207BD" w:rsidRPr="00064AC7">
        <w:t xml:space="preserve">as soon as possible </w:t>
      </w:r>
      <w:r>
        <w:t>after using bed rails.</w:t>
      </w:r>
    </w:p>
    <w:p w14:paraId="0D81C875" w14:textId="4E05B23E" w:rsidR="000A651B" w:rsidRDefault="00D64A9C" w:rsidP="00064AC7">
      <w:r w:rsidRPr="00DD04A1">
        <w:rPr>
          <w:b/>
        </w:rPr>
        <w:t>A person may withdraw their consent at any time.</w:t>
      </w:r>
    </w:p>
    <w:p w14:paraId="5ECD417A" w14:textId="26C75A99" w:rsidR="001B159D" w:rsidRDefault="001B159D" w:rsidP="00064AC7">
      <w:pPr>
        <w:pStyle w:val="Heading3"/>
      </w:pPr>
      <w:r w:rsidRPr="00064AC7">
        <w:t>Consumer information</w:t>
      </w:r>
    </w:p>
    <w:p w14:paraId="0766A81E" w14:textId="760EC935" w:rsidR="001B159D" w:rsidRDefault="001B159D" w:rsidP="001B159D">
      <w:pPr>
        <w:pStyle w:val="Normalfollowingheading"/>
      </w:pPr>
      <w:r>
        <w:t>Provide c</w:t>
      </w:r>
      <w:r w:rsidR="00E207BD">
        <w:t xml:space="preserve">onsumer </w:t>
      </w:r>
      <w:r w:rsidR="00E207BD" w:rsidRPr="00D21330">
        <w:t>information both verbally and in writing, outlining the risks and benefits associated with the use of bed rails.</w:t>
      </w:r>
      <w:r w:rsidR="007D2935">
        <w:rPr>
          <w:vertAlign w:val="superscript"/>
        </w:rPr>
        <w:t>7</w:t>
      </w:r>
    </w:p>
    <w:p w14:paraId="3D1459B9" w14:textId="43826798" w:rsidR="00B116A5" w:rsidRDefault="001B159D" w:rsidP="00064AC7">
      <w:r>
        <w:t>Make this i</w:t>
      </w:r>
      <w:r w:rsidR="00E207BD">
        <w:t>nformation available in languages other than English to meet the needs of people from cultural and linguistically diverse backgrounds.</w:t>
      </w:r>
    </w:p>
    <w:p w14:paraId="3F5E100A" w14:textId="77777777" w:rsidR="006A3810" w:rsidRDefault="006A3810">
      <w:pPr>
        <w:rPr>
          <w:rFonts w:ascii="VIC SemiBold" w:eastAsiaTheme="majorEastAsia" w:hAnsi="VIC SemiBold" w:cstheme="majorBidi"/>
          <w:bCs/>
          <w:color w:val="000000" w:themeColor="text1"/>
          <w:sz w:val="24"/>
          <w:szCs w:val="22"/>
        </w:rPr>
      </w:pPr>
      <w:r>
        <w:br w:type="page"/>
      </w:r>
    </w:p>
    <w:p w14:paraId="2BD83447" w14:textId="0248D69E" w:rsidR="00B116A5" w:rsidRDefault="00B116A5" w:rsidP="00064AC7">
      <w:pPr>
        <w:pStyle w:val="Heading3"/>
      </w:pPr>
      <w:r>
        <w:lastRenderedPageBreak/>
        <w:t>Documentation</w:t>
      </w:r>
    </w:p>
    <w:p w14:paraId="1EAC31E0" w14:textId="3BDD1AC5" w:rsidR="00E207BD" w:rsidRDefault="00E207BD" w:rsidP="00064AC7">
      <w:pPr>
        <w:pStyle w:val="Normalfollowingheading"/>
      </w:pPr>
      <w:r>
        <w:t xml:space="preserve">If </w:t>
      </w:r>
      <w:r w:rsidR="00B116A5">
        <w:t>you are considering using</w:t>
      </w:r>
      <w:r>
        <w:t xml:space="preserve"> bed rails, </w:t>
      </w:r>
      <w:r w:rsidR="00B116A5">
        <w:t>please</w:t>
      </w:r>
      <w:r>
        <w:t xml:space="preserve"> document:</w:t>
      </w:r>
    </w:p>
    <w:p w14:paraId="4F021200" w14:textId="2C58C545" w:rsidR="00E207BD" w:rsidRDefault="00E207BD">
      <w:pPr>
        <w:pStyle w:val="Bullet1"/>
      </w:pPr>
      <w:r>
        <w:t xml:space="preserve">the clinical justification for </w:t>
      </w:r>
      <w:r w:rsidR="00B116A5">
        <w:t>using or not using</w:t>
      </w:r>
      <w:r>
        <w:t xml:space="preserve"> bed rails, including specific risks and benefits discussed with the person and/or their MTDM</w:t>
      </w:r>
    </w:p>
    <w:p w14:paraId="1D79699C" w14:textId="77777777" w:rsidR="00E207BD" w:rsidRPr="00B53B20" w:rsidRDefault="00E207BD">
      <w:pPr>
        <w:pStyle w:val="Bullet1"/>
      </w:pPr>
      <w:r w:rsidRPr="00B53B20">
        <w:t>an agreed plan to address the underlying reasons for the request for bed rails</w:t>
      </w:r>
    </w:p>
    <w:p w14:paraId="55D556D1" w14:textId="77777777" w:rsidR="00E207BD" w:rsidRPr="00B53B20" w:rsidRDefault="00E207BD">
      <w:pPr>
        <w:pStyle w:val="Bullet1"/>
      </w:pPr>
      <w:r w:rsidRPr="00B53B20">
        <w:t>the circumstances in which the bed rails are to be used</w:t>
      </w:r>
    </w:p>
    <w:p w14:paraId="74708543" w14:textId="77777777" w:rsidR="00E207BD" w:rsidRPr="00B53B20" w:rsidRDefault="00E207BD">
      <w:pPr>
        <w:pStyle w:val="Bullet1"/>
      </w:pPr>
      <w:r w:rsidRPr="00B53B20">
        <w:t>risk reduction strategies, specific to the person, if the decision is made to use bed rails</w:t>
      </w:r>
    </w:p>
    <w:p w14:paraId="1BB5466A" w14:textId="77777777" w:rsidR="00E207BD" w:rsidRPr="00B53B20" w:rsidRDefault="00E207BD">
      <w:pPr>
        <w:pStyle w:val="Bullet1"/>
      </w:pPr>
      <w:r w:rsidRPr="00B53B20">
        <w:t>the level of monitoring required</w:t>
      </w:r>
    </w:p>
    <w:p w14:paraId="145B19B7" w14:textId="6494A967" w:rsidR="00E207BD" w:rsidRPr="00B53B20" w:rsidRDefault="00E207BD">
      <w:pPr>
        <w:pStyle w:val="Bullet1"/>
      </w:pPr>
      <w:r w:rsidRPr="00B53B20">
        <w:t>indicators for cessation</w:t>
      </w:r>
    </w:p>
    <w:p w14:paraId="05F646B8" w14:textId="3633BD3E" w:rsidR="00E207BD" w:rsidRPr="00B53B20" w:rsidRDefault="00E207BD">
      <w:pPr>
        <w:pStyle w:val="Bullet1"/>
      </w:pPr>
      <w:r w:rsidRPr="00B53B20">
        <w:t>any alternatives considered or trialled</w:t>
      </w:r>
    </w:p>
    <w:p w14:paraId="5403AE06" w14:textId="77777777" w:rsidR="00E207BD" w:rsidRPr="00B53B20" w:rsidRDefault="00E207BD">
      <w:pPr>
        <w:pStyle w:val="Bullet1"/>
      </w:pPr>
      <w:r w:rsidRPr="00B53B20">
        <w:t>written information provided</w:t>
      </w:r>
    </w:p>
    <w:p w14:paraId="2C380A53" w14:textId="26F3D1FA" w:rsidR="00E207BD" w:rsidRPr="00B53B20" w:rsidRDefault="00E207BD">
      <w:pPr>
        <w:pStyle w:val="Bullet1"/>
      </w:pPr>
      <w:r w:rsidRPr="00B53B20">
        <w:t xml:space="preserve">consent by the person or their MTDM for the </w:t>
      </w:r>
      <w:r w:rsidRPr="0087084E">
        <w:t>use of bed rails.</w:t>
      </w:r>
      <w:r w:rsidR="007D2935">
        <w:rPr>
          <w:vertAlign w:val="superscript"/>
        </w:rPr>
        <w:t>4</w:t>
      </w:r>
    </w:p>
    <w:p w14:paraId="643B5A7F" w14:textId="1D35A1D5" w:rsidR="000A651B" w:rsidRDefault="000A651B" w:rsidP="000A651B">
      <w:pPr>
        <w:pStyle w:val="Heading2"/>
      </w:pPr>
      <w:r>
        <w:t>reducing risk when using bed rails</w:t>
      </w:r>
    </w:p>
    <w:p w14:paraId="521C9CD5" w14:textId="0ADF0DBA" w:rsidR="00F5678A" w:rsidRDefault="00F5678A" w:rsidP="00064AC7">
      <w:pPr>
        <w:pStyle w:val="Heading3"/>
      </w:pPr>
      <w:r>
        <w:t>Set up</w:t>
      </w:r>
    </w:p>
    <w:p w14:paraId="603D95AF" w14:textId="6A0FC38D" w:rsidR="000A651B" w:rsidRDefault="008C2D64" w:rsidP="0087084E">
      <w:pPr>
        <w:pStyle w:val="Normalfollowingheading"/>
      </w:pPr>
      <w:r>
        <w:t>E</w:t>
      </w:r>
      <w:r w:rsidR="000A651B">
        <w:t>nsure the call bell and personal items are within easy reach of the person</w:t>
      </w:r>
      <w:r w:rsidR="00F5678A">
        <w:t>.</w:t>
      </w:r>
    </w:p>
    <w:p w14:paraId="66CE403D" w14:textId="252F9CA7" w:rsidR="00F5678A" w:rsidRDefault="00F5678A" w:rsidP="008C2D64">
      <w:r>
        <w:t>Consider positioning the bed in its lowest height setting.</w:t>
      </w:r>
    </w:p>
    <w:p w14:paraId="2E996DF0" w14:textId="2BB6CC10" w:rsidR="00F5678A" w:rsidRDefault="00F5678A" w:rsidP="008C2D64">
      <w:r>
        <w:t>Encourage the person to participate in activities of daily living, including mobilisation and maintaining independence.</w:t>
      </w:r>
    </w:p>
    <w:p w14:paraId="73C30E19" w14:textId="6D5E3FF0" w:rsidR="00F5678A" w:rsidRDefault="00F5678A" w:rsidP="00064AC7">
      <w:pPr>
        <w:pStyle w:val="Heading3"/>
      </w:pPr>
      <w:r>
        <w:t>Regular observation</w:t>
      </w:r>
    </w:p>
    <w:p w14:paraId="2B2C3D40" w14:textId="44BCC3FD" w:rsidR="00F5678A" w:rsidRDefault="00F5678A" w:rsidP="00F5678A">
      <w:pPr>
        <w:pStyle w:val="Normalfollowingheading"/>
      </w:pPr>
      <w:r>
        <w:t xml:space="preserve">Conduct and document regular observation of the person while bed </w:t>
      </w:r>
      <w:r w:rsidRPr="0087084E">
        <w:t>rails are in use</w:t>
      </w:r>
      <w:r w:rsidR="007D2935">
        <w:t>.</w:t>
      </w:r>
      <w:r w:rsidR="007D2935">
        <w:rPr>
          <w:vertAlign w:val="superscript"/>
        </w:rPr>
        <w:t>4</w:t>
      </w:r>
    </w:p>
    <w:p w14:paraId="38DCCD84" w14:textId="77777777" w:rsidR="00F5678A" w:rsidRDefault="00F5678A" w:rsidP="00F5678A">
      <w:r>
        <w:t>Increase frequency of visual observation of people who cannot use a nurse call bell or communicate they require assistance.</w:t>
      </w:r>
    </w:p>
    <w:p w14:paraId="35A4334A" w14:textId="1183438C" w:rsidR="000A651B" w:rsidRDefault="00F5678A" w:rsidP="00064AC7">
      <w:r>
        <w:t>A</w:t>
      </w:r>
      <w:r w:rsidR="000A651B">
        <w:t xml:space="preserve">nticipate the person’s physical and psychological needs and address these regularly. </w:t>
      </w:r>
      <w:r>
        <w:t>For example,</w:t>
      </w:r>
      <w:r w:rsidR="000A651B">
        <w:t xml:space="preserve"> the need for toileting, food, drink, pain medication, changing position for comfort and to relieve pressure, activity to relieve boredom</w:t>
      </w:r>
      <w:r>
        <w:t>.</w:t>
      </w:r>
    </w:p>
    <w:p w14:paraId="7D2FBDBE" w14:textId="6B9551A0" w:rsidR="00F5678A" w:rsidRDefault="00F5678A" w:rsidP="00F5678A">
      <w:r>
        <w:t xml:space="preserve">Consider the risk of entrapment or suffocation for people whose presentation may increase their risk of harm </w:t>
      </w:r>
      <w:r w:rsidRPr="00D21330">
        <w:t>when bed rails are used. For example, people with impaired cognition, sensory impairment or involuntary movements.</w:t>
      </w:r>
      <w:r w:rsidR="00C67C45" w:rsidRPr="00D21330">
        <w:rPr>
          <w:vertAlign w:val="superscript"/>
        </w:rPr>
        <w:t>2,12</w:t>
      </w:r>
    </w:p>
    <w:p w14:paraId="38CF2944" w14:textId="17426B01" w:rsidR="00F5678A" w:rsidRDefault="00F5678A" w:rsidP="000A651B">
      <w:r>
        <w:t>Monitor the person for functional decline.</w:t>
      </w:r>
      <w:r w:rsidRPr="00F5678A">
        <w:t xml:space="preserve"> </w:t>
      </w:r>
      <w:r>
        <w:t>Review clinical indicators such as changes in cognitive or physical function to determine ongoing suitability for the continued use of bed rails.</w:t>
      </w:r>
    </w:p>
    <w:p w14:paraId="2C8B1A18" w14:textId="77777777" w:rsidR="00F5678A" w:rsidRDefault="00F5678A">
      <w:pPr>
        <w:rPr>
          <w:rFonts w:ascii="VIC SemiBold" w:eastAsiaTheme="majorEastAsia" w:hAnsi="VIC SemiBold" w:cstheme="majorBidi"/>
          <w:bCs/>
          <w:iCs/>
          <w:color w:val="000000" w:themeColor="text1"/>
        </w:rPr>
      </w:pPr>
      <w:r>
        <w:br w:type="page"/>
      </w:r>
    </w:p>
    <w:p w14:paraId="553B9EA2" w14:textId="6FF01075" w:rsidR="00F5678A" w:rsidRDefault="00F5678A" w:rsidP="00064AC7">
      <w:pPr>
        <w:pStyle w:val="Heading3"/>
      </w:pPr>
      <w:r>
        <w:lastRenderedPageBreak/>
        <w:t>Regular review</w:t>
      </w:r>
    </w:p>
    <w:p w14:paraId="2214CF5F" w14:textId="7477E3B4" w:rsidR="00F5678A" w:rsidRDefault="00F5678A" w:rsidP="0087084E">
      <w:pPr>
        <w:pStyle w:val="Normalfollowingheading"/>
      </w:pPr>
      <w:r>
        <w:t xml:space="preserve">Review the decision to use </w:t>
      </w:r>
      <w:r w:rsidRPr="0087084E">
        <w:t>bed rails:</w:t>
      </w:r>
      <w:r w:rsidR="007D2935">
        <w:rPr>
          <w:vertAlign w:val="superscript"/>
        </w:rPr>
        <w:t>4</w:t>
      </w:r>
    </w:p>
    <w:p w14:paraId="13643FFD" w14:textId="77777777" w:rsidR="00F5678A" w:rsidRDefault="00F5678A" w:rsidP="00F5678A">
      <w:pPr>
        <w:pStyle w:val="Bullet1"/>
      </w:pPr>
      <w:r>
        <w:t>every shift while in a hospital setting</w:t>
      </w:r>
    </w:p>
    <w:p w14:paraId="07F78389" w14:textId="77777777" w:rsidR="00F5678A" w:rsidRDefault="00F5678A" w:rsidP="00F5678A">
      <w:pPr>
        <w:pStyle w:val="Bullet1"/>
      </w:pPr>
      <w:r>
        <w:t>at every clinical contact while in a community setting or person’s home.</w:t>
      </w:r>
    </w:p>
    <w:p w14:paraId="4F74B243" w14:textId="1E0F166C" w:rsidR="00F5678A" w:rsidRDefault="00F5678A" w:rsidP="000A651B">
      <w:r>
        <w:t>Discuss these decisions with the person and/or their MTDM, and then document them.</w:t>
      </w:r>
    </w:p>
    <w:p w14:paraId="1AEA3C65" w14:textId="46B3DAE7" w:rsidR="00F5678A" w:rsidRDefault="00F5678A" w:rsidP="000A651B">
      <w:r>
        <w:rPr>
          <w:noProof/>
        </w:rPr>
        <mc:AlternateContent>
          <mc:Choice Requires="wps">
            <w:drawing>
              <wp:inline distT="0" distB="0" distL="0" distR="0" wp14:anchorId="7CE1B2BF" wp14:editId="75FB9D81">
                <wp:extent cx="6263640" cy="1846053"/>
                <wp:effectExtent l="0" t="0" r="22860" b="2095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84605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FDA5" w14:textId="77777777" w:rsidR="00F5678A" w:rsidRDefault="00F5678A" w:rsidP="00064AC7">
                            <w:pPr>
                              <w:pStyle w:val="PulloutHeading"/>
                            </w:pPr>
                            <w:r>
                              <w:t>Duration of use</w:t>
                            </w:r>
                          </w:p>
                          <w:p w14:paraId="0FF20647" w14:textId="2C0D0F8A" w:rsidR="00054BBD" w:rsidRDefault="00F5678A" w:rsidP="00F5678A">
                            <w:pPr>
                              <w:pStyle w:val="PulloutText"/>
                            </w:pPr>
                            <w:r>
                              <w:t xml:space="preserve">Use bed rails only for as long as you </w:t>
                            </w:r>
                            <w:proofErr w:type="gramStart"/>
                            <w:r>
                              <w:t>have to</w:t>
                            </w:r>
                            <w:proofErr w:type="gramEnd"/>
                            <w:r>
                              <w:t>, aligning with:</w:t>
                            </w:r>
                          </w:p>
                          <w:p w14:paraId="23F4C66C" w14:textId="77777777" w:rsidR="00054BBD" w:rsidRDefault="00054BBD" w:rsidP="00054BBD">
                            <w:pPr>
                              <w:pStyle w:val="PulloutText"/>
                              <w:numPr>
                                <w:ilvl w:val="0"/>
                                <w:numId w:val="15"/>
                              </w:numPr>
                              <w:ind w:left="360"/>
                            </w:pPr>
                            <w:r>
                              <w:t>your service’s policies around the use of restraint (health services)</w:t>
                            </w:r>
                          </w:p>
                          <w:p w14:paraId="222C829A" w14:textId="5708956D" w:rsidR="00054BBD" w:rsidRDefault="00054BBD" w:rsidP="00064AC7">
                            <w:pPr>
                              <w:pStyle w:val="PulloutText"/>
                              <w:numPr>
                                <w:ilvl w:val="0"/>
                                <w:numId w:val="14"/>
                              </w:numPr>
                              <w:ind w:left="360"/>
                            </w:pPr>
                            <w:r>
                              <w:t xml:space="preserve">requirements under the Quality of Care Amendment (Minimising the Use of Restraints) Principles 2019 (residential aged care </w:t>
                            </w:r>
                            <w:r w:rsidRPr="00D21330">
                              <w:t>facilities).</w:t>
                            </w:r>
                            <w:r w:rsidR="007D2935">
                              <w:rPr>
                                <w:vertAlign w:val="superscript"/>
                              </w:rPr>
                              <w:t>4</w:t>
                            </w:r>
                          </w:p>
                          <w:p w14:paraId="46214B52" w14:textId="6B56C544" w:rsidR="00F5678A" w:rsidRPr="00F5678A" w:rsidRDefault="00054BBD">
                            <w:pPr>
                              <w:pStyle w:val="PulloutText"/>
                            </w:pPr>
                            <w:r>
                              <w:t>Reduce the need and use of restraints, including bed rails, through early identification and assessment of behaviours of concern, and development of risk reduction strategies.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1B2BF" id="_x0000_s1029" type="#_x0000_t202" style="width:493.2pt;height:1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" fillcolor="#edf5f7 [3214]" strokecolor="#edf5f7 [3214]" strokeweight=".5pt">
                <v:textbox inset="5mm,5mm,4mm,1mm">
                  <w:txbxContent>
                    <w:p w14:paraId="30E6FDA5" w14:textId="77777777" w:rsidR="00F5678A" w:rsidRDefault="00F5678A" w:rsidP="00064AC7">
                      <w:pPr>
                        <w:pStyle w:val="PulloutHeading"/>
                      </w:pPr>
                      <w:r>
                        <w:t>Duration of use</w:t>
                      </w:r>
                    </w:p>
                    <w:p w14:paraId="0FF20647" w14:textId="2C0D0F8A" w:rsidR="00054BBD" w:rsidRDefault="00F5678A" w:rsidP="00F5678A">
                      <w:pPr>
                        <w:pStyle w:val="PulloutText"/>
                      </w:pPr>
                      <w:r>
                        <w:t>Use bed rails only for as long as you have to, aligning with:</w:t>
                      </w:r>
                    </w:p>
                    <w:p w14:paraId="23F4C66C" w14:textId="77777777" w:rsidR="00054BBD" w:rsidRDefault="00054BBD" w:rsidP="00054BBD">
                      <w:pPr>
                        <w:pStyle w:val="PulloutText"/>
                        <w:numPr>
                          <w:ilvl w:val="0"/>
                          <w:numId w:val="15"/>
                        </w:numPr>
                        <w:ind w:left="360"/>
                      </w:pPr>
                      <w:r>
                        <w:t>your service’s policies around the use of restraint (health services)</w:t>
                      </w:r>
                    </w:p>
                    <w:p w14:paraId="222C829A" w14:textId="5708956D" w:rsidR="00054BBD" w:rsidRDefault="00054BBD" w:rsidP="00064AC7">
                      <w:pPr>
                        <w:pStyle w:val="PulloutText"/>
                        <w:numPr>
                          <w:ilvl w:val="0"/>
                          <w:numId w:val="14"/>
                        </w:numPr>
                        <w:ind w:left="360"/>
                      </w:pPr>
                      <w:r>
                        <w:t xml:space="preserve">requirements under the Quality of Care Amendment (Minimising the Use of Restraints) Principles 2019 (residential aged care </w:t>
                      </w:r>
                      <w:r w:rsidRPr="00D21330">
                        <w:t>facilities).</w:t>
                      </w:r>
                      <w:r w:rsidR="007D2935">
                        <w:rPr>
                          <w:vertAlign w:val="superscript"/>
                        </w:rPr>
                        <w:t>4</w:t>
                      </w:r>
                    </w:p>
                    <w:p w14:paraId="46214B52" w14:textId="6B56C544" w:rsidR="00F5678A" w:rsidRPr="00F5678A" w:rsidRDefault="00054BBD">
                      <w:pPr>
                        <w:pStyle w:val="PulloutText"/>
                      </w:pPr>
                      <w:r>
                        <w:t>Reduce the need and use of restraints, including bed rails, through early identification and assessment of behaviours of concern, and development of risk reduction strategies.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347A14" w14:textId="70B9957F" w:rsidR="00B116A5" w:rsidRDefault="00F5678A" w:rsidP="00064AC7">
      <w:pPr>
        <w:pStyle w:val="Heading3"/>
      </w:pPr>
      <w:r>
        <w:t>Alerting the care team</w:t>
      </w:r>
    </w:p>
    <w:p w14:paraId="6634229A" w14:textId="4D1CE1CB" w:rsidR="00F5678A" w:rsidRDefault="00B116A5" w:rsidP="00B116A5">
      <w:pPr>
        <w:pStyle w:val="Normalfollowingheading"/>
      </w:pPr>
      <w:r>
        <w:t>Make sure a</w:t>
      </w:r>
      <w:r w:rsidR="00E207BD">
        <w:t xml:space="preserve">nyone involved in </w:t>
      </w:r>
      <w:r w:rsidR="00F5678A">
        <w:t xml:space="preserve">directly caring for the person is aware that bed rails are in place. </w:t>
      </w:r>
    </w:p>
    <w:p w14:paraId="2281822D" w14:textId="7A356FBF" w:rsidR="00F5678A" w:rsidRDefault="00F5678A" w:rsidP="00F5678A">
      <w:pPr>
        <w:pStyle w:val="Normalfollowingheading"/>
      </w:pPr>
      <w:r>
        <w:t xml:space="preserve">Remind the care team of the risks of bed rails: </w:t>
      </w:r>
      <w:r w:rsidR="00E207BD">
        <w:t>agitation, distress, attempting to climb over bed rails, entrapment and suffocation.</w:t>
      </w:r>
      <w:r w:rsidRPr="00F5678A">
        <w:t xml:space="preserve"> </w:t>
      </w:r>
      <w:r>
        <w:t>They should receive education and training.</w:t>
      </w:r>
    </w:p>
    <w:p w14:paraId="6AC04F18" w14:textId="1AC9AC6E" w:rsidR="00D64A9C" w:rsidRDefault="00D64A9C" w:rsidP="00064AC7">
      <w:pPr>
        <w:pStyle w:val="Heading3"/>
      </w:pPr>
      <w:r>
        <w:t>Organisational policies</w:t>
      </w:r>
    </w:p>
    <w:p w14:paraId="56C40313" w14:textId="747BB837" w:rsidR="00E207BD" w:rsidRDefault="00194AAB" w:rsidP="00064AC7">
      <w:pPr>
        <w:pStyle w:val="Normalfollowingheading"/>
      </w:pPr>
      <w:r>
        <w:t>Share your organisation’s</w:t>
      </w:r>
      <w:r w:rsidR="00E207BD">
        <w:t xml:space="preserve"> policies and procedures to guide the use of restraints</w:t>
      </w:r>
      <w:r>
        <w:t xml:space="preserve">, </w:t>
      </w:r>
      <w:r w:rsidR="00E207BD">
        <w:t>includ</w:t>
      </w:r>
      <w:r>
        <w:t>ing</w:t>
      </w:r>
      <w:r w:rsidR="00E207BD">
        <w:t>:</w:t>
      </w:r>
    </w:p>
    <w:p w14:paraId="38B6E0E5" w14:textId="77777777" w:rsidR="00E207BD" w:rsidRPr="00B53B20" w:rsidRDefault="00E207BD">
      <w:pPr>
        <w:pStyle w:val="Bullet1"/>
      </w:pPr>
      <w:r w:rsidRPr="00B53B20">
        <w:t>the level of clinical assessment required, including review of physiological, psychological and social needs</w:t>
      </w:r>
    </w:p>
    <w:p w14:paraId="5ADE87BB" w14:textId="77777777" w:rsidR="00E207BD" w:rsidRPr="00B53B20" w:rsidRDefault="00E207BD">
      <w:pPr>
        <w:pStyle w:val="Bullet1"/>
      </w:pPr>
      <w:r w:rsidRPr="00B53B20">
        <w:t xml:space="preserve">the level of monitoring required </w:t>
      </w:r>
    </w:p>
    <w:p w14:paraId="260A0945" w14:textId="77777777" w:rsidR="00E207BD" w:rsidRPr="00B53B20" w:rsidRDefault="00E207BD">
      <w:pPr>
        <w:pStyle w:val="Bullet1"/>
      </w:pPr>
      <w:r w:rsidRPr="00B53B20">
        <w:t xml:space="preserve">the documentation required </w:t>
      </w:r>
    </w:p>
    <w:p w14:paraId="5E0F1028" w14:textId="4956FA4F" w:rsidR="00D64A9C" w:rsidRDefault="00E207BD" w:rsidP="00064AC7">
      <w:pPr>
        <w:pStyle w:val="Bullet1"/>
      </w:pPr>
      <w:r w:rsidRPr="00B53B20">
        <w:t>the reporting mechanism to the governing body.</w:t>
      </w:r>
    </w:p>
    <w:p w14:paraId="647EA352" w14:textId="77777777" w:rsidR="00E207BD" w:rsidRDefault="00E207BD">
      <w:pPr>
        <w:pStyle w:val="Heading2"/>
      </w:pPr>
      <w:r>
        <w:t>Equipment</w:t>
      </w:r>
    </w:p>
    <w:p w14:paraId="694C76CD" w14:textId="3A863E42" w:rsidR="00E207BD" w:rsidRPr="00D21330" w:rsidRDefault="00E207BD" w:rsidP="00064AC7">
      <w:pPr>
        <w:pStyle w:val="Normalfollowingheading"/>
      </w:pPr>
      <w:r>
        <w:t xml:space="preserve">The bed, mattress and bed rails combination should meet the IEC/ISO Standard, Medical Electrical Equipment, 2015 - Part 2-52: </w:t>
      </w:r>
      <w:proofErr w:type="gramStart"/>
      <w:r w:rsidRPr="00D21330">
        <w:t>Particular requirements</w:t>
      </w:r>
      <w:proofErr w:type="gramEnd"/>
      <w:r w:rsidRPr="00D21330">
        <w:t xml:space="preserve"> for basic safety and essential performance of medical beds (IEC 60601-2-52:2009/A1:2015).</w:t>
      </w:r>
      <w:r w:rsidR="007D2935">
        <w:rPr>
          <w:vertAlign w:val="superscript"/>
        </w:rPr>
        <w:t>5,6</w:t>
      </w:r>
      <w:r w:rsidRPr="00D21330">
        <w:t xml:space="preserve"> Organisations must ensure that bed rails are installed according to the manufacturer’s instructions.</w:t>
      </w:r>
    </w:p>
    <w:p w14:paraId="35767389" w14:textId="606B1EE2" w:rsidR="00E207BD" w:rsidRDefault="00E207BD" w:rsidP="00064AC7">
      <w:r>
        <w:t>Entrapment or asphyxiation may occur due to gaps between the rails of a bed rail, between the mattress and bed rail</w:t>
      </w:r>
      <w:r w:rsidR="0085027F">
        <w:t>,</w:t>
      </w:r>
      <w:r>
        <w:t xml:space="preserve"> and between the bed rail and bedhead or bed end. To address the gaps:</w:t>
      </w:r>
    </w:p>
    <w:p w14:paraId="1C3B192D" w14:textId="77777777" w:rsidR="00E207BD" w:rsidRDefault="00E207BD">
      <w:pPr>
        <w:pStyle w:val="Bullet1"/>
      </w:pPr>
      <w:r>
        <w:t>the correct bed rail for the bed should be used</w:t>
      </w:r>
    </w:p>
    <w:p w14:paraId="224194FD" w14:textId="77777777" w:rsidR="00E207BD" w:rsidRDefault="00E207BD">
      <w:pPr>
        <w:pStyle w:val="Bullet1"/>
      </w:pPr>
      <w:r>
        <w:t>a matching set of bed rails should be used</w:t>
      </w:r>
    </w:p>
    <w:p w14:paraId="48FD65E2" w14:textId="088CBCD1" w:rsidR="00E207BD" w:rsidRDefault="00E207BD">
      <w:pPr>
        <w:pStyle w:val="Bullet1"/>
      </w:pPr>
      <w:r>
        <w:t xml:space="preserve">the bed rail </w:t>
      </w:r>
      <w:proofErr w:type="gramStart"/>
      <w:r>
        <w:t>covers</w:t>
      </w:r>
      <w:proofErr w:type="gramEnd"/>
      <w:r>
        <w:t xml:space="preserve"> and mattress should comply with the Standard.</w:t>
      </w:r>
    </w:p>
    <w:p w14:paraId="3C3A5CE1" w14:textId="497C2936" w:rsidR="00E207BD" w:rsidRDefault="00E207BD" w:rsidP="00064AC7">
      <w:r>
        <w:lastRenderedPageBreak/>
        <w:t xml:space="preserve">Clinical staff should ensure the mattress is compatible with the bed </w:t>
      </w:r>
      <w:r w:rsidRPr="00D21330">
        <w:t>and bed rails.</w:t>
      </w:r>
      <w:r w:rsidR="007D2935">
        <w:rPr>
          <w:vertAlign w:val="superscript"/>
        </w:rPr>
        <w:t>7</w:t>
      </w:r>
      <w:r w:rsidRPr="00D21330">
        <w:t xml:space="preserve"> Clinical staff should be aware of the increased risk for the person when the original mattress is not being used:</w:t>
      </w:r>
    </w:p>
    <w:p w14:paraId="2609EC0C" w14:textId="1A3442F1" w:rsidR="00E207BD" w:rsidRDefault="00E207BD">
      <w:pPr>
        <w:pStyle w:val="Bullet1"/>
      </w:pPr>
      <w:r>
        <w:t>when using a pressure mattress overlay</w:t>
      </w:r>
      <w:r w:rsidR="008D15CC">
        <w:t>,</w:t>
      </w:r>
      <w:r>
        <w:t xml:space="preserve"> the height of the mattress will increase in relation to the bed rails</w:t>
      </w:r>
    </w:p>
    <w:p w14:paraId="65B146B3" w14:textId="77777777" w:rsidR="00E207BD" w:rsidRDefault="00E207BD">
      <w:pPr>
        <w:pStyle w:val="Bullet1"/>
      </w:pPr>
      <w:r>
        <w:t>an air mattress can be compressed and widen the space between the mattress and the rail or create a ramp for the person to roll</w:t>
      </w:r>
    </w:p>
    <w:p w14:paraId="5CF21FA9" w14:textId="61F8E70C" w:rsidR="00E207BD" w:rsidRDefault="00E207BD">
      <w:pPr>
        <w:pStyle w:val="Bullet1"/>
      </w:pPr>
      <w:r>
        <w:t xml:space="preserve">clinical staff should be aware of the risk of medical tubing or electrical cord </w:t>
      </w:r>
      <w:r w:rsidR="008D15CC">
        <w:t xml:space="preserve">getting caught </w:t>
      </w:r>
      <w:r>
        <w:t>when adjusting bed rails.</w:t>
      </w:r>
    </w:p>
    <w:p w14:paraId="4FB5800B" w14:textId="1AE8D693" w:rsidR="00E207BD" w:rsidRDefault="00E207BD" w:rsidP="00064AC7">
      <w:r>
        <w:t xml:space="preserve">Clinical staff should be aware of the </w:t>
      </w:r>
      <w:r w:rsidR="008D15CC">
        <w:t xml:space="preserve">person being at </w:t>
      </w:r>
      <w:r>
        <w:t>increased risk of entrapment when using split bed rails. The gaps between the bed rail</w:t>
      </w:r>
      <w:r w:rsidR="008D15CC">
        <w:t>, bed</w:t>
      </w:r>
      <w:r>
        <w:t xml:space="preserve">head or </w:t>
      </w:r>
      <w:r w:rsidR="008D15CC">
        <w:t>bed end</w:t>
      </w:r>
      <w:r>
        <w:t>, and the area where the bed rail splits may vary depending on the profile of the bed.</w:t>
      </w:r>
    </w:p>
    <w:p w14:paraId="00FE042F" w14:textId="095FD766" w:rsidR="00E207BD" w:rsidRDefault="00E207BD" w:rsidP="00064AC7">
      <w:r>
        <w:t>Slide-under</w:t>
      </w:r>
      <w:r w:rsidR="008D15CC">
        <w:t>-</w:t>
      </w:r>
      <w:r>
        <w:t xml:space="preserve">mattress bed rails should not be used due to the risk of movement and gaps created by the bed rails, which may increase the risk of entrapment </w:t>
      </w:r>
      <w:r w:rsidRPr="0087084E">
        <w:t>and suffocation.</w:t>
      </w:r>
      <w:r w:rsidR="00ED01E9" w:rsidRPr="0087084E">
        <w:rPr>
          <w:vertAlign w:val="superscript"/>
        </w:rPr>
        <w:t>5</w:t>
      </w:r>
    </w:p>
    <w:p w14:paraId="0747C22A" w14:textId="7C25ABC1" w:rsidR="007D218F" w:rsidRDefault="00E207BD" w:rsidP="00D64A9C">
      <w:r>
        <w:t xml:space="preserve">If bed rails are used in the person’s home, the person and/or their MTDM should be shown how to check the bed rails daily and </w:t>
      </w:r>
      <w:r w:rsidR="008D15CC">
        <w:t xml:space="preserve">be </w:t>
      </w:r>
      <w:r>
        <w:t>provided with contact information for any concerns.</w:t>
      </w:r>
    </w:p>
    <w:p w14:paraId="2DC1678F" w14:textId="75669F38" w:rsidR="00590858" w:rsidRPr="00B4391B" w:rsidRDefault="00590858" w:rsidP="00626321">
      <w:pPr>
        <w:pStyle w:val="Heading2"/>
        <w:spacing w:before="240"/>
      </w:pPr>
      <w:r w:rsidRPr="00B4391B">
        <w:t>Reference</w:t>
      </w:r>
      <w:r w:rsidR="00B81C9F">
        <w:t>s</w:t>
      </w:r>
    </w:p>
    <w:p w14:paraId="6FAEA20A" w14:textId="7CF71436" w:rsidR="00590858" w:rsidRPr="00626321" w:rsidRDefault="00590858" w:rsidP="00626321">
      <w:pPr>
        <w:pStyle w:val="Normalfollowingheading"/>
        <w:numPr>
          <w:ilvl w:val="0"/>
          <w:numId w:val="12"/>
        </w:numPr>
        <w:spacing w:before="40" w:after="40" w:line="220" w:lineRule="atLeast"/>
        <w:ind w:left="357" w:hanging="357"/>
        <w:rPr>
          <w:sz w:val="18"/>
          <w:szCs w:val="18"/>
        </w:rPr>
      </w:pPr>
      <w:r w:rsidRPr="00626321">
        <w:rPr>
          <w:sz w:val="18"/>
          <w:szCs w:val="18"/>
        </w:rPr>
        <w:t xml:space="preserve">Anderson, O, Boshier, PR, Hanna GB, 2012, ‘Interventions designed to prevent healthcare bed-related injuries in patients (review)’ </w:t>
      </w:r>
      <w:r w:rsidRPr="00626321">
        <w:rPr>
          <w:i/>
          <w:sz w:val="18"/>
          <w:szCs w:val="18"/>
        </w:rPr>
        <w:t>Cochrane Database of Systematic Reviews</w:t>
      </w:r>
      <w:r w:rsidRPr="00626321">
        <w:rPr>
          <w:sz w:val="18"/>
          <w:szCs w:val="18"/>
        </w:rPr>
        <w:t>, Issue 1. Art. No.:CD008931, p.1-30.</w:t>
      </w:r>
    </w:p>
    <w:p w14:paraId="198B4DF6" w14:textId="77777777" w:rsidR="00590858" w:rsidRPr="00626321" w:rsidRDefault="00590858" w:rsidP="00626321">
      <w:pPr>
        <w:pStyle w:val="Normalfollowingheading"/>
        <w:numPr>
          <w:ilvl w:val="0"/>
          <w:numId w:val="12"/>
        </w:numPr>
        <w:spacing w:before="40" w:after="40" w:line="220" w:lineRule="atLeast"/>
        <w:ind w:left="357" w:hanging="357"/>
        <w:rPr>
          <w:sz w:val="18"/>
          <w:szCs w:val="18"/>
        </w:rPr>
      </w:pPr>
      <w:r w:rsidRPr="00626321">
        <w:rPr>
          <w:sz w:val="18"/>
          <w:szCs w:val="18"/>
        </w:rPr>
        <w:t xml:space="preserve">Australian Commission on Safety and Quality in Health Care 2018, </w:t>
      </w:r>
      <w:r w:rsidRPr="00626321">
        <w:rPr>
          <w:i/>
          <w:sz w:val="18"/>
          <w:szCs w:val="18"/>
        </w:rPr>
        <w:t>Australian sentinel events list (version 2)</w:t>
      </w:r>
      <w:r w:rsidRPr="00626321">
        <w:rPr>
          <w:sz w:val="18"/>
          <w:szCs w:val="18"/>
        </w:rPr>
        <w:t>, Australian Commission on Safety and Quality in Health Care, Sydney.</w:t>
      </w:r>
    </w:p>
    <w:p w14:paraId="103A9D07" w14:textId="77777777" w:rsidR="00590858" w:rsidRPr="00626321" w:rsidRDefault="00590858" w:rsidP="00626321">
      <w:pPr>
        <w:pStyle w:val="Normalfollowingheading"/>
        <w:numPr>
          <w:ilvl w:val="0"/>
          <w:numId w:val="12"/>
        </w:numPr>
        <w:spacing w:before="40" w:after="40" w:line="220" w:lineRule="atLeast"/>
        <w:ind w:left="357" w:hanging="357"/>
        <w:rPr>
          <w:sz w:val="18"/>
          <w:szCs w:val="18"/>
        </w:rPr>
      </w:pPr>
      <w:r w:rsidRPr="00626321">
        <w:rPr>
          <w:sz w:val="18"/>
          <w:szCs w:val="18"/>
        </w:rPr>
        <w:t xml:space="preserve">Bellenger, E, Ibrahim, J, Bugeja, L, Kennedy, B 2017, ‘Physical restraint deaths in a 13-year national cohort of nursing home residents’, </w:t>
      </w:r>
      <w:r w:rsidRPr="00626321">
        <w:rPr>
          <w:i/>
          <w:sz w:val="18"/>
          <w:szCs w:val="18"/>
        </w:rPr>
        <w:t>Age and Aging</w:t>
      </w:r>
      <w:r w:rsidRPr="00626321">
        <w:rPr>
          <w:sz w:val="18"/>
          <w:szCs w:val="18"/>
        </w:rPr>
        <w:t>, vol. 46, issue 4, p.688-693.</w:t>
      </w:r>
    </w:p>
    <w:p w14:paraId="4CBF0F71" w14:textId="2DCF58F9" w:rsidR="007D218F" w:rsidRPr="00626321" w:rsidRDefault="00590858" w:rsidP="00626321">
      <w:pPr>
        <w:pStyle w:val="Normalfollowingheading"/>
        <w:numPr>
          <w:ilvl w:val="0"/>
          <w:numId w:val="12"/>
        </w:numPr>
        <w:spacing w:before="40" w:after="40" w:line="220" w:lineRule="atLeast"/>
        <w:ind w:left="357" w:hanging="357"/>
        <w:rPr>
          <w:sz w:val="18"/>
          <w:szCs w:val="18"/>
        </w:rPr>
      </w:pPr>
      <w:r w:rsidRPr="00626321">
        <w:rPr>
          <w:sz w:val="18"/>
          <w:szCs w:val="18"/>
        </w:rPr>
        <w:t xml:space="preserve">Federal Register of Legislation 2019, Quality of Care Amendment (Minimising the Use of Restraints) Principles 2019, </w:t>
      </w:r>
      <w:r w:rsidRPr="00626321">
        <w:rPr>
          <w:i/>
          <w:sz w:val="18"/>
          <w:szCs w:val="18"/>
        </w:rPr>
        <w:t>Aged Care Act 1997</w:t>
      </w:r>
      <w:r w:rsidRPr="00626321">
        <w:rPr>
          <w:sz w:val="18"/>
          <w:szCs w:val="18"/>
        </w:rPr>
        <w:t xml:space="preserve">  &lt;</w:t>
      </w:r>
      <w:hyperlink r:id="rId11" w:history="1">
        <w:r w:rsidRPr="00626321">
          <w:rPr>
            <w:sz w:val="18"/>
            <w:szCs w:val="18"/>
          </w:rPr>
          <w:t>https://www.legislation.gov.au/Details/F2019L00511</w:t>
        </w:r>
      </w:hyperlink>
      <w:r w:rsidRPr="00626321">
        <w:rPr>
          <w:sz w:val="18"/>
          <w:szCs w:val="18"/>
        </w:rPr>
        <w:t>&gt;</w:t>
      </w:r>
    </w:p>
    <w:p w14:paraId="23CA4700" w14:textId="06951DF4" w:rsidR="007D218F" w:rsidRPr="00626321" w:rsidRDefault="00590858" w:rsidP="00626321">
      <w:pPr>
        <w:pStyle w:val="Normalfollowingheading"/>
        <w:numPr>
          <w:ilvl w:val="0"/>
          <w:numId w:val="12"/>
        </w:numPr>
        <w:spacing w:before="40" w:after="40" w:line="220" w:lineRule="atLeast"/>
        <w:ind w:left="357" w:hanging="357"/>
        <w:rPr>
          <w:sz w:val="18"/>
          <w:szCs w:val="18"/>
        </w:rPr>
      </w:pPr>
      <w:r w:rsidRPr="00626321">
        <w:rPr>
          <w:sz w:val="18"/>
          <w:szCs w:val="18"/>
        </w:rPr>
        <w:t xml:space="preserve">Healey, F, Oliver, D, Milne A, Connelly J, 2008, ‘The effect of bedrails on falls and injury: a systematic review of clinical studies’, </w:t>
      </w:r>
      <w:r w:rsidRPr="00626321">
        <w:rPr>
          <w:i/>
          <w:sz w:val="18"/>
          <w:szCs w:val="18"/>
        </w:rPr>
        <w:t>Age and Aging</w:t>
      </w:r>
      <w:r w:rsidRPr="00626321">
        <w:rPr>
          <w:sz w:val="18"/>
          <w:szCs w:val="18"/>
        </w:rPr>
        <w:t>. vol.37, issue 4, p.368-378.</w:t>
      </w:r>
    </w:p>
    <w:p w14:paraId="1CECF153" w14:textId="77777777" w:rsidR="00323512" w:rsidRPr="00626321" w:rsidRDefault="00590858" w:rsidP="00626321">
      <w:pPr>
        <w:pStyle w:val="Normalfollowingheading"/>
        <w:numPr>
          <w:ilvl w:val="0"/>
          <w:numId w:val="12"/>
        </w:numPr>
        <w:spacing w:before="40" w:after="40" w:line="220" w:lineRule="atLeast"/>
        <w:ind w:left="357" w:hanging="357"/>
        <w:rPr>
          <w:sz w:val="18"/>
          <w:szCs w:val="18"/>
        </w:rPr>
      </w:pPr>
      <w:r w:rsidRPr="00626321">
        <w:rPr>
          <w:sz w:val="18"/>
          <w:szCs w:val="18"/>
        </w:rPr>
        <w:t>International Electrotechnical Commission 2015, Medical electrical equipment</w:t>
      </w:r>
      <w:r w:rsidR="0087084E" w:rsidRPr="00626321">
        <w:rPr>
          <w:sz w:val="18"/>
          <w:szCs w:val="18"/>
        </w:rPr>
        <w:t xml:space="preserve"> </w:t>
      </w:r>
      <w:r w:rsidRPr="00626321">
        <w:rPr>
          <w:sz w:val="18"/>
          <w:szCs w:val="18"/>
        </w:rPr>
        <w:t xml:space="preserve">- Part 2-52: </w:t>
      </w:r>
      <w:proofErr w:type="gramStart"/>
      <w:r w:rsidRPr="00626321">
        <w:rPr>
          <w:sz w:val="18"/>
          <w:szCs w:val="18"/>
        </w:rPr>
        <w:t>Particular requirements</w:t>
      </w:r>
      <w:proofErr w:type="gramEnd"/>
      <w:r w:rsidRPr="00626321">
        <w:rPr>
          <w:sz w:val="18"/>
          <w:szCs w:val="18"/>
        </w:rPr>
        <w:t xml:space="preserve"> for the basic safety and essential performance of medical beds, 60601-2-52:2009, IEC/ISO, Geneva Switzerland.</w:t>
      </w:r>
    </w:p>
    <w:p w14:paraId="2A3A9CB7" w14:textId="77777777" w:rsidR="00323512" w:rsidRPr="00626321" w:rsidRDefault="00323512" w:rsidP="00626321">
      <w:pPr>
        <w:pStyle w:val="Normalfollowingheading"/>
        <w:numPr>
          <w:ilvl w:val="0"/>
          <w:numId w:val="12"/>
        </w:numPr>
        <w:spacing w:before="40" w:after="40" w:line="220" w:lineRule="atLeast"/>
        <w:ind w:left="357" w:hanging="357"/>
        <w:rPr>
          <w:sz w:val="18"/>
          <w:szCs w:val="18"/>
        </w:rPr>
      </w:pPr>
      <w:r w:rsidRPr="00626321">
        <w:rPr>
          <w:sz w:val="18"/>
          <w:szCs w:val="18"/>
        </w:rPr>
        <w:t xml:space="preserve">Morse, J, Gervais, P, Pooler, C, </w:t>
      </w:r>
      <w:proofErr w:type="spellStart"/>
      <w:r w:rsidRPr="00626321">
        <w:rPr>
          <w:sz w:val="18"/>
          <w:szCs w:val="18"/>
        </w:rPr>
        <w:t>Merryweather</w:t>
      </w:r>
      <w:proofErr w:type="spellEnd"/>
      <w:r w:rsidRPr="00626321">
        <w:rPr>
          <w:sz w:val="18"/>
          <w:szCs w:val="18"/>
        </w:rPr>
        <w:t xml:space="preserve">, A, Doig, A, </w:t>
      </w:r>
      <w:proofErr w:type="spellStart"/>
      <w:r w:rsidRPr="00626321">
        <w:rPr>
          <w:sz w:val="18"/>
          <w:szCs w:val="18"/>
        </w:rPr>
        <w:t>Bloswick</w:t>
      </w:r>
      <w:proofErr w:type="spellEnd"/>
      <w:r w:rsidRPr="00626321">
        <w:rPr>
          <w:sz w:val="18"/>
          <w:szCs w:val="18"/>
        </w:rPr>
        <w:t>, D, 2015, ‘The Safety of Hospital Beds: Ingress, Egress, and In-Bed Mobility’, Global Qualitative Nursing Research, p.1-20.</w:t>
      </w:r>
    </w:p>
    <w:p w14:paraId="4FE3C317" w14:textId="259AD0C1" w:rsidR="00323512" w:rsidRPr="00626321" w:rsidRDefault="00323512" w:rsidP="00626321">
      <w:pPr>
        <w:pStyle w:val="Normalfollowingheading"/>
        <w:numPr>
          <w:ilvl w:val="0"/>
          <w:numId w:val="12"/>
        </w:numPr>
        <w:spacing w:before="40" w:after="40" w:line="220" w:lineRule="atLeast"/>
        <w:ind w:left="357" w:hanging="357"/>
        <w:rPr>
          <w:sz w:val="18"/>
          <w:szCs w:val="18"/>
        </w:rPr>
      </w:pPr>
      <w:r w:rsidRPr="00626321">
        <w:rPr>
          <w:sz w:val="18"/>
          <w:szCs w:val="18"/>
        </w:rPr>
        <w:t xml:space="preserve">O </w:t>
      </w:r>
      <w:proofErr w:type="spellStart"/>
      <w:r w:rsidRPr="00626321">
        <w:rPr>
          <w:sz w:val="18"/>
          <w:szCs w:val="18"/>
        </w:rPr>
        <w:t>Flatharta</w:t>
      </w:r>
      <w:proofErr w:type="spellEnd"/>
      <w:r w:rsidRPr="00626321">
        <w:rPr>
          <w:sz w:val="18"/>
          <w:szCs w:val="18"/>
        </w:rPr>
        <w:t>, T, Haugh, J, Robinson, S, O’Keefe, S 2014, ‘Prevalence and predictors of bedrail use in an acute hospital’, Age and Aging, vol. 43, issue 6, p.801-805.</w:t>
      </w:r>
    </w:p>
    <w:p w14:paraId="6BA96540" w14:textId="77777777" w:rsidR="00323512" w:rsidRPr="00626321" w:rsidRDefault="00323512" w:rsidP="00626321">
      <w:pPr>
        <w:pStyle w:val="ListParagraph"/>
        <w:numPr>
          <w:ilvl w:val="0"/>
          <w:numId w:val="12"/>
        </w:numPr>
        <w:spacing w:before="40" w:after="40" w:line="220" w:lineRule="atLeast"/>
        <w:rPr>
          <w:sz w:val="18"/>
          <w:szCs w:val="18"/>
        </w:rPr>
      </w:pPr>
      <w:r w:rsidRPr="00626321">
        <w:rPr>
          <w:sz w:val="18"/>
          <w:szCs w:val="18"/>
        </w:rPr>
        <w:t>Shanahan, DJ, 2011, ‘Bedrails and vulnerable older adults: how should nurses make ‘safe and sound’ decisions surrounding their use?’ International Journal of Older People Nursing, vol 7, issue 4, p.272-281.</w:t>
      </w:r>
    </w:p>
    <w:p w14:paraId="2313783C" w14:textId="296EDB6B" w:rsidR="00323512" w:rsidRPr="00626321" w:rsidRDefault="007D2935" w:rsidP="00626321">
      <w:pPr>
        <w:pStyle w:val="Normalfollowingheading"/>
        <w:numPr>
          <w:ilvl w:val="0"/>
          <w:numId w:val="12"/>
        </w:numPr>
        <w:spacing w:before="40" w:after="40" w:line="220" w:lineRule="atLeast"/>
        <w:ind w:left="357" w:hanging="357"/>
        <w:rPr>
          <w:sz w:val="18"/>
          <w:szCs w:val="18"/>
        </w:rPr>
      </w:pPr>
      <w:r w:rsidRPr="00626321">
        <w:rPr>
          <w:sz w:val="18"/>
          <w:szCs w:val="18"/>
        </w:rPr>
        <w:t xml:space="preserve">Springer, G 2015, ‘When and how to use restraints’, </w:t>
      </w:r>
      <w:r w:rsidRPr="00626321">
        <w:rPr>
          <w:i/>
          <w:sz w:val="18"/>
          <w:szCs w:val="18"/>
        </w:rPr>
        <w:t>American Nurse Today</w:t>
      </w:r>
      <w:r w:rsidRPr="00626321">
        <w:rPr>
          <w:sz w:val="18"/>
          <w:szCs w:val="18"/>
        </w:rPr>
        <w:t>, vol.10(1), p.26-27</w:t>
      </w:r>
    </w:p>
    <w:tbl>
      <w:tblPr>
        <w:tblStyle w:val="SCVInformationTable"/>
        <w:tblpPr w:leftFromText="181" w:rightFromText="181" w:vertAnchor="page" w:horzAnchor="page" w:tblpX="738" w:tblpY="13609"/>
        <w:tblW w:w="10433" w:type="dxa"/>
        <w:shd w:val="clear" w:color="auto" w:fill="F2F2F3"/>
        <w:tblLook w:val="0600" w:firstRow="0" w:lastRow="0" w:firstColumn="0" w:lastColumn="0" w:noHBand="1" w:noVBand="1"/>
      </w:tblPr>
      <w:tblGrid>
        <w:gridCol w:w="4111"/>
        <w:gridCol w:w="3777"/>
        <w:gridCol w:w="2545"/>
      </w:tblGrid>
      <w:sdt>
        <w:sdtPr>
          <w:rPr>
            <w:sz w:val="24"/>
          </w:rPr>
          <w:id w:val="-967040995"/>
          <w:placeholder>
            <w:docPart w:val="7481E9CB3A554A4A82ECC5A380E590C6"/>
          </w:placeholder>
        </w:sdtPr>
        <w:sdtEndPr>
          <w:rPr>
            <w:sz w:val="15"/>
            <w:szCs w:val="15"/>
          </w:rPr>
        </w:sdtEndPr>
        <w:sdtContent>
          <w:tr w:rsidR="007D218F" w:rsidRPr="00736C0C" w14:paraId="5D0F61B5" w14:textId="77777777" w:rsidTr="00D21330">
            <w:trPr>
              <w:trHeight w:val="1644"/>
            </w:trPr>
            <w:tc>
              <w:tcPr>
                <w:tcW w:w="4111" w:type="dxa"/>
                <w:tcMar>
                  <w:left w:w="113" w:type="dxa"/>
                </w:tcMar>
              </w:tcPr>
              <w:p w14:paraId="0FF95B64" w14:textId="4104B40F" w:rsidR="007D218F" w:rsidRPr="00767035" w:rsidRDefault="007D218F" w:rsidP="00D21330">
                <w:pPr>
                  <w:spacing w:after="0" w:line="240" w:lineRule="exact"/>
                  <w:ind w:right="454"/>
                  <w:rPr>
                    <w:sz w:val="24"/>
                  </w:rPr>
                </w:pPr>
                <w:r w:rsidRPr="00767035">
                  <w:rPr>
                    <w:sz w:val="24"/>
                  </w:rPr>
                  <w:t>To receive this publication in an accessible format phone</w:t>
                </w:r>
                <w:r>
                  <w:rPr>
                    <w:sz w:val="24"/>
                  </w:rPr>
                  <w:t xml:space="preserve"> 9096 1384</w:t>
                </w:r>
                <w:r w:rsidRPr="00767035">
                  <w:rPr>
                    <w:sz w:val="24"/>
                  </w:rPr>
                  <w:t xml:space="preserve">, using the National Relay Service </w:t>
                </w:r>
                <w:r>
                  <w:rPr>
                    <w:sz w:val="24"/>
                  </w:rPr>
                  <w:br/>
                </w:r>
                <w:r w:rsidRPr="00767035">
                  <w:rPr>
                    <w:sz w:val="24"/>
                  </w:rPr>
                  <w:t>13</w:t>
                </w:r>
                <w:r>
                  <w:t xml:space="preserve"> </w:t>
                </w:r>
                <w:r w:rsidRPr="00767035">
                  <w:rPr>
                    <w:sz w:val="24"/>
                  </w:rPr>
                  <w:t>36</w:t>
                </w:r>
                <w:r>
                  <w:rPr>
                    <w:sz w:val="24"/>
                  </w:rPr>
                  <w:t xml:space="preserve"> </w:t>
                </w:r>
                <w:r w:rsidRPr="00767035">
                  <w:rPr>
                    <w:sz w:val="24"/>
                  </w:rPr>
                  <w:t xml:space="preserve">77 if required, or email </w:t>
                </w:r>
                <w:r w:rsidRPr="00767035">
                  <w:rPr>
                    <w:b/>
                    <w:sz w:val="24"/>
                  </w:rPr>
                  <w:t>info@safercare.vic.gov.au</w:t>
                </w:r>
              </w:p>
            </w:tc>
            <w:tc>
              <w:tcPr>
                <w:tcW w:w="3777" w:type="dxa"/>
              </w:tcPr>
              <w:p w14:paraId="6C33B9DB" w14:textId="27553145" w:rsidR="007D218F" w:rsidRPr="007A4444" w:rsidRDefault="007D218F" w:rsidP="006A7910">
                <w:pPr>
                  <w:spacing w:line="230" w:lineRule="auto"/>
                  <w:ind w:right="377"/>
                  <w:rPr>
                    <w:sz w:val="13"/>
                    <w:szCs w:val="13"/>
                  </w:rPr>
                </w:pPr>
                <w:r w:rsidRPr="007A4444">
                  <w:rPr>
                    <w:sz w:val="13"/>
                    <w:szCs w:val="13"/>
                  </w:rPr>
                  <w:t>Authorised and published by the Victorian Government, 1 Treasury Place, Melbourne.</w:t>
                </w:r>
              </w:p>
              <w:p w14:paraId="176DFF0C" w14:textId="6F7B12F7" w:rsidR="007D218F" w:rsidRDefault="007D218F" w:rsidP="006A7910">
                <w:pPr>
                  <w:spacing w:line="230" w:lineRule="auto"/>
                  <w:ind w:right="93"/>
                  <w:rPr>
                    <w:sz w:val="13"/>
                    <w:szCs w:val="13"/>
                  </w:rPr>
                </w:pPr>
                <w:r w:rsidRPr="007A4444">
                  <w:rPr>
                    <w:sz w:val="13"/>
                    <w:szCs w:val="13"/>
                  </w:rPr>
                  <w:t xml:space="preserve">© State of Victoria, Australia, Safer Care Victoria, </w:t>
                </w:r>
                <w:r w:rsidR="00BA0C0C">
                  <w:rPr>
                    <w:sz w:val="13"/>
                    <w:szCs w:val="13"/>
                  </w:rPr>
                  <w:t xml:space="preserve">October </w:t>
                </w:r>
                <w:r>
                  <w:rPr>
                    <w:sz w:val="13"/>
                    <w:szCs w:val="13"/>
                  </w:rPr>
                  <w:t>2019</w:t>
                </w:r>
              </w:p>
              <w:p w14:paraId="19D727E4" w14:textId="1AA79C7E" w:rsidR="006A7910" w:rsidRPr="006A7910" w:rsidRDefault="006A7910" w:rsidP="00D21330">
                <w:pPr>
                  <w:spacing w:line="230" w:lineRule="auto"/>
                  <w:ind w:right="1020"/>
                  <w:rPr>
                    <w:rFonts w:cs="Arial"/>
                    <w:color w:val="000000"/>
                    <w:sz w:val="13"/>
                  </w:rPr>
                </w:pPr>
                <w:r w:rsidRPr="006A7910">
                  <w:rPr>
                    <w:rFonts w:cs="Arial"/>
                    <w:bCs/>
                    <w:color w:val="000000"/>
                    <w:sz w:val="13"/>
                  </w:rPr>
                  <w:t xml:space="preserve">ISBN </w:t>
                </w:r>
                <w:r w:rsidRPr="006A7910">
                  <w:rPr>
                    <w:rFonts w:cs="Arial"/>
                    <w:color w:val="000000"/>
                    <w:sz w:val="13"/>
                  </w:rPr>
                  <w:t>978-1-76069-070-0</w:t>
                </w:r>
                <w:r w:rsidRPr="006A7910">
                  <w:rPr>
                    <w:rFonts w:cs="Arial"/>
                    <w:bCs/>
                    <w:color w:val="000000"/>
                    <w:sz w:val="13"/>
                  </w:rPr>
                  <w:t xml:space="preserve"> (pdf/online/MS word)</w:t>
                </w:r>
              </w:p>
              <w:p w14:paraId="725E383D" w14:textId="31AB75E9" w:rsidR="007D218F" w:rsidRPr="007A4444" w:rsidRDefault="007D218F" w:rsidP="00D21330">
                <w:pPr>
                  <w:spacing w:line="230" w:lineRule="auto"/>
                  <w:ind w:right="1020"/>
                  <w:rPr>
                    <w:sz w:val="13"/>
                    <w:szCs w:val="13"/>
                  </w:rPr>
                </w:pPr>
                <w:r w:rsidRPr="007A4444">
                  <w:rPr>
                    <w:sz w:val="13"/>
                    <w:szCs w:val="13"/>
                  </w:rPr>
                  <w:t xml:space="preserve">Available at </w:t>
                </w:r>
                <w:hyperlink r:id="rId12" w:history="1">
                  <w:r w:rsidRPr="000B71A5">
                    <w:rPr>
                      <w:rStyle w:val="Hyperlink"/>
                      <w:sz w:val="13"/>
                      <w:szCs w:val="13"/>
                    </w:rPr>
                    <w:t>www.safercare.vic</w:t>
                  </w:r>
                </w:hyperlink>
                <w:r w:rsidRPr="007A4444">
                  <w:rPr>
                    <w:sz w:val="13"/>
                    <w:szCs w:val="13"/>
                  </w:rPr>
                  <w:t>.gov.au</w:t>
                </w:r>
              </w:p>
            </w:tc>
            <w:tc>
              <w:tcPr>
                <w:tcW w:w="2545" w:type="dxa"/>
              </w:tcPr>
              <w:p w14:paraId="23A070AD" w14:textId="77777777" w:rsidR="007D218F" w:rsidRPr="00736C0C" w:rsidRDefault="007D218F" w:rsidP="00D21330">
                <w:pPr>
                  <w:rPr>
                    <w:szCs w:val="15"/>
                  </w:rPr>
                </w:pPr>
                <w:r>
                  <w:rPr>
                    <w:noProof/>
                    <w:szCs w:val="15"/>
                  </w:rPr>
                  <w:drawing>
                    <wp:inline distT="0" distB="0" distL="0" distR="0" wp14:anchorId="322433D2" wp14:editId="31E4DBAD">
                      <wp:extent cx="972000" cy="55800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288D846C" w14:textId="77777777" w:rsidR="00E207BD" w:rsidRPr="00626321" w:rsidRDefault="00E207BD" w:rsidP="00626321">
      <w:pPr>
        <w:pStyle w:val="Normalfollowingheading"/>
        <w:spacing w:after="0" w:line="240" w:lineRule="auto"/>
        <w:rPr>
          <w:sz w:val="2"/>
          <w:szCs w:val="2"/>
        </w:rPr>
      </w:pPr>
      <w:bookmarkStart w:id="0" w:name="_GoBack"/>
      <w:bookmarkEnd w:id="0"/>
    </w:p>
    <w:sectPr w:rsidR="00E207BD" w:rsidRPr="00626321" w:rsidSect="00017A8F">
      <w:type w:val="continuous"/>
      <w:pgSz w:w="11906" w:h="16838" w:code="9"/>
      <w:pgMar w:top="2438" w:right="1021" w:bottom="1021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EC82" w14:textId="77777777" w:rsidR="00FD1125" w:rsidRDefault="00FD1125" w:rsidP="00064AC7">
      <w:r>
        <w:separator/>
      </w:r>
    </w:p>
  </w:endnote>
  <w:endnote w:type="continuationSeparator" w:id="0">
    <w:p w14:paraId="0A688C00" w14:textId="77777777" w:rsidR="00FD1125" w:rsidRDefault="00FD1125" w:rsidP="0006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1B7B" w14:textId="77777777" w:rsidR="00663D4D" w:rsidRDefault="00663D4D" w:rsidP="00064AC7">
    <w:pPr>
      <w:pStyle w:val="Footer"/>
    </w:pPr>
  </w:p>
  <w:p w14:paraId="43F0F1E9" w14:textId="77777777" w:rsidR="00663D4D" w:rsidRPr="00663D4D" w:rsidRDefault="00626321" w:rsidP="00064AC7">
    <w:pPr>
      <w:pStyle w:val="Footer"/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3D4D" w:rsidRPr="00663D4D">
          <w:rPr>
            <w:noProof w:val="0"/>
          </w:rPr>
          <w:fldChar w:fldCharType="begin"/>
        </w:r>
        <w:r w:rsidR="00663D4D" w:rsidRPr="00663D4D">
          <w:instrText xml:space="preserve"> PAGE   \* MERGEFORMAT </w:instrText>
        </w:r>
        <w:r w:rsidR="00663D4D" w:rsidRPr="00663D4D">
          <w:rPr>
            <w:noProof w:val="0"/>
          </w:rPr>
          <w:fldChar w:fldCharType="separate"/>
        </w:r>
        <w:r w:rsidR="007E6EF5">
          <w:t>2</w:t>
        </w:r>
        <w:r w:rsidR="00663D4D" w:rsidRPr="00663D4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8C87" w14:textId="77777777" w:rsidR="00FD1125" w:rsidRDefault="00FD1125" w:rsidP="00CC4FCD"/>
  </w:footnote>
  <w:footnote w:type="continuationSeparator" w:id="0">
    <w:p w14:paraId="29CDC0A0" w14:textId="77777777" w:rsidR="00FD1125" w:rsidRDefault="00FD1125" w:rsidP="00CC4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4DF9" w14:textId="3A692122" w:rsidR="000905F7" w:rsidRDefault="00090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CFF"/>
    <w:multiLevelType w:val="hybridMultilevel"/>
    <w:tmpl w:val="4B520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03F"/>
    <w:multiLevelType w:val="hybridMultilevel"/>
    <w:tmpl w:val="FCE0E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27E1"/>
    <w:multiLevelType w:val="hybridMultilevel"/>
    <w:tmpl w:val="5A502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93A12AA"/>
    <w:multiLevelType w:val="multilevel"/>
    <w:tmpl w:val="851CE33E"/>
    <w:lvl w:ilvl="0">
      <w:start w:val="1"/>
      <w:numFmt w:val="bullet"/>
      <w:pStyle w:val="Bullet1"/>
      <w:lvlText w:val=""/>
      <w:lvlJc w:val="left"/>
      <w:pPr>
        <w:ind w:left="-850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-566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-28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6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0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38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22" w:hanging="284"/>
      </w:pPr>
      <w:rPr>
        <w:rFonts w:ascii="Wingdings" w:hAnsi="Wingdings" w:hint="default"/>
      </w:rPr>
    </w:lvl>
  </w:abstractNum>
  <w:abstractNum w:abstractNumId="7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68752277"/>
    <w:multiLevelType w:val="hybridMultilevel"/>
    <w:tmpl w:val="0A32A01C"/>
    <w:lvl w:ilvl="0" w:tplc="DADEF1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6425B"/>
    <w:multiLevelType w:val="hybridMultilevel"/>
    <w:tmpl w:val="21FE55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25"/>
    <w:rsid w:val="00012F6F"/>
    <w:rsid w:val="00014213"/>
    <w:rsid w:val="00014B55"/>
    <w:rsid w:val="00017A8F"/>
    <w:rsid w:val="00020E3E"/>
    <w:rsid w:val="00023BF3"/>
    <w:rsid w:val="00026811"/>
    <w:rsid w:val="0004185E"/>
    <w:rsid w:val="00052D7D"/>
    <w:rsid w:val="00053181"/>
    <w:rsid w:val="00054BBD"/>
    <w:rsid w:val="00055950"/>
    <w:rsid w:val="00056988"/>
    <w:rsid w:val="00064AC7"/>
    <w:rsid w:val="00072279"/>
    <w:rsid w:val="00073407"/>
    <w:rsid w:val="00075E6C"/>
    <w:rsid w:val="00081C12"/>
    <w:rsid w:val="00087D42"/>
    <w:rsid w:val="000905F7"/>
    <w:rsid w:val="000A651B"/>
    <w:rsid w:val="000B29AD"/>
    <w:rsid w:val="000C1046"/>
    <w:rsid w:val="000C6372"/>
    <w:rsid w:val="000D7841"/>
    <w:rsid w:val="000E392D"/>
    <w:rsid w:val="000E39B6"/>
    <w:rsid w:val="000E3D05"/>
    <w:rsid w:val="000F04E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5E66"/>
    <w:rsid w:val="00194AAB"/>
    <w:rsid w:val="00196143"/>
    <w:rsid w:val="001A24FC"/>
    <w:rsid w:val="001B159D"/>
    <w:rsid w:val="001C6993"/>
    <w:rsid w:val="001C7BAE"/>
    <w:rsid w:val="001D7C02"/>
    <w:rsid w:val="001E31FA"/>
    <w:rsid w:val="001E48F9"/>
    <w:rsid w:val="001E5646"/>
    <w:rsid w:val="001E64F6"/>
    <w:rsid w:val="001E7AEB"/>
    <w:rsid w:val="001F3F3C"/>
    <w:rsid w:val="00204B82"/>
    <w:rsid w:val="00212987"/>
    <w:rsid w:val="00222BEB"/>
    <w:rsid w:val="00223F62"/>
    <w:rsid w:val="00225E60"/>
    <w:rsid w:val="00230BBB"/>
    <w:rsid w:val="0023202C"/>
    <w:rsid w:val="00234619"/>
    <w:rsid w:val="00235B2C"/>
    <w:rsid w:val="00235BE2"/>
    <w:rsid w:val="00245043"/>
    <w:rsid w:val="0026028E"/>
    <w:rsid w:val="00284FA2"/>
    <w:rsid w:val="00292D36"/>
    <w:rsid w:val="00294A5A"/>
    <w:rsid w:val="00297281"/>
    <w:rsid w:val="00297A47"/>
    <w:rsid w:val="002A5891"/>
    <w:rsid w:val="002B03F1"/>
    <w:rsid w:val="002B2230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1149C"/>
    <w:rsid w:val="00323512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4E60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961AC"/>
    <w:rsid w:val="004A7519"/>
    <w:rsid w:val="004B64B1"/>
    <w:rsid w:val="004D01AC"/>
    <w:rsid w:val="004D3518"/>
    <w:rsid w:val="004D62D6"/>
    <w:rsid w:val="004D6898"/>
    <w:rsid w:val="004D6D95"/>
    <w:rsid w:val="004E068B"/>
    <w:rsid w:val="004F3F4E"/>
    <w:rsid w:val="00510167"/>
    <w:rsid w:val="00513E86"/>
    <w:rsid w:val="005306A2"/>
    <w:rsid w:val="0053416C"/>
    <w:rsid w:val="00541C2F"/>
    <w:rsid w:val="00552DE4"/>
    <w:rsid w:val="00561591"/>
    <w:rsid w:val="00563527"/>
    <w:rsid w:val="0057407A"/>
    <w:rsid w:val="0058124E"/>
    <w:rsid w:val="005875A3"/>
    <w:rsid w:val="00590858"/>
    <w:rsid w:val="005953EA"/>
    <w:rsid w:val="00595968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60163A"/>
    <w:rsid w:val="006023F9"/>
    <w:rsid w:val="00603616"/>
    <w:rsid w:val="00610559"/>
    <w:rsid w:val="00614076"/>
    <w:rsid w:val="00625E0D"/>
    <w:rsid w:val="00626321"/>
    <w:rsid w:val="00632F2E"/>
    <w:rsid w:val="006332F6"/>
    <w:rsid w:val="006413F2"/>
    <w:rsid w:val="00652DCF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45CA"/>
    <w:rsid w:val="006A3309"/>
    <w:rsid w:val="006A3810"/>
    <w:rsid w:val="006A3A5A"/>
    <w:rsid w:val="006A5B34"/>
    <w:rsid w:val="006A7910"/>
    <w:rsid w:val="006C77A9"/>
    <w:rsid w:val="006D4720"/>
    <w:rsid w:val="006D6829"/>
    <w:rsid w:val="006E6CDF"/>
    <w:rsid w:val="006F37F2"/>
    <w:rsid w:val="006F6693"/>
    <w:rsid w:val="00704514"/>
    <w:rsid w:val="00707FE8"/>
    <w:rsid w:val="00714AAE"/>
    <w:rsid w:val="00724962"/>
    <w:rsid w:val="00724A0F"/>
    <w:rsid w:val="00726D2F"/>
    <w:rsid w:val="00731D72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86D87"/>
    <w:rsid w:val="00791020"/>
    <w:rsid w:val="007A04D2"/>
    <w:rsid w:val="007A4444"/>
    <w:rsid w:val="007A5F82"/>
    <w:rsid w:val="007D218F"/>
    <w:rsid w:val="007D2935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4AB5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027F"/>
    <w:rsid w:val="00855FF9"/>
    <w:rsid w:val="0086277A"/>
    <w:rsid w:val="008668A8"/>
    <w:rsid w:val="008703D8"/>
    <w:rsid w:val="0087084E"/>
    <w:rsid w:val="008768AD"/>
    <w:rsid w:val="00880AC4"/>
    <w:rsid w:val="008816EE"/>
    <w:rsid w:val="00897157"/>
    <w:rsid w:val="00897447"/>
    <w:rsid w:val="008A4900"/>
    <w:rsid w:val="008A55FE"/>
    <w:rsid w:val="008A58D2"/>
    <w:rsid w:val="008B0E71"/>
    <w:rsid w:val="008B146D"/>
    <w:rsid w:val="008B42AD"/>
    <w:rsid w:val="008B5666"/>
    <w:rsid w:val="008C154D"/>
    <w:rsid w:val="008C2C15"/>
    <w:rsid w:val="008C2D64"/>
    <w:rsid w:val="008D0281"/>
    <w:rsid w:val="008D15CC"/>
    <w:rsid w:val="008E2348"/>
    <w:rsid w:val="008F6D45"/>
    <w:rsid w:val="00916AD5"/>
    <w:rsid w:val="00922711"/>
    <w:rsid w:val="00922944"/>
    <w:rsid w:val="00936479"/>
    <w:rsid w:val="00937A10"/>
    <w:rsid w:val="009476BA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0E41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557EC"/>
    <w:rsid w:val="00A612FE"/>
    <w:rsid w:val="00A70B49"/>
    <w:rsid w:val="00A7388B"/>
    <w:rsid w:val="00A92D94"/>
    <w:rsid w:val="00A951CA"/>
    <w:rsid w:val="00AA26B8"/>
    <w:rsid w:val="00AB2E3A"/>
    <w:rsid w:val="00AC0B87"/>
    <w:rsid w:val="00AC2624"/>
    <w:rsid w:val="00AC32A8"/>
    <w:rsid w:val="00AD7E4E"/>
    <w:rsid w:val="00AF4D58"/>
    <w:rsid w:val="00AF6666"/>
    <w:rsid w:val="00AF7BC5"/>
    <w:rsid w:val="00B116A5"/>
    <w:rsid w:val="00B53B20"/>
    <w:rsid w:val="00B81B44"/>
    <w:rsid w:val="00B81C9F"/>
    <w:rsid w:val="00B9053B"/>
    <w:rsid w:val="00BA0C0C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551C5"/>
    <w:rsid w:val="00C637E1"/>
    <w:rsid w:val="00C67C45"/>
    <w:rsid w:val="00C67EAC"/>
    <w:rsid w:val="00C70D50"/>
    <w:rsid w:val="00C72252"/>
    <w:rsid w:val="00C907D7"/>
    <w:rsid w:val="00C92338"/>
    <w:rsid w:val="00CA05DC"/>
    <w:rsid w:val="00CA7B47"/>
    <w:rsid w:val="00CB3976"/>
    <w:rsid w:val="00CC4FCD"/>
    <w:rsid w:val="00CC7D46"/>
    <w:rsid w:val="00CD0307"/>
    <w:rsid w:val="00CD3C79"/>
    <w:rsid w:val="00CD3D1B"/>
    <w:rsid w:val="00D02663"/>
    <w:rsid w:val="00D0633E"/>
    <w:rsid w:val="00D12E74"/>
    <w:rsid w:val="00D13A64"/>
    <w:rsid w:val="00D21330"/>
    <w:rsid w:val="00D2312F"/>
    <w:rsid w:val="00D23B04"/>
    <w:rsid w:val="00D269C1"/>
    <w:rsid w:val="00D41230"/>
    <w:rsid w:val="00D41B2F"/>
    <w:rsid w:val="00D44953"/>
    <w:rsid w:val="00D542F3"/>
    <w:rsid w:val="00D54513"/>
    <w:rsid w:val="00D547AE"/>
    <w:rsid w:val="00D54AAE"/>
    <w:rsid w:val="00D5644B"/>
    <w:rsid w:val="00D56E25"/>
    <w:rsid w:val="00D57E89"/>
    <w:rsid w:val="00D64A9C"/>
    <w:rsid w:val="00D6560D"/>
    <w:rsid w:val="00D65D77"/>
    <w:rsid w:val="00D718D7"/>
    <w:rsid w:val="00D739CA"/>
    <w:rsid w:val="00D814B7"/>
    <w:rsid w:val="00D90688"/>
    <w:rsid w:val="00D97352"/>
    <w:rsid w:val="00DA3AAD"/>
    <w:rsid w:val="00DA3F36"/>
    <w:rsid w:val="00DB312B"/>
    <w:rsid w:val="00DC385D"/>
    <w:rsid w:val="00DC5654"/>
    <w:rsid w:val="00DC658F"/>
    <w:rsid w:val="00DC674A"/>
    <w:rsid w:val="00DE60CC"/>
    <w:rsid w:val="00E03F35"/>
    <w:rsid w:val="00E131C8"/>
    <w:rsid w:val="00E207BD"/>
    <w:rsid w:val="00E26B32"/>
    <w:rsid w:val="00E31CD4"/>
    <w:rsid w:val="00E31E60"/>
    <w:rsid w:val="00E33E08"/>
    <w:rsid w:val="00E3699D"/>
    <w:rsid w:val="00E407B6"/>
    <w:rsid w:val="00E41EF1"/>
    <w:rsid w:val="00E42942"/>
    <w:rsid w:val="00E64600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6CFF"/>
    <w:rsid w:val="00EB7014"/>
    <w:rsid w:val="00EC5CDE"/>
    <w:rsid w:val="00EC7F2A"/>
    <w:rsid w:val="00ED01E9"/>
    <w:rsid w:val="00ED3077"/>
    <w:rsid w:val="00ED487E"/>
    <w:rsid w:val="00ED64F1"/>
    <w:rsid w:val="00EE33A1"/>
    <w:rsid w:val="00EE3B13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5678A"/>
    <w:rsid w:val="00F60F9F"/>
    <w:rsid w:val="00F61246"/>
    <w:rsid w:val="00F6250C"/>
    <w:rsid w:val="00F64F08"/>
    <w:rsid w:val="00F70055"/>
    <w:rsid w:val="00F734F5"/>
    <w:rsid w:val="00F73B5B"/>
    <w:rsid w:val="00F90EA5"/>
    <w:rsid w:val="00F91F5A"/>
    <w:rsid w:val="00F966B1"/>
    <w:rsid w:val="00F96B4A"/>
    <w:rsid w:val="00F97D48"/>
    <w:rsid w:val="00FA0311"/>
    <w:rsid w:val="00FA1489"/>
    <w:rsid w:val="00FA16AC"/>
    <w:rsid w:val="00FD1125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EF99E2"/>
  <w15:docId w15:val="{806ADF73-3F13-4D1D-A8D4-DFDB42B1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CC4FCD"/>
    <w:rPr>
      <w:rFonts w:ascii="VIC" w:hAnsi="VIC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017A8F"/>
    <w:pPr>
      <w:keepNext/>
      <w:keepLines/>
      <w:spacing w:before="280" w:after="60" w:line="240" w:lineRule="auto"/>
      <w:outlineLvl w:val="1"/>
    </w:pPr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35B2C"/>
    <w:pPr>
      <w:keepNext/>
      <w:keepLines/>
      <w:spacing w:before="240" w:after="50" w:line="240" w:lineRule="auto"/>
      <w:outlineLvl w:val="2"/>
    </w:pPr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CC4FCD"/>
    <w:pPr>
      <w:keepNext/>
      <w:keepLines/>
      <w:spacing w:before="320" w:after="70" w:line="240" w:lineRule="auto"/>
      <w:outlineLvl w:val="3"/>
    </w:pPr>
    <w:rPr>
      <w:rFonts w:ascii="VIC SemiBold" w:eastAsiaTheme="majorEastAsia" w:hAnsi="VIC SemiBold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17A8F"/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CC4FCD"/>
    <w:pPr>
      <w:numPr>
        <w:numId w:val="9"/>
      </w:numPr>
      <w:spacing w:before="60" w:after="60"/>
      <w:ind w:left="426" w:hanging="426"/>
    </w:pPr>
    <w:rPr>
      <w:rFonts w:ascii="VIC" w:eastAsia="Times New Roman" w:hAnsi="VIC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235B2C"/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CC4FCD"/>
    <w:rPr>
      <w:rFonts w:ascii="VIC SemiBold" w:eastAsiaTheme="majorEastAsia" w:hAnsi="VIC SemiBold" w:cstheme="majorBidi"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A7388B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="VIC SemiBold" w:eastAsia="Times New Roman" w:hAnsi="VIC SemiBold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A7388B"/>
    <w:rPr>
      <w:rFonts w:ascii="VIC SemiBold" w:eastAsia="Times New Roman" w:hAnsi="VIC SemiBold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235B2C"/>
    <w:pPr>
      <w:spacing w:before="280" w:after="60"/>
    </w:pPr>
    <w:rPr>
      <w:rFonts w:ascii="VIC Medium" w:eastAsiaTheme="majorEastAsia" w:hAnsi="VIC Medium"/>
      <w:color w:val="007586" w:themeColor="text2"/>
      <w:sz w:val="2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35B2C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EE3B13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EE3B13"/>
    <w:rPr>
      <w:rFonts w:ascii="VIC" w:hAnsi="VIC"/>
    </w:rPr>
  </w:style>
  <w:style w:type="character" w:styleId="EndnoteReference">
    <w:name w:val="endnote reference"/>
    <w:basedOn w:val="DefaultParagraphFont"/>
    <w:uiPriority w:val="1"/>
    <w:semiHidden/>
    <w:unhideWhenUsed/>
    <w:rsid w:val="00EE3B13"/>
    <w:rPr>
      <w:vertAlign w:val="superscript"/>
    </w:rPr>
  </w:style>
  <w:style w:type="character" w:styleId="CommentReference">
    <w:name w:val="annotation reference"/>
    <w:basedOn w:val="DefaultParagraphFont"/>
    <w:uiPriority w:val="1"/>
    <w:semiHidden/>
    <w:unhideWhenUsed/>
    <w:rsid w:val="00D13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D13A6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D13A64"/>
    <w:rPr>
      <w:rFonts w:ascii="VIC" w:hAnsi="VIC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D13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D13A64"/>
    <w:rPr>
      <w:rFonts w:ascii="VIC" w:hAnsi="VIC"/>
      <w:b/>
      <w:bCs/>
    </w:rPr>
  </w:style>
  <w:style w:type="paragraph" w:styleId="Revision">
    <w:name w:val="Revision"/>
    <w:hidden/>
    <w:uiPriority w:val="99"/>
    <w:semiHidden/>
    <w:rsid w:val="00D13A64"/>
    <w:pPr>
      <w:spacing w:before="0" w:after="0" w:line="240" w:lineRule="auto"/>
    </w:pPr>
    <w:rPr>
      <w:rFonts w:ascii="VIC" w:hAnsi="V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fercare.vi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Details/F2019L00511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1.%20Templates\1.%20Safer%20Care%20Victoria\Blank_Portrait_Colo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4AE20D12F54ABC83CDF6E60AB8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5B2E-B964-458A-A175-E79DFDDCCE02}"/>
      </w:docPartPr>
      <w:docPartBody>
        <w:p w:rsidR="00B95DAA" w:rsidRDefault="00B95DAA">
          <w:pPr>
            <w:pStyle w:val="574AE20D12F54ABC83CDF6E60AB89756"/>
          </w:pPr>
          <w:r w:rsidRPr="00803789">
            <w:rPr>
              <w:rStyle w:val="PlaceholderText"/>
            </w:rPr>
            <w:t>[Title]</w:t>
          </w:r>
        </w:p>
      </w:docPartBody>
    </w:docPart>
    <w:docPart>
      <w:docPartPr>
        <w:name w:val="7481E9CB3A554A4A82ECC5A380E59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DF9C-536D-4E98-9F37-AD97D21E6C29}"/>
      </w:docPartPr>
      <w:docPartBody>
        <w:p w:rsidR="00D56359" w:rsidRDefault="00117BC9" w:rsidP="00117BC9">
          <w:pPr>
            <w:pStyle w:val="7481E9CB3A554A4A82ECC5A380E590C6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117BC9"/>
    <w:rsid w:val="00B95DAA"/>
    <w:rsid w:val="00D5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117BC9"/>
    <w:rPr>
      <w:color w:val="808080"/>
    </w:rPr>
  </w:style>
  <w:style w:type="paragraph" w:customStyle="1" w:styleId="574AE20D12F54ABC83CDF6E60AB89756">
    <w:name w:val="574AE20D12F54ABC83CDF6E60AB89756"/>
  </w:style>
  <w:style w:type="paragraph" w:customStyle="1" w:styleId="3BED99D6F6694B88BBF601C13D19FC74">
    <w:name w:val="3BED99D6F6694B88BBF601C13D19FC74"/>
    <w:rsid w:val="00B95DAA"/>
  </w:style>
  <w:style w:type="paragraph" w:customStyle="1" w:styleId="2DD358580D7741F58C2EED7B4FB5739D">
    <w:name w:val="2DD358580D7741F58C2EED7B4FB5739D"/>
    <w:rsid w:val="00B95DAA"/>
  </w:style>
  <w:style w:type="paragraph" w:customStyle="1" w:styleId="1320CAEACBCD46A7A69E828C9AC9909D">
    <w:name w:val="1320CAEACBCD46A7A69E828C9AC9909D"/>
    <w:rsid w:val="00117BC9"/>
  </w:style>
  <w:style w:type="paragraph" w:customStyle="1" w:styleId="28AFBB8FFCFE4C129032DE573F252CA9">
    <w:name w:val="28AFBB8FFCFE4C129032DE573F252CA9"/>
    <w:rsid w:val="00117BC9"/>
  </w:style>
  <w:style w:type="paragraph" w:customStyle="1" w:styleId="7481E9CB3A554A4A82ECC5A380E590C6">
    <w:name w:val="7481E9CB3A554A4A82ECC5A380E590C6"/>
    <w:rsid w:val="00117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060F-7415-4933-AFC1-6769A85E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Blank_Portrait_Colour.dotx</Template>
  <TotalTime>1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use of bed rails</vt:lpstr>
    </vt:vector>
  </TitlesOfParts>
  <Company>Department of Treasury and Finance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use of bed rails</dc:title>
  <dc:creator>Amber Ledsam (DHHS)</dc:creator>
  <cp:lastModifiedBy>Emma Gumbleton (DHHS)</cp:lastModifiedBy>
  <cp:revision>3</cp:revision>
  <cp:lastPrinted>2019-10-25T05:53:00Z</cp:lastPrinted>
  <dcterms:created xsi:type="dcterms:W3CDTF">2019-10-31T02:54:00Z</dcterms:created>
  <dcterms:modified xsi:type="dcterms:W3CDTF">2019-11-01T00:41:00Z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