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0BE2AC86" w14:textId="77777777" w:rsidTr="0050356B">
        <w:trPr>
          <w:trHeight w:val="57"/>
        </w:trPr>
        <w:tc>
          <w:tcPr>
            <w:tcW w:w="6804" w:type="dxa"/>
            <w:shd w:val="clear" w:color="auto" w:fill="auto"/>
            <w:tcMar>
              <w:top w:w="312" w:type="dxa"/>
            </w:tcMar>
          </w:tcPr>
          <w:p w14:paraId="1A3F5D15" w14:textId="764BE74F" w:rsidR="0050356B" w:rsidRPr="0050356B" w:rsidRDefault="0050356B" w:rsidP="008151E5">
            <w:pPr>
              <w:pStyle w:val="Date"/>
              <w:framePr w:hSpace="0" w:wrap="auto" w:vAnchor="margin" w:hAnchor="text" w:xAlign="left" w:yAlign="inline"/>
              <w:suppressOverlap w:val="0"/>
            </w:pPr>
          </w:p>
        </w:tc>
      </w:tr>
      <w:tr w:rsidR="00A46288" w14:paraId="4AF00A50" w14:textId="77777777" w:rsidTr="0050356B">
        <w:trPr>
          <w:trHeight w:val="2948"/>
        </w:trPr>
        <w:tc>
          <w:tcPr>
            <w:tcW w:w="6804" w:type="dxa"/>
            <w:shd w:val="clear" w:color="auto" w:fill="auto"/>
            <w:tcMar>
              <w:top w:w="312" w:type="dxa"/>
            </w:tcMar>
          </w:tcPr>
          <w:sdt>
            <w:sdtPr>
              <w:rPr>
                <w:rFonts w:ascii="VIC SemiBold" w:hAnsi="VIC SemiBold"/>
                <w:b w:val="0"/>
                <w:bCs/>
              </w:rPr>
              <w:alias w:val="Title"/>
              <w:tag w:val=""/>
              <w:id w:val="-1484688983"/>
              <w:placeholder>
                <w:docPart w:val="127C8088573B4BF6B04B124109A98921"/>
              </w:placeholder>
              <w:dataBinding w:prefixMappings="xmlns:ns0='http://purl.org/dc/elements/1.1/' xmlns:ns1='http://schemas.openxmlformats.org/package/2006/metadata/core-properties' " w:xpath="/ns1:coreProperties[1]/ns0:title[1]" w:storeItemID="{6C3C8BC8-F283-45AE-878A-BAB7291924A1}"/>
              <w:text/>
            </w:sdtPr>
            <w:sdtEndPr/>
            <w:sdtContent>
              <w:p w14:paraId="12014582" w14:textId="37FF35ED" w:rsidR="00A46288" w:rsidRPr="008151E5" w:rsidRDefault="008151E5" w:rsidP="0050356B">
                <w:pPr>
                  <w:pStyle w:val="Title"/>
                  <w:framePr w:hSpace="0" w:wrap="auto" w:vAnchor="margin" w:hAnchor="text" w:xAlign="left" w:yAlign="inline"/>
                  <w:suppressOverlap w:val="0"/>
                  <w:rPr>
                    <w:rFonts w:ascii="VIC SemiBold" w:hAnsi="VIC SemiBold"/>
                  </w:rPr>
                </w:pPr>
                <w:r w:rsidRPr="008151E5">
                  <w:rPr>
                    <w:rFonts w:ascii="VIC SemiBold" w:hAnsi="VIC SemiBold"/>
                    <w:b w:val="0"/>
                    <w:bCs/>
                  </w:rPr>
                  <w:t>Palliative sedation therapy</w:t>
                </w:r>
              </w:p>
            </w:sdtContent>
          </w:sdt>
          <w:p w14:paraId="55D441E0" w14:textId="093C8D49" w:rsidR="00A46288" w:rsidRPr="00BF3854" w:rsidRDefault="008151E5" w:rsidP="0050356B">
            <w:pPr>
              <w:pStyle w:val="Subtitle"/>
              <w:framePr w:hSpace="0" w:wrap="auto" w:vAnchor="margin" w:hAnchor="text" w:xAlign="left" w:yAlign="inline"/>
              <w:suppressOverlap w:val="0"/>
            </w:pPr>
            <w:r w:rsidRPr="003E36BE">
              <w:rPr>
                <w:rFonts w:ascii="VIC" w:hAnsi="VIC"/>
              </w:rPr>
              <w:t>Evidence-based guidance supplement</w:t>
            </w:r>
          </w:p>
        </w:tc>
      </w:tr>
    </w:tbl>
    <w:p w14:paraId="75C87407" w14:textId="77777777" w:rsidR="00A46288" w:rsidRDefault="00A46288" w:rsidP="00A46288">
      <w:pPr>
        <w:pStyle w:val="NoSpacing"/>
      </w:pPr>
    </w:p>
    <w:p w14:paraId="26182FFF" w14:textId="77777777" w:rsidR="00A46288" w:rsidRDefault="00A46288" w:rsidP="008151E5">
      <w:pPr>
        <w:sectPr w:rsidR="00A46288" w:rsidSect="00257461">
          <w:headerReference w:type="even" r:id="rId11"/>
          <w:headerReference w:type="default" r:id="rId12"/>
          <w:footerReference w:type="even" r:id="rId13"/>
          <w:footerReference w:type="default" r:id="rId14"/>
          <w:headerReference w:type="first" r:id="rId15"/>
          <w:footerReference w:type="first" r:id="rId16"/>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395"/>
        <w:gridCol w:w="3337"/>
        <w:gridCol w:w="2484"/>
      </w:tblGrid>
      <w:tr w:rsidR="008116D8" w:rsidRPr="00736C0C" w14:paraId="73EF1CFF" w14:textId="77777777" w:rsidTr="008151E5">
        <w:trPr>
          <w:trHeight w:val="2041"/>
        </w:trPr>
        <w:tc>
          <w:tcPr>
            <w:tcW w:w="4395" w:type="dxa"/>
            <w:tcMar>
              <w:left w:w="113" w:type="dxa"/>
            </w:tcMar>
          </w:tcPr>
          <w:p w14:paraId="08F6226E" w14:textId="1F886D2C" w:rsidR="008116D8" w:rsidRPr="008116D8" w:rsidRDefault="008116D8" w:rsidP="008151E5">
            <w:r w:rsidRPr="008151E5">
              <w:rPr>
                <w:sz w:val="24"/>
                <w:szCs w:val="36"/>
              </w:rPr>
              <w:lastRenderedPageBreak/>
              <w:t xml:space="preserve">To receive this publication in an accessible format phone </w:t>
            </w:r>
            <w:r w:rsidRPr="008151E5">
              <w:rPr>
                <w:sz w:val="24"/>
                <w:szCs w:val="36"/>
              </w:rPr>
              <w:br/>
              <w:t xml:space="preserve">03 9096 1384, using the National Relay Service 13 36 </w:t>
            </w:r>
            <w:r w:rsidRPr="008151E5">
              <w:rPr>
                <w:spacing w:val="-2"/>
                <w:sz w:val="24"/>
                <w:szCs w:val="36"/>
              </w:rPr>
              <w:t xml:space="preserve">77 if required, or email </w:t>
            </w:r>
            <w:r w:rsidR="008151E5">
              <w:rPr>
                <w:sz w:val="24"/>
                <w:szCs w:val="36"/>
              </w:rPr>
              <w:t>info@safercare.vic.gov.au</w:t>
            </w:r>
          </w:p>
        </w:tc>
        <w:tc>
          <w:tcPr>
            <w:tcW w:w="3337" w:type="dxa"/>
          </w:tcPr>
          <w:p w14:paraId="659392CD" w14:textId="77777777" w:rsidR="008116D8" w:rsidRDefault="008116D8" w:rsidP="008151E5">
            <w:r w:rsidRPr="00736C0C">
              <w:t xml:space="preserve">Authorised and </w:t>
            </w:r>
            <w:r w:rsidRPr="00736C0C">
              <w:rPr>
                <w:spacing w:val="-2"/>
              </w:rPr>
              <w:t>published by the Victorian</w:t>
            </w:r>
            <w:r w:rsidRPr="00736C0C">
              <w:t xml:space="preserve"> Government, 1</w:t>
            </w:r>
            <w:r>
              <w:t xml:space="preserve"> </w:t>
            </w:r>
            <w:r w:rsidRPr="00736C0C">
              <w:t>Treasury Place, Melbourne.</w:t>
            </w:r>
          </w:p>
          <w:p w14:paraId="6973AF31" w14:textId="3BD4AD31" w:rsidR="008116D8" w:rsidRPr="00736C0C" w:rsidRDefault="008116D8" w:rsidP="008151E5">
            <w:r w:rsidRPr="00736C0C">
              <w:t>© State of Victoria, Australia,</w:t>
            </w:r>
            <w:r>
              <w:t xml:space="preserve"> </w:t>
            </w:r>
            <w:r w:rsidRPr="00736C0C">
              <w:t>Safer Care Victoria,</w:t>
            </w:r>
            <w:r>
              <w:t xml:space="preserve"> </w:t>
            </w:r>
            <w:r w:rsidR="00580B83">
              <w:t xml:space="preserve">March </w:t>
            </w:r>
            <w:bookmarkStart w:id="0" w:name="_GoBack"/>
            <w:bookmarkEnd w:id="0"/>
            <w:r w:rsidR="002478CD">
              <w:t>2020.</w:t>
            </w:r>
          </w:p>
          <w:p w14:paraId="5E74BF21" w14:textId="77777777" w:rsidR="002478CD" w:rsidRDefault="002478CD" w:rsidP="008151E5">
            <w:r w:rsidRPr="002478CD">
              <w:t xml:space="preserve">ISBN 978-1-76069-382-4 (pdf/online/MS word) </w:t>
            </w:r>
          </w:p>
          <w:p w14:paraId="39019422" w14:textId="7A926D37" w:rsidR="008116D8" w:rsidRPr="00736C0C" w:rsidRDefault="008116D8" w:rsidP="008151E5">
            <w:r w:rsidRPr="00736C0C">
              <w:t xml:space="preserve">Available at </w:t>
            </w:r>
            <w:hyperlink r:id="rId17" w:history="1">
              <w:r w:rsidRPr="00EE4C3F">
                <w:rPr>
                  <w:color w:val="4D92C0"/>
                </w:rPr>
                <w:t>www.</w:t>
              </w:r>
              <w:r w:rsidRPr="004A4FB7">
                <w:rPr>
                  <w:color w:val="4D92C0"/>
                </w:rPr>
                <w:t>safercare</w:t>
              </w:r>
              <w:r w:rsidRPr="00EE4C3F">
                <w:rPr>
                  <w:color w:val="4D92C0"/>
                </w:rPr>
                <w:t>.vic</w:t>
              </w:r>
            </w:hyperlink>
            <w:r>
              <w:rPr>
                <w:color w:val="4D92C0"/>
              </w:rPr>
              <w:t>.</w:t>
            </w:r>
            <w:r w:rsidRPr="00EE4C3F">
              <w:rPr>
                <w:color w:val="4D92C0"/>
              </w:rPr>
              <w:t>gov.au</w:t>
            </w:r>
            <w:r w:rsidRPr="000D01D2">
              <w:rPr>
                <w:color w:val="4382B9"/>
              </w:rPr>
              <w:t xml:space="preserve"> </w:t>
            </w:r>
          </w:p>
        </w:tc>
        <w:tc>
          <w:tcPr>
            <w:tcW w:w="2484" w:type="dxa"/>
          </w:tcPr>
          <w:p w14:paraId="0C9CBC43" w14:textId="77777777" w:rsidR="008116D8" w:rsidRPr="00736C0C" w:rsidRDefault="008116D8" w:rsidP="008151E5">
            <w:r w:rsidRPr="00736C0C">
              <w:rPr>
                <w:noProof/>
              </w:rPr>
              <w:drawing>
                <wp:inline distT="0" distB="0" distL="0" distR="0" wp14:anchorId="5F7CCC40" wp14:editId="51B4939B">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3738477E" w14:textId="77777777" w:rsidR="0086277A" w:rsidRDefault="007C4073" w:rsidP="008151E5">
      <w:r>
        <w:fldChar w:fldCharType="begin"/>
      </w:r>
      <w:r>
        <w:instrText xml:space="preserve"> Macrobutton NoMacro  </w:instrText>
      </w:r>
      <w:r>
        <w:fldChar w:fldCharType="end"/>
      </w:r>
      <w:r>
        <w:rPr>
          <w:noProof/>
        </w:rPr>
        <w:drawing>
          <wp:anchor distT="0" distB="0" distL="114300" distR="114300" simplePos="0" relativeHeight="251658240" behindDoc="1" locked="1" layoutInCell="1" allowOverlap="1" wp14:anchorId="178F91C7" wp14:editId="79D84B6B">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51B7323" w14:textId="77777777" w:rsidR="0086277A" w:rsidRDefault="0086277A" w:rsidP="008151E5">
      <w:pPr>
        <w:sectPr w:rsidR="0086277A" w:rsidSect="007C4073">
          <w:headerReference w:type="first" r:id="rId20"/>
          <w:footerReference w:type="first" r:id="rId21"/>
          <w:pgSz w:w="11906" w:h="16838" w:code="9"/>
          <w:pgMar w:top="3402" w:right="851" w:bottom="1361" w:left="851" w:header="539" w:footer="624" w:gutter="0"/>
          <w:cols w:num="2" w:space="284"/>
          <w:docGrid w:linePitch="360"/>
        </w:sectPr>
      </w:pPr>
    </w:p>
    <w:p w14:paraId="091CA856" w14:textId="727A9170" w:rsidR="0064798F" w:rsidRPr="008151E5" w:rsidRDefault="008151E5" w:rsidP="008151E5">
      <w:pPr>
        <w:pStyle w:val="Heading1"/>
        <w:framePr w:wrap="around"/>
      </w:pPr>
      <w:bookmarkStart w:id="1" w:name="_Toc514232174"/>
      <w:bookmarkStart w:id="2" w:name="_Toc514232870"/>
      <w:bookmarkStart w:id="3" w:name="_Toc514607538"/>
      <w:r>
        <w:lastRenderedPageBreak/>
        <w:t xml:space="preserve">1. </w:t>
      </w:r>
      <w:r>
        <w:rPr>
          <w:noProof/>
          <w:lang w:eastAsia="en-US"/>
        </w:rPr>
        <w:t xml:space="preserve">What we </w:t>
      </w:r>
      <w:bookmarkEnd w:id="1"/>
      <w:bookmarkEnd w:id="2"/>
      <w:bookmarkEnd w:id="3"/>
      <w:r w:rsidR="00A50725">
        <w:rPr>
          <w:noProof/>
          <w:lang w:eastAsia="en-US"/>
        </w:rPr>
        <w:t>delivered</w:t>
      </w:r>
    </w:p>
    <w:p w14:paraId="1AE49DFE" w14:textId="77777777" w:rsidR="008151E5" w:rsidRDefault="008151E5" w:rsidP="008151E5">
      <w:pPr>
        <w:pStyle w:val="Heading2"/>
        <w:rPr>
          <w:noProof/>
          <w:lang w:eastAsia="en-US"/>
        </w:rPr>
      </w:pPr>
      <w:r>
        <w:rPr>
          <w:noProof/>
          <w:lang w:eastAsia="en-US"/>
        </w:rPr>
        <w:t>Topic selection</w:t>
      </w:r>
    </w:p>
    <w:p w14:paraId="7556B509" w14:textId="66C9885B" w:rsidR="008151E5" w:rsidRPr="008151E5" w:rsidRDefault="008151E5" w:rsidP="008151E5">
      <w:pPr>
        <w:pStyle w:val="Heading3"/>
      </w:pPr>
      <w:r w:rsidRPr="008151E5">
        <w:t xml:space="preserve">Why </w:t>
      </w:r>
      <w:r w:rsidR="00A50725">
        <w:t>did</w:t>
      </w:r>
      <w:r w:rsidRPr="008151E5">
        <w:t xml:space="preserve"> we develop this guidance?</w:t>
      </w:r>
    </w:p>
    <w:p w14:paraId="1A6C1E98" w14:textId="3E2B0C55" w:rsidR="008151E5" w:rsidRDefault="008151E5" w:rsidP="008151E5">
      <w:pPr>
        <w:pStyle w:val="Normalfollowingheading"/>
        <w:rPr>
          <w:noProof/>
          <w:lang w:eastAsia="en-US"/>
        </w:rPr>
      </w:pPr>
      <w:r>
        <w:rPr>
          <w:noProof/>
          <w:lang w:eastAsia="en-US"/>
        </w:rPr>
        <w:t>This guidance aim</w:t>
      </w:r>
      <w:r w:rsidR="00A50725">
        <w:rPr>
          <w:noProof/>
          <w:lang w:eastAsia="en-US"/>
        </w:rPr>
        <w:t xml:space="preserve">ed </w:t>
      </w:r>
      <w:r>
        <w:rPr>
          <w:noProof/>
          <w:lang w:eastAsia="en-US"/>
        </w:rPr>
        <w:t xml:space="preserve">to adapt </w:t>
      </w:r>
      <w:r w:rsidR="00086347">
        <w:rPr>
          <w:noProof/>
          <w:lang w:eastAsia="en-US"/>
        </w:rPr>
        <w:t>T</w:t>
      </w:r>
      <w:r>
        <w:rPr>
          <w:noProof/>
          <w:lang w:eastAsia="en-US"/>
        </w:rPr>
        <w:t>he Australia</w:t>
      </w:r>
      <w:r w:rsidR="00086347">
        <w:rPr>
          <w:noProof/>
          <w:lang w:eastAsia="en-US"/>
        </w:rPr>
        <w:t>n &amp;</w:t>
      </w:r>
      <w:r>
        <w:rPr>
          <w:noProof/>
          <w:lang w:eastAsia="en-US"/>
        </w:rPr>
        <w:t xml:space="preserve"> New Zealand </w:t>
      </w:r>
      <w:r w:rsidR="00086347">
        <w:rPr>
          <w:noProof/>
          <w:lang w:eastAsia="en-US"/>
        </w:rPr>
        <w:t xml:space="preserve">Society </w:t>
      </w:r>
      <w:r>
        <w:rPr>
          <w:noProof/>
          <w:lang w:eastAsia="en-US"/>
        </w:rPr>
        <w:t>of Palliative Medicine (ANZ</w:t>
      </w:r>
      <w:r w:rsidR="00086347">
        <w:rPr>
          <w:noProof/>
          <w:lang w:eastAsia="en-US"/>
        </w:rPr>
        <w:t>S</w:t>
      </w:r>
      <w:r>
        <w:rPr>
          <w:noProof/>
          <w:lang w:eastAsia="en-US"/>
        </w:rPr>
        <w:t xml:space="preserve">PM) for the Victorian context. </w:t>
      </w:r>
    </w:p>
    <w:p w14:paraId="40DE7EAB" w14:textId="41CECEBD" w:rsidR="008151E5" w:rsidRDefault="008151E5" w:rsidP="008151E5">
      <w:pPr>
        <w:rPr>
          <w:noProof/>
          <w:lang w:eastAsia="en-US"/>
        </w:rPr>
      </w:pPr>
      <w:r>
        <w:rPr>
          <w:noProof/>
          <w:lang w:eastAsia="en-US"/>
        </w:rPr>
        <w:t>Safer Care Victoria</w:t>
      </w:r>
      <w:r w:rsidR="001E1FE4">
        <w:rPr>
          <w:noProof/>
          <w:lang w:eastAsia="en-US"/>
        </w:rPr>
        <w:t xml:space="preserve">’s (SCV) </w:t>
      </w:r>
      <w:r>
        <w:rPr>
          <w:noProof/>
          <w:lang w:eastAsia="en-US"/>
        </w:rPr>
        <w:t xml:space="preserve">Palliative Care Clinical Network was commissioned by the Department </w:t>
      </w:r>
      <w:r w:rsidR="00086347">
        <w:rPr>
          <w:noProof/>
          <w:lang w:eastAsia="en-US"/>
        </w:rPr>
        <w:t xml:space="preserve">of </w:t>
      </w:r>
      <w:r>
        <w:rPr>
          <w:noProof/>
          <w:lang w:eastAsia="en-US"/>
        </w:rPr>
        <w:t xml:space="preserve">Health and Human Services </w:t>
      </w:r>
      <w:r w:rsidR="001E1FE4">
        <w:rPr>
          <w:noProof/>
          <w:lang w:eastAsia="en-US"/>
        </w:rPr>
        <w:t xml:space="preserve">(DHHS) </w:t>
      </w:r>
      <w:r>
        <w:rPr>
          <w:noProof/>
          <w:lang w:eastAsia="en-US"/>
        </w:rPr>
        <w:t>to undertake this work.</w:t>
      </w:r>
    </w:p>
    <w:p w14:paraId="5EA556E5" w14:textId="249F976A" w:rsidR="008151E5" w:rsidRDefault="008151E5" w:rsidP="008151E5">
      <w:pPr>
        <w:rPr>
          <w:noProof/>
          <w:lang w:eastAsia="en-US"/>
        </w:rPr>
      </w:pPr>
      <w:r>
        <w:rPr>
          <w:noProof/>
          <w:lang w:eastAsia="en-US"/>
        </w:rPr>
        <w:t>People at the end of life sometimes experience symptoms that are more difficult to manage than normal. These are symptoms like pain, nausea and breathlessness that are expressed in an extreme way. When this happens, these symptoms are distressing for the person and their family/carers. These symptoms can cause suffering.</w:t>
      </w:r>
    </w:p>
    <w:p w14:paraId="08038030" w14:textId="77777777" w:rsidR="008151E5" w:rsidRDefault="008151E5" w:rsidP="008151E5">
      <w:pPr>
        <w:rPr>
          <w:noProof/>
          <w:lang w:eastAsia="en-US"/>
        </w:rPr>
      </w:pPr>
      <w:r>
        <w:rPr>
          <w:noProof/>
          <w:lang w:eastAsia="en-US"/>
        </w:rPr>
        <w:t>Palliative sedation therapy is used after all the other types of medicines or therapies have been tried. Palliative sedation therapy is managed by specially trained palliative care staff. It only happens after a detailed assessment and a conversation with the patient and their family/carers. Patients can also request to have palliative sedation therapy as part of identifying their wishes for end of life care.</w:t>
      </w:r>
    </w:p>
    <w:p w14:paraId="0959619F" w14:textId="4EC43CC9" w:rsidR="008151E5" w:rsidRDefault="008151E5" w:rsidP="008151E5">
      <w:pPr>
        <w:rPr>
          <w:noProof/>
          <w:lang w:eastAsia="en-US"/>
        </w:rPr>
      </w:pPr>
      <w:r>
        <w:rPr>
          <w:noProof/>
          <w:lang w:eastAsia="en-US"/>
        </w:rPr>
        <w:t>This guidance project is in response to the</w:t>
      </w:r>
      <w:r w:rsidR="001E1FE4">
        <w:rPr>
          <w:noProof/>
          <w:lang w:eastAsia="en-US"/>
        </w:rPr>
        <w:t xml:space="preserve"> Victorian Parliament Legal </w:t>
      </w:r>
      <w:r>
        <w:rPr>
          <w:noProof/>
          <w:lang w:eastAsia="en-US"/>
        </w:rPr>
        <w:t>and Social Issues Committee</w:t>
      </w:r>
      <w:r w:rsidR="001E1FE4">
        <w:rPr>
          <w:noProof/>
          <w:lang w:eastAsia="en-US"/>
        </w:rPr>
        <w:t>’s</w:t>
      </w:r>
      <w:r>
        <w:rPr>
          <w:noProof/>
          <w:lang w:eastAsia="en-US"/>
        </w:rPr>
        <w:t xml:space="preserve"> Inquiry into end of life choices (2016) recommendations around palliative sedation and will aim to support Victorian palliative care services to use palliative sedation therapy in a consistent way.</w:t>
      </w:r>
    </w:p>
    <w:p w14:paraId="4502BC5F" w14:textId="77777777" w:rsidR="008151E5" w:rsidRDefault="008151E5" w:rsidP="008151E5">
      <w:pPr>
        <w:pStyle w:val="Heading3"/>
      </w:pPr>
      <w:r>
        <w:t xml:space="preserve">Scope of the guidance </w:t>
      </w:r>
    </w:p>
    <w:p w14:paraId="1501576A" w14:textId="77777777" w:rsidR="008151E5" w:rsidRDefault="008151E5" w:rsidP="001E1FE4">
      <w:pPr>
        <w:pStyle w:val="Normalfollowingheading"/>
        <w:rPr>
          <w:noProof/>
          <w:lang w:eastAsia="en-US"/>
        </w:rPr>
      </w:pPr>
      <w:r>
        <w:rPr>
          <w:noProof/>
          <w:lang w:eastAsia="en-US"/>
        </w:rPr>
        <w:t xml:space="preserve">This guidance is aimed at specialist palliative care clinicians to support consistent delivery of palliative sedation therapy. The guidance also plays a role in supporting these specialists to train other palliative care professionals. </w:t>
      </w:r>
    </w:p>
    <w:p w14:paraId="6F833B3F" w14:textId="6256B101" w:rsidR="008151E5" w:rsidRDefault="008151E5" w:rsidP="008151E5">
      <w:pPr>
        <w:rPr>
          <w:noProof/>
          <w:lang w:eastAsia="en-US"/>
        </w:rPr>
      </w:pPr>
      <w:r>
        <w:rPr>
          <w:noProof/>
          <w:lang w:eastAsia="en-US"/>
        </w:rPr>
        <w:t>Th</w:t>
      </w:r>
      <w:r w:rsidR="002C4ECB">
        <w:rPr>
          <w:noProof/>
          <w:lang w:eastAsia="en-US"/>
        </w:rPr>
        <w:t>is</w:t>
      </w:r>
      <w:r>
        <w:rPr>
          <w:noProof/>
          <w:lang w:eastAsia="en-US"/>
        </w:rPr>
        <w:t xml:space="preserve"> guidance is not intended for use by generalist clinicians. </w:t>
      </w:r>
    </w:p>
    <w:p w14:paraId="57213BC8" w14:textId="77777777" w:rsidR="001E1FE4" w:rsidRDefault="001E1FE4">
      <w:pPr>
        <w:rPr>
          <w:rFonts w:ascii="VIC SemiBold" w:eastAsiaTheme="majorEastAsia" w:hAnsi="VIC SemiBold" w:cstheme="majorBidi"/>
          <w:caps/>
          <w:noProof/>
          <w:color w:val="007586" w:themeColor="text2"/>
          <w:sz w:val="24"/>
          <w:szCs w:val="26"/>
          <w:lang w:eastAsia="en-US"/>
        </w:rPr>
      </w:pPr>
      <w:r>
        <w:rPr>
          <w:noProof/>
          <w:lang w:eastAsia="en-US"/>
        </w:rPr>
        <w:br w:type="page"/>
      </w:r>
    </w:p>
    <w:p w14:paraId="0DCEBC15" w14:textId="595CC5E8" w:rsidR="008151E5" w:rsidRDefault="008151E5" w:rsidP="008151E5">
      <w:pPr>
        <w:pStyle w:val="Heading2"/>
        <w:rPr>
          <w:noProof/>
          <w:lang w:eastAsia="en-US"/>
        </w:rPr>
      </w:pPr>
      <w:r>
        <w:rPr>
          <w:noProof/>
          <w:lang w:eastAsia="en-US"/>
        </w:rPr>
        <w:lastRenderedPageBreak/>
        <w:t>Expert working group</w:t>
      </w:r>
    </w:p>
    <w:p w14:paraId="3AB2B9D4" w14:textId="62524360" w:rsidR="008151E5" w:rsidRDefault="008151E5" w:rsidP="008151E5">
      <w:pPr>
        <w:pStyle w:val="Normalfollowingheading"/>
        <w:rPr>
          <w:noProof/>
          <w:lang w:eastAsia="en-US"/>
        </w:rPr>
      </w:pPr>
      <w:r>
        <w:rPr>
          <w:noProof/>
          <w:lang w:eastAsia="en-US"/>
        </w:rPr>
        <w:t xml:space="preserve">An expert working group was convened by </w:t>
      </w:r>
      <w:r w:rsidR="001E1FE4">
        <w:rPr>
          <w:noProof/>
          <w:lang w:eastAsia="en-US"/>
        </w:rPr>
        <w:t>the SCV</w:t>
      </w:r>
      <w:r>
        <w:rPr>
          <w:noProof/>
          <w:lang w:eastAsia="en-US"/>
        </w:rPr>
        <w:t xml:space="preserve"> Palliative Care Clinical Network to develop this clinical guidance.</w:t>
      </w:r>
    </w:p>
    <w:p w14:paraId="758FDC2B" w14:textId="5E401523" w:rsidR="008151E5" w:rsidRPr="008151E5" w:rsidRDefault="008151E5" w:rsidP="008151E5">
      <w:pPr>
        <w:pStyle w:val="Bullet1"/>
      </w:pPr>
      <w:r w:rsidRPr="008151E5">
        <w:t>A member of the Palliative Care Clinical Network Governance Committee was appointed as chair</w:t>
      </w:r>
      <w:r w:rsidR="001E1FE4">
        <w:t>.</w:t>
      </w:r>
    </w:p>
    <w:p w14:paraId="2AFE5BE0" w14:textId="6D42FB32" w:rsidR="008151E5" w:rsidRPr="008151E5" w:rsidRDefault="008151E5" w:rsidP="008151E5">
      <w:pPr>
        <w:pStyle w:val="Bullet1"/>
      </w:pPr>
      <w:r w:rsidRPr="008151E5">
        <w:t>An expression of interest was promoted</w:t>
      </w:r>
      <w:r w:rsidR="001E1FE4">
        <w:t xml:space="preserve"> through</w:t>
      </w:r>
      <w:r w:rsidRPr="008151E5">
        <w:t xml:space="preserve"> SCV and </w:t>
      </w:r>
      <w:r w:rsidR="001E1FE4">
        <w:t>n</w:t>
      </w:r>
      <w:r w:rsidRPr="008151E5">
        <w:t>etwork communications. Applicants were asked to submit relevant information about their interest and expertise in being part of the working group.</w:t>
      </w:r>
    </w:p>
    <w:p w14:paraId="7B177CC2" w14:textId="003A0B74" w:rsidR="008151E5" w:rsidRPr="008151E5" w:rsidRDefault="008151E5" w:rsidP="008151E5">
      <w:pPr>
        <w:pStyle w:val="Bullet1"/>
      </w:pPr>
      <w:r w:rsidRPr="008151E5">
        <w:t>All expressions of interest were reviewed by SCV staff, and final membership of the group was endorsed by Palliative Care Clinical Network clinical lead.</w:t>
      </w:r>
    </w:p>
    <w:p w14:paraId="4F1A1D41" w14:textId="39262EBB" w:rsidR="008151E5" w:rsidRPr="008151E5" w:rsidRDefault="008151E5" w:rsidP="008151E5">
      <w:pPr>
        <w:pStyle w:val="Bullet1"/>
      </w:pPr>
      <w:r w:rsidRPr="008151E5">
        <w:t xml:space="preserve">A consumer member was involved in the expert working group process. </w:t>
      </w:r>
      <w:r w:rsidR="00B055E8">
        <w:t xml:space="preserve">They </w:t>
      </w:r>
      <w:r w:rsidRPr="008151E5">
        <w:t>were reimbursed for their time and travel expenses.</w:t>
      </w:r>
    </w:p>
    <w:p w14:paraId="37E12D57" w14:textId="3DAB8BE0" w:rsidR="008151E5" w:rsidRPr="008151E5" w:rsidRDefault="008151E5" w:rsidP="008151E5">
      <w:pPr>
        <w:pStyle w:val="Bullet1"/>
      </w:pPr>
      <w:r w:rsidRPr="008151E5">
        <w:t>The membership of the expert working group included experts from medical, nursing and pharmacy disciplines. Recruitment was purposeful to ensure representation from metropolitan and regional areas.</w:t>
      </w:r>
    </w:p>
    <w:p w14:paraId="2B729B93" w14:textId="667EE44A" w:rsidR="00ED64F1" w:rsidRPr="008151E5" w:rsidRDefault="008151E5" w:rsidP="008151E5">
      <w:pPr>
        <w:pStyle w:val="Tablechartdiagramheading"/>
        <w:rPr>
          <w:rFonts w:ascii="VIC SemiBold" w:hAnsi="VIC SemiBold"/>
          <w:b w:val="0"/>
          <w:bCs w:val="0"/>
          <w:noProof/>
          <w:lang w:eastAsia="en-US"/>
        </w:rPr>
      </w:pPr>
      <w:r w:rsidRPr="008151E5">
        <w:rPr>
          <w:rFonts w:ascii="VIC SemiBold" w:hAnsi="VIC SemiBold"/>
          <w:b w:val="0"/>
          <w:bCs w:val="0"/>
          <w:noProof/>
          <w:lang w:eastAsia="en-US"/>
        </w:rPr>
        <w:t>Table 1</w:t>
      </w:r>
      <w:r w:rsidR="000A4904">
        <w:rPr>
          <w:rFonts w:ascii="VIC SemiBold" w:hAnsi="VIC SemiBold"/>
          <w:b w:val="0"/>
          <w:bCs w:val="0"/>
          <w:noProof/>
          <w:lang w:eastAsia="en-US"/>
        </w:rPr>
        <w:t>:</w:t>
      </w:r>
      <w:r w:rsidRPr="008151E5">
        <w:rPr>
          <w:rFonts w:ascii="VIC SemiBold" w:hAnsi="VIC SemiBold"/>
          <w:b w:val="0"/>
          <w:bCs w:val="0"/>
          <w:noProof/>
          <w:lang w:eastAsia="en-US"/>
        </w:rPr>
        <w:t xml:space="preserve"> </w:t>
      </w:r>
      <w:r w:rsidR="001E1FE4" w:rsidRPr="008151E5">
        <w:rPr>
          <w:rFonts w:ascii="VIC SemiBold" w:hAnsi="VIC SemiBold"/>
          <w:b w:val="0"/>
          <w:bCs w:val="0"/>
          <w:noProof/>
          <w:lang w:eastAsia="en-US"/>
        </w:rPr>
        <w:t xml:space="preserve">Palliative </w:t>
      </w:r>
      <w:r w:rsidR="001E1FE4">
        <w:rPr>
          <w:rFonts w:ascii="VIC SemiBold" w:hAnsi="VIC SemiBold"/>
          <w:b w:val="0"/>
          <w:bCs w:val="0"/>
          <w:noProof/>
          <w:lang w:eastAsia="en-US"/>
        </w:rPr>
        <w:t>s</w:t>
      </w:r>
      <w:r w:rsidR="001E1FE4" w:rsidRPr="008151E5">
        <w:rPr>
          <w:rFonts w:ascii="VIC SemiBold" w:hAnsi="VIC SemiBold"/>
          <w:b w:val="0"/>
          <w:bCs w:val="0"/>
          <w:noProof/>
          <w:lang w:eastAsia="en-US"/>
        </w:rPr>
        <w:t xml:space="preserve">edation </w:t>
      </w:r>
      <w:r w:rsidR="001E1FE4">
        <w:rPr>
          <w:rFonts w:ascii="VIC SemiBold" w:hAnsi="VIC SemiBold"/>
          <w:b w:val="0"/>
          <w:bCs w:val="0"/>
          <w:noProof/>
          <w:lang w:eastAsia="en-US"/>
        </w:rPr>
        <w:t>t</w:t>
      </w:r>
      <w:r w:rsidR="001E1FE4" w:rsidRPr="008151E5">
        <w:rPr>
          <w:rFonts w:ascii="VIC SemiBold" w:hAnsi="VIC SemiBold"/>
          <w:b w:val="0"/>
          <w:bCs w:val="0"/>
          <w:noProof/>
          <w:lang w:eastAsia="en-US"/>
        </w:rPr>
        <w:t xml:space="preserve">herapy </w:t>
      </w:r>
      <w:r w:rsidR="001E1FE4">
        <w:rPr>
          <w:rFonts w:ascii="VIC SemiBold" w:hAnsi="VIC SemiBold"/>
          <w:b w:val="0"/>
          <w:bCs w:val="0"/>
          <w:noProof/>
          <w:lang w:eastAsia="en-US"/>
        </w:rPr>
        <w:t>e</w:t>
      </w:r>
      <w:r w:rsidRPr="008151E5">
        <w:rPr>
          <w:rFonts w:ascii="VIC SemiBold" w:hAnsi="VIC SemiBold"/>
          <w:b w:val="0"/>
          <w:bCs w:val="0"/>
          <w:noProof/>
          <w:lang w:eastAsia="en-US"/>
        </w:rPr>
        <w:t>xpert working group membership</w:t>
      </w:r>
    </w:p>
    <w:tbl>
      <w:tblPr>
        <w:tblStyle w:val="TableGrid"/>
        <w:tblW w:w="4973" w:type="pct"/>
        <w:tblLook w:val="06A0" w:firstRow="1" w:lastRow="0" w:firstColumn="1" w:lastColumn="0" w:noHBand="1" w:noVBand="1"/>
      </w:tblPr>
      <w:tblGrid>
        <w:gridCol w:w="3079"/>
        <w:gridCol w:w="3374"/>
        <w:gridCol w:w="3696"/>
      </w:tblGrid>
      <w:tr w:rsidR="008151E5" w:rsidRPr="001E1FE4" w14:paraId="417EEC6F" w14:textId="77777777" w:rsidTr="00C15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pct"/>
          </w:tcPr>
          <w:p w14:paraId="6A80AAC6" w14:textId="77777777" w:rsidR="008151E5" w:rsidRPr="001E1FE4" w:rsidRDefault="008151E5" w:rsidP="00C15C52">
            <w:pPr>
              <w:rPr>
                <w:sz w:val="18"/>
                <w:szCs w:val="18"/>
              </w:rPr>
            </w:pPr>
            <w:r w:rsidRPr="001E1FE4">
              <w:rPr>
                <w:sz w:val="18"/>
                <w:szCs w:val="18"/>
              </w:rPr>
              <w:t>Member</w:t>
            </w:r>
          </w:p>
        </w:tc>
        <w:tc>
          <w:tcPr>
            <w:tcW w:w="1662" w:type="pct"/>
          </w:tcPr>
          <w:p w14:paraId="65245A59" w14:textId="77777777" w:rsidR="008151E5" w:rsidRPr="001E1FE4" w:rsidRDefault="008151E5" w:rsidP="00C15C52">
            <w:pPr>
              <w:cnfStyle w:val="100000000000" w:firstRow="1" w:lastRow="0" w:firstColumn="0" w:lastColumn="0" w:oddVBand="0" w:evenVBand="0" w:oddHBand="0" w:evenHBand="0" w:firstRowFirstColumn="0" w:firstRowLastColumn="0" w:lastRowFirstColumn="0" w:lastRowLastColumn="0"/>
              <w:rPr>
                <w:sz w:val="18"/>
                <w:szCs w:val="18"/>
              </w:rPr>
            </w:pPr>
            <w:r w:rsidRPr="001E1FE4">
              <w:rPr>
                <w:sz w:val="18"/>
                <w:szCs w:val="18"/>
              </w:rPr>
              <w:t xml:space="preserve">Role </w:t>
            </w:r>
          </w:p>
        </w:tc>
        <w:tc>
          <w:tcPr>
            <w:tcW w:w="1821" w:type="pct"/>
          </w:tcPr>
          <w:p w14:paraId="3EAB022A" w14:textId="77777777" w:rsidR="008151E5" w:rsidRPr="001E1FE4" w:rsidRDefault="008151E5" w:rsidP="00C15C52">
            <w:pPr>
              <w:cnfStyle w:val="100000000000" w:firstRow="1" w:lastRow="0" w:firstColumn="0" w:lastColumn="0" w:oddVBand="0" w:evenVBand="0" w:oddHBand="0" w:evenHBand="0" w:firstRowFirstColumn="0" w:firstRowLastColumn="0" w:lastRowFirstColumn="0" w:lastRowLastColumn="0"/>
              <w:rPr>
                <w:sz w:val="18"/>
                <w:szCs w:val="18"/>
              </w:rPr>
            </w:pPr>
            <w:r w:rsidRPr="001E1FE4">
              <w:rPr>
                <w:sz w:val="18"/>
                <w:szCs w:val="18"/>
              </w:rPr>
              <w:t>Organisation</w:t>
            </w:r>
          </w:p>
        </w:tc>
      </w:tr>
      <w:tr w:rsidR="008151E5" w:rsidRPr="001E1FE4" w14:paraId="082140CB" w14:textId="77777777" w:rsidTr="00C15C52">
        <w:tc>
          <w:tcPr>
            <w:cnfStyle w:val="001000000000" w:firstRow="0" w:lastRow="0" w:firstColumn="1" w:lastColumn="0" w:oddVBand="0" w:evenVBand="0" w:oddHBand="0" w:evenHBand="0" w:firstRowFirstColumn="0" w:firstRowLastColumn="0" w:lastRowFirstColumn="0" w:lastRowLastColumn="0"/>
            <w:tcW w:w="1517" w:type="pct"/>
          </w:tcPr>
          <w:p w14:paraId="3D413CBC" w14:textId="77777777" w:rsidR="008151E5" w:rsidRPr="001E1FE4" w:rsidRDefault="008151E5" w:rsidP="00C15C52">
            <w:pPr>
              <w:rPr>
                <w:b w:val="0"/>
                <w:sz w:val="18"/>
                <w:szCs w:val="18"/>
              </w:rPr>
            </w:pPr>
            <w:r w:rsidRPr="001E1FE4">
              <w:rPr>
                <w:sz w:val="18"/>
                <w:szCs w:val="18"/>
              </w:rPr>
              <w:t>Juli Moran (chair)</w:t>
            </w:r>
          </w:p>
        </w:tc>
        <w:tc>
          <w:tcPr>
            <w:tcW w:w="1662" w:type="pct"/>
          </w:tcPr>
          <w:p w14:paraId="0AC3CD0B" w14:textId="77777777" w:rsidR="008151E5" w:rsidRPr="001E1FE4" w:rsidRDefault="008151E5" w:rsidP="00C15C52">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Palliative Care Physician</w:t>
            </w:r>
          </w:p>
        </w:tc>
        <w:tc>
          <w:tcPr>
            <w:tcW w:w="1821" w:type="pct"/>
          </w:tcPr>
          <w:p w14:paraId="149DE32F" w14:textId="77777777" w:rsidR="008151E5" w:rsidRPr="001E1FE4" w:rsidRDefault="008151E5" w:rsidP="00C15C52">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Austin Health</w:t>
            </w:r>
          </w:p>
        </w:tc>
      </w:tr>
      <w:tr w:rsidR="008151E5" w:rsidRPr="001E1FE4" w14:paraId="325DD308" w14:textId="77777777" w:rsidTr="00C15C52">
        <w:tc>
          <w:tcPr>
            <w:cnfStyle w:val="001000000000" w:firstRow="0" w:lastRow="0" w:firstColumn="1" w:lastColumn="0" w:oddVBand="0" w:evenVBand="0" w:oddHBand="0" w:evenHBand="0" w:firstRowFirstColumn="0" w:firstRowLastColumn="0" w:lastRowFirstColumn="0" w:lastRowLastColumn="0"/>
            <w:tcW w:w="1517" w:type="pct"/>
          </w:tcPr>
          <w:p w14:paraId="7EBF607E" w14:textId="77777777" w:rsidR="008151E5" w:rsidRPr="001E1FE4" w:rsidRDefault="008151E5" w:rsidP="00C15C52">
            <w:pPr>
              <w:rPr>
                <w:sz w:val="18"/>
                <w:szCs w:val="18"/>
              </w:rPr>
            </w:pPr>
            <w:r w:rsidRPr="001E1FE4">
              <w:rPr>
                <w:sz w:val="18"/>
                <w:szCs w:val="18"/>
              </w:rPr>
              <w:t xml:space="preserve">Valerie Armenante </w:t>
            </w:r>
          </w:p>
        </w:tc>
        <w:tc>
          <w:tcPr>
            <w:tcW w:w="1662" w:type="pct"/>
          </w:tcPr>
          <w:p w14:paraId="0EE5BD2F" w14:textId="77777777" w:rsidR="008151E5" w:rsidRPr="001E1FE4" w:rsidRDefault="008151E5" w:rsidP="00C15C52">
            <w:pPr>
              <w:tabs>
                <w:tab w:val="left" w:pos="1050"/>
              </w:tabs>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Nurse Consultant (Palliative Care)</w:t>
            </w:r>
          </w:p>
        </w:tc>
        <w:tc>
          <w:tcPr>
            <w:tcW w:w="1821" w:type="pct"/>
          </w:tcPr>
          <w:p w14:paraId="1E976DD9" w14:textId="77777777" w:rsidR="008151E5" w:rsidRPr="001E1FE4" w:rsidRDefault="008151E5" w:rsidP="00C15C52">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Djerriwarrh Health Services</w:t>
            </w:r>
          </w:p>
        </w:tc>
      </w:tr>
      <w:tr w:rsidR="008151E5" w:rsidRPr="001E1FE4" w14:paraId="4FF652AE" w14:textId="77777777" w:rsidTr="00C15C52">
        <w:tc>
          <w:tcPr>
            <w:cnfStyle w:val="001000000000" w:firstRow="0" w:lastRow="0" w:firstColumn="1" w:lastColumn="0" w:oddVBand="0" w:evenVBand="0" w:oddHBand="0" w:evenHBand="0" w:firstRowFirstColumn="0" w:firstRowLastColumn="0" w:lastRowFirstColumn="0" w:lastRowLastColumn="0"/>
            <w:tcW w:w="1517" w:type="pct"/>
          </w:tcPr>
          <w:p w14:paraId="5475B265" w14:textId="77777777" w:rsidR="008151E5" w:rsidRPr="001E1FE4" w:rsidRDefault="008151E5" w:rsidP="00C15C52">
            <w:pPr>
              <w:rPr>
                <w:sz w:val="18"/>
                <w:szCs w:val="18"/>
              </w:rPr>
            </w:pPr>
            <w:r w:rsidRPr="001E1FE4">
              <w:rPr>
                <w:sz w:val="18"/>
                <w:szCs w:val="18"/>
              </w:rPr>
              <w:t xml:space="preserve">Melanie Benson </w:t>
            </w:r>
          </w:p>
        </w:tc>
        <w:tc>
          <w:tcPr>
            <w:tcW w:w="1662" w:type="pct"/>
          </w:tcPr>
          <w:p w14:paraId="4249BA63" w14:textId="77777777" w:rsidR="008151E5" w:rsidRPr="001E1FE4" w:rsidRDefault="008151E5" w:rsidP="00C15C52">
            <w:pPr>
              <w:tabs>
                <w:tab w:val="left" w:pos="1050"/>
              </w:tabs>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Palliative Care Physician</w:t>
            </w:r>
          </w:p>
        </w:tc>
        <w:tc>
          <w:tcPr>
            <w:tcW w:w="1821" w:type="pct"/>
          </w:tcPr>
          <w:p w14:paraId="21803ECF" w14:textId="77777777" w:rsidR="008151E5" w:rsidRPr="001E1FE4" w:rsidRDefault="008151E5" w:rsidP="00C15C52">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Latrobe Regional Hospital/ Peninsula Health</w:t>
            </w:r>
          </w:p>
        </w:tc>
      </w:tr>
      <w:tr w:rsidR="008151E5" w:rsidRPr="001E1FE4" w14:paraId="4975B475" w14:textId="77777777" w:rsidTr="00C15C52">
        <w:tc>
          <w:tcPr>
            <w:cnfStyle w:val="001000000000" w:firstRow="0" w:lastRow="0" w:firstColumn="1" w:lastColumn="0" w:oddVBand="0" w:evenVBand="0" w:oddHBand="0" w:evenHBand="0" w:firstRowFirstColumn="0" w:firstRowLastColumn="0" w:lastRowFirstColumn="0" w:lastRowLastColumn="0"/>
            <w:tcW w:w="1517" w:type="pct"/>
          </w:tcPr>
          <w:p w14:paraId="37CEC1FE" w14:textId="77777777" w:rsidR="008151E5" w:rsidRPr="001E1FE4" w:rsidRDefault="008151E5" w:rsidP="00C15C52">
            <w:pPr>
              <w:rPr>
                <w:sz w:val="18"/>
                <w:szCs w:val="18"/>
              </w:rPr>
            </w:pPr>
            <w:r w:rsidRPr="001E1FE4">
              <w:rPr>
                <w:sz w:val="18"/>
                <w:szCs w:val="18"/>
              </w:rPr>
              <w:t xml:space="preserve">Marie Coffey </w:t>
            </w:r>
          </w:p>
        </w:tc>
        <w:tc>
          <w:tcPr>
            <w:tcW w:w="1662" w:type="pct"/>
          </w:tcPr>
          <w:p w14:paraId="11F4EC84" w14:textId="77777777" w:rsidR="008151E5" w:rsidRPr="001E1FE4" w:rsidRDefault="008151E5" w:rsidP="00C15C52">
            <w:pPr>
              <w:tabs>
                <w:tab w:val="left" w:pos="1050"/>
              </w:tabs>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Nurse Practitioner</w:t>
            </w:r>
          </w:p>
        </w:tc>
        <w:tc>
          <w:tcPr>
            <w:tcW w:w="1821" w:type="pct"/>
          </w:tcPr>
          <w:p w14:paraId="7C22431D" w14:textId="77777777" w:rsidR="008151E5" w:rsidRPr="001E1FE4" w:rsidRDefault="008151E5" w:rsidP="00C15C52">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Wimmera Health Care Group</w:t>
            </w:r>
          </w:p>
        </w:tc>
      </w:tr>
      <w:tr w:rsidR="008151E5" w:rsidRPr="001E1FE4" w14:paraId="296B73A7" w14:textId="77777777" w:rsidTr="00C15C52">
        <w:tc>
          <w:tcPr>
            <w:cnfStyle w:val="001000000000" w:firstRow="0" w:lastRow="0" w:firstColumn="1" w:lastColumn="0" w:oddVBand="0" w:evenVBand="0" w:oddHBand="0" w:evenHBand="0" w:firstRowFirstColumn="0" w:firstRowLastColumn="0" w:lastRowFirstColumn="0" w:lastRowLastColumn="0"/>
            <w:tcW w:w="1517" w:type="pct"/>
          </w:tcPr>
          <w:p w14:paraId="4398CF56" w14:textId="77777777" w:rsidR="008151E5" w:rsidRPr="001E1FE4" w:rsidRDefault="008151E5" w:rsidP="00C15C52">
            <w:pPr>
              <w:rPr>
                <w:sz w:val="18"/>
                <w:szCs w:val="18"/>
              </w:rPr>
            </w:pPr>
            <w:r w:rsidRPr="001E1FE4">
              <w:rPr>
                <w:sz w:val="18"/>
                <w:szCs w:val="18"/>
              </w:rPr>
              <w:t xml:space="preserve">Rowan Hearn </w:t>
            </w:r>
          </w:p>
        </w:tc>
        <w:tc>
          <w:tcPr>
            <w:tcW w:w="1662" w:type="pct"/>
          </w:tcPr>
          <w:p w14:paraId="5856E01F" w14:textId="77777777" w:rsidR="008151E5" w:rsidRPr="001E1FE4" w:rsidRDefault="008151E5" w:rsidP="00C15C52">
            <w:pPr>
              <w:tabs>
                <w:tab w:val="left" w:pos="1050"/>
              </w:tabs>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Consultant in Palliative Medicine</w:t>
            </w:r>
          </w:p>
        </w:tc>
        <w:tc>
          <w:tcPr>
            <w:tcW w:w="1821" w:type="pct"/>
          </w:tcPr>
          <w:p w14:paraId="17E0E2DA" w14:textId="77777777" w:rsidR="008151E5" w:rsidRPr="001E1FE4" w:rsidRDefault="008151E5" w:rsidP="00C15C52">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Calvary Health Care Bethlehem</w:t>
            </w:r>
          </w:p>
        </w:tc>
      </w:tr>
      <w:tr w:rsidR="008151E5" w:rsidRPr="001E1FE4" w14:paraId="7E06A965" w14:textId="77777777" w:rsidTr="00C15C52">
        <w:tc>
          <w:tcPr>
            <w:cnfStyle w:val="001000000000" w:firstRow="0" w:lastRow="0" w:firstColumn="1" w:lastColumn="0" w:oddVBand="0" w:evenVBand="0" w:oddHBand="0" w:evenHBand="0" w:firstRowFirstColumn="0" w:firstRowLastColumn="0" w:lastRowFirstColumn="0" w:lastRowLastColumn="0"/>
            <w:tcW w:w="1517" w:type="pct"/>
          </w:tcPr>
          <w:p w14:paraId="1A4098D3" w14:textId="77777777" w:rsidR="008151E5" w:rsidRPr="001E1FE4" w:rsidRDefault="008151E5" w:rsidP="00C15C52">
            <w:pPr>
              <w:rPr>
                <w:sz w:val="18"/>
                <w:szCs w:val="18"/>
              </w:rPr>
            </w:pPr>
            <w:r w:rsidRPr="001E1FE4">
              <w:rPr>
                <w:sz w:val="18"/>
                <w:szCs w:val="18"/>
              </w:rPr>
              <w:t xml:space="preserve">Lisha Kuruvilla </w:t>
            </w:r>
          </w:p>
        </w:tc>
        <w:tc>
          <w:tcPr>
            <w:tcW w:w="1662" w:type="pct"/>
          </w:tcPr>
          <w:p w14:paraId="3B33913F" w14:textId="77777777" w:rsidR="008151E5" w:rsidRPr="001E1FE4" w:rsidRDefault="008151E5" w:rsidP="00C15C52">
            <w:pPr>
              <w:tabs>
                <w:tab w:val="left" w:pos="1050"/>
              </w:tabs>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Palliative Care Pharmacist</w:t>
            </w:r>
          </w:p>
        </w:tc>
        <w:tc>
          <w:tcPr>
            <w:tcW w:w="1821" w:type="pct"/>
          </w:tcPr>
          <w:p w14:paraId="4457F960" w14:textId="77777777" w:rsidR="008151E5" w:rsidRPr="001E1FE4" w:rsidRDefault="008151E5" w:rsidP="00C15C52">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Barwon Health</w:t>
            </w:r>
          </w:p>
        </w:tc>
      </w:tr>
      <w:tr w:rsidR="008151E5" w:rsidRPr="001E1FE4" w14:paraId="7E350E07" w14:textId="77777777" w:rsidTr="00C15C52">
        <w:tc>
          <w:tcPr>
            <w:cnfStyle w:val="001000000000" w:firstRow="0" w:lastRow="0" w:firstColumn="1" w:lastColumn="0" w:oddVBand="0" w:evenVBand="0" w:oddHBand="0" w:evenHBand="0" w:firstRowFirstColumn="0" w:firstRowLastColumn="0" w:lastRowFirstColumn="0" w:lastRowLastColumn="0"/>
            <w:tcW w:w="1517" w:type="pct"/>
          </w:tcPr>
          <w:p w14:paraId="609D7981" w14:textId="77777777" w:rsidR="008151E5" w:rsidRPr="001E1FE4" w:rsidRDefault="008151E5" w:rsidP="00C15C52">
            <w:pPr>
              <w:rPr>
                <w:sz w:val="18"/>
                <w:szCs w:val="18"/>
              </w:rPr>
            </w:pPr>
            <w:r w:rsidRPr="001E1FE4">
              <w:rPr>
                <w:sz w:val="18"/>
                <w:szCs w:val="18"/>
              </w:rPr>
              <w:t>Adriana Mulla-Limllari</w:t>
            </w:r>
          </w:p>
        </w:tc>
        <w:tc>
          <w:tcPr>
            <w:tcW w:w="1662" w:type="pct"/>
          </w:tcPr>
          <w:p w14:paraId="144B46C6" w14:textId="77777777" w:rsidR="008151E5" w:rsidRPr="001E1FE4" w:rsidRDefault="008151E5" w:rsidP="00C15C52">
            <w:pPr>
              <w:tabs>
                <w:tab w:val="left" w:pos="1050"/>
              </w:tabs>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Consumer</w:t>
            </w:r>
          </w:p>
        </w:tc>
        <w:tc>
          <w:tcPr>
            <w:tcW w:w="1821" w:type="pct"/>
          </w:tcPr>
          <w:p w14:paraId="26E6C58A" w14:textId="77777777" w:rsidR="008151E5" w:rsidRPr="001E1FE4" w:rsidRDefault="008151E5" w:rsidP="00C15C52">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Consumer</w:t>
            </w:r>
          </w:p>
        </w:tc>
      </w:tr>
      <w:tr w:rsidR="008151E5" w:rsidRPr="001E1FE4" w14:paraId="329F0D1C" w14:textId="77777777" w:rsidTr="00C15C52">
        <w:tc>
          <w:tcPr>
            <w:cnfStyle w:val="001000000000" w:firstRow="0" w:lastRow="0" w:firstColumn="1" w:lastColumn="0" w:oddVBand="0" w:evenVBand="0" w:oddHBand="0" w:evenHBand="0" w:firstRowFirstColumn="0" w:firstRowLastColumn="0" w:lastRowFirstColumn="0" w:lastRowLastColumn="0"/>
            <w:tcW w:w="1517" w:type="pct"/>
          </w:tcPr>
          <w:p w14:paraId="54682D02" w14:textId="77777777" w:rsidR="008151E5" w:rsidRPr="001E1FE4" w:rsidRDefault="008151E5" w:rsidP="00C15C52">
            <w:pPr>
              <w:rPr>
                <w:sz w:val="18"/>
                <w:szCs w:val="18"/>
              </w:rPr>
            </w:pPr>
            <w:r w:rsidRPr="001E1FE4">
              <w:rPr>
                <w:sz w:val="18"/>
                <w:szCs w:val="18"/>
              </w:rPr>
              <w:t>Siva Subramaniam</w:t>
            </w:r>
          </w:p>
        </w:tc>
        <w:tc>
          <w:tcPr>
            <w:tcW w:w="1662" w:type="pct"/>
          </w:tcPr>
          <w:p w14:paraId="3B939957" w14:textId="77777777" w:rsidR="008151E5" w:rsidRPr="001E1FE4" w:rsidRDefault="008151E5" w:rsidP="00C15C52">
            <w:pPr>
              <w:tabs>
                <w:tab w:val="left" w:pos="1050"/>
              </w:tabs>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Palliative Care Physician</w:t>
            </w:r>
          </w:p>
        </w:tc>
        <w:tc>
          <w:tcPr>
            <w:tcW w:w="1821" w:type="pct"/>
          </w:tcPr>
          <w:p w14:paraId="286E82DC" w14:textId="77777777" w:rsidR="008151E5" w:rsidRPr="001E1FE4" w:rsidRDefault="008151E5" w:rsidP="00C15C52">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Goulburn Valley Health</w:t>
            </w:r>
          </w:p>
        </w:tc>
      </w:tr>
      <w:tr w:rsidR="008151E5" w:rsidRPr="001E1FE4" w14:paraId="0B17828B" w14:textId="77777777" w:rsidTr="00C15C52">
        <w:tc>
          <w:tcPr>
            <w:cnfStyle w:val="001000000000" w:firstRow="0" w:lastRow="0" w:firstColumn="1" w:lastColumn="0" w:oddVBand="0" w:evenVBand="0" w:oddHBand="0" w:evenHBand="0" w:firstRowFirstColumn="0" w:firstRowLastColumn="0" w:lastRowFirstColumn="0" w:lastRowLastColumn="0"/>
            <w:tcW w:w="1517" w:type="pct"/>
          </w:tcPr>
          <w:p w14:paraId="1AC6C730" w14:textId="77777777" w:rsidR="008151E5" w:rsidRPr="001E1FE4" w:rsidRDefault="008151E5" w:rsidP="00C15C52">
            <w:pPr>
              <w:rPr>
                <w:sz w:val="18"/>
                <w:szCs w:val="18"/>
              </w:rPr>
            </w:pPr>
            <w:r w:rsidRPr="001E1FE4">
              <w:rPr>
                <w:sz w:val="18"/>
                <w:szCs w:val="18"/>
              </w:rPr>
              <w:t>Anita Wild</w:t>
            </w:r>
          </w:p>
        </w:tc>
        <w:tc>
          <w:tcPr>
            <w:tcW w:w="1662" w:type="pct"/>
          </w:tcPr>
          <w:p w14:paraId="56D43203" w14:textId="77777777" w:rsidR="008151E5" w:rsidRPr="001E1FE4" w:rsidRDefault="008151E5" w:rsidP="00C15C52">
            <w:pPr>
              <w:tabs>
                <w:tab w:val="left" w:pos="1050"/>
              </w:tabs>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Nurse Practitioner</w:t>
            </w:r>
          </w:p>
        </w:tc>
        <w:tc>
          <w:tcPr>
            <w:tcW w:w="1821" w:type="pct"/>
          </w:tcPr>
          <w:p w14:paraId="258F720F" w14:textId="77777777" w:rsidR="008151E5" w:rsidRPr="001E1FE4" w:rsidRDefault="008151E5" w:rsidP="00C15C52">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Bendigo Health</w:t>
            </w:r>
          </w:p>
        </w:tc>
      </w:tr>
    </w:tbl>
    <w:p w14:paraId="675B9D5D" w14:textId="77777777" w:rsidR="008151E5" w:rsidRDefault="008151E5" w:rsidP="008151E5">
      <w:pPr>
        <w:pStyle w:val="Heading3"/>
      </w:pPr>
      <w:r>
        <w:t>Conflict of interest</w:t>
      </w:r>
    </w:p>
    <w:p w14:paraId="40B0D7B8" w14:textId="773D8C8C" w:rsidR="008151E5" w:rsidRDefault="008151E5" w:rsidP="008151E5">
      <w:pPr>
        <w:pStyle w:val="Normalfollowingheading"/>
        <w:rPr>
          <w:noProof/>
          <w:lang w:eastAsia="en-US"/>
        </w:rPr>
      </w:pPr>
      <w:r>
        <w:rPr>
          <w:noProof/>
          <w:lang w:eastAsia="en-US"/>
        </w:rPr>
        <w:t>No relevant conflicts were identified.</w:t>
      </w:r>
    </w:p>
    <w:p w14:paraId="0BCA7428" w14:textId="77777777" w:rsidR="001E1FE4" w:rsidRDefault="001E1FE4">
      <w:pPr>
        <w:rPr>
          <w:rFonts w:ascii="VIC SemiBold" w:eastAsiaTheme="majorEastAsia" w:hAnsi="VIC SemiBold" w:cstheme="majorBidi"/>
          <w:caps/>
          <w:noProof/>
          <w:color w:val="007586" w:themeColor="text2"/>
          <w:sz w:val="24"/>
          <w:szCs w:val="26"/>
          <w:lang w:eastAsia="en-US"/>
        </w:rPr>
      </w:pPr>
      <w:r>
        <w:rPr>
          <w:noProof/>
          <w:lang w:eastAsia="en-US"/>
        </w:rPr>
        <w:br w:type="page"/>
      </w:r>
    </w:p>
    <w:p w14:paraId="427BE63A" w14:textId="3370DC91" w:rsidR="008151E5" w:rsidRDefault="008151E5" w:rsidP="008151E5">
      <w:pPr>
        <w:pStyle w:val="Heading2"/>
        <w:rPr>
          <w:noProof/>
          <w:lang w:eastAsia="en-US"/>
        </w:rPr>
      </w:pPr>
      <w:r>
        <w:rPr>
          <w:noProof/>
          <w:lang w:eastAsia="en-US"/>
        </w:rPr>
        <w:lastRenderedPageBreak/>
        <w:t>Methodology to develop the guidance</w:t>
      </w:r>
    </w:p>
    <w:p w14:paraId="3C3E2D11" w14:textId="77777777" w:rsidR="008151E5" w:rsidRDefault="008151E5" w:rsidP="001E1FE4">
      <w:pPr>
        <w:pStyle w:val="Heading3"/>
        <w:spacing w:before="120"/>
      </w:pPr>
      <w:r>
        <w:t>Development timeline</w:t>
      </w:r>
    </w:p>
    <w:p w14:paraId="3853A684" w14:textId="70D6CEF6" w:rsidR="008151E5" w:rsidRDefault="008151E5" w:rsidP="008151E5">
      <w:pPr>
        <w:pStyle w:val="Normalfollowingheading"/>
        <w:rPr>
          <w:noProof/>
          <w:lang w:eastAsia="en-US"/>
        </w:rPr>
      </w:pPr>
      <w:r>
        <w:rPr>
          <w:noProof/>
          <w:lang w:eastAsia="en-US"/>
        </w:rPr>
        <w:t>This guidance was developed from November 2018 to January 2020.</w:t>
      </w:r>
    </w:p>
    <w:p w14:paraId="7C27D869" w14:textId="7BCEA88D" w:rsidR="008151E5" w:rsidRDefault="008151E5" w:rsidP="008151E5">
      <w:pPr>
        <w:pStyle w:val="Heading3"/>
      </w:pPr>
      <w:r>
        <w:t>Search method to review the evidence</w:t>
      </w:r>
    </w:p>
    <w:p w14:paraId="1FA638C5" w14:textId="273186A8" w:rsidR="008151E5" w:rsidRPr="008151E5" w:rsidRDefault="008151E5" w:rsidP="008151E5">
      <w:pPr>
        <w:pStyle w:val="Bullet1"/>
      </w:pPr>
      <w:r w:rsidRPr="008151E5">
        <w:t>Expert clinicians completed a search and review of the literature</w:t>
      </w:r>
      <w:r w:rsidR="001E1FE4">
        <w:t>.</w:t>
      </w:r>
    </w:p>
    <w:p w14:paraId="46DCA486" w14:textId="54C43EF0" w:rsidR="008151E5" w:rsidRPr="008151E5" w:rsidRDefault="001E1FE4" w:rsidP="008151E5">
      <w:pPr>
        <w:pStyle w:val="Bullet1"/>
      </w:pPr>
      <w:r>
        <w:t>K</w:t>
      </w:r>
      <w:r w:rsidR="008151E5" w:rsidRPr="008151E5">
        <w:t>ey literature w</w:t>
      </w:r>
      <w:r>
        <w:t xml:space="preserve">as summarised </w:t>
      </w:r>
      <w:r w:rsidR="008151E5" w:rsidRPr="008151E5">
        <w:t>and shared with the group to ensure consensus and saturation of evidence</w:t>
      </w:r>
      <w:r>
        <w:t>.</w:t>
      </w:r>
    </w:p>
    <w:p w14:paraId="19A0830C" w14:textId="77777777" w:rsidR="008151E5" w:rsidRDefault="008151E5" w:rsidP="008151E5">
      <w:pPr>
        <w:pStyle w:val="Heading3"/>
      </w:pPr>
      <w:r>
        <w:t>Sources of evidence</w:t>
      </w:r>
    </w:p>
    <w:p w14:paraId="3DD01915" w14:textId="07AF565B" w:rsidR="008151E5" w:rsidRDefault="008151E5" w:rsidP="008151E5">
      <w:pPr>
        <w:pStyle w:val="Normalfollowingheading"/>
        <w:rPr>
          <w:noProof/>
          <w:lang w:eastAsia="en-US"/>
        </w:rPr>
      </w:pPr>
      <w:r>
        <w:rPr>
          <w:noProof/>
          <w:lang w:eastAsia="en-US"/>
        </w:rPr>
        <w:t>The strengths and limitations of the body of evidence reviewed are described in the guideline text and areas of uncertainty are acknowledged</w:t>
      </w:r>
      <w:r w:rsidR="001E1FE4">
        <w:rPr>
          <w:noProof/>
          <w:lang w:eastAsia="en-US"/>
        </w:rPr>
        <w:t>.</w:t>
      </w:r>
    </w:p>
    <w:p w14:paraId="735F1D88" w14:textId="77777777" w:rsidR="008151E5" w:rsidRDefault="008151E5" w:rsidP="008151E5">
      <w:pPr>
        <w:pStyle w:val="Heading3"/>
      </w:pPr>
      <w:r>
        <w:t xml:space="preserve">Referencing </w:t>
      </w:r>
    </w:p>
    <w:p w14:paraId="22FCE19F" w14:textId="6C909A60" w:rsidR="008151E5" w:rsidRDefault="008151E5" w:rsidP="008151E5">
      <w:pPr>
        <w:pStyle w:val="Normalfollowingheading"/>
        <w:rPr>
          <w:noProof/>
          <w:lang w:eastAsia="en-US"/>
        </w:rPr>
      </w:pPr>
      <w:r>
        <w:rPr>
          <w:noProof/>
          <w:lang w:eastAsia="en-US"/>
        </w:rPr>
        <w:t>Modified Vancouver style with superscript</w:t>
      </w:r>
      <w:r w:rsidR="001E1FE4">
        <w:rPr>
          <w:noProof/>
          <w:lang w:eastAsia="en-US"/>
        </w:rPr>
        <w:t>.</w:t>
      </w:r>
    </w:p>
    <w:p w14:paraId="5A1573B5" w14:textId="77777777" w:rsidR="008151E5" w:rsidRDefault="008151E5" w:rsidP="008151E5">
      <w:pPr>
        <w:pStyle w:val="Heading2"/>
        <w:rPr>
          <w:noProof/>
          <w:lang w:eastAsia="en-US"/>
        </w:rPr>
      </w:pPr>
      <w:r>
        <w:rPr>
          <w:noProof/>
          <w:lang w:eastAsia="en-US"/>
        </w:rPr>
        <w:t>Reaching consensus</w:t>
      </w:r>
    </w:p>
    <w:p w14:paraId="6D032A59" w14:textId="027F535C" w:rsidR="008151E5" w:rsidRDefault="008151E5" w:rsidP="008151E5">
      <w:pPr>
        <w:pStyle w:val="Normalfollowingheading"/>
        <w:rPr>
          <w:noProof/>
          <w:lang w:eastAsia="en-US"/>
        </w:rPr>
      </w:pPr>
      <w:r>
        <w:rPr>
          <w:noProof/>
          <w:lang w:eastAsia="en-US"/>
        </w:rPr>
        <w:t>Consensus was reached through a variety of techniques including aphinity diagrams that grouped themes and review of guidance versions until saturation of feedback was reached.</w:t>
      </w:r>
    </w:p>
    <w:p w14:paraId="2D7C8235" w14:textId="43369A18" w:rsidR="008151E5" w:rsidRDefault="008151E5" w:rsidP="008151E5">
      <w:pPr>
        <w:rPr>
          <w:noProof/>
          <w:lang w:eastAsia="en-US"/>
        </w:rPr>
      </w:pPr>
      <w:r>
        <w:rPr>
          <w:noProof/>
          <w:lang w:eastAsia="en-US"/>
        </w:rPr>
        <w:t>Feedback collected throughout the development and consultation was shared with the time limited working group members and/or the commissioning and endorsing partners.</w:t>
      </w:r>
    </w:p>
    <w:p w14:paraId="1C9BF80F" w14:textId="2FD41877" w:rsidR="008151E5" w:rsidRDefault="008151E5" w:rsidP="008151E5">
      <w:pPr>
        <w:pStyle w:val="Heading2"/>
        <w:rPr>
          <w:noProof/>
          <w:lang w:eastAsia="en-US"/>
        </w:rPr>
      </w:pPr>
      <w:r w:rsidRPr="00701E35">
        <w:rPr>
          <w:noProof/>
          <w:lang w:eastAsia="en-US"/>
        </w:rPr>
        <w:t>Consultation</w:t>
      </w:r>
    </w:p>
    <w:p w14:paraId="268811E5" w14:textId="081ABD34" w:rsidR="008151E5" w:rsidRDefault="001E1FE4" w:rsidP="008151E5">
      <w:pPr>
        <w:pStyle w:val="Normalfollowingheading"/>
        <w:rPr>
          <w:noProof/>
          <w:lang w:eastAsia="en-US"/>
        </w:rPr>
      </w:pPr>
      <w:r>
        <w:rPr>
          <w:noProof/>
          <w:lang w:eastAsia="en-US"/>
        </w:rPr>
        <w:t>After</w:t>
      </w:r>
      <w:r w:rsidR="008151E5">
        <w:rPr>
          <w:noProof/>
          <w:lang w:eastAsia="en-US"/>
        </w:rPr>
        <w:t xml:space="preserve"> the expert working group </w:t>
      </w:r>
      <w:r>
        <w:rPr>
          <w:noProof/>
          <w:lang w:eastAsia="en-US"/>
        </w:rPr>
        <w:t>developed</w:t>
      </w:r>
      <w:r w:rsidR="008151E5">
        <w:rPr>
          <w:noProof/>
          <w:lang w:eastAsia="en-US"/>
        </w:rPr>
        <w:t xml:space="preserve"> a draft document, </w:t>
      </w:r>
      <w:r>
        <w:rPr>
          <w:noProof/>
          <w:lang w:eastAsia="en-US"/>
        </w:rPr>
        <w:t xml:space="preserve">we extended </w:t>
      </w:r>
      <w:r w:rsidR="008151E5">
        <w:rPr>
          <w:noProof/>
          <w:lang w:eastAsia="en-US"/>
        </w:rPr>
        <w:t xml:space="preserve">an invitation to directors and senior leaders of palliative care services in Victoria to comment on the guidance. </w:t>
      </w:r>
      <w:r>
        <w:rPr>
          <w:noProof/>
          <w:lang w:eastAsia="en-US"/>
        </w:rPr>
        <w:t>As the c</w:t>
      </w:r>
      <w:r w:rsidR="008151E5">
        <w:rPr>
          <w:noProof/>
          <w:lang w:eastAsia="en-US"/>
        </w:rPr>
        <w:t xml:space="preserve">ommissioning body, </w:t>
      </w:r>
      <w:r>
        <w:rPr>
          <w:noProof/>
          <w:lang w:eastAsia="en-US"/>
        </w:rPr>
        <w:t>DHHS</w:t>
      </w:r>
      <w:r w:rsidR="008151E5">
        <w:rPr>
          <w:noProof/>
          <w:lang w:eastAsia="en-US"/>
        </w:rPr>
        <w:t xml:space="preserve"> also provided comment at this point.</w:t>
      </w:r>
    </w:p>
    <w:p w14:paraId="4D234BBE" w14:textId="67929EC3" w:rsidR="008151E5" w:rsidRDefault="008151E5" w:rsidP="001E1FE4">
      <w:pPr>
        <w:rPr>
          <w:noProof/>
        </w:rPr>
      </w:pPr>
      <w:r>
        <w:rPr>
          <w:noProof/>
        </w:rPr>
        <w:t xml:space="preserve">An event was held on </w:t>
      </w:r>
      <w:r w:rsidR="001E1FE4">
        <w:t xml:space="preserve">16 </w:t>
      </w:r>
      <w:r>
        <w:rPr>
          <w:noProof/>
        </w:rPr>
        <w:t xml:space="preserve">October </w:t>
      </w:r>
      <w:r w:rsidR="00701E35">
        <w:rPr>
          <w:noProof/>
        </w:rPr>
        <w:t xml:space="preserve">2019 </w:t>
      </w:r>
      <w:r>
        <w:rPr>
          <w:noProof/>
        </w:rPr>
        <w:t>to allow for group discussion and consensus using the following key questions</w:t>
      </w:r>
      <w:r w:rsidR="001E1FE4">
        <w:rPr>
          <w:noProof/>
        </w:rPr>
        <w:t>:</w:t>
      </w:r>
    </w:p>
    <w:p w14:paraId="5E1D91C9" w14:textId="5CAEDB67" w:rsidR="008151E5" w:rsidRDefault="008151E5" w:rsidP="008151E5">
      <w:pPr>
        <w:pStyle w:val="Bullet1"/>
      </w:pPr>
      <w:r>
        <w:t>Is the document easy to understand?</w:t>
      </w:r>
    </w:p>
    <w:p w14:paraId="2F6EBD16" w14:textId="6D95DAD2" w:rsidR="008151E5" w:rsidRDefault="008151E5" w:rsidP="008151E5">
      <w:pPr>
        <w:pStyle w:val="Bullet1"/>
      </w:pPr>
      <w:r>
        <w:t>Does this guidance reflect what the evidence says about treatment and care?</w:t>
      </w:r>
    </w:p>
    <w:p w14:paraId="4658D281" w14:textId="656124B9" w:rsidR="008151E5" w:rsidRDefault="008151E5" w:rsidP="008151E5">
      <w:pPr>
        <w:pStyle w:val="Bullet1"/>
      </w:pPr>
      <w:r>
        <w:t>Do you know about any important evidence this guidance has not taken into account?</w:t>
      </w:r>
    </w:p>
    <w:p w14:paraId="58906CB6" w14:textId="30C12C1F" w:rsidR="008151E5" w:rsidRDefault="008151E5" w:rsidP="008151E5">
      <w:pPr>
        <w:pStyle w:val="Bullet1"/>
      </w:pPr>
      <w:r>
        <w:t>Does this guidance take into account patient and clinician needs for information and support specific to the topic?</w:t>
      </w:r>
    </w:p>
    <w:p w14:paraId="37A777C1" w14:textId="3EEF6E57" w:rsidR="008151E5" w:rsidRDefault="008151E5" w:rsidP="008151E5">
      <w:pPr>
        <w:pStyle w:val="Bullet1"/>
      </w:pPr>
      <w:r>
        <w:t>Is the wording respectful to patients and clinicians?</w:t>
      </w:r>
    </w:p>
    <w:p w14:paraId="2EAA07B2" w14:textId="5908774E" w:rsidR="008151E5" w:rsidRDefault="008151E5" w:rsidP="008151E5">
      <w:pPr>
        <w:pStyle w:val="Bullet1"/>
      </w:pPr>
      <w:r>
        <w:t>Does the wording reflect the importance of partnerships between healthcare professionals and patients?</w:t>
      </w:r>
    </w:p>
    <w:p w14:paraId="71535D42" w14:textId="262D9F78" w:rsidR="001E1FE4" w:rsidRDefault="001E1FE4">
      <w:pPr>
        <w:rPr>
          <w:noProof/>
          <w:lang w:eastAsia="en-US"/>
        </w:rPr>
      </w:pPr>
      <w:r>
        <w:rPr>
          <w:noProof/>
          <w:lang w:eastAsia="en-US"/>
        </w:rPr>
        <w:t>A</w:t>
      </w:r>
      <w:r w:rsidR="008151E5">
        <w:rPr>
          <w:noProof/>
          <w:lang w:eastAsia="en-US"/>
        </w:rPr>
        <w:t xml:space="preserve"> final copy was </w:t>
      </w:r>
      <w:r>
        <w:rPr>
          <w:noProof/>
          <w:lang w:eastAsia="en-US"/>
        </w:rPr>
        <w:t xml:space="preserve">then </w:t>
      </w:r>
      <w:r w:rsidR="008151E5">
        <w:rPr>
          <w:noProof/>
          <w:lang w:eastAsia="en-US"/>
        </w:rPr>
        <w:t>produced, and attendees were given an additional two weeks to review.</w:t>
      </w:r>
      <w:r>
        <w:rPr>
          <w:noProof/>
          <w:lang w:eastAsia="en-US"/>
        </w:rPr>
        <w:br w:type="page"/>
      </w:r>
    </w:p>
    <w:p w14:paraId="3AD0AA9D" w14:textId="77777777" w:rsidR="008151E5" w:rsidRDefault="008151E5" w:rsidP="008151E5">
      <w:pPr>
        <w:pStyle w:val="Heading3"/>
      </w:pPr>
      <w:r>
        <w:lastRenderedPageBreak/>
        <w:t>Response to feedback</w:t>
      </w:r>
    </w:p>
    <w:p w14:paraId="7446D457" w14:textId="51A2E93C" w:rsidR="008151E5" w:rsidRPr="000A4904" w:rsidRDefault="000A4904" w:rsidP="000A4904">
      <w:pPr>
        <w:pStyle w:val="Tablechartdiagramheading"/>
        <w:spacing w:before="120" w:after="120"/>
        <w:rPr>
          <w:rFonts w:ascii="VIC SemiBold" w:hAnsi="VIC SemiBold"/>
          <w:b w:val="0"/>
          <w:bCs w:val="0"/>
          <w:noProof/>
          <w:lang w:eastAsia="en-US"/>
        </w:rPr>
      </w:pPr>
      <w:r w:rsidRPr="008151E5">
        <w:rPr>
          <w:rFonts w:ascii="VIC SemiBold" w:hAnsi="VIC SemiBold"/>
          <w:b w:val="0"/>
          <w:bCs w:val="0"/>
          <w:noProof/>
          <w:lang w:eastAsia="en-US"/>
        </w:rPr>
        <w:t xml:space="preserve">Table </w:t>
      </w:r>
      <w:r>
        <w:rPr>
          <w:rFonts w:ascii="VIC SemiBold" w:hAnsi="VIC SemiBold"/>
          <w:b w:val="0"/>
          <w:bCs w:val="0"/>
          <w:noProof/>
          <w:lang w:eastAsia="en-US"/>
        </w:rPr>
        <w:t>2:</w:t>
      </w:r>
      <w:r w:rsidRPr="008151E5">
        <w:rPr>
          <w:rFonts w:ascii="VIC SemiBold" w:hAnsi="VIC SemiBold"/>
          <w:b w:val="0"/>
          <w:bCs w:val="0"/>
          <w:noProof/>
          <w:lang w:eastAsia="en-US"/>
        </w:rPr>
        <w:t xml:space="preserve"> </w:t>
      </w:r>
      <w:r>
        <w:rPr>
          <w:rFonts w:ascii="VIC SemiBold" w:hAnsi="VIC SemiBold"/>
          <w:b w:val="0"/>
          <w:bCs w:val="0"/>
          <w:noProof/>
          <w:lang w:eastAsia="en-US"/>
        </w:rPr>
        <w:t>Feedback from consultation with experts</w:t>
      </w:r>
    </w:p>
    <w:tbl>
      <w:tblPr>
        <w:tblStyle w:val="TableGrid"/>
        <w:tblW w:w="5000" w:type="pct"/>
        <w:tblLook w:val="04A0" w:firstRow="1" w:lastRow="0" w:firstColumn="1" w:lastColumn="0" w:noHBand="0" w:noVBand="1"/>
      </w:tblPr>
      <w:tblGrid>
        <w:gridCol w:w="3518"/>
        <w:gridCol w:w="6686"/>
      </w:tblGrid>
      <w:tr w:rsidR="008151E5" w:rsidRPr="001E1FE4" w14:paraId="0C470433" w14:textId="77777777" w:rsidTr="00C15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Pr>
          <w:p w14:paraId="674370BE" w14:textId="77777777" w:rsidR="008151E5" w:rsidRPr="001E1FE4" w:rsidRDefault="008151E5" w:rsidP="00D55970">
            <w:pPr>
              <w:pStyle w:val="Normalfollowingheading"/>
              <w:spacing w:before="60" w:after="60" w:line="240" w:lineRule="atLeast"/>
              <w:rPr>
                <w:rFonts w:ascii="VIC SemiBold" w:hAnsi="VIC SemiBold"/>
                <w:b w:val="0"/>
                <w:bCs/>
                <w:sz w:val="18"/>
                <w:szCs w:val="18"/>
              </w:rPr>
            </w:pPr>
            <w:r w:rsidRPr="001E1FE4">
              <w:rPr>
                <w:rFonts w:ascii="VIC SemiBold" w:hAnsi="VIC SemiBold"/>
                <w:b w:val="0"/>
                <w:bCs/>
                <w:sz w:val="18"/>
                <w:szCs w:val="18"/>
              </w:rPr>
              <w:t>Feedback theme</w:t>
            </w:r>
          </w:p>
        </w:tc>
        <w:tc>
          <w:tcPr>
            <w:tcW w:w="3276" w:type="pct"/>
          </w:tcPr>
          <w:p w14:paraId="214918BE" w14:textId="77777777" w:rsidR="008151E5" w:rsidRPr="001E1FE4" w:rsidRDefault="008151E5" w:rsidP="00D55970">
            <w:pPr>
              <w:pStyle w:val="Normalfollowingheading"/>
              <w:spacing w:before="60" w:after="60" w:line="240" w:lineRule="atLeast"/>
              <w:cnfStyle w:val="100000000000" w:firstRow="1" w:lastRow="0" w:firstColumn="0" w:lastColumn="0" w:oddVBand="0" w:evenVBand="0" w:oddHBand="0" w:evenHBand="0" w:firstRowFirstColumn="0" w:firstRowLastColumn="0" w:lastRowFirstColumn="0" w:lastRowLastColumn="0"/>
              <w:rPr>
                <w:rFonts w:ascii="VIC SemiBold" w:hAnsi="VIC SemiBold"/>
                <w:b w:val="0"/>
                <w:bCs/>
                <w:sz w:val="18"/>
                <w:szCs w:val="18"/>
              </w:rPr>
            </w:pPr>
            <w:r w:rsidRPr="001E1FE4">
              <w:rPr>
                <w:rFonts w:ascii="VIC SemiBold" w:hAnsi="VIC SemiBold"/>
                <w:b w:val="0"/>
                <w:bCs/>
                <w:sz w:val="18"/>
                <w:szCs w:val="18"/>
              </w:rPr>
              <w:t>Decision</w:t>
            </w:r>
          </w:p>
        </w:tc>
      </w:tr>
      <w:tr w:rsidR="008151E5" w:rsidRPr="001E1FE4" w14:paraId="3EAC37DF" w14:textId="77777777" w:rsidTr="00C15C52">
        <w:tc>
          <w:tcPr>
            <w:cnfStyle w:val="001000000000" w:firstRow="0" w:lastRow="0" w:firstColumn="1" w:lastColumn="0" w:oddVBand="0" w:evenVBand="0" w:oddHBand="0" w:evenHBand="0" w:firstRowFirstColumn="0" w:firstRowLastColumn="0" w:lastRowFirstColumn="0" w:lastRowLastColumn="0"/>
            <w:tcW w:w="1724" w:type="pct"/>
          </w:tcPr>
          <w:p w14:paraId="1B78BD78" w14:textId="311BC6D9" w:rsidR="008151E5" w:rsidRPr="001E1FE4" w:rsidRDefault="008151E5" w:rsidP="00D55970">
            <w:pPr>
              <w:pStyle w:val="Normalfollowingheading"/>
              <w:spacing w:before="60" w:line="240" w:lineRule="atLeast"/>
              <w:rPr>
                <w:rFonts w:ascii="VIC SemiBold" w:hAnsi="VIC SemiBold"/>
                <w:b w:val="0"/>
                <w:bCs/>
                <w:sz w:val="18"/>
                <w:szCs w:val="18"/>
              </w:rPr>
            </w:pPr>
            <w:r w:rsidRPr="001E1FE4">
              <w:rPr>
                <w:rFonts w:ascii="VIC SemiBold" w:hAnsi="VIC SemiBold"/>
                <w:b w:val="0"/>
                <w:bCs/>
                <w:sz w:val="18"/>
                <w:szCs w:val="18"/>
              </w:rPr>
              <w:t>Use of an ethical framework to guide framework development</w:t>
            </w:r>
          </w:p>
        </w:tc>
        <w:tc>
          <w:tcPr>
            <w:tcW w:w="3276" w:type="pct"/>
          </w:tcPr>
          <w:p w14:paraId="02096D21" w14:textId="7EE18078" w:rsidR="008151E5" w:rsidRPr="001E1FE4" w:rsidRDefault="008151E5" w:rsidP="00D55970">
            <w:pPr>
              <w:pStyle w:val="Normalfollowingheading"/>
              <w:spacing w:before="6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This guidance is adapted from the ANZ</w:t>
            </w:r>
            <w:r w:rsidR="00701E35">
              <w:rPr>
                <w:sz w:val="18"/>
                <w:szCs w:val="18"/>
              </w:rPr>
              <w:t>S</w:t>
            </w:r>
            <w:r w:rsidRPr="001E1FE4">
              <w:rPr>
                <w:sz w:val="18"/>
                <w:szCs w:val="18"/>
              </w:rPr>
              <w:t xml:space="preserve">PM guideline and </w:t>
            </w:r>
            <w:r w:rsidR="001E1FE4">
              <w:rPr>
                <w:sz w:val="18"/>
                <w:szCs w:val="18"/>
              </w:rPr>
              <w:t>its</w:t>
            </w:r>
            <w:r w:rsidRPr="001E1FE4">
              <w:rPr>
                <w:sz w:val="18"/>
                <w:szCs w:val="18"/>
              </w:rPr>
              <w:t xml:space="preserve"> specific ethical framing for palliative sedation therapy was supported by the experts consulted. An ethicist was a member of the working group and provided expertise in this area.</w:t>
            </w:r>
          </w:p>
        </w:tc>
      </w:tr>
      <w:tr w:rsidR="008151E5" w:rsidRPr="001E1FE4" w14:paraId="11A35262" w14:textId="77777777" w:rsidTr="00C15C52">
        <w:tc>
          <w:tcPr>
            <w:cnfStyle w:val="001000000000" w:firstRow="0" w:lastRow="0" w:firstColumn="1" w:lastColumn="0" w:oddVBand="0" w:evenVBand="0" w:oddHBand="0" w:evenHBand="0" w:firstRowFirstColumn="0" w:firstRowLastColumn="0" w:lastRowFirstColumn="0" w:lastRowLastColumn="0"/>
            <w:tcW w:w="1724" w:type="pct"/>
          </w:tcPr>
          <w:p w14:paraId="6FE83848" w14:textId="77777777" w:rsidR="008151E5" w:rsidRPr="001E1FE4" w:rsidRDefault="008151E5" w:rsidP="00D55970">
            <w:pPr>
              <w:pStyle w:val="Normalfollowingheading"/>
              <w:spacing w:before="60" w:line="240" w:lineRule="atLeast"/>
              <w:rPr>
                <w:rFonts w:ascii="VIC SemiBold" w:hAnsi="VIC SemiBold"/>
                <w:b w:val="0"/>
                <w:bCs/>
                <w:sz w:val="18"/>
                <w:szCs w:val="18"/>
              </w:rPr>
            </w:pPr>
            <w:r w:rsidRPr="001E1FE4">
              <w:rPr>
                <w:rFonts w:ascii="VIC SemiBold" w:hAnsi="VIC SemiBold"/>
                <w:b w:val="0"/>
                <w:bCs/>
                <w:sz w:val="18"/>
                <w:szCs w:val="18"/>
              </w:rPr>
              <w:t>Resourcing for palliative sedation therapy</w:t>
            </w:r>
          </w:p>
        </w:tc>
        <w:tc>
          <w:tcPr>
            <w:tcW w:w="3276" w:type="pct"/>
          </w:tcPr>
          <w:p w14:paraId="3AC423EF" w14:textId="01CFDF44" w:rsidR="008151E5" w:rsidRPr="001E1FE4" w:rsidRDefault="008151E5" w:rsidP="00D55970">
            <w:pPr>
              <w:pStyle w:val="Normalfollowingheading"/>
              <w:spacing w:before="6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Resourcing for palliative sedation therapy is out of scope for this guidance</w:t>
            </w:r>
            <w:r w:rsidR="001E1FE4">
              <w:rPr>
                <w:sz w:val="18"/>
                <w:szCs w:val="18"/>
              </w:rPr>
              <w:t>.</w:t>
            </w:r>
          </w:p>
        </w:tc>
      </w:tr>
      <w:tr w:rsidR="008151E5" w:rsidRPr="001E1FE4" w14:paraId="28F90A8F" w14:textId="77777777" w:rsidTr="00C15C52">
        <w:tc>
          <w:tcPr>
            <w:cnfStyle w:val="001000000000" w:firstRow="0" w:lastRow="0" w:firstColumn="1" w:lastColumn="0" w:oddVBand="0" w:evenVBand="0" w:oddHBand="0" w:evenHBand="0" w:firstRowFirstColumn="0" w:firstRowLastColumn="0" w:lastRowFirstColumn="0" w:lastRowLastColumn="0"/>
            <w:tcW w:w="1724" w:type="pct"/>
          </w:tcPr>
          <w:p w14:paraId="419C22D0" w14:textId="77777777" w:rsidR="008151E5" w:rsidRPr="001E1FE4" w:rsidRDefault="008151E5" w:rsidP="00D55970">
            <w:pPr>
              <w:pStyle w:val="Normalfollowingheading"/>
              <w:spacing w:before="60" w:line="240" w:lineRule="atLeast"/>
              <w:rPr>
                <w:rFonts w:ascii="VIC SemiBold" w:hAnsi="VIC SemiBold"/>
                <w:b w:val="0"/>
                <w:bCs/>
                <w:sz w:val="18"/>
                <w:szCs w:val="18"/>
              </w:rPr>
            </w:pPr>
            <w:r w:rsidRPr="001E1FE4">
              <w:rPr>
                <w:rFonts w:ascii="VIC SemiBold" w:hAnsi="VIC SemiBold"/>
                <w:b w:val="0"/>
                <w:bCs/>
                <w:sz w:val="18"/>
                <w:szCs w:val="18"/>
              </w:rPr>
              <w:t>Monitoring rates of sedation</w:t>
            </w:r>
          </w:p>
        </w:tc>
        <w:tc>
          <w:tcPr>
            <w:tcW w:w="3276" w:type="pct"/>
          </w:tcPr>
          <w:p w14:paraId="1DF05BA8" w14:textId="097C04CC" w:rsidR="008151E5" w:rsidRPr="001E1FE4" w:rsidRDefault="008151E5" w:rsidP="00D55970">
            <w:pPr>
              <w:pStyle w:val="Normalfollowingheading"/>
              <w:spacing w:before="6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 xml:space="preserve">As reported in the </w:t>
            </w:r>
            <w:r w:rsidRPr="001E1FE4">
              <w:rPr>
                <w:i/>
                <w:sz w:val="18"/>
                <w:szCs w:val="18"/>
              </w:rPr>
              <w:t xml:space="preserve">Parliamentary Inquiry into </w:t>
            </w:r>
            <w:r w:rsidR="001E1FE4">
              <w:rPr>
                <w:i/>
                <w:sz w:val="18"/>
                <w:szCs w:val="18"/>
              </w:rPr>
              <w:t>e</w:t>
            </w:r>
            <w:r w:rsidRPr="001E1FE4">
              <w:rPr>
                <w:i/>
                <w:sz w:val="18"/>
                <w:szCs w:val="18"/>
              </w:rPr>
              <w:t xml:space="preserve">nd of </w:t>
            </w:r>
            <w:r w:rsidR="001E1FE4">
              <w:rPr>
                <w:i/>
                <w:sz w:val="18"/>
                <w:szCs w:val="18"/>
              </w:rPr>
              <w:t>l</w:t>
            </w:r>
            <w:r w:rsidRPr="001E1FE4">
              <w:rPr>
                <w:i/>
                <w:sz w:val="18"/>
                <w:szCs w:val="18"/>
              </w:rPr>
              <w:t xml:space="preserve">ife </w:t>
            </w:r>
            <w:r w:rsidR="001E1FE4">
              <w:rPr>
                <w:i/>
                <w:sz w:val="18"/>
                <w:szCs w:val="18"/>
              </w:rPr>
              <w:t>c</w:t>
            </w:r>
            <w:r w:rsidRPr="001E1FE4">
              <w:rPr>
                <w:i/>
                <w:sz w:val="18"/>
                <w:szCs w:val="18"/>
              </w:rPr>
              <w:t xml:space="preserve">hoices, </w:t>
            </w:r>
            <w:r w:rsidRPr="001E1FE4">
              <w:rPr>
                <w:sz w:val="18"/>
                <w:szCs w:val="18"/>
              </w:rPr>
              <w:t>measuring rates of palliative sedation is not supported.</w:t>
            </w:r>
          </w:p>
        </w:tc>
      </w:tr>
      <w:tr w:rsidR="008151E5" w:rsidRPr="001E1FE4" w14:paraId="760299C7" w14:textId="77777777" w:rsidTr="00C15C52">
        <w:tc>
          <w:tcPr>
            <w:cnfStyle w:val="001000000000" w:firstRow="0" w:lastRow="0" w:firstColumn="1" w:lastColumn="0" w:oddVBand="0" w:evenVBand="0" w:oddHBand="0" w:evenHBand="0" w:firstRowFirstColumn="0" w:firstRowLastColumn="0" w:lastRowFirstColumn="0" w:lastRowLastColumn="0"/>
            <w:tcW w:w="1724" w:type="pct"/>
          </w:tcPr>
          <w:p w14:paraId="7516D135" w14:textId="77777777" w:rsidR="008151E5" w:rsidRPr="001E1FE4" w:rsidRDefault="008151E5" w:rsidP="00D55970">
            <w:pPr>
              <w:pStyle w:val="Normalfollowingheading"/>
              <w:spacing w:before="60" w:line="240" w:lineRule="atLeast"/>
              <w:rPr>
                <w:rFonts w:ascii="VIC SemiBold" w:hAnsi="VIC SemiBold"/>
                <w:b w:val="0"/>
                <w:bCs/>
                <w:sz w:val="18"/>
                <w:szCs w:val="18"/>
              </w:rPr>
            </w:pPr>
            <w:r w:rsidRPr="001E1FE4">
              <w:rPr>
                <w:rFonts w:ascii="VIC SemiBold" w:hAnsi="VIC SemiBold"/>
                <w:b w:val="0"/>
                <w:bCs/>
                <w:sz w:val="18"/>
                <w:szCs w:val="18"/>
              </w:rPr>
              <w:t>Palliative sedation therapy is a specialist skill</w:t>
            </w:r>
          </w:p>
        </w:tc>
        <w:tc>
          <w:tcPr>
            <w:tcW w:w="3276" w:type="pct"/>
          </w:tcPr>
          <w:p w14:paraId="0764E67A" w14:textId="2C0A6F6F" w:rsidR="008151E5" w:rsidRPr="001E1FE4" w:rsidRDefault="008151E5" w:rsidP="00D55970">
            <w:pPr>
              <w:pStyle w:val="Normalfollowingheading"/>
              <w:spacing w:before="6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The ANZ</w:t>
            </w:r>
            <w:r w:rsidR="00701E35">
              <w:rPr>
                <w:sz w:val="18"/>
                <w:szCs w:val="18"/>
              </w:rPr>
              <w:t>S</w:t>
            </w:r>
            <w:r w:rsidRPr="001E1FE4">
              <w:rPr>
                <w:sz w:val="18"/>
                <w:szCs w:val="18"/>
              </w:rPr>
              <w:t>PM guideline supports palliative sedation therapy being a specialist skill. Consultation with a wide range of experts including members of the multidisciplinary team and sector leaders supported the statements used in this guidance around specialisation.</w:t>
            </w:r>
          </w:p>
          <w:p w14:paraId="44EA927D" w14:textId="315E11B4" w:rsidR="008151E5" w:rsidRPr="001E1FE4" w:rsidRDefault="008151E5" w:rsidP="00D55970">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 xml:space="preserve">Refer to </w:t>
            </w:r>
            <w:r w:rsidR="001E1FE4">
              <w:rPr>
                <w:sz w:val="18"/>
                <w:szCs w:val="18"/>
              </w:rPr>
              <w:t>‘</w:t>
            </w:r>
            <w:r w:rsidRPr="001E1FE4">
              <w:rPr>
                <w:sz w:val="18"/>
                <w:szCs w:val="18"/>
              </w:rPr>
              <w:t xml:space="preserve">Scope of </w:t>
            </w:r>
            <w:r w:rsidR="001E1FE4">
              <w:rPr>
                <w:sz w:val="18"/>
                <w:szCs w:val="18"/>
              </w:rPr>
              <w:t>p</w:t>
            </w:r>
            <w:r w:rsidRPr="001E1FE4">
              <w:rPr>
                <w:sz w:val="18"/>
                <w:szCs w:val="18"/>
              </w:rPr>
              <w:t>ractice</w:t>
            </w:r>
            <w:r w:rsidR="001E1FE4">
              <w:rPr>
                <w:sz w:val="18"/>
                <w:szCs w:val="18"/>
              </w:rPr>
              <w:t>’</w:t>
            </w:r>
            <w:r w:rsidRPr="001E1FE4">
              <w:rPr>
                <w:sz w:val="18"/>
                <w:szCs w:val="18"/>
              </w:rPr>
              <w:t xml:space="preserve"> in</w:t>
            </w:r>
            <w:r w:rsidR="001E1FE4">
              <w:rPr>
                <w:sz w:val="18"/>
                <w:szCs w:val="18"/>
              </w:rPr>
              <w:t xml:space="preserve"> the</w:t>
            </w:r>
            <w:r w:rsidRPr="001E1FE4">
              <w:rPr>
                <w:sz w:val="18"/>
                <w:szCs w:val="18"/>
              </w:rPr>
              <w:t xml:space="preserve"> guidance document</w:t>
            </w:r>
            <w:r w:rsidR="0041352A">
              <w:rPr>
                <w:sz w:val="18"/>
                <w:szCs w:val="18"/>
              </w:rPr>
              <w:t>.</w:t>
            </w:r>
          </w:p>
        </w:tc>
      </w:tr>
      <w:tr w:rsidR="008151E5" w:rsidRPr="001E1FE4" w14:paraId="01A458EC" w14:textId="77777777" w:rsidTr="00C15C52">
        <w:tc>
          <w:tcPr>
            <w:cnfStyle w:val="001000000000" w:firstRow="0" w:lastRow="0" w:firstColumn="1" w:lastColumn="0" w:oddVBand="0" w:evenVBand="0" w:oddHBand="0" w:evenHBand="0" w:firstRowFirstColumn="0" w:firstRowLastColumn="0" w:lastRowFirstColumn="0" w:lastRowLastColumn="0"/>
            <w:tcW w:w="1724" w:type="pct"/>
          </w:tcPr>
          <w:p w14:paraId="5CD2555C" w14:textId="77777777" w:rsidR="008151E5" w:rsidRPr="001E1FE4" w:rsidRDefault="008151E5" w:rsidP="00D55970">
            <w:pPr>
              <w:pStyle w:val="Normalfollowingheading"/>
              <w:spacing w:before="60" w:line="240" w:lineRule="atLeast"/>
              <w:rPr>
                <w:rFonts w:ascii="VIC SemiBold" w:hAnsi="VIC SemiBold"/>
                <w:b w:val="0"/>
                <w:bCs/>
                <w:sz w:val="18"/>
                <w:szCs w:val="18"/>
              </w:rPr>
            </w:pPr>
            <w:r w:rsidRPr="001E1FE4">
              <w:rPr>
                <w:rFonts w:ascii="VIC SemiBold" w:hAnsi="VIC SemiBold"/>
                <w:b w:val="0"/>
                <w:bCs/>
                <w:sz w:val="18"/>
                <w:szCs w:val="18"/>
              </w:rPr>
              <w:t>Distinguishing voluntary assisted dying and palliative sedation therapy</w:t>
            </w:r>
          </w:p>
        </w:tc>
        <w:tc>
          <w:tcPr>
            <w:tcW w:w="3276" w:type="pct"/>
          </w:tcPr>
          <w:p w14:paraId="0C21A42F" w14:textId="56C5B3C8" w:rsidR="008151E5" w:rsidRPr="001E1FE4" w:rsidRDefault="008151E5" w:rsidP="00D55970">
            <w:pPr>
              <w:pStyle w:val="Normalfollowingheading"/>
              <w:spacing w:before="6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Consultation with a wide range of experts including members of the multidisciplinary team, sector leaders and</w:t>
            </w:r>
            <w:r w:rsidR="001E1FE4">
              <w:rPr>
                <w:sz w:val="18"/>
                <w:szCs w:val="18"/>
              </w:rPr>
              <w:t xml:space="preserve"> the</w:t>
            </w:r>
            <w:r w:rsidRPr="001E1FE4">
              <w:rPr>
                <w:sz w:val="18"/>
                <w:szCs w:val="18"/>
              </w:rPr>
              <w:t xml:space="preserve"> DHHS</w:t>
            </w:r>
            <w:r w:rsidR="001E1FE4">
              <w:rPr>
                <w:sz w:val="18"/>
                <w:szCs w:val="18"/>
              </w:rPr>
              <w:t xml:space="preserve"> </w:t>
            </w:r>
            <w:r w:rsidRPr="001E1FE4">
              <w:rPr>
                <w:sz w:val="18"/>
                <w:szCs w:val="18"/>
              </w:rPr>
              <w:t>Voluntary Assisted Dying unit supported the statements used in this guidance</w:t>
            </w:r>
            <w:r w:rsidR="001E1FE4">
              <w:rPr>
                <w:sz w:val="18"/>
                <w:szCs w:val="18"/>
              </w:rPr>
              <w:t>.</w:t>
            </w:r>
          </w:p>
        </w:tc>
      </w:tr>
      <w:tr w:rsidR="008151E5" w:rsidRPr="001E1FE4" w14:paraId="7D6EAD16" w14:textId="77777777" w:rsidTr="00C15C52">
        <w:tc>
          <w:tcPr>
            <w:cnfStyle w:val="001000000000" w:firstRow="0" w:lastRow="0" w:firstColumn="1" w:lastColumn="0" w:oddVBand="0" w:evenVBand="0" w:oddHBand="0" w:evenHBand="0" w:firstRowFirstColumn="0" w:firstRowLastColumn="0" w:lastRowFirstColumn="0" w:lastRowLastColumn="0"/>
            <w:tcW w:w="1724" w:type="pct"/>
          </w:tcPr>
          <w:p w14:paraId="18F411E8" w14:textId="77777777" w:rsidR="008151E5" w:rsidRPr="001E1FE4" w:rsidRDefault="008151E5" w:rsidP="00D55970">
            <w:pPr>
              <w:pStyle w:val="Normalfollowingheading"/>
              <w:spacing w:before="60" w:line="240" w:lineRule="atLeast"/>
              <w:rPr>
                <w:rFonts w:ascii="VIC SemiBold" w:hAnsi="VIC SemiBold"/>
                <w:b w:val="0"/>
                <w:bCs/>
                <w:sz w:val="18"/>
                <w:szCs w:val="18"/>
              </w:rPr>
            </w:pPr>
            <w:r w:rsidRPr="001E1FE4">
              <w:rPr>
                <w:rFonts w:ascii="VIC SemiBold" w:hAnsi="VIC SemiBold"/>
                <w:b w:val="0"/>
                <w:bCs/>
                <w:sz w:val="18"/>
                <w:szCs w:val="18"/>
              </w:rPr>
              <w:t>Distinguishing terminal restlessness and palliative sedation therapy</w:t>
            </w:r>
          </w:p>
        </w:tc>
        <w:tc>
          <w:tcPr>
            <w:tcW w:w="3276" w:type="pct"/>
          </w:tcPr>
          <w:p w14:paraId="665F9F49" w14:textId="1E730B2F" w:rsidR="008151E5" w:rsidRPr="001E1FE4" w:rsidRDefault="008151E5" w:rsidP="00D55970">
            <w:pPr>
              <w:pStyle w:val="Normalfollowingheading"/>
              <w:spacing w:before="6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Consultation with a wide range of experts including members of the multidisciplinary team and sector leaders supported the statements used in th</w:t>
            </w:r>
            <w:r w:rsidR="001E1FE4">
              <w:rPr>
                <w:sz w:val="18"/>
                <w:szCs w:val="18"/>
              </w:rPr>
              <w:t>e</w:t>
            </w:r>
            <w:r w:rsidRPr="001E1FE4">
              <w:rPr>
                <w:sz w:val="18"/>
                <w:szCs w:val="18"/>
              </w:rPr>
              <w:t xml:space="preserve"> guidance</w:t>
            </w:r>
            <w:r w:rsidR="001E1FE4">
              <w:rPr>
                <w:sz w:val="18"/>
                <w:szCs w:val="18"/>
              </w:rPr>
              <w:t>.</w:t>
            </w:r>
          </w:p>
        </w:tc>
      </w:tr>
      <w:tr w:rsidR="008151E5" w:rsidRPr="001E1FE4" w14:paraId="667BC136" w14:textId="77777777" w:rsidTr="00C15C52">
        <w:tc>
          <w:tcPr>
            <w:cnfStyle w:val="001000000000" w:firstRow="0" w:lastRow="0" w:firstColumn="1" w:lastColumn="0" w:oddVBand="0" w:evenVBand="0" w:oddHBand="0" w:evenHBand="0" w:firstRowFirstColumn="0" w:firstRowLastColumn="0" w:lastRowFirstColumn="0" w:lastRowLastColumn="0"/>
            <w:tcW w:w="1724" w:type="pct"/>
          </w:tcPr>
          <w:p w14:paraId="19F32D5D" w14:textId="77777777" w:rsidR="008151E5" w:rsidRPr="001E1FE4" w:rsidRDefault="008151E5" w:rsidP="00D55970">
            <w:pPr>
              <w:pStyle w:val="Normalfollowingheading"/>
              <w:spacing w:before="60" w:line="240" w:lineRule="atLeast"/>
              <w:rPr>
                <w:rFonts w:ascii="VIC SemiBold" w:hAnsi="VIC SemiBold"/>
                <w:b w:val="0"/>
                <w:bCs/>
                <w:sz w:val="18"/>
                <w:szCs w:val="18"/>
              </w:rPr>
            </w:pPr>
            <w:r w:rsidRPr="001E1FE4">
              <w:rPr>
                <w:rFonts w:ascii="VIC SemiBold" w:hAnsi="VIC SemiBold"/>
                <w:b w:val="0"/>
                <w:bCs/>
                <w:sz w:val="18"/>
                <w:szCs w:val="18"/>
              </w:rPr>
              <w:t>Medication dosage and titration</w:t>
            </w:r>
          </w:p>
        </w:tc>
        <w:tc>
          <w:tcPr>
            <w:tcW w:w="3276" w:type="pct"/>
          </w:tcPr>
          <w:p w14:paraId="212012BE" w14:textId="5E400C46" w:rsidR="008151E5" w:rsidRPr="001E1FE4" w:rsidRDefault="008151E5" w:rsidP="00D55970">
            <w:pPr>
              <w:pStyle w:val="Normalfollowingheading"/>
              <w:spacing w:before="6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Consultation with a wide range of experts including members of the multidisciplinary team (including pharmacy) and sector leaders supported the statements used in th</w:t>
            </w:r>
            <w:r w:rsidR="000A4904">
              <w:rPr>
                <w:sz w:val="18"/>
                <w:szCs w:val="18"/>
              </w:rPr>
              <w:t xml:space="preserve">e </w:t>
            </w:r>
            <w:r w:rsidRPr="001E1FE4">
              <w:rPr>
                <w:sz w:val="18"/>
                <w:szCs w:val="18"/>
              </w:rPr>
              <w:t>guidance</w:t>
            </w:r>
            <w:r w:rsidR="000A4904">
              <w:rPr>
                <w:sz w:val="18"/>
                <w:szCs w:val="18"/>
              </w:rPr>
              <w:t>.</w:t>
            </w:r>
          </w:p>
        </w:tc>
      </w:tr>
      <w:tr w:rsidR="008151E5" w:rsidRPr="001E1FE4" w14:paraId="404C9919" w14:textId="77777777" w:rsidTr="00C15C52">
        <w:tc>
          <w:tcPr>
            <w:cnfStyle w:val="001000000000" w:firstRow="0" w:lastRow="0" w:firstColumn="1" w:lastColumn="0" w:oddVBand="0" w:evenVBand="0" w:oddHBand="0" w:evenHBand="0" w:firstRowFirstColumn="0" w:firstRowLastColumn="0" w:lastRowFirstColumn="0" w:lastRowLastColumn="0"/>
            <w:tcW w:w="1724" w:type="pct"/>
          </w:tcPr>
          <w:p w14:paraId="34B02BAE" w14:textId="77777777" w:rsidR="008151E5" w:rsidRPr="001E1FE4" w:rsidRDefault="008151E5" w:rsidP="00D55970">
            <w:pPr>
              <w:pStyle w:val="Normalfollowingheading"/>
              <w:spacing w:before="60" w:line="240" w:lineRule="atLeast"/>
              <w:rPr>
                <w:rFonts w:ascii="VIC SemiBold" w:hAnsi="VIC SemiBold"/>
                <w:b w:val="0"/>
                <w:bCs/>
                <w:sz w:val="18"/>
                <w:szCs w:val="18"/>
              </w:rPr>
            </w:pPr>
            <w:r w:rsidRPr="001E1FE4">
              <w:rPr>
                <w:rFonts w:ascii="VIC SemiBold" w:hAnsi="VIC SemiBold"/>
                <w:b w:val="0"/>
                <w:bCs/>
                <w:sz w:val="18"/>
                <w:szCs w:val="18"/>
              </w:rPr>
              <w:t>Discussion of artificial nutrition and hydration</w:t>
            </w:r>
          </w:p>
        </w:tc>
        <w:tc>
          <w:tcPr>
            <w:tcW w:w="3276" w:type="pct"/>
          </w:tcPr>
          <w:p w14:paraId="65887DBD" w14:textId="00D9F179" w:rsidR="008151E5" w:rsidRPr="001E1FE4" w:rsidRDefault="008151E5" w:rsidP="00D55970">
            <w:pPr>
              <w:pStyle w:val="Normalfollowingheading"/>
              <w:spacing w:before="6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1E1FE4">
              <w:rPr>
                <w:sz w:val="18"/>
                <w:szCs w:val="18"/>
              </w:rPr>
              <w:t>Discussion of artificial nutrition and hydration is a core element of care in the last days of life as per the Care Plan for the Dying Person</w:t>
            </w:r>
            <w:r w:rsidR="0041352A">
              <w:rPr>
                <w:sz w:val="18"/>
                <w:szCs w:val="18"/>
              </w:rPr>
              <w:t xml:space="preserve"> </w:t>
            </w:r>
            <w:r w:rsidR="000A4904">
              <w:rPr>
                <w:sz w:val="18"/>
                <w:szCs w:val="18"/>
              </w:rPr>
              <w:t>–</w:t>
            </w:r>
            <w:r w:rsidRPr="001E1FE4">
              <w:rPr>
                <w:sz w:val="18"/>
                <w:szCs w:val="18"/>
              </w:rPr>
              <w:t xml:space="preserve"> Victoria. </w:t>
            </w:r>
          </w:p>
        </w:tc>
      </w:tr>
    </w:tbl>
    <w:p w14:paraId="26F70EEC" w14:textId="77777777" w:rsidR="008151E5" w:rsidRDefault="008151E5" w:rsidP="000A4904">
      <w:pPr>
        <w:pStyle w:val="Heading3"/>
      </w:pPr>
      <w:r>
        <w:t>Endorsement</w:t>
      </w:r>
    </w:p>
    <w:p w14:paraId="6F043D3D" w14:textId="7086538D" w:rsidR="008151E5" w:rsidRDefault="008151E5" w:rsidP="000A4904">
      <w:pPr>
        <w:pStyle w:val="Normalfollowingheading"/>
        <w:spacing w:line="240" w:lineRule="atLeast"/>
        <w:rPr>
          <w:lang w:eastAsia="en-US"/>
        </w:rPr>
      </w:pPr>
      <w:r>
        <w:rPr>
          <w:lang w:eastAsia="en-US"/>
        </w:rPr>
        <w:t>The guidance was endorsed by</w:t>
      </w:r>
      <w:r w:rsidR="000A4904">
        <w:rPr>
          <w:lang w:eastAsia="en-US"/>
        </w:rPr>
        <w:t xml:space="preserve"> </w:t>
      </w:r>
      <w:r>
        <w:rPr>
          <w:lang w:eastAsia="en-US"/>
        </w:rPr>
        <w:t>DHHS and the Palliative Care Clinical Network Governance Committee in January 2020</w:t>
      </w:r>
      <w:r w:rsidR="000A4904">
        <w:rPr>
          <w:lang w:eastAsia="en-US"/>
        </w:rPr>
        <w:t>.</w:t>
      </w:r>
    </w:p>
    <w:p w14:paraId="6A440A06" w14:textId="77777777" w:rsidR="00D55970" w:rsidRDefault="00D55970">
      <w:pPr>
        <w:rPr>
          <w:rFonts w:ascii="VIC SemiBold" w:eastAsiaTheme="majorEastAsia" w:hAnsi="VIC SemiBold" w:cstheme="majorBidi"/>
          <w:caps/>
          <w:color w:val="007586" w:themeColor="text2"/>
          <w:sz w:val="24"/>
          <w:szCs w:val="26"/>
          <w:lang w:eastAsia="en-US"/>
        </w:rPr>
      </w:pPr>
      <w:r>
        <w:rPr>
          <w:lang w:eastAsia="en-US"/>
        </w:rPr>
        <w:br w:type="page"/>
      </w:r>
    </w:p>
    <w:p w14:paraId="10AE2E45" w14:textId="317ED87D" w:rsidR="008151E5" w:rsidRDefault="008151E5" w:rsidP="000A4904">
      <w:pPr>
        <w:pStyle w:val="Heading2"/>
        <w:spacing w:before="120"/>
        <w:rPr>
          <w:lang w:eastAsia="en-US"/>
        </w:rPr>
      </w:pPr>
      <w:r>
        <w:rPr>
          <w:lang w:eastAsia="en-US"/>
        </w:rPr>
        <w:lastRenderedPageBreak/>
        <w:t>Consumer information</w:t>
      </w:r>
    </w:p>
    <w:p w14:paraId="0531D022" w14:textId="62501BBC" w:rsidR="008151E5" w:rsidRDefault="008151E5" w:rsidP="000A4904">
      <w:pPr>
        <w:pStyle w:val="Normalfollowingheading"/>
        <w:spacing w:line="240" w:lineRule="atLeast"/>
        <w:rPr>
          <w:lang w:eastAsia="en-US"/>
        </w:rPr>
      </w:pPr>
      <w:r>
        <w:rPr>
          <w:lang w:eastAsia="en-US"/>
        </w:rPr>
        <w:t>A consumer was involved in the expert working group phase of this project and provided consumer insights as the guidance document was drafted.</w:t>
      </w:r>
    </w:p>
    <w:p w14:paraId="630A4B44" w14:textId="6A259CCB" w:rsidR="008151E5" w:rsidRDefault="000A4904" w:rsidP="000A4904">
      <w:pPr>
        <w:spacing w:line="240" w:lineRule="atLeast"/>
        <w:rPr>
          <w:lang w:eastAsia="en-US"/>
        </w:rPr>
      </w:pPr>
      <w:r>
        <w:rPr>
          <w:lang w:eastAsia="en-US"/>
        </w:rPr>
        <w:t>While the</w:t>
      </w:r>
      <w:r w:rsidR="008151E5">
        <w:rPr>
          <w:lang w:eastAsia="en-US"/>
        </w:rPr>
        <w:t xml:space="preserve"> guidance document is for a clinic</w:t>
      </w:r>
      <w:r>
        <w:rPr>
          <w:lang w:eastAsia="en-US"/>
        </w:rPr>
        <w:t>al</w:t>
      </w:r>
      <w:r w:rsidR="008151E5">
        <w:rPr>
          <w:lang w:eastAsia="en-US"/>
        </w:rPr>
        <w:t xml:space="preserve"> audience</w:t>
      </w:r>
      <w:r>
        <w:rPr>
          <w:lang w:eastAsia="en-US"/>
        </w:rPr>
        <w:t>, the</w:t>
      </w:r>
      <w:r w:rsidR="008151E5">
        <w:rPr>
          <w:lang w:eastAsia="en-US"/>
        </w:rPr>
        <w:t xml:space="preserve"> use of plain language and accessible formatting supports consumers to access the guidance as required.</w:t>
      </w:r>
    </w:p>
    <w:p w14:paraId="1CF66245" w14:textId="08F7CD97" w:rsidR="008151E5" w:rsidRDefault="008151E5" w:rsidP="000A4904">
      <w:pPr>
        <w:pStyle w:val="Heading2"/>
        <w:spacing w:before="120"/>
        <w:rPr>
          <w:lang w:eastAsia="en-US"/>
        </w:rPr>
      </w:pPr>
      <w:r>
        <w:rPr>
          <w:lang w:eastAsia="en-US"/>
        </w:rPr>
        <w:t>Review</w:t>
      </w:r>
    </w:p>
    <w:p w14:paraId="6050DA92" w14:textId="0535BA12" w:rsidR="008151E5" w:rsidRDefault="008151E5" w:rsidP="000A4904">
      <w:pPr>
        <w:pStyle w:val="Normalfollowingheading"/>
        <w:spacing w:line="240" w:lineRule="atLeast"/>
        <w:rPr>
          <w:noProof/>
          <w:lang w:eastAsia="en-US"/>
        </w:rPr>
      </w:pPr>
      <w:r>
        <w:rPr>
          <w:lang w:eastAsia="en-US"/>
        </w:rPr>
        <w:t xml:space="preserve">At the time of development, the expert working group determined that the guidance will be reviewed by the </w:t>
      </w:r>
      <w:r w:rsidR="000A4904">
        <w:rPr>
          <w:lang w:eastAsia="en-US"/>
        </w:rPr>
        <w:t xml:space="preserve">Palliative Care Clinical Network </w:t>
      </w:r>
      <w:r>
        <w:rPr>
          <w:lang w:eastAsia="en-US"/>
        </w:rPr>
        <w:t xml:space="preserve">Governance Committee every </w:t>
      </w:r>
      <w:r w:rsidR="000A4904">
        <w:rPr>
          <w:lang w:eastAsia="en-US"/>
        </w:rPr>
        <w:t>five</w:t>
      </w:r>
      <w:r>
        <w:rPr>
          <w:lang w:eastAsia="en-US"/>
        </w:rPr>
        <w:t xml:space="preserve"> years, or more frequently if required, to reflect any changes in evidence and best practice.</w:t>
      </w:r>
      <w:r>
        <w:rPr>
          <w:noProof/>
          <w:lang w:eastAsia="en-US"/>
        </w:rPr>
        <w:br w:type="page"/>
      </w:r>
    </w:p>
    <w:p w14:paraId="6387915A" w14:textId="1590937E" w:rsidR="008151E5" w:rsidRDefault="008151E5" w:rsidP="008151E5">
      <w:pPr>
        <w:pStyle w:val="Heading1"/>
        <w:framePr w:wrap="around"/>
        <w:rPr>
          <w:noProof/>
          <w:lang w:eastAsia="en-US"/>
        </w:rPr>
      </w:pPr>
      <w:r>
        <w:rPr>
          <w:noProof/>
          <w:lang w:eastAsia="en-US"/>
        </w:rPr>
        <w:lastRenderedPageBreak/>
        <w:t>2. Supporting health services to implement</w:t>
      </w:r>
      <w:r w:rsidR="000A4904">
        <w:rPr>
          <w:noProof/>
          <w:lang w:eastAsia="en-US"/>
        </w:rPr>
        <w:t xml:space="preserve"> the</w:t>
      </w:r>
      <w:r>
        <w:rPr>
          <w:noProof/>
          <w:lang w:eastAsia="en-US"/>
        </w:rPr>
        <w:t xml:space="preserve"> guidance</w:t>
      </w:r>
    </w:p>
    <w:p w14:paraId="00A7F165" w14:textId="6869BEED" w:rsidR="008151E5" w:rsidRDefault="008151E5" w:rsidP="008151E5">
      <w:pPr>
        <w:pStyle w:val="Heading2"/>
        <w:rPr>
          <w:noProof/>
          <w:lang w:eastAsia="en-US"/>
        </w:rPr>
      </w:pPr>
      <w:r>
        <w:rPr>
          <w:noProof/>
          <w:lang w:eastAsia="en-US"/>
        </w:rPr>
        <w:t>Implementation</w:t>
      </w:r>
    </w:p>
    <w:p w14:paraId="45E44EDD" w14:textId="69FFCDBD" w:rsidR="008151E5" w:rsidRDefault="008151E5" w:rsidP="008151E5">
      <w:pPr>
        <w:pStyle w:val="Normalfollowingheading"/>
        <w:rPr>
          <w:noProof/>
          <w:lang w:eastAsia="en-US"/>
        </w:rPr>
      </w:pPr>
      <w:r>
        <w:rPr>
          <w:noProof/>
          <w:lang w:eastAsia="en-US"/>
        </w:rPr>
        <w:t xml:space="preserve">As part of the development and implementation of this guidance, the following activities were undertaken by </w:t>
      </w:r>
      <w:r w:rsidR="000A4904">
        <w:rPr>
          <w:noProof/>
          <w:lang w:eastAsia="en-US"/>
        </w:rPr>
        <w:t>the SCV Palliative Care Clinical Network</w:t>
      </w:r>
      <w:r w:rsidR="0041352A">
        <w:rPr>
          <w:noProof/>
          <w:lang w:eastAsia="en-US"/>
        </w:rPr>
        <w:t>:</w:t>
      </w:r>
    </w:p>
    <w:p w14:paraId="62B23D57" w14:textId="2C268A17" w:rsidR="008151E5" w:rsidRDefault="008151E5" w:rsidP="008151E5">
      <w:pPr>
        <w:pStyle w:val="Bullet1"/>
      </w:pPr>
      <w:r>
        <w:t>Launch of the draft guidance with a group of senior and/or medical directors of palliative care from across Victoria</w:t>
      </w:r>
      <w:r w:rsidR="000A4904">
        <w:t>.</w:t>
      </w:r>
    </w:p>
    <w:p w14:paraId="6AE81BBA" w14:textId="5D8C626E" w:rsidR="008151E5" w:rsidRDefault="008151E5" w:rsidP="008151E5">
      <w:pPr>
        <w:pStyle w:val="Bullet1"/>
      </w:pPr>
      <w:r>
        <w:t>Awareness raising via SCV communication channels</w:t>
      </w:r>
      <w:r w:rsidR="000A4904">
        <w:t>.</w:t>
      </w:r>
    </w:p>
    <w:p w14:paraId="657CA8B4" w14:textId="568F9F46" w:rsidR="008151E5" w:rsidRDefault="008151E5" w:rsidP="008151E5">
      <w:pPr>
        <w:pStyle w:val="Bullet1"/>
      </w:pPr>
      <w:r>
        <w:t xml:space="preserve">Awareness raising and promotion of the guidance </w:t>
      </w:r>
      <w:r w:rsidR="00A50725">
        <w:t>to clinical</w:t>
      </w:r>
      <w:r>
        <w:t xml:space="preserve"> </w:t>
      </w:r>
      <w:r w:rsidR="000A4904">
        <w:t>network</w:t>
      </w:r>
      <w:r w:rsidR="00A50725">
        <w:t>s</w:t>
      </w:r>
      <w:r w:rsidR="0067711E">
        <w:t>.</w:t>
      </w:r>
    </w:p>
    <w:p w14:paraId="7A60DE39" w14:textId="241EF1CE" w:rsidR="008151E5" w:rsidRDefault="008151E5" w:rsidP="008151E5">
      <w:pPr>
        <w:rPr>
          <w:noProof/>
          <w:lang w:eastAsia="en-US"/>
        </w:rPr>
      </w:pPr>
      <w:r>
        <w:rPr>
          <w:noProof/>
          <w:lang w:eastAsia="en-US"/>
        </w:rPr>
        <w:t>Suggested activities to support implementation of the guidance at your health service</w:t>
      </w:r>
      <w:r w:rsidR="000A4904">
        <w:rPr>
          <w:noProof/>
          <w:lang w:eastAsia="en-US"/>
        </w:rPr>
        <w:t xml:space="preserve"> include:</w:t>
      </w:r>
    </w:p>
    <w:p w14:paraId="713A32EE" w14:textId="3DF93DCB" w:rsidR="008151E5" w:rsidRDefault="000A4904" w:rsidP="008151E5">
      <w:pPr>
        <w:pStyle w:val="Bullet1"/>
      </w:pPr>
      <w:r>
        <w:t>En</w:t>
      </w:r>
      <w:r w:rsidR="008151E5">
        <w:t xml:space="preserve">dorse </w:t>
      </w:r>
      <w:r>
        <w:t xml:space="preserve">the </w:t>
      </w:r>
      <w:r w:rsidR="008151E5">
        <w:t>guidance for use in the health service and communicate this to staff</w:t>
      </w:r>
      <w:r>
        <w:t>.</w:t>
      </w:r>
    </w:p>
    <w:p w14:paraId="60C0C8F9" w14:textId="1DC45869" w:rsidR="008151E5" w:rsidRDefault="008151E5" w:rsidP="008151E5">
      <w:pPr>
        <w:pStyle w:val="Bullet1"/>
      </w:pPr>
      <w:r>
        <w:t>Promote the introduction of the guidance to relevant health service staff</w:t>
      </w:r>
      <w:r w:rsidR="000A4904">
        <w:t>.</w:t>
      </w:r>
    </w:p>
    <w:p w14:paraId="5EEAE3AE" w14:textId="10806873" w:rsidR="008151E5" w:rsidRDefault="008151E5" w:rsidP="008151E5">
      <w:pPr>
        <w:pStyle w:val="Bullet1"/>
      </w:pPr>
      <w:r>
        <w:t>Support education and ongoing training opportunities</w:t>
      </w:r>
      <w:r w:rsidR="000A4904">
        <w:t>.</w:t>
      </w:r>
    </w:p>
    <w:p w14:paraId="742D6146" w14:textId="2933AF03" w:rsidR="008151E5" w:rsidRDefault="008151E5" w:rsidP="008151E5">
      <w:pPr>
        <w:pStyle w:val="Bullet1"/>
      </w:pPr>
      <w:r>
        <w:t>Align clinical care with guidance recommendations</w:t>
      </w:r>
      <w:r w:rsidR="000A4904">
        <w:t>.</w:t>
      </w:r>
    </w:p>
    <w:p w14:paraId="0BF9BD2F" w14:textId="28C919BD" w:rsidR="008151E5" w:rsidRDefault="008151E5" w:rsidP="008151E5">
      <w:pPr>
        <w:pStyle w:val="Heading2"/>
        <w:rPr>
          <w:noProof/>
          <w:lang w:eastAsia="en-US"/>
        </w:rPr>
      </w:pPr>
      <w:r>
        <w:rPr>
          <w:noProof/>
          <w:lang w:eastAsia="en-US"/>
        </w:rPr>
        <w:t>Dissemination</w:t>
      </w:r>
    </w:p>
    <w:p w14:paraId="06DB6634" w14:textId="2422AD27" w:rsidR="008151E5" w:rsidRDefault="008151E5" w:rsidP="008151E5">
      <w:pPr>
        <w:pStyle w:val="Bullet1"/>
      </w:pPr>
      <w:r>
        <w:t xml:space="preserve">The </w:t>
      </w:r>
      <w:r w:rsidR="000A4904">
        <w:t xml:space="preserve">final </w:t>
      </w:r>
      <w:r>
        <w:t>guidance will be uploaded to the SCV website</w:t>
      </w:r>
      <w:r w:rsidR="000A4904">
        <w:t>.</w:t>
      </w:r>
    </w:p>
    <w:p w14:paraId="29ECA039" w14:textId="40C9C6F8" w:rsidR="008151E5" w:rsidRDefault="008151E5" w:rsidP="008151E5">
      <w:pPr>
        <w:pStyle w:val="Bullet1"/>
      </w:pPr>
      <w:r>
        <w:t>Promotion of the new guidance will occur via SCV social media and newsletter platforms</w:t>
      </w:r>
      <w:r w:rsidR="000A4904">
        <w:t>.</w:t>
      </w:r>
    </w:p>
    <w:p w14:paraId="75CB818C" w14:textId="17E2FB87" w:rsidR="008151E5" w:rsidRDefault="008151E5" w:rsidP="008151E5">
      <w:pPr>
        <w:pStyle w:val="Bullet1"/>
      </w:pPr>
      <w:r>
        <w:t>Health services are encouraged to link to the guidance page on the SCV website in their local policies and education packages.</w:t>
      </w:r>
    </w:p>
    <w:p w14:paraId="1B35C5B5" w14:textId="25D5C4F8" w:rsidR="008151E5" w:rsidRDefault="008151E5" w:rsidP="008151E5">
      <w:pPr>
        <w:pStyle w:val="Heading2"/>
        <w:rPr>
          <w:noProof/>
          <w:lang w:eastAsia="en-US"/>
        </w:rPr>
      </w:pPr>
      <w:r>
        <w:rPr>
          <w:noProof/>
          <w:lang w:eastAsia="en-US"/>
        </w:rPr>
        <w:t>Measuring the impact of our guidance</w:t>
      </w:r>
    </w:p>
    <w:p w14:paraId="78EE6F51" w14:textId="77777777" w:rsidR="008151E5" w:rsidRDefault="008151E5" w:rsidP="008151E5">
      <w:pPr>
        <w:pStyle w:val="Heading3"/>
      </w:pPr>
      <w:r>
        <w:t>Evaluation strategy</w:t>
      </w:r>
    </w:p>
    <w:p w14:paraId="6E3169F6" w14:textId="7A779421" w:rsidR="008151E5" w:rsidRDefault="008151E5" w:rsidP="000A4904">
      <w:pPr>
        <w:pStyle w:val="Normalfollowingheading"/>
        <w:rPr>
          <w:noProof/>
        </w:rPr>
      </w:pPr>
      <w:r>
        <w:rPr>
          <w:noProof/>
        </w:rPr>
        <w:t>The guidance will be available to health services</w:t>
      </w:r>
      <w:r w:rsidR="000A4904">
        <w:rPr>
          <w:noProof/>
        </w:rPr>
        <w:t xml:space="preserve"> on</w:t>
      </w:r>
      <w:r>
        <w:rPr>
          <w:noProof/>
        </w:rPr>
        <w:t xml:space="preserve"> the SCV website to use and adopt into their local policies.</w:t>
      </w:r>
    </w:p>
    <w:p w14:paraId="78BB062A" w14:textId="4749E187" w:rsidR="008151E5" w:rsidRDefault="008151E5" w:rsidP="000A4904">
      <w:pPr>
        <w:rPr>
          <w:noProof/>
        </w:rPr>
      </w:pPr>
      <w:r>
        <w:rPr>
          <w:noProof/>
        </w:rPr>
        <w:t xml:space="preserve">A </w:t>
      </w:r>
      <w:r w:rsidR="000A4904">
        <w:rPr>
          <w:noProof/>
        </w:rPr>
        <w:t>‘</w:t>
      </w:r>
      <w:r>
        <w:rPr>
          <w:noProof/>
        </w:rPr>
        <w:t>pulse check</w:t>
      </w:r>
      <w:r w:rsidR="000A4904">
        <w:rPr>
          <w:noProof/>
        </w:rPr>
        <w:t>’</w:t>
      </w:r>
      <w:r>
        <w:rPr>
          <w:noProof/>
        </w:rPr>
        <w:t xml:space="preserve"> survey will be conducted </w:t>
      </w:r>
      <w:r w:rsidR="000A4904">
        <w:rPr>
          <w:noProof/>
        </w:rPr>
        <w:t>six</w:t>
      </w:r>
      <w:r>
        <w:rPr>
          <w:noProof/>
        </w:rPr>
        <w:t xml:space="preserve"> months after the guidance is published to determine u</w:t>
      </w:r>
      <w:r w:rsidR="000A4904">
        <w:rPr>
          <w:noProof/>
        </w:rPr>
        <w:t xml:space="preserve">se and </w:t>
      </w:r>
      <w:r>
        <w:rPr>
          <w:noProof/>
        </w:rPr>
        <w:t>reach.</w:t>
      </w:r>
    </w:p>
    <w:p w14:paraId="39E86694" w14:textId="785DD3AD" w:rsidR="008151E5" w:rsidRDefault="008151E5" w:rsidP="008151E5">
      <w:pPr>
        <w:pStyle w:val="Heading3"/>
      </w:pPr>
      <w:r>
        <w:t>Auditable measures</w:t>
      </w:r>
    </w:p>
    <w:p w14:paraId="23B41635" w14:textId="3DAEADB1" w:rsidR="008151E5" w:rsidRDefault="008151E5" w:rsidP="000A4904">
      <w:pPr>
        <w:pStyle w:val="Normalfollowingheading"/>
        <w:rPr>
          <w:noProof/>
        </w:rPr>
      </w:pPr>
      <w:r>
        <w:rPr>
          <w:noProof/>
        </w:rPr>
        <w:t xml:space="preserve">The Victorian Government did not accept the recommendation from the </w:t>
      </w:r>
      <w:r w:rsidR="000A4904">
        <w:t>Legal</w:t>
      </w:r>
      <w:r>
        <w:rPr>
          <w:noProof/>
        </w:rPr>
        <w:t xml:space="preserve"> and Social Issues Committee Inquiry into end of life choices (2016) that rates of palliative sedation be measured (Rec 27).</w:t>
      </w:r>
    </w:p>
    <w:p w14:paraId="26E93F59" w14:textId="2FBD3D82" w:rsidR="000A4904" w:rsidRDefault="008151E5" w:rsidP="000A4904">
      <w:pPr>
        <w:rPr>
          <w:noProof/>
        </w:rPr>
      </w:pPr>
      <w:r>
        <w:rPr>
          <w:noProof/>
        </w:rPr>
        <w:t xml:space="preserve">Locally collected measures may </w:t>
      </w:r>
      <w:r w:rsidR="000A4904">
        <w:rPr>
          <w:noProof/>
        </w:rPr>
        <w:t xml:space="preserve">help </w:t>
      </w:r>
      <w:r>
        <w:rPr>
          <w:noProof/>
        </w:rPr>
        <w:t>services to govern and monitor quality and safety in palliative care.</w:t>
      </w:r>
    </w:p>
    <w:p w14:paraId="56801931" w14:textId="77777777" w:rsidR="000A4904" w:rsidRDefault="000A4904">
      <w:pPr>
        <w:rPr>
          <w:noProof/>
        </w:rPr>
      </w:pPr>
      <w:r>
        <w:rPr>
          <w:noProof/>
        </w:rPr>
        <w:br w:type="page"/>
      </w:r>
    </w:p>
    <w:p w14:paraId="48620188" w14:textId="2730D663" w:rsidR="008151E5" w:rsidRPr="0041352A" w:rsidRDefault="000A4904" w:rsidP="000A4904">
      <w:pPr>
        <w:pStyle w:val="Tablechartdiagramheading"/>
        <w:rPr>
          <w:rFonts w:ascii="VIC SemiBold" w:hAnsi="VIC SemiBold"/>
          <w:b w:val="0"/>
          <w:bCs w:val="0"/>
        </w:rPr>
      </w:pPr>
      <w:r w:rsidRPr="0041352A">
        <w:rPr>
          <w:rFonts w:ascii="VIC SemiBold" w:hAnsi="VIC SemiBold"/>
          <w:b w:val="0"/>
          <w:bCs w:val="0"/>
        </w:rPr>
        <w:lastRenderedPageBreak/>
        <w:t>Table 3: Auditable measures</w:t>
      </w:r>
    </w:p>
    <w:tbl>
      <w:tblPr>
        <w:tblStyle w:val="TableGrid"/>
        <w:tblW w:w="5000" w:type="pct"/>
        <w:tblLook w:val="04A0" w:firstRow="1" w:lastRow="0" w:firstColumn="1" w:lastColumn="0" w:noHBand="0" w:noVBand="1"/>
      </w:tblPr>
      <w:tblGrid>
        <w:gridCol w:w="4743"/>
        <w:gridCol w:w="5461"/>
      </w:tblGrid>
      <w:tr w:rsidR="008151E5" w:rsidRPr="000A4904" w14:paraId="3B06B47E" w14:textId="77777777" w:rsidTr="00677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pct"/>
            <w:tcBorders>
              <w:bottom w:val="single" w:sz="2" w:space="0" w:color="FFFFFF" w:themeColor="background1"/>
            </w:tcBorders>
            <w:shd w:val="clear" w:color="auto" w:fill="auto"/>
          </w:tcPr>
          <w:p w14:paraId="3E8D8372" w14:textId="77777777" w:rsidR="008151E5" w:rsidRPr="000A4904" w:rsidRDefault="008151E5" w:rsidP="0067711E">
            <w:pPr>
              <w:spacing w:before="60" w:after="60" w:line="240" w:lineRule="atLeast"/>
              <w:rPr>
                <w:sz w:val="18"/>
                <w:szCs w:val="18"/>
                <w:lang w:val="en"/>
              </w:rPr>
            </w:pPr>
          </w:p>
        </w:tc>
        <w:tc>
          <w:tcPr>
            <w:tcW w:w="2676" w:type="pct"/>
            <w:tcBorders>
              <w:bottom w:val="single" w:sz="2" w:space="0" w:color="FFFFFF" w:themeColor="background1"/>
            </w:tcBorders>
            <w:shd w:val="clear" w:color="auto" w:fill="auto"/>
          </w:tcPr>
          <w:p w14:paraId="55F88B59" w14:textId="179D559B" w:rsidR="008151E5" w:rsidRPr="000A4904" w:rsidRDefault="008151E5" w:rsidP="0067711E">
            <w:pPr>
              <w:spacing w:before="60" w:after="60" w:line="240" w:lineRule="atLeast"/>
              <w:cnfStyle w:val="100000000000" w:firstRow="1" w:lastRow="0" w:firstColumn="0" w:lastColumn="0" w:oddVBand="0" w:evenVBand="0" w:oddHBand="0" w:evenHBand="0" w:firstRowFirstColumn="0" w:firstRowLastColumn="0" w:lastRowFirstColumn="0" w:lastRowLastColumn="0"/>
              <w:rPr>
                <w:sz w:val="18"/>
                <w:szCs w:val="18"/>
                <w:lang w:val="en"/>
              </w:rPr>
            </w:pPr>
          </w:p>
        </w:tc>
      </w:tr>
      <w:tr w:rsidR="008151E5" w:rsidRPr="000A4904" w14:paraId="119745DC" w14:textId="77777777" w:rsidTr="0067711E">
        <w:tc>
          <w:tcPr>
            <w:cnfStyle w:val="001000000000" w:firstRow="0" w:lastRow="0" w:firstColumn="1" w:lastColumn="0" w:oddVBand="0" w:evenVBand="0" w:oddHBand="0" w:evenHBand="0" w:firstRowFirstColumn="0" w:firstRowLastColumn="0" w:lastRowFirstColumn="0" w:lastRowLastColumn="0"/>
            <w:tcW w:w="2324" w:type="pct"/>
            <w:tcBorders>
              <w:top w:val="single" w:sz="2" w:space="0" w:color="FFFFFF" w:themeColor="background1"/>
            </w:tcBorders>
          </w:tcPr>
          <w:p w14:paraId="0B47137A" w14:textId="77777777" w:rsidR="008151E5" w:rsidRPr="000A4904" w:rsidRDefault="008151E5" w:rsidP="0067711E">
            <w:pPr>
              <w:pStyle w:val="IntroductoryText"/>
              <w:spacing w:before="60" w:line="240" w:lineRule="atLeast"/>
              <w:rPr>
                <w:rFonts w:ascii="VIC SemiBold" w:hAnsi="VIC SemiBold"/>
                <w:b w:val="0"/>
                <w:bCs w:val="0"/>
                <w:color w:val="auto"/>
                <w:sz w:val="18"/>
                <w:szCs w:val="18"/>
              </w:rPr>
            </w:pPr>
            <w:r w:rsidRPr="000A4904">
              <w:rPr>
                <w:rFonts w:ascii="VIC SemiBold" w:hAnsi="VIC SemiBold"/>
                <w:b w:val="0"/>
                <w:bCs w:val="0"/>
                <w:sz w:val="18"/>
                <w:szCs w:val="18"/>
              </w:rPr>
              <w:t>Use of the guidance in Victorian health services</w:t>
            </w:r>
            <w:r w:rsidRPr="000A4904">
              <w:rPr>
                <w:rFonts w:ascii="VIC SemiBold" w:hAnsi="VIC SemiBold"/>
                <w:b w:val="0"/>
                <w:bCs w:val="0"/>
                <w:color w:val="auto"/>
                <w:sz w:val="18"/>
                <w:szCs w:val="18"/>
              </w:rPr>
              <w:t xml:space="preserve"> </w:t>
            </w:r>
          </w:p>
        </w:tc>
        <w:tc>
          <w:tcPr>
            <w:tcW w:w="2676" w:type="pct"/>
            <w:tcBorders>
              <w:top w:val="single" w:sz="2" w:space="0" w:color="FFFFFF" w:themeColor="background1"/>
            </w:tcBorders>
            <w:vAlign w:val="center"/>
          </w:tcPr>
          <w:p w14:paraId="40C2F0A8" w14:textId="09E9D349" w:rsidR="008151E5" w:rsidRPr="000A4904" w:rsidRDefault="008151E5" w:rsidP="0067711E">
            <w:pPr>
              <w:pStyle w:val="IntroductoryText"/>
              <w:spacing w:before="60" w:line="240" w:lineRule="atLeast"/>
              <w:cnfStyle w:val="000000000000" w:firstRow="0" w:lastRow="0" w:firstColumn="0" w:lastColumn="0" w:oddVBand="0" w:evenVBand="0" w:oddHBand="0" w:evenHBand="0" w:firstRowFirstColumn="0" w:firstRowLastColumn="0" w:lastRowFirstColumn="0" w:lastRowLastColumn="0"/>
              <w:rPr>
                <w:rFonts w:ascii="VIC" w:hAnsi="VIC"/>
                <w:color w:val="auto"/>
                <w:sz w:val="18"/>
                <w:szCs w:val="18"/>
              </w:rPr>
            </w:pPr>
            <w:r w:rsidRPr="000A4904">
              <w:rPr>
                <w:rFonts w:ascii="VIC" w:hAnsi="VIC"/>
                <w:color w:val="auto"/>
                <w:sz w:val="18"/>
                <w:szCs w:val="18"/>
              </w:rPr>
              <w:t>Number of services who report using the guidance</w:t>
            </w:r>
          </w:p>
        </w:tc>
      </w:tr>
      <w:tr w:rsidR="008151E5" w:rsidRPr="000A4904" w14:paraId="1B6234A3" w14:textId="77777777" w:rsidTr="00C15C52">
        <w:tc>
          <w:tcPr>
            <w:cnfStyle w:val="001000000000" w:firstRow="0" w:lastRow="0" w:firstColumn="1" w:lastColumn="0" w:oddVBand="0" w:evenVBand="0" w:oddHBand="0" w:evenHBand="0" w:firstRowFirstColumn="0" w:firstRowLastColumn="0" w:lastRowFirstColumn="0" w:lastRowLastColumn="0"/>
            <w:tcW w:w="2324" w:type="pct"/>
          </w:tcPr>
          <w:p w14:paraId="735FC0D1" w14:textId="77777777" w:rsidR="008151E5" w:rsidRPr="000A4904" w:rsidRDefault="008151E5" w:rsidP="0067711E">
            <w:pPr>
              <w:spacing w:before="60" w:line="240" w:lineRule="atLeast"/>
              <w:rPr>
                <w:rFonts w:ascii="VIC SemiBold" w:hAnsi="VIC SemiBold"/>
                <w:b w:val="0"/>
                <w:sz w:val="18"/>
                <w:szCs w:val="18"/>
              </w:rPr>
            </w:pPr>
            <w:r w:rsidRPr="000A4904">
              <w:rPr>
                <w:rFonts w:ascii="VIC SemiBold" w:hAnsi="VIC SemiBold"/>
                <w:b w:val="0"/>
                <w:sz w:val="18"/>
                <w:szCs w:val="18"/>
              </w:rPr>
              <w:t>Specialist palliative care services will educate and support their staff about the guideline</w:t>
            </w:r>
          </w:p>
        </w:tc>
        <w:tc>
          <w:tcPr>
            <w:tcW w:w="2676" w:type="pct"/>
            <w:vAlign w:val="center"/>
          </w:tcPr>
          <w:p w14:paraId="3B74FF19" w14:textId="32D159CB" w:rsidR="008151E5" w:rsidRPr="000A4904" w:rsidRDefault="00A263E2" w:rsidP="0067711E">
            <w:pPr>
              <w:pStyle w:val="IntroductoryText"/>
              <w:spacing w:before="60" w:line="240" w:lineRule="atLeast"/>
              <w:cnfStyle w:val="000000000000" w:firstRow="0" w:lastRow="0" w:firstColumn="0" w:lastColumn="0" w:oddVBand="0" w:evenVBand="0" w:oddHBand="0" w:evenHBand="0" w:firstRowFirstColumn="0" w:firstRowLastColumn="0" w:lastRowFirstColumn="0" w:lastRowLastColumn="0"/>
              <w:rPr>
                <w:rFonts w:ascii="VIC" w:hAnsi="VIC"/>
                <w:b/>
                <w:color w:val="auto"/>
                <w:sz w:val="18"/>
                <w:szCs w:val="18"/>
              </w:rPr>
            </w:pPr>
            <w:r>
              <w:rPr>
                <w:rFonts w:ascii="VIC" w:hAnsi="VIC"/>
                <w:color w:val="auto"/>
                <w:sz w:val="18"/>
                <w:szCs w:val="18"/>
              </w:rPr>
              <w:t>Percentage</w:t>
            </w:r>
            <w:r w:rsidRPr="000A4904">
              <w:rPr>
                <w:rFonts w:ascii="VIC" w:hAnsi="VIC"/>
                <w:color w:val="auto"/>
                <w:sz w:val="18"/>
                <w:szCs w:val="18"/>
              </w:rPr>
              <w:t xml:space="preserve"> </w:t>
            </w:r>
            <w:r w:rsidR="008151E5" w:rsidRPr="000A4904">
              <w:rPr>
                <w:rFonts w:ascii="VIC" w:hAnsi="VIC"/>
                <w:color w:val="auto"/>
                <w:sz w:val="18"/>
                <w:szCs w:val="18"/>
              </w:rPr>
              <w:t>of specialist palliative care clinicians aware of the Palliative Sedation Therapy Guideline</w:t>
            </w:r>
          </w:p>
          <w:p w14:paraId="126B2E96" w14:textId="77777777" w:rsidR="008151E5" w:rsidRPr="000A4904" w:rsidRDefault="008151E5" w:rsidP="0067711E">
            <w:pPr>
              <w:pStyle w:val="IntroductoryText"/>
              <w:spacing w:before="60" w:line="240" w:lineRule="atLeast"/>
              <w:cnfStyle w:val="000000000000" w:firstRow="0" w:lastRow="0" w:firstColumn="0" w:lastColumn="0" w:oddVBand="0" w:evenVBand="0" w:oddHBand="0" w:evenHBand="0" w:firstRowFirstColumn="0" w:firstRowLastColumn="0" w:lastRowFirstColumn="0" w:lastRowLastColumn="0"/>
              <w:rPr>
                <w:rFonts w:ascii="VIC" w:hAnsi="VIC"/>
                <w:b/>
                <w:color w:val="auto"/>
                <w:sz w:val="18"/>
                <w:szCs w:val="18"/>
              </w:rPr>
            </w:pPr>
            <w:r w:rsidRPr="000A4904">
              <w:rPr>
                <w:rFonts w:ascii="VIC" w:hAnsi="VIC"/>
                <w:color w:val="auto"/>
                <w:sz w:val="18"/>
                <w:szCs w:val="18"/>
              </w:rPr>
              <w:t>Number of staff educated</w:t>
            </w:r>
          </w:p>
          <w:p w14:paraId="34E6F56D" w14:textId="1339D0AF" w:rsidR="008151E5" w:rsidRPr="000A4904" w:rsidRDefault="008151E5" w:rsidP="0067711E">
            <w:pPr>
              <w:spacing w:line="240" w:lineRule="atLeast"/>
              <w:cnfStyle w:val="000000000000" w:firstRow="0" w:lastRow="0" w:firstColumn="0" w:lastColumn="0" w:oddVBand="0" w:evenVBand="0" w:oddHBand="0" w:evenHBand="0" w:firstRowFirstColumn="0" w:firstRowLastColumn="0" w:lastRowFirstColumn="0" w:lastRowLastColumn="0"/>
              <w:rPr>
                <w:sz w:val="18"/>
                <w:szCs w:val="18"/>
                <w:lang w:val="en"/>
              </w:rPr>
            </w:pPr>
            <w:r w:rsidRPr="000A4904">
              <w:rPr>
                <w:sz w:val="18"/>
                <w:szCs w:val="18"/>
              </w:rPr>
              <w:t>Feedback around staff support/debrief opportunities</w:t>
            </w:r>
          </w:p>
        </w:tc>
      </w:tr>
      <w:tr w:rsidR="008151E5" w:rsidRPr="000A4904" w14:paraId="79F13924" w14:textId="77777777" w:rsidTr="00C15C52">
        <w:tc>
          <w:tcPr>
            <w:cnfStyle w:val="001000000000" w:firstRow="0" w:lastRow="0" w:firstColumn="1" w:lastColumn="0" w:oddVBand="0" w:evenVBand="0" w:oddHBand="0" w:evenHBand="0" w:firstRowFirstColumn="0" w:firstRowLastColumn="0" w:lastRowFirstColumn="0" w:lastRowLastColumn="0"/>
            <w:tcW w:w="2324" w:type="pct"/>
          </w:tcPr>
          <w:p w14:paraId="218A031F" w14:textId="77777777" w:rsidR="008151E5" w:rsidRPr="000A4904" w:rsidRDefault="008151E5" w:rsidP="0067711E">
            <w:pPr>
              <w:spacing w:before="60" w:line="240" w:lineRule="atLeast"/>
              <w:rPr>
                <w:rFonts w:ascii="VIC SemiBold" w:hAnsi="VIC SemiBold"/>
                <w:b w:val="0"/>
                <w:sz w:val="18"/>
                <w:szCs w:val="18"/>
              </w:rPr>
            </w:pPr>
            <w:r w:rsidRPr="000A4904">
              <w:rPr>
                <w:rFonts w:ascii="VIC SemiBold" w:hAnsi="VIC SemiBold"/>
                <w:b w:val="0"/>
                <w:sz w:val="18"/>
                <w:szCs w:val="18"/>
              </w:rPr>
              <w:t>Patients and families will be supported when they require palliative sedation therapy</w:t>
            </w:r>
          </w:p>
        </w:tc>
        <w:tc>
          <w:tcPr>
            <w:tcW w:w="2676" w:type="pct"/>
            <w:vAlign w:val="center"/>
          </w:tcPr>
          <w:p w14:paraId="46A66EB0" w14:textId="35EDC90E" w:rsidR="008151E5" w:rsidRPr="000A4904" w:rsidRDefault="008151E5" w:rsidP="0067711E">
            <w:pPr>
              <w:pStyle w:val="IntroductoryText"/>
              <w:spacing w:before="60" w:line="240" w:lineRule="atLeast"/>
              <w:cnfStyle w:val="000000000000" w:firstRow="0" w:lastRow="0" w:firstColumn="0" w:lastColumn="0" w:oddVBand="0" w:evenVBand="0" w:oddHBand="0" w:evenHBand="0" w:firstRowFirstColumn="0" w:firstRowLastColumn="0" w:lastRowFirstColumn="0" w:lastRowLastColumn="0"/>
              <w:rPr>
                <w:rFonts w:ascii="VIC" w:hAnsi="VIC"/>
                <w:color w:val="auto"/>
                <w:sz w:val="18"/>
                <w:szCs w:val="18"/>
              </w:rPr>
            </w:pPr>
            <w:r w:rsidRPr="000A4904">
              <w:rPr>
                <w:rFonts w:ascii="VIC" w:hAnsi="VIC"/>
                <w:color w:val="auto"/>
                <w:sz w:val="18"/>
                <w:szCs w:val="18"/>
              </w:rPr>
              <w:t>Number of patients and families provided with written information about palliative sedation</w:t>
            </w:r>
          </w:p>
        </w:tc>
      </w:tr>
      <w:tr w:rsidR="008151E5" w:rsidRPr="000A4904" w14:paraId="7681ABB3" w14:textId="77777777" w:rsidTr="00C15C52">
        <w:tc>
          <w:tcPr>
            <w:cnfStyle w:val="001000000000" w:firstRow="0" w:lastRow="0" w:firstColumn="1" w:lastColumn="0" w:oddVBand="0" w:evenVBand="0" w:oddHBand="0" w:evenHBand="0" w:firstRowFirstColumn="0" w:firstRowLastColumn="0" w:lastRowFirstColumn="0" w:lastRowLastColumn="0"/>
            <w:tcW w:w="2324" w:type="pct"/>
          </w:tcPr>
          <w:p w14:paraId="362A06CD" w14:textId="77777777" w:rsidR="008151E5" w:rsidRPr="000A4904" w:rsidRDefault="008151E5" w:rsidP="0067711E">
            <w:pPr>
              <w:spacing w:before="60" w:line="240" w:lineRule="atLeast"/>
              <w:rPr>
                <w:rFonts w:ascii="VIC SemiBold" w:hAnsi="VIC SemiBold"/>
                <w:b w:val="0"/>
                <w:sz w:val="18"/>
                <w:szCs w:val="18"/>
              </w:rPr>
            </w:pPr>
            <w:r w:rsidRPr="000A4904">
              <w:rPr>
                <w:rFonts w:ascii="VIC SemiBold" w:hAnsi="VIC SemiBold"/>
                <w:b w:val="0"/>
                <w:sz w:val="18"/>
                <w:szCs w:val="18"/>
              </w:rPr>
              <w:t xml:space="preserve">Guidance is available to health services </w:t>
            </w:r>
          </w:p>
        </w:tc>
        <w:tc>
          <w:tcPr>
            <w:tcW w:w="2676" w:type="pct"/>
            <w:vAlign w:val="center"/>
          </w:tcPr>
          <w:p w14:paraId="0553AF88" w14:textId="77777777" w:rsidR="008151E5" w:rsidRPr="000A4904" w:rsidRDefault="008151E5" w:rsidP="0067711E">
            <w:pPr>
              <w:spacing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0A4904">
              <w:rPr>
                <w:sz w:val="18"/>
                <w:szCs w:val="18"/>
              </w:rPr>
              <w:t>Number of downloads from SCV website</w:t>
            </w:r>
          </w:p>
        </w:tc>
      </w:tr>
    </w:tbl>
    <w:p w14:paraId="08962F53" w14:textId="77777777" w:rsidR="008151E5" w:rsidRDefault="008151E5" w:rsidP="008151E5">
      <w:pPr>
        <w:pStyle w:val="Heading2"/>
        <w:rPr>
          <w:noProof/>
        </w:rPr>
      </w:pPr>
      <w:r>
        <w:rPr>
          <w:noProof/>
        </w:rPr>
        <w:t>Future research opportunities</w:t>
      </w:r>
    </w:p>
    <w:p w14:paraId="1B9DD400" w14:textId="1B0B25CA" w:rsidR="008151E5" w:rsidRDefault="008151E5" w:rsidP="008151E5">
      <w:pPr>
        <w:pStyle w:val="Normalfollowingheading"/>
        <w:rPr>
          <w:noProof/>
        </w:rPr>
      </w:pPr>
      <w:r>
        <w:rPr>
          <w:noProof/>
        </w:rPr>
        <w:t>There are currently no identified future research opportunities.</w:t>
      </w:r>
    </w:p>
    <w:p w14:paraId="4F90B21C" w14:textId="7D0DAEF7" w:rsidR="008151E5" w:rsidRDefault="008151E5">
      <w:r>
        <w:br w:type="page"/>
      </w:r>
    </w:p>
    <w:p w14:paraId="2C8B3C6D" w14:textId="6C7AEC7A" w:rsidR="008151E5" w:rsidRDefault="008151E5" w:rsidP="008151E5">
      <w:pPr>
        <w:pStyle w:val="Heading1"/>
        <w:framePr w:wrap="around"/>
      </w:pPr>
      <w:r>
        <w:lastRenderedPageBreak/>
        <w:t xml:space="preserve">3. Governance </w:t>
      </w:r>
    </w:p>
    <w:p w14:paraId="0ADCD385" w14:textId="77777777" w:rsidR="008151E5" w:rsidRDefault="008151E5" w:rsidP="008151E5">
      <w:pPr>
        <w:pStyle w:val="Heading2"/>
      </w:pPr>
      <w:r>
        <w:t>Approval</w:t>
      </w:r>
    </w:p>
    <w:p w14:paraId="2111985D" w14:textId="017189FE" w:rsidR="008151E5" w:rsidRDefault="008151E5" w:rsidP="008151E5">
      <w:pPr>
        <w:pStyle w:val="Normalfollowingheading"/>
      </w:pPr>
      <w:r>
        <w:t>This guidance was approved by the Palliative Care Clinical Network Governance Committee and Clinicians as Partners Director</w:t>
      </w:r>
      <w:r w:rsidR="0041352A">
        <w:t>.</w:t>
      </w:r>
    </w:p>
    <w:p w14:paraId="3B0EFEC7" w14:textId="1997679B" w:rsidR="008151E5" w:rsidRDefault="008151E5" w:rsidP="008151E5">
      <w:pPr>
        <w:pStyle w:val="Heading2"/>
      </w:pPr>
      <w:r>
        <w:t>Funding</w:t>
      </w:r>
    </w:p>
    <w:p w14:paraId="4950F936" w14:textId="1E3158E0" w:rsidR="008151E5" w:rsidRDefault="008151E5" w:rsidP="008151E5">
      <w:pPr>
        <w:pStyle w:val="Normalfollowingheading"/>
      </w:pPr>
      <w:r>
        <w:t xml:space="preserve">Funding was received from </w:t>
      </w:r>
      <w:r w:rsidR="000A4904">
        <w:t>the DHHS</w:t>
      </w:r>
      <w:r>
        <w:t xml:space="preserve"> Palliative Care unit to enable the development of this clinical guidance.</w:t>
      </w:r>
    </w:p>
    <w:p w14:paraId="5584A0C9" w14:textId="77777777" w:rsidR="008151E5" w:rsidRPr="008151E5" w:rsidRDefault="008151E5" w:rsidP="008151E5">
      <w:pPr>
        <w:pStyle w:val="Normalfollowingheading"/>
      </w:pPr>
    </w:p>
    <w:p w14:paraId="228CECAE" w14:textId="77777777" w:rsidR="0064798F" w:rsidRDefault="0064798F" w:rsidP="008151E5">
      <w:pPr>
        <w:pStyle w:val="Normalfollowingheading"/>
        <w:sectPr w:rsidR="0064798F" w:rsidSect="00265EC8">
          <w:pgSz w:w="11906" w:h="16838" w:code="9"/>
          <w:pgMar w:top="3402" w:right="851" w:bottom="1361" w:left="851" w:header="539" w:footer="624" w:gutter="0"/>
          <w:pgNumType w:start="1"/>
          <w:cols w:space="284"/>
          <w:docGrid w:linePitch="360"/>
        </w:sectPr>
      </w:pPr>
    </w:p>
    <w:p w14:paraId="53583C35" w14:textId="2453AC13" w:rsidR="0067711E" w:rsidRDefault="0067711E" w:rsidP="0064798F">
      <w:pPr>
        <w:pStyle w:val="NoSpacing"/>
      </w:pPr>
    </w:p>
    <w:p w14:paraId="38FD2287" w14:textId="77777777" w:rsidR="0067711E" w:rsidRDefault="0067711E">
      <w:pPr>
        <w:rPr>
          <w:rFonts w:asciiTheme="minorHAnsi" w:hAnsiTheme="minorHAnsi"/>
        </w:rPr>
      </w:pPr>
      <w:r>
        <w:br w:type="page"/>
      </w:r>
    </w:p>
    <w:p w14:paraId="54282D03" w14:textId="5F0D19E0" w:rsidR="0064798F" w:rsidRDefault="0067711E" w:rsidP="0064798F">
      <w:pPr>
        <w:pStyle w:val="NoSpacing"/>
      </w:pPr>
      <w:r>
        <w:rPr>
          <w:noProof/>
        </w:rPr>
        <w:lastRenderedPageBreak/>
        <mc:AlternateContent>
          <mc:Choice Requires="wps">
            <w:drawing>
              <wp:anchor distT="0" distB="0" distL="114300" distR="114300" simplePos="0" relativeHeight="251659265" behindDoc="0" locked="0" layoutInCell="1" allowOverlap="1" wp14:anchorId="14A68443" wp14:editId="68A6B550">
                <wp:simplePos x="0" y="0"/>
                <wp:positionH relativeFrom="column">
                  <wp:posOffset>4031615</wp:posOffset>
                </wp:positionH>
                <wp:positionV relativeFrom="paragraph">
                  <wp:posOffset>7529830</wp:posOffset>
                </wp:positionV>
                <wp:extent cx="2590800" cy="635000"/>
                <wp:effectExtent l="0" t="0" r="0" b="0"/>
                <wp:wrapNone/>
                <wp:docPr id="1" name="Rectangle 1"/>
                <wp:cNvGraphicFramePr/>
                <a:graphic xmlns:a="http://schemas.openxmlformats.org/drawingml/2006/main">
                  <a:graphicData uri="http://schemas.microsoft.com/office/word/2010/wordprocessingShape">
                    <wps:wsp>
                      <wps:cNvSpPr/>
                      <wps:spPr>
                        <a:xfrm>
                          <a:off x="0" y="0"/>
                          <a:ext cx="2590800" cy="635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FA25E" id="Rectangle 1" o:spid="_x0000_s1026" style="position:absolute;margin-left:317.45pt;margin-top:592.9pt;width:204pt;height:50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" fillcolor="white [3212]" stroked="f" strokeweight="2pt"/>
            </w:pict>
          </mc:Fallback>
        </mc:AlternateContent>
      </w:r>
    </w:p>
    <w:p w14:paraId="7B0AB13D" w14:textId="77777777" w:rsidR="0064798F" w:rsidRDefault="0064798F" w:rsidP="0064798F">
      <w:pPr>
        <w:pStyle w:val="Tablechartdiagramheading"/>
        <w:sectPr w:rsidR="0064798F" w:rsidSect="00265EC8">
          <w:type w:val="continuous"/>
          <w:pgSz w:w="11906" w:h="16838" w:code="9"/>
          <w:pgMar w:top="3402" w:right="851" w:bottom="1361" w:left="851" w:header="539" w:footer="624" w:gutter="0"/>
          <w:pgNumType w:start="1"/>
          <w:cols w:num="2" w:space="284"/>
          <w:docGrid w:linePitch="360"/>
        </w:sectPr>
      </w:pPr>
    </w:p>
    <w:p w14:paraId="28CD1A75" w14:textId="77777777" w:rsidR="00727C45" w:rsidRDefault="00727C45" w:rsidP="008151E5">
      <w:r>
        <w:rPr>
          <w:noProof/>
        </w:rPr>
        <w:lastRenderedPageBreak/>
        <w:drawing>
          <wp:anchor distT="0" distB="0" distL="114300" distR="114300" simplePos="0" relativeHeight="251658241" behindDoc="1" locked="0" layoutInCell="1" allowOverlap="1" wp14:anchorId="0D96725C" wp14:editId="5FADEE2A">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265EC8">
      <w:type w:val="continuous"/>
      <w:pgSz w:w="11906" w:h="16838" w:code="9"/>
      <w:pgMar w:top="3402" w:right="851" w:bottom="1361" w:left="851" w:header="539" w:footer="624" w:gutter="0"/>
      <w:cols w:num="2"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0308E" w14:textId="77777777" w:rsidR="00E60C8D" w:rsidRDefault="00E60C8D" w:rsidP="008151E5">
      <w:r>
        <w:separator/>
      </w:r>
    </w:p>
  </w:endnote>
  <w:endnote w:type="continuationSeparator" w:id="0">
    <w:p w14:paraId="3D2B1CC0" w14:textId="77777777" w:rsidR="00E60C8D" w:rsidRDefault="00E60C8D" w:rsidP="008151E5">
      <w:r>
        <w:continuationSeparator/>
      </w:r>
    </w:p>
  </w:endnote>
  <w:endnote w:type="continuationNotice" w:id="1">
    <w:p w14:paraId="63252B43" w14:textId="77777777" w:rsidR="00E60C8D" w:rsidRDefault="00E60C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20C5" w14:textId="1212DCE7" w:rsidR="00265EC8" w:rsidRDefault="00265EC8" w:rsidP="008151E5">
    <w:pPr>
      <w:pStyle w:val="FooterEven"/>
      <w:framePr w:wrap="around"/>
    </w:pPr>
    <w:r>
      <w:rPr>
        <w:noProof w:val="0"/>
      </w:rPr>
      <w:fldChar w:fldCharType="begin"/>
    </w:r>
    <w:r>
      <w:instrText xml:space="preserve"> PAGE   \* MERGEFORMAT </w:instrText>
    </w:r>
    <w:r>
      <w:rPr>
        <w:noProof w:val="0"/>
      </w:rPr>
      <w:fldChar w:fldCharType="separate"/>
    </w:r>
    <w:r w:rsidR="00465BF2">
      <w:t>4</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EndPr/>
      <w:sdtContent>
        <w:r w:rsidR="008151E5">
          <w:t>Palliative sedation therapy</w:t>
        </w:r>
      </w:sdtContent>
    </w:sdt>
    <w:r w:rsidR="003B7B6F">
      <w:t xml:space="preserve"> </w:t>
    </w:r>
    <w:r>
      <w:drawing>
        <wp:anchor distT="0" distB="0" distL="114300" distR="114300" simplePos="0" relativeHeight="251658241" behindDoc="0" locked="0" layoutInCell="1" allowOverlap="1" wp14:anchorId="0DEE30CD" wp14:editId="05D2E265">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6406F6DD" w14:textId="77777777" w:rsidR="002A5891" w:rsidRPr="002A5891" w:rsidRDefault="002A5891" w:rsidP="00815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B600" w14:textId="43E04E1A" w:rsidR="00CB3976" w:rsidRDefault="00580B83" w:rsidP="008151E5">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EndPr/>
      <w:sdtContent>
        <w:r w:rsidR="008151E5">
          <w:t>Palliative sedation therapy</w:t>
        </w:r>
      </w:sdtContent>
    </w:sdt>
    <w:r w:rsidR="002A5891">
      <w:t> </w:t>
    </w:r>
    <w:r w:rsidR="002A5891">
      <w:t> </w:t>
    </w:r>
    <w:r w:rsidR="002A5891" w:rsidRPr="0097403D">
      <w:rPr>
        <w:b/>
      </w:rPr>
      <w:t>Safer Care Victoria</w:t>
    </w:r>
    <w:r w:rsidR="002A5891">
      <w:t> </w:t>
    </w:r>
    <w:r w:rsidR="002A5891">
      <w:t> </w:t>
    </w:r>
    <w:r w:rsidR="002A5891">
      <w:rPr>
        <w:noProof w:val="0"/>
      </w:rPr>
      <w:fldChar w:fldCharType="begin"/>
    </w:r>
    <w:r w:rsidR="002A5891">
      <w:instrText xml:space="preserve"> PAGE   \* MERGEFORMAT </w:instrText>
    </w:r>
    <w:r w:rsidR="002A5891">
      <w:rPr>
        <w:noProof w:val="0"/>
      </w:rPr>
      <w:fldChar w:fldCharType="separate"/>
    </w:r>
    <w:r w:rsidR="00465BF2">
      <w:t>5</w:t>
    </w:r>
    <w:r w:rsidR="002A5891">
      <w:fldChar w:fldCharType="end"/>
    </w:r>
  </w:p>
  <w:p w14:paraId="2C95C198" w14:textId="77777777" w:rsidR="002A5891" w:rsidRPr="002A5891" w:rsidRDefault="002A5891" w:rsidP="00815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6872" w14:textId="77777777" w:rsidR="00CD7550" w:rsidRDefault="00CD75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7C6A" w14:textId="77777777" w:rsidR="0086277A" w:rsidRDefault="0086277A" w:rsidP="00815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C2267" w14:textId="77777777" w:rsidR="00E60C8D" w:rsidRDefault="00E60C8D" w:rsidP="008151E5"/>
  </w:footnote>
  <w:footnote w:type="continuationSeparator" w:id="0">
    <w:p w14:paraId="5BDCB19E" w14:textId="77777777" w:rsidR="00E60C8D" w:rsidRDefault="00E60C8D" w:rsidP="008151E5"/>
  </w:footnote>
  <w:footnote w:type="continuationNotice" w:id="1">
    <w:p w14:paraId="046F7645" w14:textId="77777777" w:rsidR="00E60C8D" w:rsidRDefault="00E60C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1DD3" w14:textId="77777777" w:rsidR="00CD7550" w:rsidRDefault="00CD7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AB2D" w14:textId="77777777" w:rsidR="00AC32A8" w:rsidRDefault="00AC32A8" w:rsidP="008151E5">
    <w:pPr>
      <w:pStyle w:val="Header"/>
    </w:pPr>
    <w:r>
      <w:rPr>
        <w:noProof/>
      </w:rPr>
      <w:drawing>
        <wp:anchor distT="0" distB="0" distL="114300" distR="114300" simplePos="0" relativeHeight="251658240" behindDoc="1" locked="0" layoutInCell="1" allowOverlap="1" wp14:anchorId="7B5EB875" wp14:editId="7BD74E92">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66D8" w14:textId="77777777" w:rsidR="003E5DFC" w:rsidRDefault="00255DD0" w:rsidP="0023694D">
    <w:pPr>
      <w:pStyle w:val="NoSpacing"/>
    </w:pPr>
    <w:r>
      <w:rPr>
        <w:noProof/>
      </w:rPr>
      <w:drawing>
        <wp:anchor distT="0" distB="0" distL="114300" distR="114300" simplePos="0" relativeHeight="251658242" behindDoc="1" locked="0" layoutInCell="1" allowOverlap="1" wp14:anchorId="0643FFD5" wp14:editId="79BA3843">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0F13" w14:textId="77777777" w:rsidR="0086277A" w:rsidRDefault="0086277A"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93A12AA"/>
    <w:multiLevelType w:val="multilevel"/>
    <w:tmpl w:val="D27A438C"/>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F0C13E7"/>
    <w:multiLevelType w:val="hybridMultilevel"/>
    <w:tmpl w:val="7288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5"/>
  </w:num>
  <w:num w:numId="2">
    <w:abstractNumId w:val="5"/>
  </w:num>
  <w:num w:numId="3">
    <w:abstractNumId w:val="5"/>
  </w:num>
  <w:num w:numId="4">
    <w:abstractNumId w:val="8"/>
  </w:num>
  <w:num w:numId="5">
    <w:abstractNumId w:val="1"/>
  </w:num>
  <w:num w:numId="6">
    <w:abstractNumId w:val="4"/>
  </w:num>
  <w:num w:numId="7">
    <w:abstractNumId w:val="7"/>
  </w:num>
  <w:num w:numId="8">
    <w:abstractNumId w:val="3"/>
  </w:num>
  <w:num w:numId="9">
    <w:abstractNumId w:val="3"/>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E5"/>
    <w:rsid w:val="00012F6F"/>
    <w:rsid w:val="00014213"/>
    <w:rsid w:val="00014B55"/>
    <w:rsid w:val="00020E3E"/>
    <w:rsid w:val="00023BF3"/>
    <w:rsid w:val="00026811"/>
    <w:rsid w:val="00027039"/>
    <w:rsid w:val="0004185E"/>
    <w:rsid w:val="000442F0"/>
    <w:rsid w:val="00056988"/>
    <w:rsid w:val="00072279"/>
    <w:rsid w:val="00073407"/>
    <w:rsid w:val="00075E6C"/>
    <w:rsid w:val="00081C12"/>
    <w:rsid w:val="00086347"/>
    <w:rsid w:val="00087D42"/>
    <w:rsid w:val="000A4904"/>
    <w:rsid w:val="000B29AD"/>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422CC"/>
    <w:rsid w:val="00145346"/>
    <w:rsid w:val="001617B6"/>
    <w:rsid w:val="00165E66"/>
    <w:rsid w:val="001960C5"/>
    <w:rsid w:val="00196143"/>
    <w:rsid w:val="00196B69"/>
    <w:rsid w:val="001A24FC"/>
    <w:rsid w:val="001C7BAE"/>
    <w:rsid w:val="001E1FE4"/>
    <w:rsid w:val="001E31FA"/>
    <w:rsid w:val="001E48F9"/>
    <w:rsid w:val="001E64F6"/>
    <w:rsid w:val="001E7AEB"/>
    <w:rsid w:val="00204B82"/>
    <w:rsid w:val="00222BEB"/>
    <w:rsid w:val="00225E60"/>
    <w:rsid w:val="00230BBB"/>
    <w:rsid w:val="0023202C"/>
    <w:rsid w:val="00234619"/>
    <w:rsid w:val="0023694D"/>
    <w:rsid w:val="00245043"/>
    <w:rsid w:val="002478CD"/>
    <w:rsid w:val="00255DD0"/>
    <w:rsid w:val="00257461"/>
    <w:rsid w:val="0026028E"/>
    <w:rsid w:val="00263221"/>
    <w:rsid w:val="00265EC8"/>
    <w:rsid w:val="00284FA2"/>
    <w:rsid w:val="00292D36"/>
    <w:rsid w:val="00294A5A"/>
    <w:rsid w:val="00297281"/>
    <w:rsid w:val="00297A47"/>
    <w:rsid w:val="002A5891"/>
    <w:rsid w:val="002B03F1"/>
    <w:rsid w:val="002B5E2B"/>
    <w:rsid w:val="002B6DAA"/>
    <w:rsid w:val="002C4ECB"/>
    <w:rsid w:val="002D70F7"/>
    <w:rsid w:val="002D711A"/>
    <w:rsid w:val="002D7336"/>
    <w:rsid w:val="002E3396"/>
    <w:rsid w:val="002F2953"/>
    <w:rsid w:val="0031149C"/>
    <w:rsid w:val="00340EEC"/>
    <w:rsid w:val="0036258C"/>
    <w:rsid w:val="0036778F"/>
    <w:rsid w:val="0038771C"/>
    <w:rsid w:val="003A430B"/>
    <w:rsid w:val="003A50B3"/>
    <w:rsid w:val="003A541A"/>
    <w:rsid w:val="003A6923"/>
    <w:rsid w:val="003B7B6F"/>
    <w:rsid w:val="003C2C67"/>
    <w:rsid w:val="003C2D4C"/>
    <w:rsid w:val="003C3B3A"/>
    <w:rsid w:val="003C5BA4"/>
    <w:rsid w:val="003C7395"/>
    <w:rsid w:val="003D0F10"/>
    <w:rsid w:val="003D27D1"/>
    <w:rsid w:val="003E3E26"/>
    <w:rsid w:val="003E5DFC"/>
    <w:rsid w:val="003E608A"/>
    <w:rsid w:val="003F1295"/>
    <w:rsid w:val="003F5102"/>
    <w:rsid w:val="003F76FC"/>
    <w:rsid w:val="004002EB"/>
    <w:rsid w:val="00407A79"/>
    <w:rsid w:val="0041352A"/>
    <w:rsid w:val="00422DDC"/>
    <w:rsid w:val="004231B5"/>
    <w:rsid w:val="004236C8"/>
    <w:rsid w:val="00427681"/>
    <w:rsid w:val="00433DB7"/>
    <w:rsid w:val="00453750"/>
    <w:rsid w:val="00456941"/>
    <w:rsid w:val="00465BF2"/>
    <w:rsid w:val="004702EA"/>
    <w:rsid w:val="0048259C"/>
    <w:rsid w:val="00482D02"/>
    <w:rsid w:val="00484326"/>
    <w:rsid w:val="00490369"/>
    <w:rsid w:val="004A7519"/>
    <w:rsid w:val="004B3DBC"/>
    <w:rsid w:val="004B64B1"/>
    <w:rsid w:val="004C6C48"/>
    <w:rsid w:val="004D01AC"/>
    <w:rsid w:val="004D3518"/>
    <w:rsid w:val="004D62D6"/>
    <w:rsid w:val="004D6898"/>
    <w:rsid w:val="004E251D"/>
    <w:rsid w:val="004F3F4E"/>
    <w:rsid w:val="0050356B"/>
    <w:rsid w:val="00510167"/>
    <w:rsid w:val="00513E86"/>
    <w:rsid w:val="005306A2"/>
    <w:rsid w:val="0053416C"/>
    <w:rsid w:val="00540588"/>
    <w:rsid w:val="00541C2F"/>
    <w:rsid w:val="00551B95"/>
    <w:rsid w:val="00552DE4"/>
    <w:rsid w:val="00563527"/>
    <w:rsid w:val="0057407A"/>
    <w:rsid w:val="00580B83"/>
    <w:rsid w:val="0058124E"/>
    <w:rsid w:val="005875A3"/>
    <w:rsid w:val="005953EA"/>
    <w:rsid w:val="005A3416"/>
    <w:rsid w:val="005A6325"/>
    <w:rsid w:val="005B27FE"/>
    <w:rsid w:val="005B76DF"/>
    <w:rsid w:val="005B79CB"/>
    <w:rsid w:val="005E08D7"/>
    <w:rsid w:val="005E2B6E"/>
    <w:rsid w:val="005E4C16"/>
    <w:rsid w:val="005E5947"/>
    <w:rsid w:val="005F15F1"/>
    <w:rsid w:val="005F61DF"/>
    <w:rsid w:val="0060163A"/>
    <w:rsid w:val="006023F9"/>
    <w:rsid w:val="00610559"/>
    <w:rsid w:val="00614076"/>
    <w:rsid w:val="00632F2E"/>
    <w:rsid w:val="006332F6"/>
    <w:rsid w:val="006413F2"/>
    <w:rsid w:val="0064798F"/>
    <w:rsid w:val="006534B2"/>
    <w:rsid w:val="0065615D"/>
    <w:rsid w:val="00657011"/>
    <w:rsid w:val="006650B5"/>
    <w:rsid w:val="006651B1"/>
    <w:rsid w:val="00665778"/>
    <w:rsid w:val="00676E5F"/>
    <w:rsid w:val="0067711E"/>
    <w:rsid w:val="0069041D"/>
    <w:rsid w:val="006945CA"/>
    <w:rsid w:val="006A3309"/>
    <w:rsid w:val="006A3A5A"/>
    <w:rsid w:val="006A5B34"/>
    <w:rsid w:val="006C77A9"/>
    <w:rsid w:val="006D4720"/>
    <w:rsid w:val="006E391A"/>
    <w:rsid w:val="006E6CDF"/>
    <w:rsid w:val="006F37F2"/>
    <w:rsid w:val="006F6693"/>
    <w:rsid w:val="00701E35"/>
    <w:rsid w:val="00707FE8"/>
    <w:rsid w:val="00714AAE"/>
    <w:rsid w:val="00724962"/>
    <w:rsid w:val="00724A0F"/>
    <w:rsid w:val="00726D2F"/>
    <w:rsid w:val="00727C45"/>
    <w:rsid w:val="00736732"/>
    <w:rsid w:val="00740019"/>
    <w:rsid w:val="00746426"/>
    <w:rsid w:val="00750BF9"/>
    <w:rsid w:val="00750CBE"/>
    <w:rsid w:val="007650D2"/>
    <w:rsid w:val="00766B5A"/>
    <w:rsid w:val="00772209"/>
    <w:rsid w:val="007770A5"/>
    <w:rsid w:val="007834F2"/>
    <w:rsid w:val="00791020"/>
    <w:rsid w:val="007A04D2"/>
    <w:rsid w:val="007A5F82"/>
    <w:rsid w:val="007C4073"/>
    <w:rsid w:val="007D5F9E"/>
    <w:rsid w:val="007E098F"/>
    <w:rsid w:val="007E3BA2"/>
    <w:rsid w:val="007F05A8"/>
    <w:rsid w:val="007F1A4C"/>
    <w:rsid w:val="007F723F"/>
    <w:rsid w:val="008022C3"/>
    <w:rsid w:val="008041E6"/>
    <w:rsid w:val="008065D2"/>
    <w:rsid w:val="008116D8"/>
    <w:rsid w:val="008136B4"/>
    <w:rsid w:val="008151E5"/>
    <w:rsid w:val="00815A8A"/>
    <w:rsid w:val="0082194C"/>
    <w:rsid w:val="008222FF"/>
    <w:rsid w:val="008241FF"/>
    <w:rsid w:val="008411E9"/>
    <w:rsid w:val="00841617"/>
    <w:rsid w:val="0084200F"/>
    <w:rsid w:val="00843B2C"/>
    <w:rsid w:val="00844F16"/>
    <w:rsid w:val="00855FF9"/>
    <w:rsid w:val="0086277A"/>
    <w:rsid w:val="008668A8"/>
    <w:rsid w:val="008768AD"/>
    <w:rsid w:val="00880AC4"/>
    <w:rsid w:val="00897447"/>
    <w:rsid w:val="008A39CF"/>
    <w:rsid w:val="008A4900"/>
    <w:rsid w:val="008A55FE"/>
    <w:rsid w:val="008B146D"/>
    <w:rsid w:val="008B42AD"/>
    <w:rsid w:val="008B5666"/>
    <w:rsid w:val="008D0281"/>
    <w:rsid w:val="008D5BA3"/>
    <w:rsid w:val="008E2348"/>
    <w:rsid w:val="008F6D45"/>
    <w:rsid w:val="00922944"/>
    <w:rsid w:val="00936479"/>
    <w:rsid w:val="00937A10"/>
    <w:rsid w:val="00966115"/>
    <w:rsid w:val="009834C0"/>
    <w:rsid w:val="0098432D"/>
    <w:rsid w:val="00986AAC"/>
    <w:rsid w:val="009945B6"/>
    <w:rsid w:val="00995526"/>
    <w:rsid w:val="009A1DA2"/>
    <w:rsid w:val="009A3704"/>
    <w:rsid w:val="009A4739"/>
    <w:rsid w:val="009A674F"/>
    <w:rsid w:val="009A6D22"/>
    <w:rsid w:val="009B199C"/>
    <w:rsid w:val="009B61F1"/>
    <w:rsid w:val="009B62E0"/>
    <w:rsid w:val="009C3D88"/>
    <w:rsid w:val="009D159B"/>
    <w:rsid w:val="009E1651"/>
    <w:rsid w:val="009E3858"/>
    <w:rsid w:val="009E467D"/>
    <w:rsid w:val="009E70DD"/>
    <w:rsid w:val="009F2ED9"/>
    <w:rsid w:val="009F3231"/>
    <w:rsid w:val="009F5C58"/>
    <w:rsid w:val="00A023A0"/>
    <w:rsid w:val="00A05EBC"/>
    <w:rsid w:val="00A1562B"/>
    <w:rsid w:val="00A170F4"/>
    <w:rsid w:val="00A21408"/>
    <w:rsid w:val="00A21CFD"/>
    <w:rsid w:val="00A24A37"/>
    <w:rsid w:val="00A25B78"/>
    <w:rsid w:val="00A263E2"/>
    <w:rsid w:val="00A46288"/>
    <w:rsid w:val="00A46BA8"/>
    <w:rsid w:val="00A47634"/>
    <w:rsid w:val="00A50725"/>
    <w:rsid w:val="00A612FE"/>
    <w:rsid w:val="00A70B49"/>
    <w:rsid w:val="00A92D94"/>
    <w:rsid w:val="00AA26B8"/>
    <w:rsid w:val="00AC0B87"/>
    <w:rsid w:val="00AC2624"/>
    <w:rsid w:val="00AC32A8"/>
    <w:rsid w:val="00AD7E4E"/>
    <w:rsid w:val="00AF4D58"/>
    <w:rsid w:val="00AF6666"/>
    <w:rsid w:val="00AF7BC5"/>
    <w:rsid w:val="00B055E8"/>
    <w:rsid w:val="00B81B44"/>
    <w:rsid w:val="00B9053B"/>
    <w:rsid w:val="00BA0C37"/>
    <w:rsid w:val="00BA3782"/>
    <w:rsid w:val="00BB4D98"/>
    <w:rsid w:val="00BB4EBF"/>
    <w:rsid w:val="00BB59E0"/>
    <w:rsid w:val="00BC3422"/>
    <w:rsid w:val="00BC6E19"/>
    <w:rsid w:val="00BD11C2"/>
    <w:rsid w:val="00BD5018"/>
    <w:rsid w:val="00BE5ADC"/>
    <w:rsid w:val="00BF3854"/>
    <w:rsid w:val="00BF4F96"/>
    <w:rsid w:val="00C015B9"/>
    <w:rsid w:val="00C022F9"/>
    <w:rsid w:val="00C032EA"/>
    <w:rsid w:val="00C06EB5"/>
    <w:rsid w:val="00C1145F"/>
    <w:rsid w:val="00C11CD1"/>
    <w:rsid w:val="00C15C52"/>
    <w:rsid w:val="00C32D49"/>
    <w:rsid w:val="00C33AD3"/>
    <w:rsid w:val="00C41B3C"/>
    <w:rsid w:val="00C43F06"/>
    <w:rsid w:val="00C44725"/>
    <w:rsid w:val="00C51C01"/>
    <w:rsid w:val="00C637E1"/>
    <w:rsid w:val="00C67EAC"/>
    <w:rsid w:val="00C70D50"/>
    <w:rsid w:val="00C72252"/>
    <w:rsid w:val="00C907D7"/>
    <w:rsid w:val="00C92338"/>
    <w:rsid w:val="00C954FA"/>
    <w:rsid w:val="00CA05DC"/>
    <w:rsid w:val="00CA7B47"/>
    <w:rsid w:val="00CB3976"/>
    <w:rsid w:val="00CB5275"/>
    <w:rsid w:val="00CD0307"/>
    <w:rsid w:val="00CD3D1B"/>
    <w:rsid w:val="00CD7550"/>
    <w:rsid w:val="00D02663"/>
    <w:rsid w:val="00D0633E"/>
    <w:rsid w:val="00D12E74"/>
    <w:rsid w:val="00D2312F"/>
    <w:rsid w:val="00D23B04"/>
    <w:rsid w:val="00D269C1"/>
    <w:rsid w:val="00D30DCE"/>
    <w:rsid w:val="00D41B2F"/>
    <w:rsid w:val="00D44953"/>
    <w:rsid w:val="00D542F3"/>
    <w:rsid w:val="00D54513"/>
    <w:rsid w:val="00D54AAE"/>
    <w:rsid w:val="00D55970"/>
    <w:rsid w:val="00D5644B"/>
    <w:rsid w:val="00D56E25"/>
    <w:rsid w:val="00D57E89"/>
    <w:rsid w:val="00D6560D"/>
    <w:rsid w:val="00D65D77"/>
    <w:rsid w:val="00D718D7"/>
    <w:rsid w:val="00D775D4"/>
    <w:rsid w:val="00D814B7"/>
    <w:rsid w:val="00D90688"/>
    <w:rsid w:val="00DA3AAD"/>
    <w:rsid w:val="00DB1478"/>
    <w:rsid w:val="00DB312B"/>
    <w:rsid w:val="00DC5654"/>
    <w:rsid w:val="00DC658F"/>
    <w:rsid w:val="00DC674A"/>
    <w:rsid w:val="00DE60CC"/>
    <w:rsid w:val="00E213A3"/>
    <w:rsid w:val="00E26B32"/>
    <w:rsid w:val="00E31CD4"/>
    <w:rsid w:val="00E31E60"/>
    <w:rsid w:val="00E33E08"/>
    <w:rsid w:val="00E407B6"/>
    <w:rsid w:val="00E41EF1"/>
    <w:rsid w:val="00E42942"/>
    <w:rsid w:val="00E60C8D"/>
    <w:rsid w:val="00E63564"/>
    <w:rsid w:val="00E65A0A"/>
    <w:rsid w:val="00E71BDF"/>
    <w:rsid w:val="00E75CCB"/>
    <w:rsid w:val="00E77E60"/>
    <w:rsid w:val="00E8245B"/>
    <w:rsid w:val="00E82C21"/>
    <w:rsid w:val="00E82F59"/>
    <w:rsid w:val="00E83CA7"/>
    <w:rsid w:val="00E92192"/>
    <w:rsid w:val="00E95A71"/>
    <w:rsid w:val="00EB7014"/>
    <w:rsid w:val="00EC5CDE"/>
    <w:rsid w:val="00ED3077"/>
    <w:rsid w:val="00ED487E"/>
    <w:rsid w:val="00ED64F1"/>
    <w:rsid w:val="00EE33A1"/>
    <w:rsid w:val="00EE7A0D"/>
    <w:rsid w:val="00F0222C"/>
    <w:rsid w:val="00F12312"/>
    <w:rsid w:val="00F17CE1"/>
    <w:rsid w:val="00F2115C"/>
    <w:rsid w:val="00F22ABA"/>
    <w:rsid w:val="00F25F4B"/>
    <w:rsid w:val="00F36B12"/>
    <w:rsid w:val="00F60F9F"/>
    <w:rsid w:val="00F64F08"/>
    <w:rsid w:val="00F70055"/>
    <w:rsid w:val="00F734F5"/>
    <w:rsid w:val="00F73B5B"/>
    <w:rsid w:val="00F90EA5"/>
    <w:rsid w:val="00F91F5A"/>
    <w:rsid w:val="00F966B1"/>
    <w:rsid w:val="00F97D48"/>
    <w:rsid w:val="00FA0311"/>
    <w:rsid w:val="00FA1489"/>
    <w:rsid w:val="00FD50F0"/>
    <w:rsid w:val="00FD640F"/>
    <w:rsid w:val="00FD6B4C"/>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61A7D4"/>
  <w15:docId w15:val="{C4A34208-0425-4C3E-8E3D-F3ACDB7F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99"/>
    <w:lsdException w:name="toc 5" w:semiHidden="1"/>
    <w:lsdException w:name="toc 6" w:semiHidden="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uiPriority="9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8151E5"/>
    <w:rPr>
      <w:rFonts w:ascii="VIC" w:hAnsi="VIC"/>
    </w:rPr>
  </w:style>
  <w:style w:type="paragraph" w:styleId="Heading1">
    <w:name w:val="heading 1"/>
    <w:basedOn w:val="Normal"/>
    <w:next w:val="Normalfollowingheading"/>
    <w:link w:val="Heading1Char"/>
    <w:qFormat/>
    <w:rsid w:val="008151E5"/>
    <w:pPr>
      <w:keepNext/>
      <w:keepLines/>
      <w:framePr w:wrap="around" w:vAnchor="page" w:hAnchor="margin" w:y="1022"/>
      <w:spacing w:before="0" w:after="120" w:line="240" w:lineRule="auto"/>
      <w:outlineLvl w:val="0"/>
    </w:pPr>
    <w:rPr>
      <w:rFonts w:ascii="VIC SemiBold" w:eastAsiaTheme="majorEastAsia" w:hAnsi="VIC SemiBold" w:cstheme="majorBidi"/>
      <w:color w:val="007586" w:themeColor="text2"/>
      <w:spacing w:val="-1"/>
      <w:sz w:val="48"/>
      <w:szCs w:val="28"/>
    </w:rPr>
  </w:style>
  <w:style w:type="paragraph" w:styleId="Heading2">
    <w:name w:val="heading 2"/>
    <w:basedOn w:val="Normal"/>
    <w:next w:val="Normalfollowingheading"/>
    <w:link w:val="Heading2Char"/>
    <w:qFormat/>
    <w:rsid w:val="008151E5"/>
    <w:pPr>
      <w:keepNext/>
      <w:keepLines/>
      <w:spacing w:before="280" w:after="60" w:line="240" w:lineRule="auto"/>
      <w:outlineLvl w:val="1"/>
    </w:pPr>
    <w:rPr>
      <w:rFonts w:ascii="VIC SemiBold" w:eastAsiaTheme="majorEastAsia" w:hAnsi="VIC SemiBold" w:cstheme="majorBidi"/>
      <w:caps/>
      <w:color w:val="007586" w:themeColor="text2"/>
      <w:sz w:val="24"/>
      <w:szCs w:val="26"/>
    </w:rPr>
  </w:style>
  <w:style w:type="paragraph" w:styleId="Heading3">
    <w:name w:val="heading 3"/>
    <w:basedOn w:val="Normal"/>
    <w:next w:val="Normalfollowingheading"/>
    <w:link w:val="Heading3Char"/>
    <w:qFormat/>
    <w:rsid w:val="008151E5"/>
    <w:pPr>
      <w:keepNext/>
      <w:keepLines/>
      <w:spacing w:before="240" w:after="50" w:line="240" w:lineRule="auto"/>
      <w:outlineLvl w:val="2"/>
    </w:pPr>
    <w:rPr>
      <w:rFonts w:ascii="VIC SemiBold" w:eastAsiaTheme="majorEastAsia" w:hAnsi="VIC SemiBold" w:cstheme="majorBidi"/>
      <w:noProof/>
      <w:color w:val="000000" w:themeColor="text1"/>
      <w:sz w:val="24"/>
      <w:szCs w:val="22"/>
      <w:lang w:eastAsia="en-US"/>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8151E5"/>
    <w:rPr>
      <w:rFonts w:ascii="VIC SemiBold" w:eastAsiaTheme="majorEastAsia" w:hAnsi="VIC SemiBold" w:cstheme="majorBidi"/>
      <w:color w:val="007586" w:themeColor="text2"/>
      <w:spacing w:val="-1"/>
      <w:sz w:val="48"/>
      <w:szCs w:val="28"/>
    </w:rPr>
  </w:style>
  <w:style w:type="character" w:customStyle="1" w:styleId="Heading2Char">
    <w:name w:val="Heading 2 Char"/>
    <w:basedOn w:val="DefaultParagraphFont"/>
    <w:link w:val="Heading2"/>
    <w:rsid w:val="008151E5"/>
    <w:rPr>
      <w:rFonts w:ascii="VIC SemiBold" w:eastAsiaTheme="majorEastAsia" w:hAnsi="VIC SemiBold" w:cstheme="majorBidi"/>
      <w:caps/>
      <w:color w:val="007586" w:themeColor="text2"/>
      <w:sz w:val="24"/>
      <w:szCs w:val="26"/>
    </w:rPr>
  </w:style>
  <w:style w:type="paragraph" w:customStyle="1" w:styleId="Bullet1">
    <w:name w:val="Bullet 1"/>
    <w:uiPriority w:val="1"/>
    <w:qFormat/>
    <w:rsid w:val="008151E5"/>
    <w:pPr>
      <w:numPr>
        <w:numId w:val="9"/>
      </w:numPr>
      <w:spacing w:before="60" w:after="60"/>
    </w:pPr>
    <w:rPr>
      <w:rFonts w:ascii="VIC" w:eastAsia="Times New Roman" w:hAnsi="VIC" w:cs="Calibri"/>
      <w:noProof/>
      <w:spacing w:val="2"/>
      <w:lang w:eastAsia="en-US"/>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8151E5"/>
    <w:rPr>
      <w:rFonts w:ascii="VIC SemiBold" w:eastAsiaTheme="majorEastAsia" w:hAnsi="VIC SemiBold" w:cstheme="majorBidi"/>
      <w:noProof/>
      <w:color w:val="000000" w:themeColor="text1"/>
      <w:sz w:val="24"/>
      <w:szCs w:val="22"/>
      <w:lang w:eastAsia="en-US"/>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link w:val="ListParagraphChar"/>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E1651"/>
    <w:pPr>
      <w:tabs>
        <w:tab w:val="left" w:pos="1080"/>
      </w:tabs>
      <w:spacing w:before="280" w:after="21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8151E5"/>
    <w:pPr>
      <w:spacing w:before="280" w:after="60"/>
    </w:pPr>
    <w:rPr>
      <w:rFonts w:ascii="VIC Medium" w:hAnsi="VIC Medium"/>
      <w:bCs/>
      <w:color w:val="007586" w:themeColor="text2"/>
      <w:sz w:val="22"/>
      <w:szCs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character" w:customStyle="1" w:styleId="ListParagraphChar">
    <w:name w:val="List Paragraph Char"/>
    <w:link w:val="ListParagraph"/>
    <w:uiPriority w:val="34"/>
    <w:locked/>
    <w:rsid w:val="008151E5"/>
    <w:rPr>
      <w:rFonts w:ascii="VIC" w:hAnsi="V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fercare.vi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7C8088573B4BF6B04B124109A98921"/>
        <w:category>
          <w:name w:val="General"/>
          <w:gallery w:val="placeholder"/>
        </w:category>
        <w:types>
          <w:type w:val="bbPlcHdr"/>
        </w:types>
        <w:behaviors>
          <w:behavior w:val="content"/>
        </w:behaviors>
        <w:guid w:val="{0C1AF334-D7A1-471F-8053-456E3F902607}"/>
      </w:docPartPr>
      <w:docPartBody>
        <w:p w:rsidR="00ED32AB" w:rsidRDefault="00ED32AB">
          <w:pPr>
            <w:pStyle w:val="127C8088573B4BF6B04B124109A98921"/>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AB"/>
    <w:rsid w:val="0013132D"/>
    <w:rsid w:val="006545C9"/>
    <w:rsid w:val="00743784"/>
    <w:rsid w:val="00C575E6"/>
    <w:rsid w:val="00ED32AB"/>
    <w:rsid w:val="00F938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127C8088573B4BF6B04B124109A98921">
    <w:name w:val="127C8088573B4BF6B04B124109A98921"/>
  </w:style>
  <w:style w:type="paragraph" w:customStyle="1" w:styleId="853E372DBBC44E46BB3D25A3B72A3FAF">
    <w:name w:val="853E372DBBC44E46BB3D25A3B72A3FAF"/>
  </w:style>
  <w:style w:type="paragraph" w:customStyle="1" w:styleId="000C2E2FC7DA4A97B2EE915CF80681BD">
    <w:name w:val="000C2E2FC7DA4A97B2EE915CF8068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6" ma:contentTypeDescription="Create a new document." ma:contentTypeScope="" ma:versionID="177b91d590c54fcbbcb55484cbbf5566">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890b1f636de2a1fb1ea481693e3aeb83"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0BBF-3487-4279-8C81-5A750D4B97DE}">
  <ds:schemaRefs>
    <ds:schemaRef ds:uri="http://purl.org/dc/terms/"/>
    <ds:schemaRef ds:uri="31b2e4f9-c376-4e2f-bd2e-796d1bcd5746"/>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ee2ad8a-2b33-419f-875c-ac0e4cfc6b7f"/>
    <ds:schemaRef ds:uri="http://purl.org/dc/dcmitype/"/>
  </ds:schemaRefs>
</ds:datastoreItem>
</file>

<file path=customXml/itemProps2.xml><?xml version="1.0" encoding="utf-8"?>
<ds:datastoreItem xmlns:ds="http://schemas.openxmlformats.org/officeDocument/2006/customXml" ds:itemID="{30395ABF-4386-437E-B463-84E281A1B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794FF-AA64-4433-81C2-C2DC6401929F}">
  <ds:schemaRefs>
    <ds:schemaRef ds:uri="http://schemas.microsoft.com/sharepoint/v3/contenttype/forms"/>
  </ds:schemaRefs>
</ds:datastoreItem>
</file>

<file path=customXml/itemProps4.xml><?xml version="1.0" encoding="utf-8"?>
<ds:datastoreItem xmlns:ds="http://schemas.openxmlformats.org/officeDocument/2006/customXml" ds:itemID="{3013C726-FACE-41F0-A2CF-8098FD18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Palliative sedation therapy</vt:lpstr>
    </vt:vector>
  </TitlesOfParts>
  <Company>Department of Treasury and Finance</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Palliative sedation therapy</dc:title>
  <dc:subject/>
  <dc:creator>Emma Gumbleton (DHHS)</dc:creator>
  <cp:keywords/>
  <cp:lastModifiedBy>Emma Gumbleton (DHHS)</cp:lastModifiedBy>
  <cp:revision>2</cp:revision>
  <cp:lastPrinted>2018-05-19T16:23:00Z</cp:lastPrinted>
  <dcterms:created xsi:type="dcterms:W3CDTF">2020-03-30T05:15:00Z</dcterms:created>
  <dcterms:modified xsi:type="dcterms:W3CDTF">2020-03-30T05:15:00Z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0x01010026D179483B3A4E458E2DA955233B6DD4</vt:lpwstr>
  </property>
</Properties>
</file>