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3BE46B24" w:rsidR="00A46288" w:rsidRPr="00DA3F36" w:rsidRDefault="00A40A39" w:rsidP="007A4444">
      <w:pPr>
        <w:pStyle w:val="Title"/>
      </w:pPr>
      <w:r w:rsidRPr="00A40A39">
        <w:t xml:space="preserve">Improving access and control </w:t>
      </w:r>
      <w:r>
        <w:t xml:space="preserve">for </w:t>
      </w:r>
      <w:r w:rsidRPr="00A40A39">
        <w:t xml:space="preserve">pain management </w:t>
      </w:r>
      <w:r>
        <w:t>clients</w:t>
      </w:r>
    </w:p>
    <w:p w14:paraId="6800B4C5" w14:textId="3D32AD07" w:rsidR="00897157" w:rsidRDefault="00690823" w:rsidP="00E03F35">
      <w:pPr>
        <w:pStyle w:val="IntroductoryText"/>
      </w:pPr>
      <w:r>
        <w:t xml:space="preserve">Patients </w:t>
      </w:r>
      <w:r w:rsidR="00BC0764">
        <w:t xml:space="preserve">who find it challenging to </w:t>
      </w:r>
      <w:r w:rsidR="00A90F99">
        <w:t xml:space="preserve">attend </w:t>
      </w:r>
      <w:r w:rsidR="00BC0764">
        <w:t>Austin Health’s Pain Service</w:t>
      </w:r>
      <w:r w:rsidR="00943D1D">
        <w:t xml:space="preserve"> will soon have a new way to access information and resources on </w:t>
      </w:r>
      <w:r w:rsidR="008C091B">
        <w:t xml:space="preserve">how to live with pain day-to-day through the </w:t>
      </w:r>
      <w:r w:rsidR="00212E62" w:rsidRPr="00212E62">
        <w:t>Live better! online learning management system.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03F000BB" w14:textId="709AC8E0" w:rsidR="00B70B4E" w:rsidRDefault="00B70B4E" w:rsidP="00D02C26">
      <w:pPr>
        <w:pStyle w:val="Normalfollowingheading"/>
      </w:pPr>
      <w:r>
        <w:t>Austin Health operates a</w:t>
      </w:r>
      <w:r w:rsidR="00EA3BFF">
        <w:t xml:space="preserve"> </w:t>
      </w:r>
      <w:r>
        <w:t xml:space="preserve">community-based </w:t>
      </w:r>
      <w:r w:rsidR="00EA3BFF">
        <w:t>p</w:t>
      </w:r>
      <w:r>
        <w:t xml:space="preserve">ain </w:t>
      </w:r>
      <w:r w:rsidR="00EA3BFF">
        <w:t>s</w:t>
      </w:r>
      <w:r>
        <w:t xml:space="preserve">ervice </w:t>
      </w:r>
      <w:r w:rsidR="00EA3BFF">
        <w:t xml:space="preserve">that </w:t>
      </w:r>
      <w:r>
        <w:t>provides group education and pain management programs</w:t>
      </w:r>
      <w:r w:rsidR="00EA3BFF">
        <w:t xml:space="preserve"> </w:t>
      </w:r>
      <w:r>
        <w:t xml:space="preserve">as well as individual treatment and education from a </w:t>
      </w:r>
      <w:r w:rsidR="00EA3BFF">
        <w:t xml:space="preserve">multidisciplinary </w:t>
      </w:r>
      <w:r>
        <w:t>team of allied health, nursing and medical professionals.</w:t>
      </w:r>
    </w:p>
    <w:p w14:paraId="3E901747" w14:textId="1BDAAE3C" w:rsidR="009D7F07" w:rsidRDefault="00264389" w:rsidP="009D7F07">
      <w:r>
        <w:t>While th</w:t>
      </w:r>
      <w:r w:rsidR="009D7F07">
        <w:t xml:space="preserve">e service has been well received by clients and effective in reducing pain-related disability, </w:t>
      </w:r>
      <w:r w:rsidR="00351478">
        <w:t xml:space="preserve">steadily rising </w:t>
      </w:r>
      <w:r w:rsidR="009D7F07">
        <w:t xml:space="preserve">demand has </w:t>
      </w:r>
      <w:r w:rsidR="00351478">
        <w:t xml:space="preserve">increased </w:t>
      </w:r>
      <w:r w:rsidR="00900127">
        <w:t xml:space="preserve">the service’s </w:t>
      </w:r>
      <w:r w:rsidR="0019390A">
        <w:t>wait time</w:t>
      </w:r>
      <w:r w:rsidR="00900127">
        <w:t>s</w:t>
      </w:r>
      <w:r w:rsidR="0019390A">
        <w:t xml:space="preserve"> to three months</w:t>
      </w:r>
      <w:r w:rsidR="00900127">
        <w:t xml:space="preserve">, delaying </w:t>
      </w:r>
      <w:r w:rsidR="00755954">
        <w:t xml:space="preserve">access to education and resources that would help clients </w:t>
      </w:r>
      <w:r w:rsidR="00C81352">
        <w:t>learn how to live with persistent pain</w:t>
      </w:r>
      <w:r w:rsidR="0019390A">
        <w:t xml:space="preserve">. </w:t>
      </w:r>
    </w:p>
    <w:p w14:paraId="5EE1B4E2" w14:textId="4D759974" w:rsidR="00D02C26" w:rsidRDefault="006922E1" w:rsidP="0073166D">
      <w:r>
        <w:t>C</w:t>
      </w:r>
      <w:r w:rsidR="003523CD">
        <w:t>lients have reported that the</w:t>
      </w:r>
      <w:r w:rsidR="00D02C26">
        <w:t xml:space="preserve"> long wait time</w:t>
      </w:r>
      <w:r w:rsidR="00975801">
        <w:t>s</w:t>
      </w:r>
      <w:r w:rsidR="00D02C26">
        <w:t xml:space="preserve"> </w:t>
      </w:r>
      <w:r>
        <w:t xml:space="preserve">can be very </w:t>
      </w:r>
      <w:r w:rsidR="00D02C26">
        <w:t>difficult</w:t>
      </w:r>
      <w:r w:rsidR="005A7C96">
        <w:t xml:space="preserve">, leaving them feeling anxious, isolated and alone. </w:t>
      </w:r>
      <w:r w:rsidR="00A92F03">
        <w:t xml:space="preserve">They have also said the </w:t>
      </w:r>
      <w:r w:rsidR="00D02C26">
        <w:t xml:space="preserve">group education program </w:t>
      </w:r>
      <w:r w:rsidR="00A92F03">
        <w:t xml:space="preserve">does not </w:t>
      </w:r>
      <w:r w:rsidR="00D02C26">
        <w:t xml:space="preserve">always meet their </w:t>
      </w:r>
      <w:r w:rsidR="00A92F03">
        <w:t xml:space="preserve">individual </w:t>
      </w:r>
      <w:r w:rsidR="00D02C26">
        <w:t>needs</w:t>
      </w:r>
      <w:r w:rsidR="00A92F03">
        <w:t xml:space="preserve">, that </w:t>
      </w:r>
      <w:r w:rsidR="0073166D">
        <w:t xml:space="preserve">travelling to </w:t>
      </w:r>
      <w:r w:rsidR="00A92F03">
        <w:t xml:space="preserve">the Pain Service centre </w:t>
      </w:r>
      <w:r w:rsidR="006C6864">
        <w:t xml:space="preserve">for education </w:t>
      </w:r>
      <w:r w:rsidR="00A92F03">
        <w:t>can be challenging</w:t>
      </w:r>
      <w:r w:rsidR="0073166D">
        <w:t xml:space="preserve">, and </w:t>
      </w:r>
      <w:r w:rsidR="00EF3C2E">
        <w:t xml:space="preserve">that </w:t>
      </w:r>
      <w:r w:rsidR="005F7A7E">
        <w:t xml:space="preserve">the service’s communication with clients </w:t>
      </w:r>
      <w:r w:rsidR="007A4B6C">
        <w:t xml:space="preserve">throughout their journey </w:t>
      </w:r>
      <w:r w:rsidR="005F7A7E">
        <w:t>could be improved</w:t>
      </w:r>
      <w:r w:rsidR="00E1766E">
        <w:t xml:space="preserve">. </w:t>
      </w:r>
    </w:p>
    <w:p w14:paraId="2381891F" w14:textId="6E52925E" w:rsidR="00192617" w:rsidRDefault="000B0606" w:rsidP="00512D03">
      <w:r>
        <w:t xml:space="preserve">Austin Health plans to build an online </w:t>
      </w:r>
      <w:r w:rsidR="007B36FB" w:rsidRPr="00212E62">
        <w:t>learning management system</w:t>
      </w:r>
      <w:r w:rsidR="007B36FB">
        <w:t xml:space="preserve"> (LMS) </w:t>
      </w:r>
      <w:r w:rsidR="00100908">
        <w:t>that will provide clients with</w:t>
      </w:r>
      <w:r>
        <w:t xml:space="preserve"> </w:t>
      </w:r>
      <w:r w:rsidR="00C4693F">
        <w:t xml:space="preserve">earlier access to </w:t>
      </w:r>
      <w:r w:rsidR="005E410D">
        <w:t xml:space="preserve">education, </w:t>
      </w:r>
      <w:r w:rsidR="00C4693F">
        <w:t>care and clinical support</w:t>
      </w:r>
      <w:r w:rsidR="00A64AC5">
        <w:t xml:space="preserve">, enabling them to </w:t>
      </w:r>
      <w:r w:rsidR="00C4693F">
        <w:t xml:space="preserve">better manage their pain in their own home and community. </w:t>
      </w:r>
    </w:p>
    <w:p w14:paraId="2A222537" w14:textId="77777777" w:rsidR="00F135E7" w:rsidRDefault="00192617" w:rsidP="00C72D10">
      <w:r>
        <w:t>In addition to improving health outcomes, t</w:t>
      </w:r>
      <w:r w:rsidR="009D7A28">
        <w:t xml:space="preserve">he </w:t>
      </w:r>
      <w:r w:rsidR="00C41994">
        <w:t>project</w:t>
      </w:r>
      <w:r w:rsidR="009D7A28">
        <w:t xml:space="preserve"> </w:t>
      </w:r>
      <w:r w:rsidR="00D85256">
        <w:t>aim</w:t>
      </w:r>
      <w:r>
        <w:t>s</w:t>
      </w:r>
      <w:r w:rsidR="00D85256">
        <w:t xml:space="preserve"> to provide clients with a better</w:t>
      </w:r>
      <w:r w:rsidR="007E303A">
        <w:t>,</w:t>
      </w:r>
      <w:r w:rsidR="00D85256">
        <w:t xml:space="preserve"> </w:t>
      </w:r>
      <w:r w:rsidR="007E303A" w:rsidRPr="00D4093E">
        <w:t xml:space="preserve">person-centred </w:t>
      </w:r>
      <w:r w:rsidR="00D85256">
        <w:t>experience</w:t>
      </w:r>
      <w:r w:rsidR="003D6305">
        <w:t xml:space="preserve"> – </w:t>
      </w:r>
      <w:r w:rsidR="00C72D10">
        <w:t xml:space="preserve">while waiting to access </w:t>
      </w:r>
      <w:r w:rsidR="001F6F89">
        <w:t>the service</w:t>
      </w:r>
      <w:r w:rsidR="003D6305">
        <w:t>, during</w:t>
      </w:r>
      <w:r w:rsidR="001F6F89">
        <w:t xml:space="preserve"> the program,</w:t>
      </w:r>
      <w:r w:rsidR="003D6305">
        <w:t xml:space="preserve"> and after </w:t>
      </w:r>
      <w:r w:rsidR="001F6F89">
        <w:t>being discharged</w:t>
      </w:r>
      <w:r w:rsidR="003D6305">
        <w:t>.</w:t>
      </w:r>
      <w:r w:rsidR="0011418A">
        <w:t xml:space="preserve"> </w:t>
      </w:r>
    </w:p>
    <w:p w14:paraId="444E5032" w14:textId="26952BAC" w:rsidR="00EC7F2A" w:rsidRPr="00C821CE" w:rsidRDefault="00547CD6" w:rsidP="00C72D10">
      <w:pPr>
        <w:rPr>
          <w:i/>
          <w:iCs/>
        </w:rPr>
      </w:pPr>
      <w:r>
        <w:t xml:space="preserve">The </w:t>
      </w:r>
      <w:r w:rsidR="00533A47">
        <w:t xml:space="preserve">new </w:t>
      </w:r>
      <w:r w:rsidR="00F135E7">
        <w:t xml:space="preserve">Live better! LMS </w:t>
      </w:r>
      <w:r>
        <w:t xml:space="preserve">platform </w:t>
      </w:r>
      <w:r w:rsidR="00F135E7">
        <w:t xml:space="preserve">and online program </w:t>
      </w:r>
      <w:r>
        <w:t xml:space="preserve">will </w:t>
      </w:r>
      <w:r w:rsidR="006D7684">
        <w:t xml:space="preserve">allow </w:t>
      </w:r>
      <w:r>
        <w:t xml:space="preserve">clients </w:t>
      </w:r>
      <w:r w:rsidR="006D7684">
        <w:t xml:space="preserve">to access the </w:t>
      </w:r>
      <w:r>
        <w:t>information</w:t>
      </w:r>
      <w:r w:rsidR="006D7684">
        <w:t>, education</w:t>
      </w:r>
      <w:r>
        <w:t xml:space="preserve"> and resources they need </w:t>
      </w:r>
      <w:r w:rsidR="003C1151">
        <w:t xml:space="preserve">in a way that suits their individual circumstances and preferences. </w:t>
      </w:r>
      <w:r w:rsidR="00A2160F">
        <w:br w:type="column"/>
      </w:r>
      <w:r w:rsidR="00C7098C" w:rsidRPr="00C821CE">
        <w:rPr>
          <w:i/>
          <w:iCs/>
          <w:noProof/>
        </w:rPr>
        <mc:AlternateContent>
          <mc:Choice Requires="wps">
            <w:drawing>
              <wp:inline distT="0" distB="0" distL="0" distR="0" wp14:anchorId="7E5AC192" wp14:editId="57A91E5E">
                <wp:extent cx="3230245" cy="4063041"/>
                <wp:effectExtent l="0" t="0" r="27305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4063041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F259" w14:textId="5B7EE66B" w:rsidR="00105930" w:rsidRDefault="00105930" w:rsidP="00C7098C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r w:rsidRPr="00105930">
                              <w:rPr>
                                <w:b/>
                                <w:sz w:val="24"/>
                              </w:rPr>
                              <w:t xml:space="preserve">Live </w:t>
                            </w:r>
                            <w:r w:rsidR="00557381">
                              <w:rPr>
                                <w:b/>
                                <w:sz w:val="24"/>
                              </w:rPr>
                              <w:t>b</w:t>
                            </w:r>
                            <w:r w:rsidRPr="00105930">
                              <w:rPr>
                                <w:b/>
                                <w:sz w:val="24"/>
                              </w:rPr>
                              <w:t xml:space="preserve">etter!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105930">
                              <w:rPr>
                                <w:b/>
                                <w:sz w:val="24"/>
                              </w:rPr>
                              <w:t xml:space="preserve">ersistent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105930">
                              <w:rPr>
                                <w:b/>
                                <w:sz w:val="24"/>
                              </w:rPr>
                              <w:t xml:space="preserve">ain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learning management system</w:t>
                            </w:r>
                          </w:p>
                          <w:p w14:paraId="3BCE2E88" w14:textId="70E1FF70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1D1ACB">
                              <w:t>Austin Health</w:t>
                            </w:r>
                          </w:p>
                          <w:p w14:paraId="59A54D14" w14:textId="68C56A81" w:rsidR="00C7098C" w:rsidRPr="001D1ACB" w:rsidRDefault="00771BE6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Funding round</w:t>
                            </w:r>
                            <w:r w:rsidR="001D1A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D1ACB">
                              <w:t>2019–20</w:t>
                            </w:r>
                          </w:p>
                          <w:p w14:paraId="6EE4B1E8" w14:textId="0A612668" w:rsidR="00771BE6" w:rsidRPr="001D1ACB" w:rsidRDefault="00771BE6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Status</w:t>
                            </w:r>
                            <w:r w:rsidR="001D1A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D1ACB">
                              <w:t>In progress</w:t>
                            </w:r>
                          </w:p>
                          <w:p w14:paraId="29DC0549" w14:textId="6093B5B2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473F55DD" w14:textId="77A69E8C" w:rsidR="00D76DF3" w:rsidRDefault="00A105CA" w:rsidP="00771BE6">
                            <w:pPr>
                              <w:pStyle w:val="Bullet1"/>
                            </w:pPr>
                            <w:r>
                              <w:t xml:space="preserve">Reduce </w:t>
                            </w:r>
                            <w:r w:rsidR="00495D84">
                              <w:t xml:space="preserve">the </w:t>
                            </w:r>
                            <w:r w:rsidR="00F135E7">
                              <w:t xml:space="preserve">wait </w:t>
                            </w:r>
                            <w:r w:rsidR="00495D84">
                              <w:t xml:space="preserve">time </w:t>
                            </w:r>
                            <w:r w:rsidR="00F135E7">
                              <w:t xml:space="preserve">for patients to access the Pain Service’s </w:t>
                            </w:r>
                            <w:r w:rsidR="00495D84">
                              <w:t>education and self-management strategies</w:t>
                            </w:r>
                          </w:p>
                          <w:p w14:paraId="00AECB48" w14:textId="4E1D6628" w:rsidR="008F584A" w:rsidRDefault="008F584A" w:rsidP="008F584A">
                            <w:pPr>
                              <w:pStyle w:val="Bullet1"/>
                            </w:pPr>
                            <w:r>
                              <w:t>Improve access to the Pain Service for those who are unable to attend the centre-based programs</w:t>
                            </w:r>
                          </w:p>
                          <w:p w14:paraId="13417066" w14:textId="58E4EBC4" w:rsidR="00BA3896" w:rsidRDefault="00BA3896" w:rsidP="00BA3896">
                            <w:pPr>
                              <w:pStyle w:val="Bullet1"/>
                            </w:pPr>
                            <w:r>
                              <w:t xml:space="preserve">Deliver positive </w:t>
                            </w:r>
                            <w:r w:rsidR="00F135E7">
                              <w:t xml:space="preserve">health </w:t>
                            </w:r>
                            <w:r>
                              <w:t xml:space="preserve">outcomes through the </w:t>
                            </w:r>
                            <w:r w:rsidR="002A3CF6">
                              <w:t xml:space="preserve">LMS </w:t>
                            </w:r>
                            <w:r>
                              <w:t xml:space="preserve">that are comparable to those </w:t>
                            </w:r>
                            <w:r w:rsidR="00EE270D">
                              <w:t xml:space="preserve">achieved </w:t>
                            </w:r>
                            <w:r>
                              <w:t>by the centre-based programs</w:t>
                            </w:r>
                          </w:p>
                          <w:p w14:paraId="50DB1CA9" w14:textId="5F505897" w:rsidR="00D76DF3" w:rsidRPr="00911408" w:rsidRDefault="00BA3896" w:rsidP="00493532">
                            <w:pPr>
                              <w:pStyle w:val="Bullet1"/>
                            </w:pPr>
                            <w:r>
                              <w:t>Improve the patient experience</w:t>
                            </w:r>
                            <w:r w:rsidR="00EE270D">
                              <w:t xml:space="preserve"> by providing more flexible, accessible</w:t>
                            </w:r>
                            <w:r w:rsidR="0027789D">
                              <w:t xml:space="preserve"> and</w:t>
                            </w:r>
                            <w:r w:rsidR="00EE270D">
                              <w:t xml:space="preserve"> client-centred education on persistent pain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" fillcolor="#feead2" strokecolor="#feead2" strokeweight=".5pt">
                <v:textbox inset="5mm,5mm,4mm,1mm">
                  <w:txbxContent>
                    <w:p w14:paraId="333CF259" w14:textId="5B7EE66B" w:rsidR="00105930" w:rsidRDefault="00105930" w:rsidP="00C7098C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r w:rsidRPr="00105930">
                        <w:rPr>
                          <w:b/>
                          <w:sz w:val="24"/>
                        </w:rPr>
                        <w:t xml:space="preserve">Live </w:t>
                      </w:r>
                      <w:r w:rsidR="00557381">
                        <w:rPr>
                          <w:b/>
                          <w:sz w:val="24"/>
                        </w:rPr>
                        <w:t>b</w:t>
                      </w:r>
                      <w:r w:rsidRPr="00105930">
                        <w:rPr>
                          <w:b/>
                          <w:sz w:val="24"/>
                        </w:rPr>
                        <w:t xml:space="preserve">etter!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105930">
                        <w:rPr>
                          <w:b/>
                          <w:sz w:val="24"/>
                        </w:rPr>
                        <w:t xml:space="preserve">ersistent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105930">
                        <w:rPr>
                          <w:b/>
                          <w:sz w:val="24"/>
                        </w:rPr>
                        <w:t xml:space="preserve">ain </w:t>
                      </w:r>
                      <w:r>
                        <w:rPr>
                          <w:b/>
                          <w:sz w:val="24"/>
                        </w:rPr>
                        <w:t>learning management system</w:t>
                      </w:r>
                    </w:p>
                    <w:p w14:paraId="3BCE2E88" w14:textId="70E1FF70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1D1ACB">
                        <w:t>Austin Health</w:t>
                      </w:r>
                    </w:p>
                    <w:p w14:paraId="59A54D14" w14:textId="68C56A81" w:rsidR="00C7098C" w:rsidRPr="001D1ACB" w:rsidRDefault="00771BE6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Funding round</w:t>
                      </w:r>
                      <w:r w:rsidR="001D1ACB">
                        <w:rPr>
                          <w:b/>
                          <w:bCs/>
                        </w:rPr>
                        <w:t xml:space="preserve"> </w:t>
                      </w:r>
                      <w:r w:rsidR="001D1ACB">
                        <w:t>2019–20</w:t>
                      </w:r>
                    </w:p>
                    <w:p w14:paraId="6EE4B1E8" w14:textId="0A612668" w:rsidR="00771BE6" w:rsidRPr="001D1ACB" w:rsidRDefault="00771BE6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Status</w:t>
                      </w:r>
                      <w:r w:rsidR="001D1ACB">
                        <w:rPr>
                          <w:b/>
                          <w:bCs/>
                        </w:rPr>
                        <w:t xml:space="preserve"> </w:t>
                      </w:r>
                      <w:r w:rsidR="001D1ACB">
                        <w:t>In progress</w:t>
                      </w:r>
                    </w:p>
                    <w:p w14:paraId="29DC0549" w14:textId="6093B5B2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Objectives</w:t>
                      </w:r>
                    </w:p>
                    <w:p w14:paraId="473F55DD" w14:textId="77A69E8C" w:rsidR="00D76DF3" w:rsidRDefault="00A105CA" w:rsidP="00771BE6">
                      <w:pPr>
                        <w:pStyle w:val="Bullet1"/>
                      </w:pPr>
                      <w:r>
                        <w:t xml:space="preserve">Reduce </w:t>
                      </w:r>
                      <w:r w:rsidR="00495D84">
                        <w:t xml:space="preserve">the </w:t>
                      </w:r>
                      <w:r w:rsidR="00F135E7">
                        <w:t xml:space="preserve">wait </w:t>
                      </w:r>
                      <w:r w:rsidR="00495D84">
                        <w:t xml:space="preserve">time </w:t>
                      </w:r>
                      <w:r w:rsidR="00F135E7">
                        <w:t xml:space="preserve">for patients to access the Pain Service’s </w:t>
                      </w:r>
                      <w:r w:rsidR="00495D84">
                        <w:t>education and self-management strategies</w:t>
                      </w:r>
                    </w:p>
                    <w:p w14:paraId="00AECB48" w14:textId="4E1D6628" w:rsidR="008F584A" w:rsidRDefault="008F584A" w:rsidP="008F584A">
                      <w:pPr>
                        <w:pStyle w:val="Bullet1"/>
                      </w:pPr>
                      <w:r>
                        <w:t>Improve access to the Pain Service for those who are unable to attend the centre-based programs</w:t>
                      </w:r>
                    </w:p>
                    <w:p w14:paraId="13417066" w14:textId="58E4EBC4" w:rsidR="00BA3896" w:rsidRDefault="00BA3896" w:rsidP="00BA3896">
                      <w:pPr>
                        <w:pStyle w:val="Bullet1"/>
                      </w:pPr>
                      <w:r>
                        <w:t xml:space="preserve">Deliver positive </w:t>
                      </w:r>
                      <w:r w:rsidR="00F135E7">
                        <w:t xml:space="preserve">health </w:t>
                      </w:r>
                      <w:r>
                        <w:t xml:space="preserve">outcomes through the </w:t>
                      </w:r>
                      <w:r w:rsidR="002A3CF6">
                        <w:t xml:space="preserve">LMS </w:t>
                      </w:r>
                      <w:r>
                        <w:t xml:space="preserve">that are comparable to those </w:t>
                      </w:r>
                      <w:r w:rsidR="00EE270D">
                        <w:t xml:space="preserve">achieved </w:t>
                      </w:r>
                      <w:r>
                        <w:t>by the centre-based programs</w:t>
                      </w:r>
                    </w:p>
                    <w:p w14:paraId="50DB1CA9" w14:textId="5F505897" w:rsidR="00D76DF3" w:rsidRPr="00911408" w:rsidRDefault="00BA3896" w:rsidP="00493532">
                      <w:pPr>
                        <w:pStyle w:val="Bullet1"/>
                      </w:pPr>
                      <w:r>
                        <w:t>Improve the patient experience</w:t>
                      </w:r>
                      <w:r w:rsidR="00EE270D">
                        <w:t xml:space="preserve"> by providing more flexible, accessible</w:t>
                      </w:r>
                      <w:r w:rsidR="0027789D">
                        <w:t xml:space="preserve"> and</w:t>
                      </w:r>
                      <w:r w:rsidR="00EE270D">
                        <w:t xml:space="preserve"> client-centred education on persistent pain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7654F" w14:textId="77777777" w:rsidR="00EC7F2A" w:rsidRDefault="00EC7F2A" w:rsidP="00EC7F2A">
      <w:pPr>
        <w:spacing w:before="0" w:after="0"/>
      </w:pPr>
    </w:p>
    <w:p w14:paraId="17AC57C9" w14:textId="77777777" w:rsidR="00E41D82" w:rsidRDefault="00E41D82">
      <w:pPr>
        <w:rPr>
          <w:rFonts w:asciiTheme="majorHAnsi" w:eastAsiaTheme="majorEastAsia" w:hAnsiTheme="majorHAnsi" w:cstheme="majorBidi"/>
          <w:b/>
          <w:bCs/>
          <w:caps/>
          <w:color w:val="0063A5" w:themeColor="text2"/>
          <w:sz w:val="24"/>
          <w:szCs w:val="26"/>
        </w:rPr>
      </w:pPr>
      <w:r>
        <w:br w:type="page"/>
      </w:r>
    </w:p>
    <w:p w14:paraId="3DA60E98" w14:textId="56D9E869" w:rsidR="00794CB7" w:rsidRDefault="007B36FB" w:rsidP="004A4ED0">
      <w:pPr>
        <w:pStyle w:val="Heading2"/>
      </w:pPr>
      <w:r>
        <w:lastRenderedPageBreak/>
        <w:t>Key activity</w:t>
      </w:r>
    </w:p>
    <w:p w14:paraId="7F414F82" w14:textId="77777777" w:rsidR="002B21B6" w:rsidRDefault="007D3C81" w:rsidP="00523055">
      <w:pPr>
        <w:pStyle w:val="Normalfollowingheading"/>
      </w:pPr>
      <w:r>
        <w:t xml:space="preserve">Austin Health will </w:t>
      </w:r>
      <w:r w:rsidR="00454FE7">
        <w:t>launch</w:t>
      </w:r>
      <w:r>
        <w:t xml:space="preserve"> </w:t>
      </w:r>
      <w:r w:rsidR="007E39F4">
        <w:t xml:space="preserve">an LMS </w:t>
      </w:r>
      <w:r w:rsidR="008D11A2">
        <w:t xml:space="preserve">that will host a suite of online learning modules </w:t>
      </w:r>
      <w:r w:rsidR="00454FE7">
        <w:t xml:space="preserve">developed </w:t>
      </w:r>
      <w:r w:rsidR="008D11A2">
        <w:t xml:space="preserve">by the Pain Service team. </w:t>
      </w:r>
    </w:p>
    <w:p w14:paraId="39AF4CB9" w14:textId="3FE5FD4F" w:rsidR="008760F4" w:rsidRDefault="007D7396" w:rsidP="00523055">
      <w:pPr>
        <w:pStyle w:val="Normalfollowingheading"/>
      </w:pPr>
      <w:r>
        <w:t>While c</w:t>
      </w:r>
      <w:r w:rsidR="00454FE7">
        <w:t xml:space="preserve">lients </w:t>
      </w:r>
      <w:r>
        <w:t xml:space="preserve">will largely be encouraged </w:t>
      </w:r>
      <w:r w:rsidR="00454FE7">
        <w:t xml:space="preserve">to </w:t>
      </w:r>
      <w:r w:rsidR="00BD2118">
        <w:t xml:space="preserve">self-direct their own learning, </w:t>
      </w:r>
      <w:r w:rsidR="00A23781">
        <w:t xml:space="preserve">clinician </w:t>
      </w:r>
      <w:r w:rsidR="00AE5968">
        <w:t xml:space="preserve">support </w:t>
      </w:r>
      <w:r>
        <w:t>will be available throughout their journey</w:t>
      </w:r>
      <w:r w:rsidR="00A23781">
        <w:t xml:space="preserve">. </w:t>
      </w:r>
    </w:p>
    <w:p w14:paraId="537814A6" w14:textId="167B6770" w:rsidR="00344301" w:rsidRDefault="00344301" w:rsidP="00344301">
      <w:r>
        <w:t xml:space="preserve">The </w:t>
      </w:r>
      <w:r w:rsidR="00AD0167">
        <w:t xml:space="preserve">LMS </w:t>
      </w:r>
      <w:r>
        <w:t>will:</w:t>
      </w:r>
    </w:p>
    <w:p w14:paraId="57FE6FFB" w14:textId="674A52D1" w:rsidR="00931414" w:rsidRDefault="00931414" w:rsidP="00931414">
      <w:pPr>
        <w:pStyle w:val="Bullet1"/>
        <w:rPr>
          <w:b/>
          <w:bCs/>
        </w:rPr>
      </w:pPr>
      <w:r w:rsidRPr="00D60080">
        <w:rPr>
          <w:b/>
          <w:bCs/>
        </w:rPr>
        <w:t xml:space="preserve">give clients more choice – </w:t>
      </w:r>
      <w:r>
        <w:t xml:space="preserve">clients will be able to choose whether they prefer </w:t>
      </w:r>
      <w:r w:rsidRPr="00D60080">
        <w:t xml:space="preserve">group education at </w:t>
      </w:r>
      <w:r>
        <w:t xml:space="preserve">the Pain Service </w:t>
      </w:r>
      <w:r w:rsidRPr="00D60080">
        <w:t>centre</w:t>
      </w:r>
      <w:r>
        <w:t xml:space="preserve"> </w:t>
      </w:r>
      <w:r w:rsidRPr="00D60080">
        <w:t xml:space="preserve">or online education and self-management strategies that they can </w:t>
      </w:r>
      <w:r>
        <w:t xml:space="preserve">complete </w:t>
      </w:r>
      <w:r w:rsidRPr="00D60080">
        <w:t>at their own pace and in their own</w:t>
      </w:r>
      <w:r>
        <w:t xml:space="preserve"> </w:t>
      </w:r>
      <w:r w:rsidRPr="00D60080">
        <w:t>time</w:t>
      </w:r>
    </w:p>
    <w:p w14:paraId="0AAEB0F4" w14:textId="0D47A700" w:rsidR="00344301" w:rsidRDefault="00484695" w:rsidP="00344301">
      <w:pPr>
        <w:pStyle w:val="Bullet1"/>
        <w:rPr>
          <w:b/>
          <w:bCs/>
        </w:rPr>
      </w:pPr>
      <w:r>
        <w:rPr>
          <w:b/>
          <w:bCs/>
        </w:rPr>
        <w:t>g</w:t>
      </w:r>
      <w:r w:rsidRPr="00484695">
        <w:rPr>
          <w:b/>
          <w:bCs/>
        </w:rPr>
        <w:t xml:space="preserve">ive clients </w:t>
      </w:r>
      <w:r w:rsidR="00AE2414">
        <w:rPr>
          <w:b/>
          <w:bCs/>
        </w:rPr>
        <w:t xml:space="preserve">earlier access to resources and </w:t>
      </w:r>
      <w:r w:rsidRPr="00484695">
        <w:rPr>
          <w:b/>
          <w:bCs/>
        </w:rPr>
        <w:t>greater control</w:t>
      </w:r>
      <w:r w:rsidR="003C3304">
        <w:rPr>
          <w:b/>
          <w:bCs/>
        </w:rPr>
        <w:t xml:space="preserve"> –</w:t>
      </w:r>
      <w:r w:rsidR="002B21B6">
        <w:rPr>
          <w:b/>
          <w:bCs/>
        </w:rPr>
        <w:t xml:space="preserve"> </w:t>
      </w:r>
      <w:r w:rsidR="00745774">
        <w:t xml:space="preserve">the LMS’ interactive options </w:t>
      </w:r>
      <w:r w:rsidR="003C3304">
        <w:t xml:space="preserve">will allow </w:t>
      </w:r>
      <w:r w:rsidR="003C3304" w:rsidRPr="00794679">
        <w:t xml:space="preserve">clients </w:t>
      </w:r>
      <w:r w:rsidR="003C3304">
        <w:t xml:space="preserve">to </w:t>
      </w:r>
      <w:r w:rsidR="003C3304" w:rsidRPr="00794679">
        <w:t>independently source, engage with, and</w:t>
      </w:r>
      <w:r w:rsidR="003C3304">
        <w:t xml:space="preserve"> </w:t>
      </w:r>
      <w:r w:rsidR="003C3304" w:rsidRPr="00794679">
        <w:t>develop skills, confidence and</w:t>
      </w:r>
      <w:r w:rsidR="003C3304">
        <w:t xml:space="preserve"> </w:t>
      </w:r>
      <w:r w:rsidR="003C3304" w:rsidRPr="00794679">
        <w:t>capabilities</w:t>
      </w:r>
      <w:r w:rsidR="003C3304">
        <w:t>, providing them with greater control over their own knowledge, engagement and experience with the Pain Service</w:t>
      </w:r>
    </w:p>
    <w:p w14:paraId="72901CE6" w14:textId="40E41A31" w:rsidR="006A5E1E" w:rsidRPr="00931414" w:rsidRDefault="00484695" w:rsidP="00D60080">
      <w:pPr>
        <w:pStyle w:val="Bullet1"/>
        <w:rPr>
          <w:b/>
          <w:bCs/>
        </w:rPr>
      </w:pPr>
      <w:r w:rsidRPr="00931414">
        <w:rPr>
          <w:b/>
          <w:bCs/>
        </w:rPr>
        <w:t>improve communication with the Pain Service team</w:t>
      </w:r>
      <w:r w:rsidR="00AD0167" w:rsidRPr="00931414">
        <w:rPr>
          <w:b/>
          <w:bCs/>
        </w:rPr>
        <w:t xml:space="preserve"> </w:t>
      </w:r>
      <w:r w:rsidR="00B80567" w:rsidRPr="00931414">
        <w:rPr>
          <w:b/>
          <w:bCs/>
        </w:rPr>
        <w:t>–</w:t>
      </w:r>
      <w:r w:rsidR="0019617B" w:rsidRPr="00931414">
        <w:rPr>
          <w:b/>
          <w:bCs/>
        </w:rPr>
        <w:t xml:space="preserve"> </w:t>
      </w:r>
      <w:r w:rsidR="00D60080" w:rsidRPr="00D60080">
        <w:t xml:space="preserve">Pain </w:t>
      </w:r>
      <w:r w:rsidR="00D60080">
        <w:t xml:space="preserve">Service staff will be checking in with </w:t>
      </w:r>
      <w:r w:rsidR="00B80567">
        <w:t xml:space="preserve">clients </w:t>
      </w:r>
      <w:r w:rsidR="00931414">
        <w:t xml:space="preserve">who are </w:t>
      </w:r>
      <w:r w:rsidR="00D60080">
        <w:t xml:space="preserve">using </w:t>
      </w:r>
      <w:r w:rsidR="00931414">
        <w:t xml:space="preserve">the online program </w:t>
      </w:r>
      <w:r w:rsidR="00D60080">
        <w:t>to see how they are managing, answer any questions they may have</w:t>
      </w:r>
      <w:r w:rsidR="00931414">
        <w:t>,</w:t>
      </w:r>
      <w:r w:rsidR="00D60080">
        <w:t xml:space="preserve"> and </w:t>
      </w:r>
      <w:r w:rsidR="00931414">
        <w:t xml:space="preserve">ensure </w:t>
      </w:r>
      <w:r w:rsidR="00D60080">
        <w:t xml:space="preserve">they can access the </w:t>
      </w:r>
      <w:r w:rsidR="00745774">
        <w:t xml:space="preserve">right </w:t>
      </w:r>
      <w:r w:rsidR="00D60080">
        <w:t>information</w:t>
      </w:r>
      <w:r w:rsidR="00931414">
        <w:t>, providing tailored communication and individual support via the LMS platform’s discussion and telehealth functions</w:t>
      </w:r>
      <w:r w:rsidR="00745774">
        <w:t xml:space="preserve"> throughout the client’s </w:t>
      </w:r>
      <w:bookmarkStart w:id="0" w:name="_GoBack"/>
      <w:bookmarkEnd w:id="0"/>
      <w:r w:rsidR="00745774">
        <w:t>journey</w:t>
      </w:r>
    </w:p>
    <w:p w14:paraId="6846F2B3" w14:textId="41CFD35B" w:rsidR="00484695" w:rsidRPr="00484695" w:rsidRDefault="00732932" w:rsidP="00344301">
      <w:pPr>
        <w:pStyle w:val="Bullet1"/>
        <w:rPr>
          <w:b/>
          <w:bCs/>
        </w:rPr>
      </w:pPr>
      <w:r>
        <w:rPr>
          <w:b/>
          <w:bCs/>
        </w:rPr>
        <w:t xml:space="preserve">provide a single view of a client’s care </w:t>
      </w:r>
      <w:r w:rsidR="00D45BB4">
        <w:rPr>
          <w:b/>
          <w:bCs/>
        </w:rPr>
        <w:t xml:space="preserve">– </w:t>
      </w:r>
      <w:r w:rsidR="00931414">
        <w:t xml:space="preserve">the LMS will link into </w:t>
      </w:r>
      <w:r w:rsidR="00796F97">
        <w:t xml:space="preserve">other streams of </w:t>
      </w:r>
      <w:r w:rsidR="00C74347">
        <w:t>Austin Health</w:t>
      </w:r>
      <w:r w:rsidR="00AC3855">
        <w:t>’s</w:t>
      </w:r>
      <w:r w:rsidR="00796F97">
        <w:t xml:space="preserve"> work</w:t>
      </w:r>
      <w:r w:rsidR="00931414">
        <w:t xml:space="preserve"> to provide the health service and its </w:t>
      </w:r>
      <w:r w:rsidR="00796F97">
        <w:t xml:space="preserve">clients </w:t>
      </w:r>
      <w:r w:rsidR="00AC3855">
        <w:t xml:space="preserve">with </w:t>
      </w:r>
      <w:r w:rsidR="00796F97">
        <w:t xml:space="preserve">a </w:t>
      </w:r>
      <w:r w:rsidR="0019617B">
        <w:t>single</w:t>
      </w:r>
      <w:r w:rsidR="00796F97">
        <w:t>, authenticated</w:t>
      </w:r>
      <w:r w:rsidR="0019617B">
        <w:t xml:space="preserve"> portal </w:t>
      </w:r>
      <w:r w:rsidR="00931414">
        <w:t xml:space="preserve">that can be used to receive and access </w:t>
      </w:r>
      <w:r w:rsidR="00796F97">
        <w:t>information and records</w:t>
      </w:r>
      <w:r w:rsidR="0019617B">
        <w:t>.</w:t>
      </w:r>
    </w:p>
    <w:p w14:paraId="4DCFB341" w14:textId="008583F6" w:rsidR="002B5C34" w:rsidRPr="00F80A39" w:rsidRDefault="00C7754A" w:rsidP="007E17A7">
      <w:pPr>
        <w:pStyle w:val="Heading2"/>
      </w:pPr>
      <w:r>
        <w:br w:type="column"/>
      </w:r>
      <w:r w:rsidR="008156CC">
        <w:t>Status</w:t>
      </w:r>
    </w:p>
    <w:p w14:paraId="7CB31C87" w14:textId="77777777" w:rsidR="001E3599" w:rsidRDefault="001E3599" w:rsidP="007B36FB">
      <w:pPr>
        <w:pStyle w:val="Normalfollowingheading"/>
      </w:pPr>
      <w:r w:rsidRPr="001E3599">
        <w:t>This innovation project was accepted in the Better Care Victoria 2019–20 funding round and is currently underway.</w:t>
      </w:r>
    </w:p>
    <w:p w14:paraId="6A5D2823" w14:textId="159127DE" w:rsidR="00435805" w:rsidRDefault="00435805" w:rsidP="00435805">
      <w:r>
        <w:rPr>
          <w:noProof/>
        </w:rPr>
        <w:drawing>
          <wp:inline distT="0" distB="0" distL="0" distR="0" wp14:anchorId="54DEE6C7" wp14:editId="3DF215E3">
            <wp:extent cx="3230245" cy="2153497"/>
            <wp:effectExtent l="0" t="0" r="8255" b="0"/>
            <wp:docPr id="14" name="Picture 14" descr="A woman using a laptop at hom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913" t="3055" r="3055" b="4913"/>
                    <a:stretch/>
                  </pic:blipFill>
                  <pic:spPr>
                    <a:xfrm>
                      <a:off x="0" y="0"/>
                      <a:ext cx="3230949" cy="215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05" w:rsidSect="006722A6">
      <w:footerReference w:type="default" r:id="rId11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E13E" w14:textId="77777777" w:rsidR="00C021CD" w:rsidRDefault="00C021CD" w:rsidP="002D711A">
      <w:pPr>
        <w:spacing w:after="0" w:line="240" w:lineRule="auto"/>
      </w:pPr>
      <w:r>
        <w:separator/>
      </w:r>
    </w:p>
  </w:endnote>
  <w:endnote w:type="continuationSeparator" w:id="0">
    <w:p w14:paraId="3E75DED8" w14:textId="77777777" w:rsidR="00C021CD" w:rsidRDefault="00C021CD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19AF39D1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14601A">
            <w:rPr>
              <w:sz w:val="18"/>
              <w:szCs w:val="18"/>
            </w:rPr>
            <w:t>November</w:t>
          </w:r>
          <w:r w:rsidR="0014601A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585BE8B9" w14:textId="7249CFC1" w:rsidR="00C821CE" w:rsidRPr="0014601A" w:rsidRDefault="0014601A" w:rsidP="0043317F">
          <w:pPr>
            <w:spacing w:line="230" w:lineRule="auto"/>
            <w:rPr>
              <w:color w:val="000000" w:themeColor="text1"/>
              <w:sz w:val="18"/>
              <w:szCs w:val="18"/>
            </w:rPr>
          </w:pPr>
          <w:r w:rsidRPr="0014601A">
            <w:rPr>
              <w:color w:val="000000" w:themeColor="text1"/>
              <w:sz w:val="18"/>
              <w:szCs w:val="18"/>
            </w:rPr>
            <w:t>ISBN 978-1-76096-272-2 (pdf/online/MS word)</w:t>
          </w:r>
        </w:p>
        <w:p w14:paraId="5090B2B9" w14:textId="14B40E3C" w:rsidR="00C821CE" w:rsidRPr="007A4444" w:rsidRDefault="00C821CE" w:rsidP="0014601A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14601A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A5398" w14:textId="77777777" w:rsidR="00C021CD" w:rsidRDefault="00C021CD" w:rsidP="00E33E08">
      <w:pPr>
        <w:spacing w:before="0" w:after="0" w:line="240" w:lineRule="auto"/>
      </w:pPr>
    </w:p>
  </w:footnote>
  <w:footnote w:type="continuationSeparator" w:id="0">
    <w:p w14:paraId="052586A3" w14:textId="77777777" w:rsidR="00C021CD" w:rsidRDefault="00C021CD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6A2E1ADC">
          <wp:simplePos x="0" y="0"/>
          <wp:positionH relativeFrom="page">
            <wp:posOffset>13970</wp:posOffset>
          </wp:positionH>
          <wp:positionV relativeFrom="page">
            <wp:posOffset>19050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0581"/>
    <w:multiLevelType w:val="hybridMultilevel"/>
    <w:tmpl w:val="9F1A3788"/>
    <w:lvl w:ilvl="0" w:tplc="8DA2FD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3"/>
  </w:num>
  <w:num w:numId="10">
    <w:abstractNumId w:val="2"/>
  </w:num>
  <w:num w:numId="11">
    <w:abstractNumId w:val="3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5021"/>
    <w:rsid w:val="00012F6F"/>
    <w:rsid w:val="00014213"/>
    <w:rsid w:val="00014B55"/>
    <w:rsid w:val="00020E3E"/>
    <w:rsid w:val="00023457"/>
    <w:rsid w:val="00023BF3"/>
    <w:rsid w:val="00026811"/>
    <w:rsid w:val="000329C0"/>
    <w:rsid w:val="0004185E"/>
    <w:rsid w:val="00053181"/>
    <w:rsid w:val="00055B3E"/>
    <w:rsid w:val="00056988"/>
    <w:rsid w:val="00060D97"/>
    <w:rsid w:val="00071F51"/>
    <w:rsid w:val="00072279"/>
    <w:rsid w:val="00073407"/>
    <w:rsid w:val="00075E6C"/>
    <w:rsid w:val="00081C12"/>
    <w:rsid w:val="00087D42"/>
    <w:rsid w:val="000905F7"/>
    <w:rsid w:val="000B0606"/>
    <w:rsid w:val="000B29AD"/>
    <w:rsid w:val="000B47FA"/>
    <w:rsid w:val="000C515F"/>
    <w:rsid w:val="000C6372"/>
    <w:rsid w:val="000D131D"/>
    <w:rsid w:val="000D7841"/>
    <w:rsid w:val="000E392D"/>
    <w:rsid w:val="000E39B6"/>
    <w:rsid w:val="000E3D05"/>
    <w:rsid w:val="000F2A2C"/>
    <w:rsid w:val="000F4288"/>
    <w:rsid w:val="000F7165"/>
    <w:rsid w:val="00100908"/>
    <w:rsid w:val="00102379"/>
    <w:rsid w:val="00103722"/>
    <w:rsid w:val="00105930"/>
    <w:rsid w:val="001065D6"/>
    <w:rsid w:val="001068D5"/>
    <w:rsid w:val="0011418A"/>
    <w:rsid w:val="00121252"/>
    <w:rsid w:val="00121488"/>
    <w:rsid w:val="00124609"/>
    <w:rsid w:val="001254CE"/>
    <w:rsid w:val="0013637A"/>
    <w:rsid w:val="001422CC"/>
    <w:rsid w:val="00145346"/>
    <w:rsid w:val="00145BBD"/>
    <w:rsid w:val="0014601A"/>
    <w:rsid w:val="001604AC"/>
    <w:rsid w:val="001617B6"/>
    <w:rsid w:val="00162615"/>
    <w:rsid w:val="00165E66"/>
    <w:rsid w:val="001830DF"/>
    <w:rsid w:val="001836B2"/>
    <w:rsid w:val="00186B39"/>
    <w:rsid w:val="00192617"/>
    <w:rsid w:val="0019390A"/>
    <w:rsid w:val="00196143"/>
    <w:rsid w:val="0019617B"/>
    <w:rsid w:val="001A24FC"/>
    <w:rsid w:val="001C2693"/>
    <w:rsid w:val="001C60B2"/>
    <w:rsid w:val="001C6993"/>
    <w:rsid w:val="001C7BAE"/>
    <w:rsid w:val="001D1ACB"/>
    <w:rsid w:val="001E31FA"/>
    <w:rsid w:val="001E3599"/>
    <w:rsid w:val="001E48F9"/>
    <w:rsid w:val="001E64F6"/>
    <w:rsid w:val="001E7911"/>
    <w:rsid w:val="001E7AEB"/>
    <w:rsid w:val="001F6F89"/>
    <w:rsid w:val="00201C3A"/>
    <w:rsid w:val="00204B82"/>
    <w:rsid w:val="00212E62"/>
    <w:rsid w:val="00222BEB"/>
    <w:rsid w:val="002235D8"/>
    <w:rsid w:val="00225E60"/>
    <w:rsid w:val="00230BBB"/>
    <w:rsid w:val="0023202C"/>
    <w:rsid w:val="00234619"/>
    <w:rsid w:val="00235BE2"/>
    <w:rsid w:val="00245043"/>
    <w:rsid w:val="002515D2"/>
    <w:rsid w:val="0026028E"/>
    <w:rsid w:val="00264389"/>
    <w:rsid w:val="00273AF5"/>
    <w:rsid w:val="002769D2"/>
    <w:rsid w:val="0027734F"/>
    <w:rsid w:val="0027789D"/>
    <w:rsid w:val="00284FA2"/>
    <w:rsid w:val="00292D36"/>
    <w:rsid w:val="00294A5A"/>
    <w:rsid w:val="00294B4F"/>
    <w:rsid w:val="00295BF6"/>
    <w:rsid w:val="00297281"/>
    <w:rsid w:val="00297A47"/>
    <w:rsid w:val="002A3CF6"/>
    <w:rsid w:val="002A5891"/>
    <w:rsid w:val="002A5F50"/>
    <w:rsid w:val="002B03F1"/>
    <w:rsid w:val="002B21B6"/>
    <w:rsid w:val="002B5C34"/>
    <w:rsid w:val="002B5E2B"/>
    <w:rsid w:val="002B6DAA"/>
    <w:rsid w:val="002C338A"/>
    <w:rsid w:val="002C5089"/>
    <w:rsid w:val="002C6671"/>
    <w:rsid w:val="002D28AA"/>
    <w:rsid w:val="002D70F7"/>
    <w:rsid w:val="002D711A"/>
    <w:rsid w:val="002D7336"/>
    <w:rsid w:val="002E3396"/>
    <w:rsid w:val="002E6454"/>
    <w:rsid w:val="002F2953"/>
    <w:rsid w:val="002F2E8A"/>
    <w:rsid w:val="002F4E84"/>
    <w:rsid w:val="002F5904"/>
    <w:rsid w:val="002F6CDC"/>
    <w:rsid w:val="00304C3B"/>
    <w:rsid w:val="0031149C"/>
    <w:rsid w:val="00320DEE"/>
    <w:rsid w:val="00321F38"/>
    <w:rsid w:val="00332D4F"/>
    <w:rsid w:val="003336E7"/>
    <w:rsid w:val="003347B2"/>
    <w:rsid w:val="00344301"/>
    <w:rsid w:val="00347F68"/>
    <w:rsid w:val="00351478"/>
    <w:rsid w:val="003523CD"/>
    <w:rsid w:val="0035478F"/>
    <w:rsid w:val="0036009A"/>
    <w:rsid w:val="00360CA7"/>
    <w:rsid w:val="0036778F"/>
    <w:rsid w:val="0038771C"/>
    <w:rsid w:val="003908BC"/>
    <w:rsid w:val="00392A96"/>
    <w:rsid w:val="00397193"/>
    <w:rsid w:val="003A430B"/>
    <w:rsid w:val="003A541A"/>
    <w:rsid w:val="003A5F2B"/>
    <w:rsid w:val="003A6923"/>
    <w:rsid w:val="003B2D30"/>
    <w:rsid w:val="003C1151"/>
    <w:rsid w:val="003C2C67"/>
    <w:rsid w:val="003C2D4C"/>
    <w:rsid w:val="003C3304"/>
    <w:rsid w:val="003C3B3A"/>
    <w:rsid w:val="003C5BA4"/>
    <w:rsid w:val="003D6305"/>
    <w:rsid w:val="003E3E26"/>
    <w:rsid w:val="003F1295"/>
    <w:rsid w:val="003F5102"/>
    <w:rsid w:val="003F76FC"/>
    <w:rsid w:val="004002EB"/>
    <w:rsid w:val="00407A79"/>
    <w:rsid w:val="004119BA"/>
    <w:rsid w:val="00422DDC"/>
    <w:rsid w:val="004231B5"/>
    <w:rsid w:val="004236C8"/>
    <w:rsid w:val="004239EE"/>
    <w:rsid w:val="00427681"/>
    <w:rsid w:val="0043317F"/>
    <w:rsid w:val="00433DB7"/>
    <w:rsid w:val="00435805"/>
    <w:rsid w:val="00442182"/>
    <w:rsid w:val="00447ECB"/>
    <w:rsid w:val="0045347E"/>
    <w:rsid w:val="00453750"/>
    <w:rsid w:val="00454FE7"/>
    <w:rsid w:val="00456941"/>
    <w:rsid w:val="00460BD5"/>
    <w:rsid w:val="004702EA"/>
    <w:rsid w:val="0048073D"/>
    <w:rsid w:val="0048259C"/>
    <w:rsid w:val="00482D02"/>
    <w:rsid w:val="00484326"/>
    <w:rsid w:val="00484695"/>
    <w:rsid w:val="00490369"/>
    <w:rsid w:val="00493532"/>
    <w:rsid w:val="00495D84"/>
    <w:rsid w:val="004A4ED0"/>
    <w:rsid w:val="004A7519"/>
    <w:rsid w:val="004B64B1"/>
    <w:rsid w:val="004D01AC"/>
    <w:rsid w:val="004D3518"/>
    <w:rsid w:val="004D5B39"/>
    <w:rsid w:val="004D62D6"/>
    <w:rsid w:val="004D6898"/>
    <w:rsid w:val="004F3F4E"/>
    <w:rsid w:val="00507334"/>
    <w:rsid w:val="00510167"/>
    <w:rsid w:val="00512D03"/>
    <w:rsid w:val="00513E86"/>
    <w:rsid w:val="00523055"/>
    <w:rsid w:val="005306A2"/>
    <w:rsid w:val="00533A47"/>
    <w:rsid w:val="0053416C"/>
    <w:rsid w:val="00541C2F"/>
    <w:rsid w:val="00547CD6"/>
    <w:rsid w:val="00552DE4"/>
    <w:rsid w:val="00555D37"/>
    <w:rsid w:val="00557381"/>
    <w:rsid w:val="00563527"/>
    <w:rsid w:val="005717E2"/>
    <w:rsid w:val="005718AE"/>
    <w:rsid w:val="0057407A"/>
    <w:rsid w:val="0058124E"/>
    <w:rsid w:val="005875A3"/>
    <w:rsid w:val="005953EA"/>
    <w:rsid w:val="00597724"/>
    <w:rsid w:val="005A3416"/>
    <w:rsid w:val="005A7C96"/>
    <w:rsid w:val="005B061F"/>
    <w:rsid w:val="005B27FE"/>
    <w:rsid w:val="005B327A"/>
    <w:rsid w:val="005B5F0B"/>
    <w:rsid w:val="005B76DF"/>
    <w:rsid w:val="005B79CB"/>
    <w:rsid w:val="005D5277"/>
    <w:rsid w:val="005E08D7"/>
    <w:rsid w:val="005E410D"/>
    <w:rsid w:val="005E4C16"/>
    <w:rsid w:val="005E5947"/>
    <w:rsid w:val="005F61DF"/>
    <w:rsid w:val="005F7A7E"/>
    <w:rsid w:val="0060163A"/>
    <w:rsid w:val="006023F9"/>
    <w:rsid w:val="00610559"/>
    <w:rsid w:val="00614076"/>
    <w:rsid w:val="006177D1"/>
    <w:rsid w:val="00632F2E"/>
    <w:rsid w:val="006332F6"/>
    <w:rsid w:val="006413F2"/>
    <w:rsid w:val="0064598D"/>
    <w:rsid w:val="006534B2"/>
    <w:rsid w:val="0065615D"/>
    <w:rsid w:val="00656C13"/>
    <w:rsid w:val="00657011"/>
    <w:rsid w:val="00657430"/>
    <w:rsid w:val="006650B5"/>
    <w:rsid w:val="006651B1"/>
    <w:rsid w:val="00665778"/>
    <w:rsid w:val="006722A6"/>
    <w:rsid w:val="00676E5F"/>
    <w:rsid w:val="00680577"/>
    <w:rsid w:val="00690823"/>
    <w:rsid w:val="006922E1"/>
    <w:rsid w:val="006945CA"/>
    <w:rsid w:val="006A3309"/>
    <w:rsid w:val="006A3A5A"/>
    <w:rsid w:val="006A5B34"/>
    <w:rsid w:val="006A5E1E"/>
    <w:rsid w:val="006B2A76"/>
    <w:rsid w:val="006C6864"/>
    <w:rsid w:val="006C6B8D"/>
    <w:rsid w:val="006C6BE1"/>
    <w:rsid w:val="006C77A9"/>
    <w:rsid w:val="006C7CDD"/>
    <w:rsid w:val="006C7F41"/>
    <w:rsid w:val="006D2F37"/>
    <w:rsid w:val="006D4720"/>
    <w:rsid w:val="006D7684"/>
    <w:rsid w:val="006E2820"/>
    <w:rsid w:val="006E6CDF"/>
    <w:rsid w:val="006F37A0"/>
    <w:rsid w:val="006F37F2"/>
    <w:rsid w:val="006F6693"/>
    <w:rsid w:val="00707FE8"/>
    <w:rsid w:val="00714AAE"/>
    <w:rsid w:val="007169B8"/>
    <w:rsid w:val="00720ACB"/>
    <w:rsid w:val="00724962"/>
    <w:rsid w:val="00724A0F"/>
    <w:rsid w:val="00726D2F"/>
    <w:rsid w:val="0073166D"/>
    <w:rsid w:val="00732932"/>
    <w:rsid w:val="007352D2"/>
    <w:rsid w:val="00736732"/>
    <w:rsid w:val="007367E2"/>
    <w:rsid w:val="00740019"/>
    <w:rsid w:val="00742FE3"/>
    <w:rsid w:val="00745774"/>
    <w:rsid w:val="00746426"/>
    <w:rsid w:val="00750BF9"/>
    <w:rsid w:val="00750CBE"/>
    <w:rsid w:val="00755954"/>
    <w:rsid w:val="007650D2"/>
    <w:rsid w:val="00766B5A"/>
    <w:rsid w:val="00771BE6"/>
    <w:rsid w:val="00772209"/>
    <w:rsid w:val="007770A5"/>
    <w:rsid w:val="007834F2"/>
    <w:rsid w:val="00791020"/>
    <w:rsid w:val="00792ACB"/>
    <w:rsid w:val="00794679"/>
    <w:rsid w:val="00794CB7"/>
    <w:rsid w:val="00796F97"/>
    <w:rsid w:val="007A04D2"/>
    <w:rsid w:val="007A3C99"/>
    <w:rsid w:val="007A4444"/>
    <w:rsid w:val="007A4B6C"/>
    <w:rsid w:val="007A5F82"/>
    <w:rsid w:val="007B36FB"/>
    <w:rsid w:val="007B41A4"/>
    <w:rsid w:val="007B6A3E"/>
    <w:rsid w:val="007C3DE3"/>
    <w:rsid w:val="007C6140"/>
    <w:rsid w:val="007D3C81"/>
    <w:rsid w:val="007D4A1E"/>
    <w:rsid w:val="007D5F9E"/>
    <w:rsid w:val="007D7396"/>
    <w:rsid w:val="007E098F"/>
    <w:rsid w:val="007E17A7"/>
    <w:rsid w:val="007E303A"/>
    <w:rsid w:val="007E39F4"/>
    <w:rsid w:val="007E3BA2"/>
    <w:rsid w:val="007F1A4C"/>
    <w:rsid w:val="007F723F"/>
    <w:rsid w:val="008022C3"/>
    <w:rsid w:val="008041E6"/>
    <w:rsid w:val="008065D2"/>
    <w:rsid w:val="00810F7E"/>
    <w:rsid w:val="008156CC"/>
    <w:rsid w:val="00815A51"/>
    <w:rsid w:val="00815A8A"/>
    <w:rsid w:val="0082194C"/>
    <w:rsid w:val="008222FF"/>
    <w:rsid w:val="008241FF"/>
    <w:rsid w:val="008411E9"/>
    <w:rsid w:val="00841617"/>
    <w:rsid w:val="0084200F"/>
    <w:rsid w:val="00843B2C"/>
    <w:rsid w:val="0084409A"/>
    <w:rsid w:val="00844F16"/>
    <w:rsid w:val="00847BE1"/>
    <w:rsid w:val="00851182"/>
    <w:rsid w:val="00855FF9"/>
    <w:rsid w:val="0086277A"/>
    <w:rsid w:val="008668A8"/>
    <w:rsid w:val="008703D8"/>
    <w:rsid w:val="008760F4"/>
    <w:rsid w:val="008768AD"/>
    <w:rsid w:val="00880AC4"/>
    <w:rsid w:val="00893E52"/>
    <w:rsid w:val="00897157"/>
    <w:rsid w:val="00897447"/>
    <w:rsid w:val="008A4900"/>
    <w:rsid w:val="008A55FE"/>
    <w:rsid w:val="008A58D2"/>
    <w:rsid w:val="008B146D"/>
    <w:rsid w:val="008B42AD"/>
    <w:rsid w:val="008B5666"/>
    <w:rsid w:val="008C091B"/>
    <w:rsid w:val="008C1EAF"/>
    <w:rsid w:val="008C2C15"/>
    <w:rsid w:val="008D0281"/>
    <w:rsid w:val="008D11A2"/>
    <w:rsid w:val="008D62DB"/>
    <w:rsid w:val="008D7C6A"/>
    <w:rsid w:val="008E2348"/>
    <w:rsid w:val="008E6CAC"/>
    <w:rsid w:val="008F584A"/>
    <w:rsid w:val="008F6D45"/>
    <w:rsid w:val="00900127"/>
    <w:rsid w:val="00911408"/>
    <w:rsid w:val="00916AD5"/>
    <w:rsid w:val="00921604"/>
    <w:rsid w:val="00922944"/>
    <w:rsid w:val="00931414"/>
    <w:rsid w:val="00936479"/>
    <w:rsid w:val="00937A10"/>
    <w:rsid w:val="00943D1D"/>
    <w:rsid w:val="00953A2C"/>
    <w:rsid w:val="00954244"/>
    <w:rsid w:val="00964072"/>
    <w:rsid w:val="00966115"/>
    <w:rsid w:val="0096733E"/>
    <w:rsid w:val="00975801"/>
    <w:rsid w:val="009834C0"/>
    <w:rsid w:val="00986AAC"/>
    <w:rsid w:val="00991C00"/>
    <w:rsid w:val="00994B0F"/>
    <w:rsid w:val="00995526"/>
    <w:rsid w:val="00996E62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C3D88"/>
    <w:rsid w:val="009D5B62"/>
    <w:rsid w:val="009D7A28"/>
    <w:rsid w:val="009D7F07"/>
    <w:rsid w:val="009E0D59"/>
    <w:rsid w:val="009E1651"/>
    <w:rsid w:val="009E3858"/>
    <w:rsid w:val="009E467D"/>
    <w:rsid w:val="009E5E60"/>
    <w:rsid w:val="009E70DD"/>
    <w:rsid w:val="009F2ED9"/>
    <w:rsid w:val="009F3231"/>
    <w:rsid w:val="009F40F6"/>
    <w:rsid w:val="009F5C58"/>
    <w:rsid w:val="009F6339"/>
    <w:rsid w:val="00A023A0"/>
    <w:rsid w:val="00A05EBC"/>
    <w:rsid w:val="00A105CA"/>
    <w:rsid w:val="00A131B1"/>
    <w:rsid w:val="00A1562B"/>
    <w:rsid w:val="00A170F4"/>
    <w:rsid w:val="00A21408"/>
    <w:rsid w:val="00A2160F"/>
    <w:rsid w:val="00A21CFD"/>
    <w:rsid w:val="00A23781"/>
    <w:rsid w:val="00A25B78"/>
    <w:rsid w:val="00A317FF"/>
    <w:rsid w:val="00A3600E"/>
    <w:rsid w:val="00A40A39"/>
    <w:rsid w:val="00A46288"/>
    <w:rsid w:val="00A46BA8"/>
    <w:rsid w:val="00A47634"/>
    <w:rsid w:val="00A612FE"/>
    <w:rsid w:val="00A64AC5"/>
    <w:rsid w:val="00A70B49"/>
    <w:rsid w:val="00A71C8C"/>
    <w:rsid w:val="00A90F99"/>
    <w:rsid w:val="00A92D94"/>
    <w:rsid w:val="00A92F03"/>
    <w:rsid w:val="00AA26B8"/>
    <w:rsid w:val="00AC0B87"/>
    <w:rsid w:val="00AC2624"/>
    <w:rsid w:val="00AC32A8"/>
    <w:rsid w:val="00AC3855"/>
    <w:rsid w:val="00AD0167"/>
    <w:rsid w:val="00AD7E4E"/>
    <w:rsid w:val="00AE2414"/>
    <w:rsid w:val="00AE5968"/>
    <w:rsid w:val="00AF4D58"/>
    <w:rsid w:val="00AF6666"/>
    <w:rsid w:val="00AF7607"/>
    <w:rsid w:val="00AF7BC5"/>
    <w:rsid w:val="00B14485"/>
    <w:rsid w:val="00B26551"/>
    <w:rsid w:val="00B34595"/>
    <w:rsid w:val="00B50E3E"/>
    <w:rsid w:val="00B70B4E"/>
    <w:rsid w:val="00B77A3B"/>
    <w:rsid w:val="00B803F1"/>
    <w:rsid w:val="00B80567"/>
    <w:rsid w:val="00B81B44"/>
    <w:rsid w:val="00B9053B"/>
    <w:rsid w:val="00BA0C37"/>
    <w:rsid w:val="00BA3782"/>
    <w:rsid w:val="00BA3896"/>
    <w:rsid w:val="00BB4D98"/>
    <w:rsid w:val="00BB4EBF"/>
    <w:rsid w:val="00BB59E0"/>
    <w:rsid w:val="00BC0764"/>
    <w:rsid w:val="00BC07DF"/>
    <w:rsid w:val="00BC1313"/>
    <w:rsid w:val="00BC3422"/>
    <w:rsid w:val="00BC6E19"/>
    <w:rsid w:val="00BD11C2"/>
    <w:rsid w:val="00BD2118"/>
    <w:rsid w:val="00BD5018"/>
    <w:rsid w:val="00BE5ADC"/>
    <w:rsid w:val="00BF4F96"/>
    <w:rsid w:val="00C015B9"/>
    <w:rsid w:val="00C021CD"/>
    <w:rsid w:val="00C022F9"/>
    <w:rsid w:val="00C032EA"/>
    <w:rsid w:val="00C06EB5"/>
    <w:rsid w:val="00C1145F"/>
    <w:rsid w:val="00C11CD1"/>
    <w:rsid w:val="00C32D49"/>
    <w:rsid w:val="00C33AD3"/>
    <w:rsid w:val="00C35D53"/>
    <w:rsid w:val="00C41994"/>
    <w:rsid w:val="00C41B3C"/>
    <w:rsid w:val="00C43F06"/>
    <w:rsid w:val="00C45BAF"/>
    <w:rsid w:val="00C4693F"/>
    <w:rsid w:val="00C51C01"/>
    <w:rsid w:val="00C54259"/>
    <w:rsid w:val="00C637E1"/>
    <w:rsid w:val="00C67EAC"/>
    <w:rsid w:val="00C7098C"/>
    <w:rsid w:val="00C70D50"/>
    <w:rsid w:val="00C7129A"/>
    <w:rsid w:val="00C72252"/>
    <w:rsid w:val="00C72D10"/>
    <w:rsid w:val="00C731DD"/>
    <w:rsid w:val="00C74347"/>
    <w:rsid w:val="00C7754A"/>
    <w:rsid w:val="00C81352"/>
    <w:rsid w:val="00C821CE"/>
    <w:rsid w:val="00C907D7"/>
    <w:rsid w:val="00C92338"/>
    <w:rsid w:val="00CA05DC"/>
    <w:rsid w:val="00CA7B47"/>
    <w:rsid w:val="00CB3976"/>
    <w:rsid w:val="00CC0347"/>
    <w:rsid w:val="00CC0C0A"/>
    <w:rsid w:val="00CC10A8"/>
    <w:rsid w:val="00CD0307"/>
    <w:rsid w:val="00CD3C79"/>
    <w:rsid w:val="00CD3D1B"/>
    <w:rsid w:val="00CD41D7"/>
    <w:rsid w:val="00CE356F"/>
    <w:rsid w:val="00CE590E"/>
    <w:rsid w:val="00CE61C3"/>
    <w:rsid w:val="00CF3891"/>
    <w:rsid w:val="00D02663"/>
    <w:rsid w:val="00D02C26"/>
    <w:rsid w:val="00D0633E"/>
    <w:rsid w:val="00D1045D"/>
    <w:rsid w:val="00D12C5A"/>
    <w:rsid w:val="00D12E74"/>
    <w:rsid w:val="00D22FFD"/>
    <w:rsid w:val="00D2312F"/>
    <w:rsid w:val="00D23B04"/>
    <w:rsid w:val="00D250E4"/>
    <w:rsid w:val="00D269C1"/>
    <w:rsid w:val="00D4093E"/>
    <w:rsid w:val="00D41230"/>
    <w:rsid w:val="00D41B2F"/>
    <w:rsid w:val="00D44953"/>
    <w:rsid w:val="00D45BB4"/>
    <w:rsid w:val="00D542F3"/>
    <w:rsid w:val="00D54513"/>
    <w:rsid w:val="00D54AAE"/>
    <w:rsid w:val="00D5644B"/>
    <w:rsid w:val="00D56E25"/>
    <w:rsid w:val="00D57201"/>
    <w:rsid w:val="00D57E89"/>
    <w:rsid w:val="00D60080"/>
    <w:rsid w:val="00D6560D"/>
    <w:rsid w:val="00D65D77"/>
    <w:rsid w:val="00D718D7"/>
    <w:rsid w:val="00D76AD4"/>
    <w:rsid w:val="00D76DF3"/>
    <w:rsid w:val="00D814B7"/>
    <w:rsid w:val="00D85256"/>
    <w:rsid w:val="00D858A3"/>
    <w:rsid w:val="00D90688"/>
    <w:rsid w:val="00DA06DF"/>
    <w:rsid w:val="00DA3AAD"/>
    <w:rsid w:val="00DA3F36"/>
    <w:rsid w:val="00DB312B"/>
    <w:rsid w:val="00DC5654"/>
    <w:rsid w:val="00DC658F"/>
    <w:rsid w:val="00DC674A"/>
    <w:rsid w:val="00DE3FAE"/>
    <w:rsid w:val="00DE60CC"/>
    <w:rsid w:val="00DF020D"/>
    <w:rsid w:val="00E03F35"/>
    <w:rsid w:val="00E107D5"/>
    <w:rsid w:val="00E16566"/>
    <w:rsid w:val="00E1766E"/>
    <w:rsid w:val="00E206FA"/>
    <w:rsid w:val="00E26B32"/>
    <w:rsid w:val="00E31CD4"/>
    <w:rsid w:val="00E31E60"/>
    <w:rsid w:val="00E33E08"/>
    <w:rsid w:val="00E376EC"/>
    <w:rsid w:val="00E407B6"/>
    <w:rsid w:val="00E41D82"/>
    <w:rsid w:val="00E41EF1"/>
    <w:rsid w:val="00E42942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A03E6"/>
    <w:rsid w:val="00EA3BFF"/>
    <w:rsid w:val="00EB7014"/>
    <w:rsid w:val="00EC5161"/>
    <w:rsid w:val="00EC5CDE"/>
    <w:rsid w:val="00EC7F2A"/>
    <w:rsid w:val="00ED072E"/>
    <w:rsid w:val="00ED3077"/>
    <w:rsid w:val="00ED487E"/>
    <w:rsid w:val="00ED5445"/>
    <w:rsid w:val="00ED64F1"/>
    <w:rsid w:val="00EE270D"/>
    <w:rsid w:val="00EE33A1"/>
    <w:rsid w:val="00EE7A0D"/>
    <w:rsid w:val="00EF3C2E"/>
    <w:rsid w:val="00F0222C"/>
    <w:rsid w:val="00F06647"/>
    <w:rsid w:val="00F120AA"/>
    <w:rsid w:val="00F12312"/>
    <w:rsid w:val="00F12BCD"/>
    <w:rsid w:val="00F13239"/>
    <w:rsid w:val="00F135E7"/>
    <w:rsid w:val="00F17CE1"/>
    <w:rsid w:val="00F2115C"/>
    <w:rsid w:val="00F22ABA"/>
    <w:rsid w:val="00F25919"/>
    <w:rsid w:val="00F25F4B"/>
    <w:rsid w:val="00F36B12"/>
    <w:rsid w:val="00F60F9F"/>
    <w:rsid w:val="00F61246"/>
    <w:rsid w:val="00F64F08"/>
    <w:rsid w:val="00F70055"/>
    <w:rsid w:val="00F734F5"/>
    <w:rsid w:val="00F73B5B"/>
    <w:rsid w:val="00F73C85"/>
    <w:rsid w:val="00F80A39"/>
    <w:rsid w:val="00F8536E"/>
    <w:rsid w:val="00F860E6"/>
    <w:rsid w:val="00F90EA5"/>
    <w:rsid w:val="00F91F5A"/>
    <w:rsid w:val="00F966B1"/>
    <w:rsid w:val="00F97D48"/>
    <w:rsid w:val="00FA0311"/>
    <w:rsid w:val="00FA1489"/>
    <w:rsid w:val="00FD1DAD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ADCC-59F5-4076-8ED0-A2DED718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Live better! persistent pain LMS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2020-12-18T05:31:00Z</dcterms:created>
  <dcterms:modified xsi:type="dcterms:W3CDTF">2020-12-18T05:32:00Z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2020-12-18T05:32:22Z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bf20015a-84f0-4289-8d18-e94a4172fdae</vt:lpwstr>
  </property>
  <property fmtid="{D5CDD505-2E9C-101B-9397-08002B2CF9AE}" pid="8" name="MSIP_Label_efdf5488-3066-4b6c-8fea-9472b8a1f34c_ContentBits">
    <vt:lpwstr>0</vt:lpwstr>
  </property>
</Properties>
</file>