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6.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7.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8.xml" ContentType="application/vnd.openxmlformats-officedocument.drawingml.chartshapes+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9.xml" ContentType="application/vnd.openxmlformats-officedocument.drawingml.chartshap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5670" w:rightFromText="5670" w:vertAnchor="page" w:horzAnchor="page" w:tblpX="852" w:tblpY="4310"/>
        <w:tblOverlap w:val="never"/>
        <w:tblW w:w="7088" w:type="dxa"/>
        <w:tblBorders>
          <w:insideH w:val="single" w:sz="24" w:space="0" w:color="CCCCD0" w:themeColor="accent6"/>
        </w:tblBorders>
        <w:tblCellMar>
          <w:left w:w="0" w:type="dxa"/>
          <w:right w:w="0" w:type="dxa"/>
        </w:tblCellMar>
        <w:tblLook w:val="0620" w:firstRow="1" w:lastRow="0" w:firstColumn="0" w:lastColumn="0" w:noHBand="1" w:noVBand="1"/>
      </w:tblPr>
      <w:tblGrid>
        <w:gridCol w:w="7088"/>
      </w:tblGrid>
      <w:tr w:rsidR="0050356B" w14:paraId="51294FAC" w14:textId="77777777" w:rsidTr="297A41F8">
        <w:trPr>
          <w:trHeight w:val="57"/>
        </w:trPr>
        <w:tc>
          <w:tcPr>
            <w:tcW w:w="7088" w:type="dxa"/>
            <w:shd w:val="clear" w:color="auto" w:fill="auto"/>
            <w:tcMar>
              <w:top w:w="312" w:type="dxa"/>
            </w:tcMar>
          </w:tcPr>
          <w:p w14:paraId="58445979" w14:textId="569C7E4E" w:rsidR="0050356B" w:rsidRPr="003B4F97" w:rsidRDefault="001E14D6" w:rsidP="003B4F97">
            <w:pPr>
              <w:pStyle w:val="Date"/>
              <w:framePr w:hSpace="0" w:wrap="auto" w:vAnchor="margin" w:hAnchor="text" w:xAlign="left" w:yAlign="inline"/>
              <w:suppressOverlap w:val="0"/>
            </w:pPr>
            <w:r>
              <w:t xml:space="preserve">June </w:t>
            </w:r>
            <w:r w:rsidR="00DA4AE8" w:rsidRPr="003B4F97">
              <w:t>2021</w:t>
            </w:r>
          </w:p>
        </w:tc>
      </w:tr>
      <w:tr w:rsidR="00A46288" w14:paraId="29C67C8B" w14:textId="77777777" w:rsidTr="297A41F8">
        <w:trPr>
          <w:trHeight w:val="2948"/>
        </w:trPr>
        <w:tc>
          <w:tcPr>
            <w:tcW w:w="7088" w:type="dxa"/>
            <w:shd w:val="clear" w:color="auto" w:fill="auto"/>
            <w:tcMar>
              <w:top w:w="312" w:type="dxa"/>
            </w:tcMar>
          </w:tcPr>
          <w:sdt>
            <w:sdtPr>
              <w:alias w:val="Title"/>
              <w:tag w:val=""/>
              <w:id w:val="-1484688983"/>
              <w:placeholder>
                <w:docPart w:val="E57939D165B4453C830F4FB00817D713"/>
              </w:placeholder>
              <w:dataBinding w:prefixMappings="xmlns:ns0='http://purl.org/dc/elements/1.1/' xmlns:ns1='http://schemas.openxmlformats.org/package/2006/metadata/core-properties' " w:xpath="/ns1:coreProperties[1]/ns0:title[1]" w:storeItemID="{6C3C8BC8-F283-45AE-878A-BAB7291924A1}"/>
              <w:text/>
            </w:sdtPr>
            <w:sdtEndPr/>
            <w:sdtContent>
              <w:p w14:paraId="38E255B9" w14:textId="2D004D5F" w:rsidR="00A46288" w:rsidRPr="003B4F97" w:rsidRDefault="00F4095B" w:rsidP="003B4F97">
                <w:pPr>
                  <w:pStyle w:val="Title"/>
                  <w:framePr w:hSpace="0" w:wrap="auto" w:vAnchor="margin" w:hAnchor="text" w:xAlign="left" w:yAlign="inline"/>
                  <w:suppressOverlap w:val="0"/>
                </w:pPr>
                <w:r w:rsidRPr="003B4F97">
                  <w:t>Victorian perinatal services performance indicators</w:t>
                </w:r>
              </w:p>
            </w:sdtContent>
          </w:sdt>
          <w:p w14:paraId="5DFF64AF" w14:textId="129EBE70" w:rsidR="00A46288" w:rsidRPr="003B4F97" w:rsidRDefault="00DA4AE8" w:rsidP="003B4F97">
            <w:pPr>
              <w:pStyle w:val="Subtitle"/>
              <w:framePr w:hSpace="0" w:wrap="auto" w:vAnchor="margin" w:hAnchor="text" w:xAlign="left" w:yAlign="inline"/>
              <w:suppressOverlap w:val="0"/>
            </w:pPr>
            <w:r w:rsidRPr="003B4F97">
              <w:t>2019–20</w:t>
            </w:r>
          </w:p>
        </w:tc>
      </w:tr>
    </w:tbl>
    <w:p w14:paraId="3EA4BAB6" w14:textId="77777777" w:rsidR="00A46288" w:rsidRDefault="00A46288" w:rsidP="003B4F97"/>
    <w:p w14:paraId="509BA644" w14:textId="77777777" w:rsidR="00A46288" w:rsidRDefault="00A46288" w:rsidP="003B4F97">
      <w:pPr>
        <w:sectPr w:rsidR="00A46288" w:rsidSect="00257461">
          <w:headerReference w:type="even" r:id="rId11"/>
          <w:headerReference w:type="default" r:id="rId12"/>
          <w:footerReference w:type="even" r:id="rId13"/>
          <w:footerReference w:type="default" r:id="rId14"/>
          <w:headerReference w:type="first" r:id="rId15"/>
          <w:footerReference w:type="first" r:id="rId16"/>
          <w:pgSz w:w="11906" w:h="16838" w:code="9"/>
          <w:pgMar w:top="3402" w:right="851" w:bottom="1361" w:left="851" w:header="539" w:footer="624" w:gutter="0"/>
          <w:pgNumType w:start="1"/>
          <w:cols w:space="284"/>
          <w:titlePg/>
          <w:docGrid w:linePitch="360"/>
        </w:sectPr>
      </w:pPr>
    </w:p>
    <w:tbl>
      <w:tblPr>
        <w:tblStyle w:val="SCVInformationTable"/>
        <w:tblpPr w:leftFromText="181" w:rightFromText="181" w:horzAnchor="page" w:tblpX="852" w:tblpYSpec="bottom"/>
        <w:tblW w:w="10216" w:type="dxa"/>
        <w:tblLook w:val="0600" w:firstRow="0" w:lastRow="0" w:firstColumn="0" w:lastColumn="0" w:noHBand="1" w:noVBand="1"/>
      </w:tblPr>
      <w:tblGrid>
        <w:gridCol w:w="4395"/>
        <w:gridCol w:w="3337"/>
        <w:gridCol w:w="2484"/>
      </w:tblGrid>
      <w:tr w:rsidR="008116D8" w:rsidRPr="00736C0C" w14:paraId="06802913" w14:textId="77777777" w:rsidTr="297A41F8">
        <w:trPr>
          <w:trHeight w:val="2041"/>
        </w:trPr>
        <w:tc>
          <w:tcPr>
            <w:tcW w:w="4395" w:type="dxa"/>
            <w:tcMar>
              <w:left w:w="113" w:type="dxa"/>
            </w:tcMar>
          </w:tcPr>
          <w:p w14:paraId="7E4669D9" w14:textId="0EB3CFCB" w:rsidR="008116D8" w:rsidRPr="008116D8" w:rsidRDefault="008116D8" w:rsidP="003B4F97">
            <w:r w:rsidRPr="003B4F97">
              <w:rPr>
                <w:sz w:val="24"/>
                <w:szCs w:val="36"/>
              </w:rPr>
              <w:lastRenderedPageBreak/>
              <w:t xml:space="preserve">To receive this publication in an accessible format phone </w:t>
            </w:r>
            <w:r w:rsidRPr="003B4F97">
              <w:rPr>
                <w:sz w:val="24"/>
                <w:szCs w:val="36"/>
              </w:rPr>
              <w:br/>
              <w:t xml:space="preserve">03 9096 1384, using the National Relay Service 13 36 </w:t>
            </w:r>
            <w:r w:rsidRPr="003B4F97">
              <w:rPr>
                <w:spacing w:val="-2"/>
                <w:sz w:val="24"/>
                <w:szCs w:val="36"/>
              </w:rPr>
              <w:t xml:space="preserve">77 if required, or email </w:t>
            </w:r>
            <w:r w:rsidR="002828A2" w:rsidRPr="003B4F97">
              <w:rPr>
                <w:sz w:val="24"/>
                <w:szCs w:val="36"/>
              </w:rPr>
              <w:t>info@safercare.vic.gov.au</w:t>
            </w:r>
          </w:p>
        </w:tc>
        <w:tc>
          <w:tcPr>
            <w:tcW w:w="3337" w:type="dxa"/>
          </w:tcPr>
          <w:p w14:paraId="6E57A04B" w14:textId="77777777" w:rsidR="008116D8" w:rsidRDefault="008116D8" w:rsidP="003B4F97">
            <w:r w:rsidRPr="00736C0C">
              <w:t xml:space="preserve">Authorised and </w:t>
            </w:r>
            <w:r w:rsidRPr="00736C0C">
              <w:rPr>
                <w:spacing w:val="-2"/>
              </w:rPr>
              <w:t>published by the Victorian</w:t>
            </w:r>
            <w:r w:rsidRPr="00736C0C">
              <w:t xml:space="preserve"> Government, 1</w:t>
            </w:r>
            <w:r>
              <w:t xml:space="preserve"> </w:t>
            </w:r>
            <w:r w:rsidRPr="00736C0C">
              <w:t>Treasury Place, Melbourne.</w:t>
            </w:r>
          </w:p>
          <w:p w14:paraId="32AD3DD4" w14:textId="0C2E3A3C" w:rsidR="008116D8" w:rsidRPr="00736C0C" w:rsidRDefault="008116D8" w:rsidP="003B4F97">
            <w:r w:rsidRPr="00736C0C">
              <w:t>© State of Victoria, Australia,</w:t>
            </w:r>
            <w:r>
              <w:t xml:space="preserve"> </w:t>
            </w:r>
            <w:r w:rsidRPr="00736C0C">
              <w:t>Safer Care Victoria,</w:t>
            </w:r>
            <w:r>
              <w:t xml:space="preserve"> </w:t>
            </w:r>
            <w:r w:rsidR="001E14D6">
              <w:t xml:space="preserve">June </w:t>
            </w:r>
            <w:bookmarkStart w:id="0" w:name="_GoBack"/>
            <w:bookmarkEnd w:id="0"/>
            <w:r w:rsidR="002828A2">
              <w:t>2021</w:t>
            </w:r>
          </w:p>
          <w:p w14:paraId="40191556" w14:textId="38EA04BE" w:rsidR="00153E56" w:rsidRDefault="00153E56" w:rsidP="003B4F97">
            <w:r w:rsidRPr="00153E56">
              <w:t>ISSN 2207-3558 (online)</w:t>
            </w:r>
          </w:p>
          <w:p w14:paraId="4DAE252D" w14:textId="0133ED09" w:rsidR="008116D8" w:rsidRPr="00736C0C" w:rsidRDefault="008116D8" w:rsidP="003B4F97">
            <w:r w:rsidRPr="00736C0C">
              <w:t xml:space="preserve">Available at </w:t>
            </w:r>
            <w:hyperlink r:id="rId17" w:history="1">
              <w:r w:rsidRPr="00EE4C3F">
                <w:rPr>
                  <w:color w:val="4D92C0"/>
                </w:rPr>
                <w:t>www.</w:t>
              </w:r>
              <w:r w:rsidRPr="004A4FB7">
                <w:rPr>
                  <w:color w:val="4D92C0"/>
                </w:rPr>
                <w:t>safercare</w:t>
              </w:r>
              <w:r w:rsidRPr="00EE4C3F">
                <w:rPr>
                  <w:color w:val="4D92C0"/>
                </w:rPr>
                <w:t>.vic</w:t>
              </w:r>
            </w:hyperlink>
            <w:r>
              <w:rPr>
                <w:color w:val="4D92C0"/>
              </w:rPr>
              <w:t>.</w:t>
            </w:r>
            <w:r w:rsidRPr="00EE4C3F">
              <w:rPr>
                <w:color w:val="4D92C0"/>
              </w:rPr>
              <w:t>gov.au</w:t>
            </w:r>
            <w:r w:rsidRPr="000D01D2">
              <w:rPr>
                <w:color w:val="4382B9"/>
              </w:rPr>
              <w:t xml:space="preserve"> </w:t>
            </w:r>
          </w:p>
        </w:tc>
        <w:tc>
          <w:tcPr>
            <w:tcW w:w="2484" w:type="dxa"/>
          </w:tcPr>
          <w:p w14:paraId="2CD51B2C" w14:textId="77777777" w:rsidR="008116D8" w:rsidRPr="00736C0C" w:rsidRDefault="7DFB281A" w:rsidP="003B4F97">
            <w:r>
              <w:drawing>
                <wp:inline distT="0" distB="0" distL="0" distR="0" wp14:anchorId="2198693F" wp14:editId="0A382168">
                  <wp:extent cx="795600" cy="453600"/>
                  <wp:effectExtent l="0" t="0" r="5080" b="3810"/>
                  <wp:docPr id="16" name="Picture 16" descr="Victor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8">
                            <a:extLst>
                              <a:ext uri="{28A0092B-C50C-407E-A947-70E740481C1C}">
                                <a14:useLocalDpi xmlns:a14="http://schemas.microsoft.com/office/drawing/2010/main" val="0"/>
                              </a:ext>
                            </a:extLst>
                          </a:blip>
                          <a:stretch>
                            <a:fillRect/>
                          </a:stretch>
                        </pic:blipFill>
                        <pic:spPr>
                          <a:xfrm>
                            <a:off x="0" y="0"/>
                            <a:ext cx="795600" cy="453600"/>
                          </a:xfrm>
                          <a:prstGeom prst="rect">
                            <a:avLst/>
                          </a:prstGeom>
                        </pic:spPr>
                      </pic:pic>
                    </a:graphicData>
                  </a:graphic>
                </wp:inline>
              </w:drawing>
            </w:r>
          </w:p>
        </w:tc>
      </w:tr>
    </w:tbl>
    <w:p w14:paraId="7DB47951" w14:textId="77777777" w:rsidR="0086277A" w:rsidRDefault="007C4073" w:rsidP="003B4F97">
      <w:r>
        <w:fldChar w:fldCharType="begin"/>
      </w:r>
      <w:r>
        <w:instrText xml:space="preserve"> Macrobutton NoMacro  </w:instrText>
      </w:r>
      <w:r>
        <w:fldChar w:fldCharType="end"/>
      </w:r>
      <w:r>
        <w:drawing>
          <wp:anchor distT="0" distB="0" distL="114300" distR="114300" simplePos="0" relativeHeight="251658242" behindDoc="1" locked="1" layoutInCell="1" allowOverlap="1" wp14:anchorId="7A3154FF" wp14:editId="4DBB26A8">
            <wp:simplePos x="0" y="0"/>
            <wp:positionH relativeFrom="page">
              <wp:posOffset>0</wp:posOffset>
            </wp:positionH>
            <wp:positionV relativeFrom="page">
              <wp:posOffset>0</wp:posOffset>
            </wp:positionV>
            <wp:extent cx="7560000" cy="10692000"/>
            <wp:effectExtent l="0" t="0" r="317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side artwork.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0F9F1A34" w14:textId="77777777" w:rsidR="0086277A" w:rsidRDefault="0086277A" w:rsidP="003B4F97">
      <w:pPr>
        <w:sectPr w:rsidR="0086277A" w:rsidSect="007C4073">
          <w:headerReference w:type="even" r:id="rId20"/>
          <w:headerReference w:type="default" r:id="rId21"/>
          <w:headerReference w:type="first" r:id="rId22"/>
          <w:footerReference w:type="first" r:id="rId23"/>
          <w:pgSz w:w="11906" w:h="16838" w:code="9"/>
          <w:pgMar w:top="3402" w:right="851" w:bottom="1361" w:left="851" w:header="539" w:footer="624" w:gutter="0"/>
          <w:cols w:num="2" w:space="284"/>
          <w:docGrid w:linePitch="360"/>
        </w:sectPr>
      </w:pPr>
    </w:p>
    <w:p w14:paraId="1F7CFB01" w14:textId="77777777" w:rsidR="00612C13" w:rsidRDefault="00612C13" w:rsidP="003B4F97">
      <w:pPr>
        <w:rPr>
          <w:rFonts w:ascii="VIC Medium" w:hAnsi="VIC Medium"/>
          <w:color w:val="007586" w:themeColor="text2"/>
        </w:rPr>
      </w:pPr>
      <w:r>
        <w:br w:type="page"/>
      </w:r>
    </w:p>
    <w:p w14:paraId="1E4F45CF" w14:textId="3102C2AC" w:rsidR="00612C13" w:rsidRPr="00DA4AE8" w:rsidRDefault="002828A2" w:rsidP="00A60C18">
      <w:pPr>
        <w:pStyle w:val="Heading1"/>
        <w:framePr w:wrap="around"/>
      </w:pPr>
      <w:bookmarkStart w:id="1" w:name="_Toc71710112"/>
      <w:r>
        <w:lastRenderedPageBreak/>
        <w:t>Contents</w:t>
      </w:r>
      <w:bookmarkEnd w:id="1"/>
    </w:p>
    <w:p w14:paraId="73EE7B14" w14:textId="270053F2" w:rsidR="00460717" w:rsidRPr="003B4F97" w:rsidRDefault="009F6216" w:rsidP="003B4F97">
      <w:pPr>
        <w:pStyle w:val="TOC1"/>
        <w:rPr>
          <w:rFonts w:asciiTheme="majorHAnsi" w:hAnsiTheme="majorHAnsi"/>
          <w:sz w:val="22"/>
          <w:szCs w:val="22"/>
          <w:lang w:eastAsia="en-AU"/>
        </w:rPr>
      </w:pPr>
      <w:r w:rsidRPr="003B4F97">
        <w:rPr>
          <w:rFonts w:asciiTheme="majorHAnsi" w:hAnsiTheme="majorHAnsi"/>
        </w:rPr>
        <w:fldChar w:fldCharType="begin"/>
      </w:r>
      <w:r w:rsidRPr="003B4F97">
        <w:rPr>
          <w:rFonts w:asciiTheme="majorHAnsi" w:hAnsiTheme="majorHAnsi"/>
        </w:rPr>
        <w:instrText xml:space="preserve"> TOC \o "1-1" \h \z \u </w:instrText>
      </w:r>
      <w:r w:rsidRPr="003B4F97">
        <w:rPr>
          <w:rFonts w:asciiTheme="majorHAnsi" w:hAnsiTheme="majorHAnsi"/>
        </w:rPr>
        <w:fldChar w:fldCharType="separate"/>
      </w:r>
      <w:hyperlink w:anchor="_Toc71710112" w:history="1">
        <w:r w:rsidR="00460717" w:rsidRPr="003B4F97">
          <w:rPr>
            <w:rStyle w:val="Hyperlink"/>
            <w:rFonts w:asciiTheme="majorHAnsi" w:hAnsiTheme="majorHAnsi"/>
          </w:rPr>
          <w:t>Contents</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_Toc71710112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1</w:t>
        </w:r>
        <w:r w:rsidR="00460717" w:rsidRPr="003B4F97">
          <w:rPr>
            <w:rFonts w:asciiTheme="majorHAnsi" w:hAnsiTheme="majorHAnsi"/>
            <w:webHidden/>
          </w:rPr>
          <w:fldChar w:fldCharType="end"/>
        </w:r>
      </w:hyperlink>
    </w:p>
    <w:p w14:paraId="1EF4B703" w14:textId="30ADF299" w:rsidR="00460717" w:rsidRPr="003B4F97" w:rsidRDefault="001E14D6" w:rsidP="003B4F97">
      <w:pPr>
        <w:pStyle w:val="TOC1"/>
        <w:rPr>
          <w:rFonts w:asciiTheme="majorHAnsi" w:hAnsiTheme="majorHAnsi"/>
          <w:sz w:val="22"/>
          <w:szCs w:val="22"/>
          <w:lang w:eastAsia="en-AU"/>
        </w:rPr>
      </w:pPr>
      <w:hyperlink w:anchor="_Toc71710113" w:history="1">
        <w:r w:rsidR="00460717" w:rsidRPr="003B4F97">
          <w:rPr>
            <w:rStyle w:val="Hyperlink"/>
            <w:rFonts w:asciiTheme="majorHAnsi" w:hAnsiTheme="majorHAnsi"/>
          </w:rPr>
          <w:t>About this report</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_Toc71710113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2</w:t>
        </w:r>
        <w:r w:rsidR="00460717" w:rsidRPr="003B4F97">
          <w:rPr>
            <w:rFonts w:asciiTheme="majorHAnsi" w:hAnsiTheme="majorHAnsi"/>
            <w:webHidden/>
          </w:rPr>
          <w:fldChar w:fldCharType="end"/>
        </w:r>
      </w:hyperlink>
    </w:p>
    <w:p w14:paraId="2D1DB499" w14:textId="76EC4489" w:rsidR="00460717" w:rsidRPr="003B4F97" w:rsidRDefault="001E14D6" w:rsidP="003B4F97">
      <w:pPr>
        <w:pStyle w:val="TOC1"/>
        <w:rPr>
          <w:rFonts w:asciiTheme="majorHAnsi" w:hAnsiTheme="majorHAnsi"/>
          <w:sz w:val="22"/>
          <w:szCs w:val="22"/>
          <w:lang w:eastAsia="en-AU"/>
        </w:rPr>
      </w:pPr>
      <w:hyperlink w:anchor="_Toc71710114" w:history="1">
        <w:r w:rsidR="00460717" w:rsidRPr="003B4F97">
          <w:rPr>
            <w:rStyle w:val="Hyperlink"/>
            <w:rFonts w:asciiTheme="majorHAnsi" w:hAnsiTheme="majorHAnsi"/>
          </w:rPr>
          <w:t>Summary of results</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_Toc71710114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6</w:t>
        </w:r>
        <w:r w:rsidR="00460717" w:rsidRPr="003B4F97">
          <w:rPr>
            <w:rFonts w:asciiTheme="majorHAnsi" w:hAnsiTheme="majorHAnsi"/>
            <w:webHidden/>
          </w:rPr>
          <w:fldChar w:fldCharType="end"/>
        </w:r>
      </w:hyperlink>
    </w:p>
    <w:p w14:paraId="67A6287F" w14:textId="78E63F5F" w:rsidR="00460717" w:rsidRPr="003B4F97" w:rsidRDefault="001E14D6" w:rsidP="003B4F97">
      <w:pPr>
        <w:pStyle w:val="TOC1"/>
        <w:rPr>
          <w:rFonts w:asciiTheme="majorHAnsi" w:hAnsiTheme="majorHAnsi"/>
          <w:sz w:val="22"/>
          <w:szCs w:val="22"/>
          <w:lang w:eastAsia="en-AU"/>
        </w:rPr>
      </w:pPr>
      <w:hyperlink w:anchor="_Toc71710115" w:history="1">
        <w:r w:rsidR="00460717" w:rsidRPr="003B4F97">
          <w:rPr>
            <w:rStyle w:val="Hyperlink"/>
            <w:rFonts w:asciiTheme="majorHAnsi" w:hAnsiTheme="majorHAnsi"/>
            <w:color w:val="007586" w:themeColor="text2"/>
          </w:rPr>
          <w:t>1a: Induction of labour in standard primiparae</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_Toc71710115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9</w:t>
        </w:r>
        <w:r w:rsidR="00460717" w:rsidRPr="003B4F97">
          <w:rPr>
            <w:rFonts w:asciiTheme="majorHAnsi" w:hAnsiTheme="majorHAnsi"/>
            <w:webHidden/>
          </w:rPr>
          <w:fldChar w:fldCharType="end"/>
        </w:r>
      </w:hyperlink>
    </w:p>
    <w:p w14:paraId="6C6C84F3" w14:textId="69989D4A" w:rsidR="00460717" w:rsidRPr="003B4F97" w:rsidRDefault="001E14D6" w:rsidP="003B4F97">
      <w:pPr>
        <w:pStyle w:val="TOC1"/>
        <w:rPr>
          <w:rFonts w:asciiTheme="majorHAnsi" w:hAnsiTheme="majorHAnsi"/>
          <w:sz w:val="22"/>
          <w:szCs w:val="22"/>
          <w:lang w:eastAsia="en-AU"/>
        </w:rPr>
      </w:pPr>
      <w:hyperlink w:anchor="_Toc71710116" w:history="1">
        <w:r w:rsidR="00460717" w:rsidRPr="003B4F97">
          <w:rPr>
            <w:rStyle w:val="Hyperlink"/>
            <w:rFonts w:asciiTheme="majorHAnsi" w:hAnsiTheme="majorHAnsi"/>
            <w:color w:val="007586" w:themeColor="text2"/>
          </w:rPr>
          <w:t>1b: Caesarean sections in primiparae</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_Toc71710116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13</w:t>
        </w:r>
        <w:r w:rsidR="00460717" w:rsidRPr="003B4F97">
          <w:rPr>
            <w:rFonts w:asciiTheme="majorHAnsi" w:hAnsiTheme="majorHAnsi"/>
            <w:webHidden/>
          </w:rPr>
          <w:fldChar w:fldCharType="end"/>
        </w:r>
      </w:hyperlink>
    </w:p>
    <w:p w14:paraId="1A353EF0" w14:textId="3E165C3E" w:rsidR="00460717" w:rsidRPr="003B4F97" w:rsidRDefault="001E14D6" w:rsidP="003B4F97">
      <w:pPr>
        <w:pStyle w:val="TOC1"/>
        <w:rPr>
          <w:rFonts w:asciiTheme="majorHAnsi" w:hAnsiTheme="majorHAnsi"/>
          <w:sz w:val="22"/>
          <w:szCs w:val="22"/>
          <w:lang w:eastAsia="en-AU"/>
        </w:rPr>
      </w:pPr>
      <w:hyperlink w:anchor="_Toc71710117" w:history="1">
        <w:r w:rsidR="00460717" w:rsidRPr="003B4F97">
          <w:rPr>
            <w:rStyle w:val="Hyperlink"/>
            <w:rFonts w:asciiTheme="majorHAnsi" w:hAnsiTheme="majorHAnsi"/>
            <w:color w:val="007586" w:themeColor="text2"/>
          </w:rPr>
          <w:t>1c: Perineal tears in primiparae</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_Toc71710117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18</w:t>
        </w:r>
        <w:r w:rsidR="00460717" w:rsidRPr="003B4F97">
          <w:rPr>
            <w:rFonts w:asciiTheme="majorHAnsi" w:hAnsiTheme="majorHAnsi"/>
            <w:webHidden/>
          </w:rPr>
          <w:fldChar w:fldCharType="end"/>
        </w:r>
      </w:hyperlink>
    </w:p>
    <w:p w14:paraId="07BC3CF5" w14:textId="1FDB7E43" w:rsidR="00460717" w:rsidRPr="003B4F97" w:rsidRDefault="001E14D6" w:rsidP="003B4F97">
      <w:pPr>
        <w:pStyle w:val="TOC1"/>
        <w:rPr>
          <w:rFonts w:asciiTheme="majorHAnsi" w:hAnsiTheme="majorHAnsi"/>
          <w:sz w:val="22"/>
          <w:szCs w:val="22"/>
          <w:lang w:eastAsia="en-AU"/>
        </w:rPr>
      </w:pPr>
      <w:hyperlink w:anchor="_Toc71710118" w:history="1">
        <w:r w:rsidR="00460717" w:rsidRPr="003B4F97">
          <w:rPr>
            <w:rStyle w:val="Hyperlink"/>
            <w:rFonts w:asciiTheme="majorHAnsi" w:hAnsiTheme="majorHAnsi"/>
            <w:color w:val="007586" w:themeColor="text2"/>
            <w:lang w:val="en-GB"/>
          </w:rPr>
          <w:t>2: Term babies without congenital anomalies who required additional care</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_Toc71710118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23</w:t>
        </w:r>
        <w:r w:rsidR="00460717" w:rsidRPr="003B4F97">
          <w:rPr>
            <w:rFonts w:asciiTheme="majorHAnsi" w:hAnsiTheme="majorHAnsi"/>
            <w:webHidden/>
          </w:rPr>
          <w:fldChar w:fldCharType="end"/>
        </w:r>
      </w:hyperlink>
    </w:p>
    <w:p w14:paraId="5B7B2638" w14:textId="67709136" w:rsidR="00460717" w:rsidRPr="003B4F97" w:rsidRDefault="001E14D6" w:rsidP="003B4F97">
      <w:pPr>
        <w:pStyle w:val="TOC1"/>
        <w:rPr>
          <w:rFonts w:asciiTheme="majorHAnsi" w:hAnsiTheme="majorHAnsi"/>
          <w:sz w:val="22"/>
          <w:szCs w:val="22"/>
          <w:lang w:eastAsia="en-AU"/>
        </w:rPr>
      </w:pPr>
      <w:hyperlink w:anchor="_Toc71710119" w:history="1">
        <w:r w:rsidR="00460717" w:rsidRPr="003B4F97">
          <w:rPr>
            <w:rStyle w:val="Hyperlink"/>
            <w:rFonts w:asciiTheme="majorHAnsi" w:hAnsiTheme="majorHAnsi"/>
            <w:color w:val="007586" w:themeColor="text2"/>
          </w:rPr>
          <w:t>3: Severe fetal growth restriction</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_Toc71710119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27</w:t>
        </w:r>
        <w:r w:rsidR="00460717" w:rsidRPr="003B4F97">
          <w:rPr>
            <w:rFonts w:asciiTheme="majorHAnsi" w:hAnsiTheme="majorHAnsi"/>
            <w:webHidden/>
          </w:rPr>
          <w:fldChar w:fldCharType="end"/>
        </w:r>
      </w:hyperlink>
    </w:p>
    <w:p w14:paraId="1E761A6C" w14:textId="12755792" w:rsidR="00460717" w:rsidRPr="003B4F97" w:rsidRDefault="001E14D6" w:rsidP="003B4F97">
      <w:pPr>
        <w:pStyle w:val="TOC1"/>
        <w:rPr>
          <w:rFonts w:asciiTheme="majorHAnsi" w:hAnsiTheme="majorHAnsi"/>
          <w:sz w:val="22"/>
          <w:szCs w:val="22"/>
          <w:lang w:eastAsia="en-AU"/>
        </w:rPr>
      </w:pPr>
      <w:hyperlink w:anchor="_Toc71710120" w:history="1">
        <w:r w:rsidR="00460717" w:rsidRPr="003B4F97">
          <w:rPr>
            <w:rStyle w:val="Hyperlink"/>
            <w:rFonts w:asciiTheme="majorHAnsi" w:hAnsiTheme="majorHAnsi"/>
            <w:color w:val="007586" w:themeColor="text2"/>
          </w:rPr>
          <w:t>5: Five-year gestation standardised perinatal mortality ratio</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_Toc71710120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33</w:t>
        </w:r>
        <w:r w:rsidR="00460717" w:rsidRPr="003B4F97">
          <w:rPr>
            <w:rFonts w:asciiTheme="majorHAnsi" w:hAnsiTheme="majorHAnsi"/>
            <w:webHidden/>
          </w:rPr>
          <w:fldChar w:fldCharType="end"/>
        </w:r>
      </w:hyperlink>
    </w:p>
    <w:p w14:paraId="33E0602D" w14:textId="22801B8E" w:rsidR="00460717" w:rsidRPr="003B4F97" w:rsidRDefault="001E14D6" w:rsidP="003B4F97">
      <w:pPr>
        <w:pStyle w:val="TOC1"/>
        <w:rPr>
          <w:rFonts w:asciiTheme="majorHAnsi" w:hAnsiTheme="majorHAnsi"/>
          <w:sz w:val="22"/>
          <w:szCs w:val="22"/>
          <w:lang w:eastAsia="en-AU"/>
        </w:rPr>
      </w:pPr>
      <w:hyperlink w:anchor="_Toc71710121" w:history="1">
        <w:r w:rsidR="00460717" w:rsidRPr="003B4F97">
          <w:rPr>
            <w:rStyle w:val="Hyperlink"/>
            <w:rFonts w:asciiTheme="majorHAnsi" w:hAnsiTheme="majorHAnsi"/>
            <w:color w:val="007586" w:themeColor="text2"/>
          </w:rPr>
          <w:t>6a and 6b: Readmissions during the postnatal period</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_Toc71710121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37</w:t>
        </w:r>
        <w:r w:rsidR="00460717" w:rsidRPr="003B4F97">
          <w:rPr>
            <w:rFonts w:asciiTheme="majorHAnsi" w:hAnsiTheme="majorHAnsi"/>
            <w:webHidden/>
          </w:rPr>
          <w:fldChar w:fldCharType="end"/>
        </w:r>
      </w:hyperlink>
    </w:p>
    <w:p w14:paraId="41D66801" w14:textId="55D3A3F1" w:rsidR="00460717" w:rsidRPr="003B4F97" w:rsidRDefault="001E14D6" w:rsidP="003B4F97">
      <w:pPr>
        <w:pStyle w:val="TOC1"/>
        <w:rPr>
          <w:rFonts w:asciiTheme="majorHAnsi" w:hAnsiTheme="majorHAnsi"/>
          <w:sz w:val="22"/>
          <w:szCs w:val="22"/>
          <w:lang w:eastAsia="en-AU"/>
        </w:rPr>
      </w:pPr>
      <w:hyperlink w:anchor="_Toc71710122" w:history="1">
        <w:r w:rsidR="00460717" w:rsidRPr="003B4F97">
          <w:rPr>
            <w:rStyle w:val="Hyperlink"/>
            <w:rFonts w:asciiTheme="majorHAnsi" w:hAnsiTheme="majorHAnsi"/>
            <w:color w:val="007586" w:themeColor="text2"/>
          </w:rPr>
          <w:t>7: Smoking cessation</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_Toc71710122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45</w:t>
        </w:r>
        <w:r w:rsidR="00460717" w:rsidRPr="003B4F97">
          <w:rPr>
            <w:rFonts w:asciiTheme="majorHAnsi" w:hAnsiTheme="majorHAnsi"/>
            <w:webHidden/>
          </w:rPr>
          <w:fldChar w:fldCharType="end"/>
        </w:r>
      </w:hyperlink>
    </w:p>
    <w:p w14:paraId="5960B70B" w14:textId="030861DD" w:rsidR="00460717" w:rsidRPr="003B4F97" w:rsidRDefault="001E14D6" w:rsidP="003B4F97">
      <w:pPr>
        <w:pStyle w:val="TOC1"/>
        <w:rPr>
          <w:rFonts w:asciiTheme="majorHAnsi" w:hAnsiTheme="majorHAnsi"/>
          <w:sz w:val="22"/>
          <w:szCs w:val="22"/>
          <w:lang w:eastAsia="en-AU"/>
        </w:rPr>
      </w:pPr>
      <w:hyperlink w:anchor="_Toc71710123" w:history="1">
        <w:r w:rsidR="00460717" w:rsidRPr="003B4F97">
          <w:rPr>
            <w:rStyle w:val="Hyperlink"/>
            <w:rFonts w:asciiTheme="majorHAnsi" w:hAnsiTheme="majorHAnsi"/>
            <w:color w:val="007586" w:themeColor="text2"/>
          </w:rPr>
          <w:t>10: Low Apgar score</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_Toc71710123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49</w:t>
        </w:r>
        <w:r w:rsidR="00460717" w:rsidRPr="003B4F97">
          <w:rPr>
            <w:rFonts w:asciiTheme="majorHAnsi" w:hAnsiTheme="majorHAnsi"/>
            <w:webHidden/>
          </w:rPr>
          <w:fldChar w:fldCharType="end"/>
        </w:r>
      </w:hyperlink>
    </w:p>
    <w:p w14:paraId="6E5B022D" w14:textId="35E3F916" w:rsidR="00460717" w:rsidRPr="003B4F97" w:rsidRDefault="001E14D6" w:rsidP="003B4F97">
      <w:pPr>
        <w:pStyle w:val="TOC1"/>
        <w:rPr>
          <w:rFonts w:asciiTheme="majorHAnsi" w:hAnsiTheme="majorHAnsi"/>
          <w:sz w:val="22"/>
          <w:szCs w:val="22"/>
          <w:lang w:eastAsia="en-AU"/>
        </w:rPr>
      </w:pPr>
      <w:hyperlink w:anchor="_Toc71710124" w:history="1">
        <w:r w:rsidR="00460717" w:rsidRPr="003B4F97">
          <w:rPr>
            <w:rStyle w:val="Hyperlink"/>
            <w:rFonts w:asciiTheme="majorHAnsi" w:hAnsiTheme="majorHAnsi"/>
            <w:color w:val="007586" w:themeColor="text2"/>
          </w:rPr>
          <w:t>11a and 11b: Women’s experiences of care</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_Toc71710124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53</w:t>
        </w:r>
        <w:r w:rsidR="00460717" w:rsidRPr="003B4F97">
          <w:rPr>
            <w:rFonts w:asciiTheme="majorHAnsi" w:hAnsiTheme="majorHAnsi"/>
            <w:webHidden/>
          </w:rPr>
          <w:fldChar w:fldCharType="end"/>
        </w:r>
      </w:hyperlink>
    </w:p>
    <w:p w14:paraId="346F68BE" w14:textId="3B5BAF0D" w:rsidR="00460717" w:rsidRPr="003B4F97" w:rsidRDefault="001E14D6" w:rsidP="003B4F97">
      <w:pPr>
        <w:pStyle w:val="TOC1"/>
        <w:rPr>
          <w:rFonts w:asciiTheme="majorHAnsi" w:hAnsiTheme="majorHAnsi"/>
          <w:sz w:val="22"/>
          <w:szCs w:val="22"/>
          <w:lang w:eastAsia="en-AU"/>
        </w:rPr>
      </w:pPr>
      <w:hyperlink w:anchor="_Toc71710125" w:history="1">
        <w:r w:rsidR="00460717" w:rsidRPr="003B4F97">
          <w:rPr>
            <w:rStyle w:val="Hyperlink"/>
            <w:rFonts w:asciiTheme="majorHAnsi" w:hAnsiTheme="majorHAnsi"/>
            <w:color w:val="007586" w:themeColor="text2"/>
            <w:lang w:val="en-GB"/>
          </w:rPr>
          <w:t>12b: Maternal vaccination</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_Toc71710125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59</w:t>
        </w:r>
        <w:r w:rsidR="00460717" w:rsidRPr="003B4F97">
          <w:rPr>
            <w:rFonts w:asciiTheme="majorHAnsi" w:hAnsiTheme="majorHAnsi"/>
            <w:webHidden/>
          </w:rPr>
          <w:fldChar w:fldCharType="end"/>
        </w:r>
      </w:hyperlink>
    </w:p>
    <w:p w14:paraId="3112062F" w14:textId="7DE8A9C2" w:rsidR="00460717" w:rsidRPr="003B4F97" w:rsidRDefault="001E14D6" w:rsidP="003B4F97">
      <w:pPr>
        <w:pStyle w:val="TOC1"/>
        <w:rPr>
          <w:rFonts w:asciiTheme="majorHAnsi" w:hAnsiTheme="majorHAnsi"/>
          <w:sz w:val="22"/>
          <w:szCs w:val="22"/>
          <w:lang w:eastAsia="en-AU"/>
        </w:rPr>
      </w:pPr>
      <w:hyperlink w:anchor="_Toc71710126" w:history="1">
        <w:r w:rsidR="00460717" w:rsidRPr="003B4F97">
          <w:rPr>
            <w:rStyle w:val="Hyperlink"/>
            <w:rFonts w:asciiTheme="majorHAnsi" w:hAnsiTheme="majorHAnsi"/>
            <w:color w:val="007586" w:themeColor="text2"/>
            <w:lang w:val="en-GB"/>
          </w:rPr>
          <w:t>13: Women who had a severe postpartum haemorrhage within the 24 hours following birth, 2019</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_Toc71710126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62</w:t>
        </w:r>
        <w:r w:rsidR="00460717" w:rsidRPr="003B4F97">
          <w:rPr>
            <w:rFonts w:asciiTheme="majorHAnsi" w:hAnsiTheme="majorHAnsi"/>
            <w:webHidden/>
          </w:rPr>
          <w:fldChar w:fldCharType="end"/>
        </w:r>
      </w:hyperlink>
    </w:p>
    <w:p w14:paraId="1B8405A7" w14:textId="6D70B845" w:rsidR="00460717" w:rsidRPr="003B4F97" w:rsidRDefault="001E14D6" w:rsidP="003B4F97">
      <w:pPr>
        <w:pStyle w:val="TOC1"/>
        <w:rPr>
          <w:rFonts w:asciiTheme="majorHAnsi" w:hAnsiTheme="majorHAnsi"/>
          <w:sz w:val="22"/>
          <w:szCs w:val="22"/>
          <w:lang w:eastAsia="en-AU"/>
        </w:rPr>
      </w:pPr>
      <w:hyperlink w:anchor="_Toc71710127" w:history="1">
        <w:r w:rsidR="00460717" w:rsidRPr="003B4F97">
          <w:rPr>
            <w:rStyle w:val="Hyperlink"/>
            <w:rFonts w:asciiTheme="majorHAnsi" w:hAnsiTheme="majorHAnsi"/>
          </w:rPr>
          <w:t>Appendix 1: Data sources and reporting rules</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_Toc71710127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65</w:t>
        </w:r>
        <w:r w:rsidR="00460717" w:rsidRPr="003B4F97">
          <w:rPr>
            <w:rFonts w:asciiTheme="majorHAnsi" w:hAnsiTheme="majorHAnsi"/>
            <w:webHidden/>
          </w:rPr>
          <w:fldChar w:fldCharType="end"/>
        </w:r>
      </w:hyperlink>
    </w:p>
    <w:p w14:paraId="32D9A392" w14:textId="532E05EB" w:rsidR="00460717" w:rsidRPr="003B4F97" w:rsidRDefault="001E14D6" w:rsidP="003B4F97">
      <w:pPr>
        <w:pStyle w:val="TOC1"/>
        <w:rPr>
          <w:rFonts w:asciiTheme="majorHAnsi" w:hAnsiTheme="majorHAnsi"/>
          <w:sz w:val="22"/>
          <w:szCs w:val="22"/>
          <w:lang w:eastAsia="en-AU"/>
        </w:rPr>
      </w:pPr>
      <w:hyperlink w:anchor="_Toc71710128" w:history="1">
        <w:r w:rsidR="00460717" w:rsidRPr="003B4F97">
          <w:rPr>
            <w:rStyle w:val="Hyperlink"/>
            <w:rFonts w:asciiTheme="majorHAnsi" w:hAnsiTheme="majorHAnsi"/>
          </w:rPr>
          <w:t>Appendix 2: Total women and babies in Victorian maternity services 2019</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_Toc71710128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66</w:t>
        </w:r>
        <w:r w:rsidR="00460717" w:rsidRPr="003B4F97">
          <w:rPr>
            <w:rFonts w:asciiTheme="majorHAnsi" w:hAnsiTheme="majorHAnsi"/>
            <w:webHidden/>
          </w:rPr>
          <w:fldChar w:fldCharType="end"/>
        </w:r>
      </w:hyperlink>
    </w:p>
    <w:p w14:paraId="6264F1F4" w14:textId="236811D5" w:rsidR="00460717" w:rsidRPr="003B4F97" w:rsidRDefault="001E14D6" w:rsidP="003B4F97">
      <w:pPr>
        <w:pStyle w:val="TOC1"/>
        <w:rPr>
          <w:rFonts w:asciiTheme="majorHAnsi" w:hAnsiTheme="majorHAnsi"/>
          <w:sz w:val="22"/>
          <w:szCs w:val="22"/>
          <w:lang w:eastAsia="en-AU"/>
        </w:rPr>
      </w:pPr>
      <w:hyperlink w:anchor="_Toc71710129" w:history="1">
        <w:r w:rsidR="00460717" w:rsidRPr="003B4F97">
          <w:rPr>
            <w:rStyle w:val="Hyperlink"/>
            <w:rFonts w:asciiTheme="majorHAnsi" w:hAnsiTheme="majorHAnsi"/>
          </w:rPr>
          <w:t>Appendix 3: Overview of results</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_Toc71710129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69</w:t>
        </w:r>
        <w:r w:rsidR="00460717" w:rsidRPr="003B4F97">
          <w:rPr>
            <w:rFonts w:asciiTheme="majorHAnsi" w:hAnsiTheme="majorHAnsi"/>
            <w:webHidden/>
          </w:rPr>
          <w:fldChar w:fldCharType="end"/>
        </w:r>
      </w:hyperlink>
    </w:p>
    <w:p w14:paraId="55A2F648" w14:textId="6CE52207" w:rsidR="00460717" w:rsidRPr="003B4F97" w:rsidRDefault="001E14D6" w:rsidP="003B4F97">
      <w:pPr>
        <w:pStyle w:val="TOC1"/>
        <w:rPr>
          <w:rFonts w:asciiTheme="majorHAnsi" w:hAnsiTheme="majorHAnsi"/>
          <w:sz w:val="22"/>
          <w:szCs w:val="22"/>
          <w:lang w:eastAsia="en-AU"/>
        </w:rPr>
      </w:pPr>
      <w:hyperlink w:anchor="_Toc71710130" w:history="1">
        <w:r w:rsidR="00460717" w:rsidRPr="003B4F97">
          <w:rPr>
            <w:rStyle w:val="Hyperlink"/>
            <w:rFonts w:asciiTheme="majorHAnsi" w:hAnsiTheme="majorHAnsi"/>
          </w:rPr>
          <w:t>Terminology</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_Toc71710130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72</w:t>
        </w:r>
        <w:r w:rsidR="00460717" w:rsidRPr="003B4F97">
          <w:rPr>
            <w:rFonts w:asciiTheme="majorHAnsi" w:hAnsiTheme="majorHAnsi"/>
            <w:webHidden/>
          </w:rPr>
          <w:fldChar w:fldCharType="end"/>
        </w:r>
      </w:hyperlink>
    </w:p>
    <w:p w14:paraId="67CEFD6C" w14:textId="08AF5185" w:rsidR="00460717" w:rsidRPr="003B4F97" w:rsidRDefault="001E14D6" w:rsidP="003B4F97">
      <w:pPr>
        <w:pStyle w:val="TOC1"/>
        <w:rPr>
          <w:rFonts w:asciiTheme="majorHAnsi" w:hAnsiTheme="majorHAnsi"/>
          <w:sz w:val="22"/>
          <w:szCs w:val="22"/>
          <w:lang w:eastAsia="en-AU"/>
        </w:rPr>
      </w:pPr>
      <w:hyperlink w:anchor="_Toc71710131" w:history="1">
        <w:r w:rsidR="00460717" w:rsidRPr="003B4F97">
          <w:rPr>
            <w:rStyle w:val="Hyperlink"/>
            <w:rFonts w:asciiTheme="majorHAnsi" w:hAnsiTheme="majorHAnsi"/>
          </w:rPr>
          <w:t>References</w:t>
        </w:r>
        <w:r w:rsidR="00460717" w:rsidRPr="003B4F97">
          <w:rPr>
            <w:rFonts w:asciiTheme="majorHAnsi" w:hAnsiTheme="majorHAnsi"/>
            <w:webHidden/>
          </w:rPr>
          <w:tab/>
        </w:r>
        <w:r w:rsidR="00460717" w:rsidRPr="003B4F97">
          <w:rPr>
            <w:rFonts w:asciiTheme="majorHAnsi" w:hAnsiTheme="majorHAnsi"/>
            <w:webHidden/>
          </w:rPr>
          <w:fldChar w:fldCharType="begin"/>
        </w:r>
        <w:r w:rsidR="00460717" w:rsidRPr="003B4F97">
          <w:rPr>
            <w:rFonts w:asciiTheme="majorHAnsi" w:hAnsiTheme="majorHAnsi"/>
            <w:webHidden/>
          </w:rPr>
          <w:instrText xml:space="preserve"> PAGEREF _Toc71710131 \h </w:instrText>
        </w:r>
        <w:r w:rsidR="00460717" w:rsidRPr="003B4F97">
          <w:rPr>
            <w:rFonts w:asciiTheme="majorHAnsi" w:hAnsiTheme="majorHAnsi"/>
            <w:webHidden/>
          </w:rPr>
        </w:r>
        <w:r w:rsidR="00460717" w:rsidRPr="003B4F97">
          <w:rPr>
            <w:rFonts w:asciiTheme="majorHAnsi" w:hAnsiTheme="majorHAnsi"/>
            <w:webHidden/>
          </w:rPr>
          <w:fldChar w:fldCharType="separate"/>
        </w:r>
        <w:r w:rsidR="003B4F97" w:rsidRPr="003B4F97">
          <w:rPr>
            <w:rFonts w:asciiTheme="majorHAnsi" w:hAnsiTheme="majorHAnsi"/>
            <w:webHidden/>
          </w:rPr>
          <w:t>75</w:t>
        </w:r>
        <w:r w:rsidR="00460717" w:rsidRPr="003B4F97">
          <w:rPr>
            <w:rFonts w:asciiTheme="majorHAnsi" w:hAnsiTheme="majorHAnsi"/>
            <w:webHidden/>
          </w:rPr>
          <w:fldChar w:fldCharType="end"/>
        </w:r>
      </w:hyperlink>
    </w:p>
    <w:p w14:paraId="11CF3BF3" w14:textId="0ADD0D33" w:rsidR="002828A2" w:rsidRDefault="009F6216" w:rsidP="003B4F97">
      <w:pPr>
        <w:rPr>
          <w:rFonts w:ascii="VIC Medium" w:hAnsi="VIC Medium"/>
          <w:bCs/>
          <w:color w:val="007586" w:themeColor="text2"/>
        </w:rPr>
      </w:pPr>
      <w:r w:rsidRPr="003B4F97">
        <w:fldChar w:fldCharType="end"/>
      </w:r>
      <w:r w:rsidR="002828A2">
        <w:br w:type="page"/>
      </w:r>
    </w:p>
    <w:p w14:paraId="6FEA1594" w14:textId="77777777" w:rsidR="002828A2" w:rsidRDefault="002828A2" w:rsidP="00A60C18">
      <w:pPr>
        <w:pStyle w:val="Heading1"/>
        <w:framePr w:wrap="around"/>
      </w:pPr>
      <w:bookmarkStart w:id="2" w:name="_Toc71710113"/>
      <w:r>
        <w:lastRenderedPageBreak/>
        <w:t>About this report</w:t>
      </w:r>
      <w:bookmarkEnd w:id="2"/>
    </w:p>
    <w:p w14:paraId="10A210FA" w14:textId="69B009F4" w:rsidR="00DA4AE8" w:rsidRPr="003B4F97" w:rsidRDefault="00DA4AE8" w:rsidP="003B4F97">
      <w:pPr>
        <w:pStyle w:val="IntroductoryText"/>
      </w:pPr>
      <w:r w:rsidRPr="003B4F97">
        <w:t xml:space="preserve">This report provides insights into where we are providing exceptional care and where improvements can be made across our maternity services in Victoria. It provides data allowing health services to compare results and monitor variation within their own services over time and also against their peers. </w:t>
      </w:r>
      <w:r w:rsidR="00900820" w:rsidRPr="003B4F97">
        <w:t xml:space="preserve">This report also helps </w:t>
      </w:r>
      <w:r w:rsidRPr="003B4F97">
        <w:t>health services prioritise their performance improvements by review</w:t>
      </w:r>
      <w:r w:rsidR="00900820" w:rsidRPr="003B4F97">
        <w:t xml:space="preserve">ing their </w:t>
      </w:r>
      <w:r w:rsidRPr="003B4F97">
        <w:t>practices and identifying areas of improvements for the care provided to women and their babies – from antenatal, through intrapartum (labour and birth) to postnatal care.</w:t>
      </w:r>
    </w:p>
    <w:p w14:paraId="03F3041E" w14:textId="734D4528" w:rsidR="007E73B3" w:rsidRPr="003B4F97" w:rsidRDefault="007E73B3" w:rsidP="003B4F97">
      <w:r w:rsidRPr="003B4F97">
        <w:t>These performance indicators are widely accepted as appropriate, useful and insightful measures of the quality of care. They continue to be refined over time.</w:t>
      </w:r>
    </w:p>
    <w:p w14:paraId="7662FBE0" w14:textId="57AFFC38" w:rsidR="002A4A13" w:rsidRPr="003B4F97" w:rsidRDefault="002A4A13" w:rsidP="003B4F97">
      <w:pPr>
        <w:pStyle w:val="Tablechartdiagramheading"/>
      </w:pPr>
      <w:r w:rsidRPr="003B4F97">
        <w:t>Figure 1</w:t>
      </w:r>
      <w:r w:rsidR="00061B4C" w:rsidRPr="003B4F97">
        <w:t>.</w:t>
      </w:r>
      <w:r w:rsidRPr="003B4F97">
        <w:t xml:space="preserve"> Perinatal services performance indicators by key performance area</w:t>
      </w:r>
    </w:p>
    <w:p w14:paraId="4F121C20" w14:textId="4A885F3C" w:rsidR="007E73B3" w:rsidRDefault="002A4A13" w:rsidP="003B4F97">
      <w:r>
        <mc:AlternateContent>
          <mc:Choice Requires="wpg">
            <w:drawing>
              <wp:inline distT="0" distB="0" distL="0" distR="0" wp14:anchorId="6CBA4FC5" wp14:editId="4092B54C">
                <wp:extent cx="6348848" cy="4423145"/>
                <wp:effectExtent l="0" t="0" r="0" b="0"/>
                <wp:docPr id="81" name="Group 81" descr="A diagram displaying the indicators by key performance area "/>
                <wp:cNvGraphicFramePr/>
                <a:graphic xmlns:a="http://schemas.openxmlformats.org/drawingml/2006/main">
                  <a:graphicData uri="http://schemas.microsoft.com/office/word/2010/wordprocessingGroup">
                    <wpg:wgp>
                      <wpg:cNvGrpSpPr/>
                      <wpg:grpSpPr>
                        <a:xfrm>
                          <a:off x="0" y="0"/>
                          <a:ext cx="6348848" cy="4423145"/>
                          <a:chOff x="0" y="0"/>
                          <a:chExt cx="6348849" cy="3270152"/>
                        </a:xfrm>
                      </wpg:grpSpPr>
                      <wps:wsp>
                        <wps:cNvPr id="18" name="Text Box 18"/>
                        <wps:cNvSpPr txBox="1"/>
                        <wps:spPr>
                          <a:xfrm>
                            <a:off x="0" y="0"/>
                            <a:ext cx="2016000" cy="450166"/>
                          </a:xfrm>
                          <a:prstGeom prst="roundRect">
                            <a:avLst/>
                          </a:prstGeom>
                          <a:solidFill>
                            <a:schemeClr val="tx2"/>
                          </a:solidFill>
                          <a:ln w="6350">
                            <a:noFill/>
                          </a:ln>
                        </wps:spPr>
                        <wps:txbx>
                          <w:txbxContent>
                            <w:p w14:paraId="5F37DE8F" w14:textId="77777777" w:rsidR="00C32FCB" w:rsidRPr="003B4F97" w:rsidRDefault="00C32FCB" w:rsidP="003B4F97">
                              <w:pPr>
                                <w:spacing w:before="120" w:after="120" w:line="240" w:lineRule="atLeast"/>
                                <w:rPr>
                                  <w:color w:val="FFFFFF" w:themeColor="background1"/>
                                  <w:sz w:val="18"/>
                                  <w:szCs w:val="18"/>
                                </w:rPr>
                              </w:pPr>
                              <w:r w:rsidRPr="003B4F97">
                                <w:rPr>
                                  <w:color w:val="FFFFFF" w:themeColor="background1"/>
                                  <w:sz w:val="18"/>
                                  <w:szCs w:val="18"/>
                                </w:rPr>
                                <w:t>Antenatal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166425" y="0"/>
                            <a:ext cx="2016000" cy="450166"/>
                          </a:xfrm>
                          <a:prstGeom prst="roundRect">
                            <a:avLst/>
                          </a:prstGeom>
                          <a:solidFill>
                            <a:schemeClr val="accent1"/>
                          </a:solidFill>
                          <a:ln w="6350">
                            <a:noFill/>
                          </a:ln>
                        </wps:spPr>
                        <wps:txbx>
                          <w:txbxContent>
                            <w:p w14:paraId="2E4E41F4" w14:textId="77777777" w:rsidR="00C32FCB" w:rsidRPr="003B4F97" w:rsidRDefault="00C32FCB" w:rsidP="003B4F97">
                              <w:pPr>
                                <w:spacing w:before="120" w:after="120" w:line="240" w:lineRule="atLeast"/>
                                <w:rPr>
                                  <w:color w:val="FFFFFF" w:themeColor="background1"/>
                                  <w:sz w:val="18"/>
                                  <w:szCs w:val="18"/>
                                </w:rPr>
                              </w:pPr>
                              <w:r w:rsidRPr="003B4F97">
                                <w:rPr>
                                  <w:color w:val="FFFFFF" w:themeColor="background1"/>
                                  <w:sz w:val="18"/>
                                  <w:szCs w:val="18"/>
                                </w:rPr>
                                <w:t>Intrapartum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 Box 61"/>
                        <wps:cNvSpPr txBox="1"/>
                        <wps:spPr>
                          <a:xfrm>
                            <a:off x="4332849" y="0"/>
                            <a:ext cx="2016000" cy="450166"/>
                          </a:xfrm>
                          <a:prstGeom prst="roundRect">
                            <a:avLst/>
                          </a:prstGeom>
                          <a:solidFill>
                            <a:schemeClr val="accent2"/>
                          </a:solidFill>
                          <a:ln w="6350">
                            <a:noFill/>
                          </a:ln>
                        </wps:spPr>
                        <wps:txbx>
                          <w:txbxContent>
                            <w:p w14:paraId="00234A9E" w14:textId="77777777" w:rsidR="00C32FCB" w:rsidRPr="003B4F97" w:rsidRDefault="00C32FCB" w:rsidP="003B4F97">
                              <w:pPr>
                                <w:spacing w:before="120" w:after="120" w:line="240" w:lineRule="atLeast"/>
                                <w:rPr>
                                  <w:sz w:val="18"/>
                                  <w:szCs w:val="18"/>
                                </w:rPr>
                              </w:pPr>
                              <w:r w:rsidRPr="003B4F97">
                                <w:rPr>
                                  <w:sz w:val="18"/>
                                  <w:szCs w:val="18"/>
                                </w:rPr>
                                <w:t>Postnatal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 Box 62"/>
                        <wps:cNvSpPr txBox="1"/>
                        <wps:spPr>
                          <a:xfrm>
                            <a:off x="0" y="562707"/>
                            <a:ext cx="2015490" cy="449580"/>
                          </a:xfrm>
                          <a:prstGeom prst="roundRect">
                            <a:avLst/>
                          </a:prstGeom>
                          <a:solidFill>
                            <a:schemeClr val="bg1">
                              <a:lumMod val="95000"/>
                            </a:schemeClr>
                          </a:solidFill>
                          <a:ln w="6350">
                            <a:noFill/>
                          </a:ln>
                        </wps:spPr>
                        <wps:txbx>
                          <w:txbxContent>
                            <w:p w14:paraId="67A53BF3" w14:textId="77777777" w:rsidR="00C32FCB" w:rsidRPr="003B4F97" w:rsidRDefault="00C32FCB" w:rsidP="003B4F97">
                              <w:pPr>
                                <w:spacing w:before="120" w:after="120" w:line="240" w:lineRule="atLeast"/>
                                <w:rPr>
                                  <w:sz w:val="18"/>
                                  <w:szCs w:val="18"/>
                                </w:rPr>
                              </w:pPr>
                              <w:r w:rsidRPr="003B4F97">
                                <w:rPr>
                                  <w:sz w:val="18"/>
                                  <w:szCs w:val="18"/>
                                </w:rPr>
                                <w:t xml:space="preserve">Indicator 3: </w:t>
                              </w:r>
                              <w:r w:rsidRPr="003B4F97">
                                <w:rPr>
                                  <w:sz w:val="18"/>
                                  <w:szCs w:val="18"/>
                                </w:rPr>
                                <w:br/>
                                <w:t>Severe growth restriction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2159391" y="562707"/>
                            <a:ext cx="2015490" cy="449580"/>
                          </a:xfrm>
                          <a:prstGeom prst="roundRect">
                            <a:avLst/>
                          </a:prstGeom>
                          <a:solidFill>
                            <a:schemeClr val="bg1">
                              <a:lumMod val="95000"/>
                            </a:schemeClr>
                          </a:solidFill>
                          <a:ln w="6350">
                            <a:noFill/>
                          </a:ln>
                        </wps:spPr>
                        <wps:txbx>
                          <w:txbxContent>
                            <w:p w14:paraId="49CA7974" w14:textId="77777777" w:rsidR="00C32FCB" w:rsidRPr="003B4F97" w:rsidRDefault="00C32FCB" w:rsidP="003B4F97">
                              <w:pPr>
                                <w:spacing w:before="120" w:after="120" w:line="240" w:lineRule="atLeast"/>
                                <w:rPr>
                                  <w:sz w:val="18"/>
                                  <w:szCs w:val="18"/>
                                </w:rPr>
                              </w:pPr>
                              <w:r w:rsidRPr="003B4F97">
                                <w:rPr>
                                  <w:sz w:val="18"/>
                                  <w:szCs w:val="18"/>
                                </w:rPr>
                                <w:t xml:space="preserve">Indicators 1a, 1b and 1c: </w:t>
                              </w:r>
                              <w:r w:rsidRPr="003B4F97">
                                <w:rPr>
                                  <w:sz w:val="18"/>
                                  <w:szCs w:val="18"/>
                                </w:rPr>
                                <w:br/>
                                <w:t>Outcomes for primiparae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4332849" y="562707"/>
                            <a:ext cx="2016000" cy="450166"/>
                          </a:xfrm>
                          <a:prstGeom prst="roundRect">
                            <a:avLst/>
                          </a:prstGeom>
                          <a:solidFill>
                            <a:schemeClr val="bg1">
                              <a:lumMod val="95000"/>
                            </a:schemeClr>
                          </a:solidFill>
                          <a:ln w="6350">
                            <a:noFill/>
                          </a:ln>
                        </wps:spPr>
                        <wps:txbx>
                          <w:txbxContent>
                            <w:p w14:paraId="00BF57FA" w14:textId="77777777" w:rsidR="00C32FCB" w:rsidRPr="003B4F97" w:rsidRDefault="00C32FCB" w:rsidP="003B4F97">
                              <w:pPr>
                                <w:spacing w:before="120" w:after="120" w:line="240" w:lineRule="atLeast"/>
                                <w:rPr>
                                  <w:sz w:val="18"/>
                                  <w:szCs w:val="18"/>
                                </w:rPr>
                              </w:pPr>
                              <w:r w:rsidRPr="003B4F97">
                                <w:rPr>
                                  <w:sz w:val="18"/>
                                  <w:szCs w:val="18"/>
                                </w:rPr>
                                <w:t>Indicators 6a, 6b: Readmission during the postnatal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xt Box 73"/>
                        <wps:cNvSpPr txBox="1"/>
                        <wps:spPr>
                          <a:xfrm>
                            <a:off x="0" y="1132449"/>
                            <a:ext cx="2015490" cy="449580"/>
                          </a:xfrm>
                          <a:prstGeom prst="roundRect">
                            <a:avLst/>
                          </a:prstGeom>
                          <a:solidFill>
                            <a:schemeClr val="bg1">
                              <a:lumMod val="95000"/>
                            </a:schemeClr>
                          </a:solidFill>
                          <a:ln w="6350">
                            <a:noFill/>
                          </a:ln>
                        </wps:spPr>
                        <wps:txbx>
                          <w:txbxContent>
                            <w:p w14:paraId="0A94331F" w14:textId="77777777" w:rsidR="00C32FCB" w:rsidRPr="003B4F97" w:rsidRDefault="00C32FCB" w:rsidP="003B4F97">
                              <w:pPr>
                                <w:spacing w:before="120" w:after="120" w:line="240" w:lineRule="atLeast"/>
                                <w:rPr>
                                  <w:sz w:val="18"/>
                                  <w:szCs w:val="18"/>
                                </w:rPr>
                              </w:pPr>
                              <w:r w:rsidRPr="003B4F97">
                                <w:rPr>
                                  <w:sz w:val="18"/>
                                  <w:szCs w:val="18"/>
                                </w:rPr>
                                <w:t xml:space="preserve">Indicator 7: </w:t>
                              </w:r>
                              <w:r w:rsidRPr="003B4F97">
                                <w:rPr>
                                  <w:sz w:val="18"/>
                                  <w:szCs w:val="18"/>
                                </w:rPr>
                                <w:br/>
                                <w:t>Smoking cessation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2159391" y="1132449"/>
                            <a:ext cx="4188948" cy="449580"/>
                          </a:xfrm>
                          <a:prstGeom prst="roundRect">
                            <a:avLst/>
                          </a:prstGeom>
                          <a:solidFill>
                            <a:schemeClr val="bg1">
                              <a:lumMod val="95000"/>
                            </a:schemeClr>
                          </a:solidFill>
                          <a:ln w="6350">
                            <a:noFill/>
                          </a:ln>
                        </wps:spPr>
                        <wps:txbx>
                          <w:txbxContent>
                            <w:p w14:paraId="5A1A188E" w14:textId="77777777" w:rsidR="00C32FCB" w:rsidRPr="003B4F97" w:rsidRDefault="00C32FCB" w:rsidP="003B4F97">
                              <w:pPr>
                                <w:spacing w:before="120" w:after="120" w:line="240" w:lineRule="atLeast"/>
                                <w:rPr>
                                  <w:sz w:val="18"/>
                                  <w:szCs w:val="18"/>
                                </w:rPr>
                              </w:pPr>
                              <w:r w:rsidRPr="003B4F97">
                                <w:rPr>
                                  <w:sz w:val="18"/>
                                  <w:szCs w:val="18"/>
                                </w:rPr>
                                <w:t xml:space="preserve">Indicator 2: </w:t>
                              </w:r>
                              <w:r w:rsidRPr="003B4F97">
                                <w:rPr>
                                  <w:sz w:val="18"/>
                                  <w:szCs w:val="18"/>
                                </w:rPr>
                                <w:br/>
                                <w:t>Term babies without congenital anomalies who required additional care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Text Box 75"/>
                        <wps:cNvSpPr txBox="1"/>
                        <wps:spPr>
                          <a:xfrm>
                            <a:off x="0" y="1688123"/>
                            <a:ext cx="2015490" cy="449580"/>
                          </a:xfrm>
                          <a:prstGeom prst="roundRect">
                            <a:avLst/>
                          </a:prstGeom>
                          <a:solidFill>
                            <a:schemeClr val="bg1">
                              <a:lumMod val="95000"/>
                            </a:schemeClr>
                          </a:solidFill>
                          <a:ln w="6350">
                            <a:noFill/>
                          </a:ln>
                        </wps:spPr>
                        <wps:txbx>
                          <w:txbxContent>
                            <w:p w14:paraId="351F3B42" w14:textId="77777777" w:rsidR="00C32FCB" w:rsidRPr="003B4F97" w:rsidRDefault="00C32FCB" w:rsidP="003B4F97">
                              <w:pPr>
                                <w:spacing w:before="120" w:after="120" w:line="240" w:lineRule="atLeast"/>
                                <w:rPr>
                                  <w:sz w:val="18"/>
                                  <w:szCs w:val="18"/>
                                </w:rPr>
                              </w:pPr>
                              <w:r w:rsidRPr="003B4F97">
                                <w:rPr>
                                  <w:sz w:val="18"/>
                                  <w:szCs w:val="18"/>
                                </w:rPr>
                                <w:t xml:space="preserve">Indicator 12b: </w:t>
                              </w:r>
                              <w:r w:rsidRPr="003B4F97">
                                <w:rPr>
                                  <w:sz w:val="18"/>
                                  <w:szCs w:val="18"/>
                                </w:rPr>
                                <w:br/>
                                <w:t>Maternal immunisation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159391" y="1688123"/>
                            <a:ext cx="2015490" cy="449580"/>
                          </a:xfrm>
                          <a:prstGeom prst="roundRect">
                            <a:avLst/>
                          </a:prstGeom>
                          <a:solidFill>
                            <a:schemeClr val="bg1">
                              <a:lumMod val="95000"/>
                            </a:schemeClr>
                          </a:solidFill>
                          <a:ln w="6350">
                            <a:noFill/>
                          </a:ln>
                        </wps:spPr>
                        <wps:txbx>
                          <w:txbxContent>
                            <w:p w14:paraId="39299EE9" w14:textId="77777777" w:rsidR="00C32FCB" w:rsidRPr="003B4F97" w:rsidRDefault="00C32FCB" w:rsidP="003B4F97">
                              <w:pPr>
                                <w:spacing w:before="120" w:after="120" w:line="240" w:lineRule="atLeast"/>
                                <w:rPr>
                                  <w:sz w:val="18"/>
                                  <w:szCs w:val="18"/>
                                </w:rPr>
                              </w:pPr>
                              <w:r w:rsidRPr="003B4F97">
                                <w:rPr>
                                  <w:sz w:val="18"/>
                                  <w:szCs w:val="18"/>
                                </w:rPr>
                                <w:t xml:space="preserve">Indicator 10: </w:t>
                              </w:r>
                              <w:r w:rsidRPr="003B4F97">
                                <w:rPr>
                                  <w:sz w:val="18"/>
                                  <w:szCs w:val="18"/>
                                </w:rPr>
                                <w:br/>
                                <w:t>Low Apgar score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wps:spPr>
                          <a:xfrm>
                            <a:off x="4332849" y="1688123"/>
                            <a:ext cx="2016000" cy="450166"/>
                          </a:xfrm>
                          <a:prstGeom prst="roundRect">
                            <a:avLst/>
                          </a:prstGeom>
                          <a:solidFill>
                            <a:schemeClr val="bg1">
                              <a:lumMod val="95000"/>
                            </a:schemeClr>
                          </a:solidFill>
                          <a:ln w="6350">
                            <a:noFill/>
                          </a:ln>
                        </wps:spPr>
                        <wps:txbx>
                          <w:txbxContent>
                            <w:p w14:paraId="5C093FDF" w14:textId="77777777" w:rsidR="00C32FCB" w:rsidRPr="003B4F97" w:rsidRDefault="00C32FCB" w:rsidP="003B4F97">
                              <w:pPr>
                                <w:spacing w:before="120" w:after="120" w:line="240" w:lineRule="atLeast"/>
                                <w:rPr>
                                  <w:sz w:val="18"/>
                                  <w:szCs w:val="18"/>
                                </w:rPr>
                              </w:pPr>
                              <w:r w:rsidRPr="003B4F97">
                                <w:rPr>
                                  <w:sz w:val="18"/>
                                  <w:szCs w:val="18"/>
                                </w:rPr>
                                <w:t xml:space="preserve">Indicators 11a, 11b: </w:t>
                              </w:r>
                              <w:r w:rsidRPr="003B4F97">
                                <w:rPr>
                                  <w:sz w:val="18"/>
                                  <w:szCs w:val="18"/>
                                </w:rPr>
                                <w:br/>
                                <w:t>Women’s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Text Box 79"/>
                        <wps:cNvSpPr txBox="1"/>
                        <wps:spPr>
                          <a:xfrm>
                            <a:off x="0" y="2257864"/>
                            <a:ext cx="6347851" cy="449580"/>
                          </a:xfrm>
                          <a:prstGeom prst="roundRect">
                            <a:avLst/>
                          </a:prstGeom>
                          <a:solidFill>
                            <a:schemeClr val="bg1">
                              <a:lumMod val="95000"/>
                            </a:schemeClr>
                          </a:solidFill>
                          <a:ln w="6350">
                            <a:noFill/>
                          </a:ln>
                        </wps:spPr>
                        <wps:txbx>
                          <w:txbxContent>
                            <w:p w14:paraId="629A6E34" w14:textId="77777777" w:rsidR="00C32FCB" w:rsidRPr="003B4F97" w:rsidRDefault="00C32FCB" w:rsidP="003B4F97">
                              <w:pPr>
                                <w:spacing w:before="120" w:after="120" w:line="240" w:lineRule="atLeast"/>
                                <w:rPr>
                                  <w:sz w:val="18"/>
                                  <w:szCs w:val="18"/>
                                </w:rPr>
                              </w:pPr>
                              <w:r w:rsidRPr="003B4F97">
                                <w:rPr>
                                  <w:sz w:val="18"/>
                                  <w:szCs w:val="18"/>
                                </w:rPr>
                                <w:t xml:space="preserve">Indicator 5: </w:t>
                              </w:r>
                              <w:r w:rsidRPr="003B4F97">
                                <w:rPr>
                                  <w:sz w:val="18"/>
                                  <w:szCs w:val="18"/>
                                </w:rPr>
                                <w:br/>
                                <w:t>Five-year gestation standardised perinatal mortality ratio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Text Box 80"/>
                        <wps:cNvSpPr txBox="1"/>
                        <wps:spPr>
                          <a:xfrm>
                            <a:off x="4332849" y="2820572"/>
                            <a:ext cx="2015490" cy="449580"/>
                          </a:xfrm>
                          <a:prstGeom prst="roundRect">
                            <a:avLst/>
                          </a:prstGeom>
                          <a:solidFill>
                            <a:schemeClr val="bg1">
                              <a:lumMod val="95000"/>
                            </a:schemeClr>
                          </a:solidFill>
                          <a:ln w="6350">
                            <a:noFill/>
                          </a:ln>
                        </wps:spPr>
                        <wps:txbx>
                          <w:txbxContent>
                            <w:p w14:paraId="11F10F56" w14:textId="77777777" w:rsidR="00C32FCB" w:rsidRPr="003B4F97" w:rsidRDefault="00C32FCB" w:rsidP="003B4F97">
                              <w:pPr>
                                <w:spacing w:before="120" w:after="120" w:line="240" w:lineRule="atLeast"/>
                                <w:rPr>
                                  <w:sz w:val="18"/>
                                  <w:szCs w:val="18"/>
                                </w:rPr>
                              </w:pPr>
                              <w:r w:rsidRPr="003B4F97">
                                <w:rPr>
                                  <w:sz w:val="18"/>
                                  <w:szCs w:val="18"/>
                                </w:rPr>
                                <w:t xml:space="preserve">Trial indicator 13: </w:t>
                              </w:r>
                              <w:r w:rsidRPr="003B4F97">
                                <w:rPr>
                                  <w:sz w:val="18"/>
                                  <w:szCs w:val="18"/>
                                </w:rPr>
                                <w:br/>
                                <w:t>Postpartum haemorrhage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BA4FC5" id="Group 81" o:spid="_x0000_s1026" alt="A diagram displaying the indicators by key performance area " style="width:499.9pt;height:348.3pt;mso-position-horizontal-relative:char;mso-position-vertical-relative:line" coordsize="63488,32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SElnQQAAGcrAAAOAAAAZHJzL2Uyb0RvYy54bWzsWltv2zYUfh+w/0DofbElS5ZsxCmydAkG&#10;ZG2wZOgzTVG2MEnUSDq2++v3kbIUx2qB2i2MQtGLzZt4+c75zjm8XL7b5Bl55lKlopg57sXQIbxg&#10;Ik6Lxcz55+n2t8ghStMippko+MzZcuW8u/r1l8t1OeWeWIos5pKgk0JN1+XMWWpdTgcDxZY8p+pC&#10;lLxAZSJkTjWycjGIJV2j9zwbeMPheLAWMi6lYFwplL6vKp0r23+ScKY/JonimmQzB3PT9lfa37n5&#10;HVxd0ulC0nKZst006AmzyGlaYNCmq/dUU7KSaaurPGVSKJHoCybygUiSlHG7BqzGHR6s5k6KVWnX&#10;spiuF2UDE6A9wOnkbtmH5wdJ0njmRK5DCppDRnZYYvIxVwxgXZM4pQApx78qM7oF0kQvOUmLOGVU&#10;C6nIfEv+5VtScmmFVTBOqOSUGITX5WKKge5k+Vg+yF3BosoZ0DaJzM0/4CAbK5ttIxu+0YShcDzy&#10;o8iHNjHU+b43cv2gkh5bQsSt79jyj1dfTqovR144dAPPfDmoBx6Y+TXTWZfQRPUCtvo+sB+XtORW&#10;hspgsAPbxUIqsJ/MAn8XG4Iii4xtZnAieoNykKouVyj8VrigTePhEBpv4QqQG79aM52WUuk7LnJi&#10;EjMHqlbEf4MvVo3p873SFUZ1OzOyElka36ZZZjOGo/wmk+SZgl16U6P6qlVWkLWRXjC0HRfCfF71&#10;nBUQgoG7WphJ6c18s0NhLuItQJCi4qwq2W2Kmd5TpR+oBEmxOBge/RE/SSYwiNilHLIU8vOXyk17&#10;iBO1DlmD9DNH/beCmjok+7OAoCeu7xsrYTN+EHrIyP2a+X5NscpvBFYOomB2Nmna66xOJlLkn2Cf&#10;rs2oqKIFw9iAqk7e6MoUgTKMX1/bRrALJdX3xWPJTNcGaSOCp80nKsudsDSU5oOoVYtOD8RVtTVf&#10;FuJ6pUWSWlkagCtUd7hDzQ05z6DvXmNcGn1H0Wn67kGXfS9wSNtInF/rKWO80HYpsCffqfnWDjew&#10;9AToEAHGbQKg6DQC+KORF/lwaD8PAX6Q6bcEsH292KreA3TCA4y9VsSDotMIAFcK1Q/GiOVC0wWd&#10;1lEiHEDgT1BfRYmTILIhfhPq/fiwZ76ofHS2yv8ScRUKTQITemFixiXUUVKV2w+gjg+NLD9GNWq9&#10;g+iQgwjbDgJFp/HDc4PJaIIO3zBL/Bq7niVdYknbi4SnepH9MOorvuTMW+jz+xJ7hNLHWh3bbYej&#10;VqyFotN8SRVrue7I87HleHPBlj016wnSNYL4bYI0AQNOaY85ft0Ptr5IE9+NosnLyXUn9yR2G9bT&#10;pGs0wSHrwS1F2EQMR9Jk50fGUeR61he9rU17c7nTb0e6tB0J2wRpTOGRBHnlR94qTWyE2fuRrvmR&#10;9m132BjEI2myv2t3v0KTzm/bXXu63POkazzBnd5hvNVYxCN5UsVbnheE0dhubV7iLTylCaMAx8Md&#10;viRxm7PzPuDqUMCF67xDhlQ3fMYWHsmQfU/iRd4Qz33e3vmW25ye9zw5D0/sa0O85rT3wbuXp+a5&#10;6H4e6f33sVf/AwAA//8DAFBLAwQUAAYACAAAACEAWMOHWdwAAAAFAQAADwAAAGRycy9kb3ducmV2&#10;LnhtbEyPQUvDQBCF74L/YRnBm91EMZiYTSlFPRXBVhBv02SahGZnQ3abpP/e0Yu9PBje8N738uVs&#10;OzXS4FvHBuJFBIq4dFXLtYHP3evdEygfkCvsHJOBM3lYFtdXOWaVm/iDxm2olYSwz9BAE0Kfae3L&#10;hiz6heuJxTu4wWKQc6h1NeAk4bbT91GUaIstS0ODPa0bKo/bkzXwNuG0eohfxs3xsD5/7x7fvzYx&#10;GXN7M6+eQQWaw/8z/OILOhTCtHcnrrzqDMiQ8KfipWkqM/YGkjRJQBe5vqQvfgAAAP//AwBQSwEC&#10;LQAUAAYACAAAACEAtoM4kv4AAADhAQAAEwAAAAAAAAAAAAAAAAAAAAAAW0NvbnRlbnRfVHlwZXNd&#10;LnhtbFBLAQItABQABgAIAAAAIQA4/SH/1gAAAJQBAAALAAAAAAAAAAAAAAAAAC8BAABfcmVscy8u&#10;cmVsc1BLAQItABQABgAIAAAAIQC98SElnQQAAGcrAAAOAAAAAAAAAAAAAAAAAC4CAABkcnMvZTJv&#10;RG9jLnhtbFBLAQItABQABgAIAAAAIQBYw4dZ3AAAAAUBAAAPAAAAAAAAAAAAAAAAAPcGAABkcnMv&#10;ZG93bnJldi54bWxQSwUGAAAAAAQABADzAAAAAAgAAAAA&#10;">
                <v:roundrect id="Text Box 18" o:spid="_x0000_s1027" style="position:absolute;width:20160;height:4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jSVwwAAANsAAAAPAAAAZHJzL2Rvd25yZXYueG1sRI9Bi8JA&#10;DIXvC/6HIYKXRae6IFodRQXBPeyh6g8IndgWO5naGW3995vDwt4S3st7X9bb3tXqRW2oPBuYThJQ&#10;xLm3FRcGrpfjeAEqRGSLtWcy8KYA283gY42p9R1n9DrHQkkIhxQNlDE2qdYhL8lhmPiGWLSbbx1G&#10;WdtC2xY7CXe1niXJXDusWBpKbOhQUn4/P52B/Tw++my3/P75+lzcLtwd75xNjRkN+90KVKQ+/pv/&#10;rk9W8AVWfpEB9OYXAAD//wMAUEsBAi0AFAAGAAgAAAAhANvh9svuAAAAhQEAABMAAAAAAAAAAAAA&#10;AAAAAAAAAFtDb250ZW50X1R5cGVzXS54bWxQSwECLQAUAAYACAAAACEAWvQsW78AAAAVAQAACwAA&#10;AAAAAAAAAAAAAAAfAQAAX3JlbHMvLnJlbHNQSwECLQAUAAYACAAAACEAHoY0lcMAAADbAAAADwAA&#10;AAAAAAAAAAAAAAAHAgAAZHJzL2Rvd25yZXYueG1sUEsFBgAAAAADAAMAtwAAAPcCAAAAAA==&#10;" fillcolor="#007586 [3215]" stroked="f" strokeweight=".5pt">
                  <v:textbox>
                    <w:txbxContent>
                      <w:p w14:paraId="5F37DE8F" w14:textId="77777777" w:rsidR="00C32FCB" w:rsidRPr="003B4F97" w:rsidRDefault="00C32FCB" w:rsidP="003B4F97">
                        <w:pPr>
                          <w:spacing w:before="120" w:after="120" w:line="240" w:lineRule="atLeast"/>
                          <w:rPr>
                            <w:color w:val="FFFFFF" w:themeColor="background1"/>
                            <w:sz w:val="18"/>
                            <w:szCs w:val="18"/>
                          </w:rPr>
                        </w:pPr>
                        <w:r w:rsidRPr="003B4F97">
                          <w:rPr>
                            <w:color w:val="FFFFFF" w:themeColor="background1"/>
                            <w:sz w:val="18"/>
                            <w:szCs w:val="18"/>
                          </w:rPr>
                          <w:t>Antenatal</w:t>
                        </w:r>
                      </w:p>
                    </w:txbxContent>
                  </v:textbox>
                </v:roundrect>
                <v:roundrect id="Text Box 21" o:spid="_x0000_s1028" style="position:absolute;left:21664;width:20160;height:4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buwQAAANsAAAAPAAAAZHJzL2Rvd25yZXYueG1sRI9BawIx&#10;FITvhf6H8AreNKtYKVujiCB4k65Ce3xs3m4WNy9hE+P6702h0OMwM98w6+1oe5FoCJ1jBfNZAYK4&#10;drrjVsHlfJh+gAgRWWPvmBQ8KMB28/qyxlK7O39RqmIrMoRDiQpMjL6UMtSGLIaZ88TZa9xgMWY5&#10;tFIPeM9w28tFUaykxY7zgkFPe0P1tbpZBfaa3v3O/Di5TEtfnfomtd+NUpO3cfcJItIY/8N/7aNW&#10;sJjD75f8A+TmCQAA//8DAFBLAQItABQABgAIAAAAIQDb4fbL7gAAAIUBAAATAAAAAAAAAAAAAAAA&#10;AAAAAABbQ29udGVudF9UeXBlc10ueG1sUEsBAi0AFAAGAAgAAAAhAFr0LFu/AAAAFQEAAAsAAAAA&#10;AAAAAAAAAAAAHwEAAF9yZWxzLy5yZWxzUEsBAi0AFAAGAAgAAAAhAGx31u7BAAAA2wAAAA8AAAAA&#10;AAAAAAAAAAAABwIAAGRycy9kb3ducmV2LnhtbFBLBQYAAAAAAwADALcAAAD1AgAAAAA=&#10;" fillcolor="#4098a4 [3204]" stroked="f" strokeweight=".5pt">
                  <v:textbox>
                    <w:txbxContent>
                      <w:p w14:paraId="2E4E41F4" w14:textId="77777777" w:rsidR="00C32FCB" w:rsidRPr="003B4F97" w:rsidRDefault="00C32FCB" w:rsidP="003B4F97">
                        <w:pPr>
                          <w:spacing w:before="120" w:after="120" w:line="240" w:lineRule="atLeast"/>
                          <w:rPr>
                            <w:color w:val="FFFFFF" w:themeColor="background1"/>
                            <w:sz w:val="18"/>
                            <w:szCs w:val="18"/>
                          </w:rPr>
                        </w:pPr>
                        <w:r w:rsidRPr="003B4F97">
                          <w:rPr>
                            <w:color w:val="FFFFFF" w:themeColor="background1"/>
                            <w:sz w:val="18"/>
                            <w:szCs w:val="18"/>
                          </w:rPr>
                          <w:t>Intrapartum</w:t>
                        </w:r>
                      </w:p>
                    </w:txbxContent>
                  </v:textbox>
                </v:roundrect>
                <v:roundrect id="Text Box 61" o:spid="_x0000_s1029" style="position:absolute;left:43328;width:20160;height:4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3pvxQAAANsAAAAPAAAAZHJzL2Rvd25yZXYueG1sRI9RawIx&#10;EITfC/6HsAVfSs0pauvVKKVQEKmF2urz9rK9HN5ujkuq5783BaGPw8x8w8yXHdfqSG2ovBgYDjJQ&#10;JIW3lZQGvj5f7x9BhYhisfZCBs4UYLno3cwxt/4kH3TcxlIliIQcDbgYm1zrUDhiDAPfkCTvx7eM&#10;Mcm21LbFU4JzrUdZNtWMlaQFhw29OCoO21828K31fud4M541u/XkbczvD1zeGdO/7Z6fQEXq4n/4&#10;2l5ZA9Mh/H1JP0AvLgAAAP//AwBQSwECLQAUAAYACAAAACEA2+H2y+4AAACFAQAAEwAAAAAAAAAA&#10;AAAAAAAAAAAAW0NvbnRlbnRfVHlwZXNdLnhtbFBLAQItABQABgAIAAAAIQBa9CxbvwAAABUBAAAL&#10;AAAAAAAAAAAAAAAAAB8BAABfcmVscy8ucmVsc1BLAQItABQABgAIAAAAIQCJ13pvxQAAANsAAAAP&#10;AAAAAAAAAAAAAAAAAAcCAABkcnMvZG93bnJldi54bWxQSwUGAAAAAAMAAwC3AAAA+QIAAAAA&#10;" fillcolor="#80bac3 [3205]" stroked="f" strokeweight=".5pt">
                  <v:textbox>
                    <w:txbxContent>
                      <w:p w14:paraId="00234A9E" w14:textId="77777777" w:rsidR="00C32FCB" w:rsidRPr="003B4F97" w:rsidRDefault="00C32FCB" w:rsidP="003B4F97">
                        <w:pPr>
                          <w:spacing w:before="120" w:after="120" w:line="240" w:lineRule="atLeast"/>
                          <w:rPr>
                            <w:sz w:val="18"/>
                            <w:szCs w:val="18"/>
                          </w:rPr>
                        </w:pPr>
                        <w:r w:rsidRPr="003B4F97">
                          <w:rPr>
                            <w:sz w:val="18"/>
                            <w:szCs w:val="18"/>
                          </w:rPr>
                          <w:t>Postnatal</w:t>
                        </w:r>
                      </w:p>
                    </w:txbxContent>
                  </v:textbox>
                </v:roundrect>
                <v:roundrect id="Text Box 62" o:spid="_x0000_s1030" style="position:absolute;top:5627;width:20154;height:4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sYwAAAANsAAAAPAAAAZHJzL2Rvd25yZXYueG1sRI/disIw&#10;FITvhX2HcBa801QvRKpRlopQRPD3AQ7NsS3bnIQm2vr2RhC8HGbmG2a57k0jHtT62rKCyTgBQVxY&#10;XXOp4HrZjuYgfEDW2FgmBU/ysF79DJaYatvxiR7nUIoIYZ+igioEl0rpi4oM+rF1xNG72dZgiLIt&#10;pW6xi3DTyGmSzKTBmuNChY6yior/890o6GR+cLXLdlm+PxaU2E2v5UWp4W//twARqA/f8KedawWz&#10;Kby/xB8gVy8AAAD//wMAUEsBAi0AFAAGAAgAAAAhANvh9svuAAAAhQEAABMAAAAAAAAAAAAAAAAA&#10;AAAAAFtDb250ZW50X1R5cGVzXS54bWxQSwECLQAUAAYACAAAACEAWvQsW78AAAAVAQAACwAAAAAA&#10;AAAAAAAAAAAfAQAAX3JlbHMvLnJlbHNQSwECLQAUAAYACAAAACEABRjrGMAAAADbAAAADwAAAAAA&#10;AAAAAAAAAAAHAgAAZHJzL2Rvd25yZXYueG1sUEsFBgAAAAADAAMAtwAAAPQCAAAAAA==&#10;" fillcolor="#f2f2f2 [3052]" stroked="f" strokeweight=".5pt">
                  <v:textbox>
                    <w:txbxContent>
                      <w:p w14:paraId="67A53BF3" w14:textId="77777777" w:rsidR="00C32FCB" w:rsidRPr="003B4F97" w:rsidRDefault="00C32FCB" w:rsidP="003B4F97">
                        <w:pPr>
                          <w:spacing w:before="120" w:after="120" w:line="240" w:lineRule="atLeast"/>
                          <w:rPr>
                            <w:sz w:val="18"/>
                            <w:szCs w:val="18"/>
                          </w:rPr>
                        </w:pPr>
                        <w:r w:rsidRPr="003B4F97">
                          <w:rPr>
                            <w:sz w:val="18"/>
                            <w:szCs w:val="18"/>
                          </w:rPr>
                          <w:t xml:space="preserve">Indicator 3: </w:t>
                        </w:r>
                        <w:r w:rsidRPr="003B4F97">
                          <w:rPr>
                            <w:sz w:val="18"/>
                            <w:szCs w:val="18"/>
                          </w:rPr>
                          <w:br/>
                          <w:t>Severe growth restriction</w:t>
                        </w:r>
                      </w:p>
                    </w:txbxContent>
                  </v:textbox>
                </v:roundrect>
                <v:roundrect id="Text Box 71" o:spid="_x0000_s1031" style="position:absolute;left:21593;top:5627;width:20155;height:44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OywQAAANsAAAAPAAAAZHJzL2Rvd25yZXYueG1sRI/RisIw&#10;FETfBf8hXME3Td0HlWoUqQhFFtytfsClubbF5iY0WVv/frOw4OMwM2eY7X4wrXhS5xvLChbzBARx&#10;aXXDlYLb9TRbg/ABWWNrmRS8yMN+Nx5tMdW25296FqESEcI+RQV1CC6V0pc1GfRz64ijd7edwRBl&#10;V0ndYR/hppUfSbKUBhuOCzU6ymoqH8WPUdDL/OIal52z/POrpMQeBy2vSk0nw2EDItAQ3uH/dq4V&#10;rBbw9yX+ALn7BQAA//8DAFBLAQItABQABgAIAAAAIQDb4fbL7gAAAIUBAAATAAAAAAAAAAAAAAAA&#10;AAAAAABbQ29udGVudF9UeXBlc10ueG1sUEsBAi0AFAAGAAgAAAAhAFr0LFu/AAAAFQEAAAsAAAAA&#10;AAAAAAAAAAAAHwEAAF9yZWxzLy5yZWxzUEsBAi0AFAAGAAgAAAAhAHAT47LBAAAA2wAAAA8AAAAA&#10;AAAAAAAAAAAABwIAAGRycy9kb3ducmV2LnhtbFBLBQYAAAAAAwADALcAAAD1AgAAAAA=&#10;" fillcolor="#f2f2f2 [3052]" stroked="f" strokeweight=".5pt">
                  <v:textbox>
                    <w:txbxContent>
                      <w:p w14:paraId="49CA7974" w14:textId="77777777" w:rsidR="00C32FCB" w:rsidRPr="003B4F97" w:rsidRDefault="00C32FCB" w:rsidP="003B4F97">
                        <w:pPr>
                          <w:spacing w:before="120" w:after="120" w:line="240" w:lineRule="atLeast"/>
                          <w:rPr>
                            <w:sz w:val="18"/>
                            <w:szCs w:val="18"/>
                          </w:rPr>
                        </w:pPr>
                        <w:r w:rsidRPr="003B4F97">
                          <w:rPr>
                            <w:sz w:val="18"/>
                            <w:szCs w:val="18"/>
                          </w:rPr>
                          <w:t xml:space="preserve">Indicators 1a, 1b and 1c: </w:t>
                        </w:r>
                        <w:r w:rsidRPr="003B4F97">
                          <w:rPr>
                            <w:sz w:val="18"/>
                            <w:szCs w:val="18"/>
                          </w:rPr>
                          <w:br/>
                          <w:t>Outcomes for primiparae</w:t>
                        </w:r>
                      </w:p>
                    </w:txbxContent>
                  </v:textbox>
                </v:roundrect>
                <v:roundrect id="Text Box 72" o:spid="_x0000_s1032" style="position:absolute;left:43328;top:5627;width:20160;height:4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X3FwgAAANsAAAAPAAAAZHJzL2Rvd25yZXYueG1sRI9Ra8Iw&#10;FIXfB/6HcIW9rak+bKMaRSqDMgZT6w+4JNe22NyEJrPdv18EYY+Hc853OOvtZHtxoyF0jhUsshwE&#10;sXam40bBuf54eQcRIrLB3jEp+KUA283saY2FcSMf6XaKjUgQDgUqaGP0hZRBt2QxZM4TJ+/iBosx&#10;yaGRZsAxwW0vl3n+Ki12nBZa9FS2pK+nH6tglNW373z5WVZfB025209G1ko9z6fdCkSkKf6HH+3K&#10;KHhbwv1L+gFy8wcAAP//AwBQSwECLQAUAAYACAAAACEA2+H2y+4AAACFAQAAEwAAAAAAAAAAAAAA&#10;AAAAAAAAW0NvbnRlbnRfVHlwZXNdLnhtbFBLAQItABQABgAIAAAAIQBa9CxbvwAAABUBAAALAAAA&#10;AAAAAAAAAAAAAB8BAABfcmVscy8ucmVsc1BLAQItABQABgAIAAAAIQCAwX3FwgAAANsAAAAPAAAA&#10;AAAAAAAAAAAAAAcCAABkcnMvZG93bnJldi54bWxQSwUGAAAAAAMAAwC3AAAA9gIAAAAA&#10;" fillcolor="#f2f2f2 [3052]" stroked="f" strokeweight=".5pt">
                  <v:textbox>
                    <w:txbxContent>
                      <w:p w14:paraId="00BF57FA" w14:textId="77777777" w:rsidR="00C32FCB" w:rsidRPr="003B4F97" w:rsidRDefault="00C32FCB" w:rsidP="003B4F97">
                        <w:pPr>
                          <w:spacing w:before="120" w:after="120" w:line="240" w:lineRule="atLeast"/>
                          <w:rPr>
                            <w:sz w:val="18"/>
                            <w:szCs w:val="18"/>
                          </w:rPr>
                        </w:pPr>
                        <w:r w:rsidRPr="003B4F97">
                          <w:rPr>
                            <w:sz w:val="18"/>
                            <w:szCs w:val="18"/>
                          </w:rPr>
                          <w:t>Indicators 6a, 6b: Readmission during the postnatal period</w:t>
                        </w:r>
                      </w:p>
                    </w:txbxContent>
                  </v:textbox>
                </v:roundrect>
                <v:roundrect id="Text Box 73" o:spid="_x0000_s1033" style="position:absolute;top:11324;width:20154;height:4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dhewwAAANsAAAAPAAAAZHJzL2Rvd25yZXYueG1sRI9Ra8Iw&#10;FIXfB/6HcAd7m+kUtlGNIhWhjMFmux9waa5tsbkJSbTdv18EYY+Hc853OOvtZAZxJR96ywpe5hkI&#10;4sbqnlsFP/Xh+R1EiMgaB8uk4JcCbDezhzXm2o58pGsVW5EgHHJU0MXocilD05HBMLeOOHkn6w3G&#10;JH0rtccxwc0gF1n2Kg32nBY6dFR01Jyri1EwyvLL9a74KMrP74Yyu5+0rJV6epx2KxCRpvgfvrdL&#10;reBtCbcv6QfIzR8AAAD//wMAUEsBAi0AFAAGAAgAAAAhANvh9svuAAAAhQEAABMAAAAAAAAAAAAA&#10;AAAAAAAAAFtDb250ZW50X1R5cGVzXS54bWxQSwECLQAUAAYACAAAACEAWvQsW78AAAAVAQAACwAA&#10;AAAAAAAAAAAAAAAfAQAAX3JlbHMvLnJlbHNQSwECLQAUAAYACAAAACEA743YXsMAAADbAAAADwAA&#10;AAAAAAAAAAAAAAAHAgAAZHJzL2Rvd25yZXYueG1sUEsFBgAAAAADAAMAtwAAAPcCAAAAAA==&#10;" fillcolor="#f2f2f2 [3052]" stroked="f" strokeweight=".5pt">
                  <v:textbox>
                    <w:txbxContent>
                      <w:p w14:paraId="0A94331F" w14:textId="77777777" w:rsidR="00C32FCB" w:rsidRPr="003B4F97" w:rsidRDefault="00C32FCB" w:rsidP="003B4F97">
                        <w:pPr>
                          <w:spacing w:before="120" w:after="120" w:line="240" w:lineRule="atLeast"/>
                          <w:rPr>
                            <w:sz w:val="18"/>
                            <w:szCs w:val="18"/>
                          </w:rPr>
                        </w:pPr>
                        <w:r w:rsidRPr="003B4F97">
                          <w:rPr>
                            <w:sz w:val="18"/>
                            <w:szCs w:val="18"/>
                          </w:rPr>
                          <w:t xml:space="preserve">Indicator 7: </w:t>
                        </w:r>
                        <w:r w:rsidRPr="003B4F97">
                          <w:rPr>
                            <w:sz w:val="18"/>
                            <w:szCs w:val="18"/>
                          </w:rPr>
                          <w:br/>
                          <w:t>Smoking cessation</w:t>
                        </w:r>
                      </w:p>
                    </w:txbxContent>
                  </v:textbox>
                </v:roundrect>
                <v:roundrect id="Text Box 74" o:spid="_x0000_s1034" style="position:absolute;left:21593;top:11324;width:41890;height:4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EAqwwAAANsAAAAPAAAAZHJzL2Rvd25yZXYueG1sRI9Ra8Iw&#10;FIXfB/6HcAd7m+lEtlGNIhWhjMFmux9waa5tsbkJSbTdv18EYY+Hc853OOvtZAZxJR96ywpe5hkI&#10;4sbqnlsFP/Xh+R1EiMgaB8uk4JcCbDezhzXm2o58pGsVW5EgHHJU0MXocilD05HBMLeOOHkn6w3G&#10;JH0rtccxwc0gF1n2Kg32nBY6dFR01Jyri1EwyvLL9a74KMrP74Yyu5+0rJV6epx2KxCRpvgfvrdL&#10;reBtCbcv6QfIzR8AAAD//wMAUEsBAi0AFAAGAAgAAAAhANvh9svuAAAAhQEAABMAAAAAAAAAAAAA&#10;AAAAAAAAAFtDb250ZW50X1R5cGVzXS54bWxQSwECLQAUAAYACAAAACEAWvQsW78AAAAVAQAACwAA&#10;AAAAAAAAAAAAAAAfAQAAX3JlbHMvLnJlbHNQSwECLQAUAAYACAAAACEAYGRAKsMAAADbAAAADwAA&#10;AAAAAAAAAAAAAAAHAgAAZHJzL2Rvd25yZXYueG1sUEsFBgAAAAADAAMAtwAAAPcCAAAAAA==&#10;" fillcolor="#f2f2f2 [3052]" stroked="f" strokeweight=".5pt">
                  <v:textbox>
                    <w:txbxContent>
                      <w:p w14:paraId="5A1A188E" w14:textId="77777777" w:rsidR="00C32FCB" w:rsidRPr="003B4F97" w:rsidRDefault="00C32FCB" w:rsidP="003B4F97">
                        <w:pPr>
                          <w:spacing w:before="120" w:after="120" w:line="240" w:lineRule="atLeast"/>
                          <w:rPr>
                            <w:sz w:val="18"/>
                            <w:szCs w:val="18"/>
                          </w:rPr>
                        </w:pPr>
                        <w:r w:rsidRPr="003B4F97">
                          <w:rPr>
                            <w:sz w:val="18"/>
                            <w:szCs w:val="18"/>
                          </w:rPr>
                          <w:t xml:space="preserve">Indicator 2: </w:t>
                        </w:r>
                        <w:r w:rsidRPr="003B4F97">
                          <w:rPr>
                            <w:sz w:val="18"/>
                            <w:szCs w:val="18"/>
                          </w:rPr>
                          <w:br/>
                          <w:t>Term babies without congenital anomalies who required additional care</w:t>
                        </w:r>
                      </w:p>
                    </w:txbxContent>
                  </v:textbox>
                </v:roundrect>
                <v:roundrect id="Text Box 75" o:spid="_x0000_s1035" style="position:absolute;top:16881;width:20154;height:4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OWxwwAAANsAAAAPAAAAZHJzL2Rvd25yZXYueG1sRI9Ra8Iw&#10;FIXfB/6HcAd7m+kEt1GNIhWhjMFmux9waa5tsbkJSbTdv18EYY+Hc853OOvtZAZxJR96ywpe5hkI&#10;4sbqnlsFP/Xh+R1EiMgaB8uk4JcCbDezhzXm2o58pGsVW5EgHHJU0MXocilD05HBMLeOOHkn6w3G&#10;JH0rtccxwc0gF1n2Kg32nBY6dFR01Jyri1EwyvLL9a74KMrP74Yyu5+0rJV6epx2KxCRpvgfvrdL&#10;reBtCbcv6QfIzR8AAAD//wMAUEsBAi0AFAAGAAgAAAAhANvh9svuAAAAhQEAABMAAAAAAAAAAAAA&#10;AAAAAAAAAFtDb250ZW50X1R5cGVzXS54bWxQSwECLQAUAAYACAAAACEAWvQsW78AAAAVAQAACwAA&#10;AAAAAAAAAAAAAAAfAQAAX3JlbHMvLnJlbHNQSwECLQAUAAYACAAAACEADyjlscMAAADbAAAADwAA&#10;AAAAAAAAAAAAAAAHAgAAZHJzL2Rvd25yZXYueG1sUEsFBgAAAAADAAMAtwAAAPcCAAAAAA==&#10;" fillcolor="#f2f2f2 [3052]" stroked="f" strokeweight=".5pt">
                  <v:textbox>
                    <w:txbxContent>
                      <w:p w14:paraId="351F3B42" w14:textId="77777777" w:rsidR="00C32FCB" w:rsidRPr="003B4F97" w:rsidRDefault="00C32FCB" w:rsidP="003B4F97">
                        <w:pPr>
                          <w:spacing w:before="120" w:after="120" w:line="240" w:lineRule="atLeast"/>
                          <w:rPr>
                            <w:sz w:val="18"/>
                            <w:szCs w:val="18"/>
                          </w:rPr>
                        </w:pPr>
                        <w:r w:rsidRPr="003B4F97">
                          <w:rPr>
                            <w:sz w:val="18"/>
                            <w:szCs w:val="18"/>
                          </w:rPr>
                          <w:t xml:space="preserve">Indicator 12b: </w:t>
                        </w:r>
                        <w:r w:rsidRPr="003B4F97">
                          <w:rPr>
                            <w:sz w:val="18"/>
                            <w:szCs w:val="18"/>
                          </w:rPr>
                          <w:br/>
                          <w:t>Maternal immunisation</w:t>
                        </w:r>
                      </w:p>
                    </w:txbxContent>
                  </v:textbox>
                </v:roundrect>
                <v:roundrect id="Text Box 77" o:spid="_x0000_s1036" style="position:absolute;left:21593;top:16881;width:20155;height:4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5dwQAAANsAAAAPAAAAZHJzL2Rvd25yZXYueG1sRI/RisIw&#10;FETfBf8hXME3TfVBpRpFKkKRhd2tfsClubbF5iY00Xb/frOw4OMwM2eY3WEwrXhR5xvLChbzBARx&#10;aXXDlYLb9TzbgPABWWNrmRT8kIfDfjzaYaptz9/0KkIlIoR9igrqEFwqpS9rMujn1hFH7247gyHK&#10;rpK6wz7CTSuXSbKSBhuOCzU6ymoqH8XTKOhl/ukal12y/OOrpMSeBi2vSk0nw3ELItAQ3uH/dq4V&#10;rNfw9yX+ALn/BQAA//8DAFBLAQItABQABgAIAAAAIQDb4fbL7gAAAIUBAAATAAAAAAAAAAAAAAAA&#10;AAAAAABbQ29udGVudF9UeXBlc10ueG1sUEsBAi0AFAAGAAgAAAAhAFr0LFu/AAAAFQEAAAsAAAAA&#10;AAAAAAAAAAAAHwEAAF9yZWxzLy5yZWxzUEsBAi0AFAAGAAgAAAAhAJC23l3BAAAA2wAAAA8AAAAA&#10;AAAAAAAAAAAABwIAAGRycy9kb3ducmV2LnhtbFBLBQYAAAAAAwADALcAAAD1AgAAAAA=&#10;" fillcolor="#f2f2f2 [3052]" stroked="f" strokeweight=".5pt">
                  <v:textbox>
                    <w:txbxContent>
                      <w:p w14:paraId="39299EE9" w14:textId="77777777" w:rsidR="00C32FCB" w:rsidRPr="003B4F97" w:rsidRDefault="00C32FCB" w:rsidP="003B4F97">
                        <w:pPr>
                          <w:spacing w:before="120" w:after="120" w:line="240" w:lineRule="atLeast"/>
                          <w:rPr>
                            <w:sz w:val="18"/>
                            <w:szCs w:val="18"/>
                          </w:rPr>
                        </w:pPr>
                        <w:r w:rsidRPr="003B4F97">
                          <w:rPr>
                            <w:sz w:val="18"/>
                            <w:szCs w:val="18"/>
                          </w:rPr>
                          <w:t xml:space="preserve">Indicator 10: </w:t>
                        </w:r>
                        <w:r w:rsidRPr="003B4F97">
                          <w:rPr>
                            <w:sz w:val="18"/>
                            <w:szCs w:val="18"/>
                          </w:rPr>
                          <w:br/>
                          <w:t>Low Apgar score</w:t>
                        </w:r>
                      </w:p>
                    </w:txbxContent>
                  </v:textbox>
                </v:roundrect>
                <v:roundrect id="Text Box 78" o:spid="_x0000_s1037" style="position:absolute;left:43328;top:16881;width:20160;height:450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UovvgAAANsAAAAPAAAAZHJzL2Rvd25yZXYueG1sRE/NisIw&#10;EL4v+A5hBG821YMutVGkIpRF0FUfYGjGtthMQpO13bffHIQ9fnz/+W40nXhR71vLChZJCoK4srrl&#10;WsH9dpx/gvABWWNnmRT8kofddvKRY6btwN/0uoZaxBD2GSpoQnCZlL5qyKBPrCOO3MP2BkOEfS11&#10;j0MMN51cpulKGmw5NjToqGioel5/jIJBlmfXuuKrKE+XilJ7GLW8KTWbjvsNiEBj+Be/3aVWsI5j&#10;45f4A+T2DwAA//8DAFBLAQItABQABgAIAAAAIQDb4fbL7gAAAIUBAAATAAAAAAAAAAAAAAAAAAAA&#10;AABbQ29udGVudF9UeXBlc10ueG1sUEsBAi0AFAAGAAgAAAAhAFr0LFu/AAAAFQEAAAsAAAAAAAAA&#10;AAAAAAAAHwEAAF9yZWxzLy5yZWxzUEsBAi0AFAAGAAgAAAAhAOEpSi++AAAA2wAAAA8AAAAAAAAA&#10;AAAAAAAABwIAAGRycy9kb3ducmV2LnhtbFBLBQYAAAAAAwADALcAAADyAgAAAAA=&#10;" fillcolor="#f2f2f2 [3052]" stroked="f" strokeweight=".5pt">
                  <v:textbox>
                    <w:txbxContent>
                      <w:p w14:paraId="5C093FDF" w14:textId="77777777" w:rsidR="00C32FCB" w:rsidRPr="003B4F97" w:rsidRDefault="00C32FCB" w:rsidP="003B4F97">
                        <w:pPr>
                          <w:spacing w:before="120" w:after="120" w:line="240" w:lineRule="atLeast"/>
                          <w:rPr>
                            <w:sz w:val="18"/>
                            <w:szCs w:val="18"/>
                          </w:rPr>
                        </w:pPr>
                        <w:r w:rsidRPr="003B4F97">
                          <w:rPr>
                            <w:sz w:val="18"/>
                            <w:szCs w:val="18"/>
                          </w:rPr>
                          <w:t xml:space="preserve">Indicators 11a, 11b: </w:t>
                        </w:r>
                        <w:r w:rsidRPr="003B4F97">
                          <w:rPr>
                            <w:sz w:val="18"/>
                            <w:szCs w:val="18"/>
                          </w:rPr>
                          <w:br/>
                          <w:t>Women’s experience</w:t>
                        </w:r>
                      </w:p>
                    </w:txbxContent>
                  </v:textbox>
                </v:roundrect>
                <v:roundrect id="Text Box 79" o:spid="_x0000_s1038" style="position:absolute;top:22578;width:63478;height:4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0wwAAANsAAAAPAAAAZHJzL2Rvd25yZXYueG1sRI/BasMw&#10;EETvhfyD2EJvjdwc0taJEoJDwJRCG7sfsFgb28RaCUmJ3b+vAoEeh5l5w6y3kxnElXzoLSt4mWcg&#10;iBure24V/NSH5zcQISJrHCyTgl8KsN3MHtaYazvyka5VbEWCcMhRQRejy6UMTUcGw9w64uSdrDcY&#10;k/St1B7HBDeDXGTZUhrsOS106KjoqDlXF6NglOWX613xUZSf3w1ldj9pWSv19DjtViAiTfE/fG+X&#10;WsHrO9y+pB8gN38AAAD//wMAUEsBAi0AFAAGAAgAAAAhANvh9svuAAAAhQEAABMAAAAAAAAAAAAA&#10;AAAAAAAAAFtDb250ZW50X1R5cGVzXS54bWxQSwECLQAUAAYACAAAACEAWvQsW78AAAAVAQAACwAA&#10;AAAAAAAAAAAAAAAfAQAAX3JlbHMvLnJlbHNQSwECLQAUAAYACAAAACEAjmXvtMMAAADbAAAADwAA&#10;AAAAAAAAAAAAAAAHAgAAZHJzL2Rvd25yZXYueG1sUEsFBgAAAAADAAMAtwAAAPcCAAAAAA==&#10;" fillcolor="#f2f2f2 [3052]" stroked="f" strokeweight=".5pt">
                  <v:textbox>
                    <w:txbxContent>
                      <w:p w14:paraId="629A6E34" w14:textId="77777777" w:rsidR="00C32FCB" w:rsidRPr="003B4F97" w:rsidRDefault="00C32FCB" w:rsidP="003B4F97">
                        <w:pPr>
                          <w:spacing w:before="120" w:after="120" w:line="240" w:lineRule="atLeast"/>
                          <w:rPr>
                            <w:sz w:val="18"/>
                            <w:szCs w:val="18"/>
                          </w:rPr>
                        </w:pPr>
                        <w:r w:rsidRPr="003B4F97">
                          <w:rPr>
                            <w:sz w:val="18"/>
                            <w:szCs w:val="18"/>
                          </w:rPr>
                          <w:t xml:space="preserve">Indicator 5: </w:t>
                        </w:r>
                        <w:r w:rsidRPr="003B4F97">
                          <w:rPr>
                            <w:sz w:val="18"/>
                            <w:szCs w:val="18"/>
                          </w:rPr>
                          <w:br/>
                          <w:t>Five-year gestation standardised perinatal mortality ratio</w:t>
                        </w:r>
                      </w:p>
                    </w:txbxContent>
                  </v:textbox>
                </v:roundrect>
                <v:roundrect id="Text Box 80" o:spid="_x0000_s1039" style="position:absolute;left:43328;top:28205;width:20155;height:449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YOvgAAANsAAAAPAAAAZHJzL2Rvd25yZXYueG1sRE/NisIw&#10;EL4v+A5hBG9r6h6kVKNIRSiLsLvWBxiasS02k9DEtr795iB4/Pj+t/vJdGKg3reWFayWCQjiyuqW&#10;awXX8vSZgvABWWNnmRQ8ycN+N/vYYqbtyH80XEItYgj7DBU0IbhMSl81ZNAvrSOO3M32BkOEfS11&#10;j2MMN538SpK1NNhybGjQUd5Qdb88jIJRFj+udfl3Xpx/K0rscdKyVGoxnw4bEIGm8Ba/3IVWkMb1&#10;8Uv8AXL3DwAA//8DAFBLAQItABQABgAIAAAAIQDb4fbL7gAAAIUBAAATAAAAAAAAAAAAAAAAAAAA&#10;AABbQ29udGVudF9UeXBlc10ueG1sUEsBAi0AFAAGAAgAAAAhAFr0LFu/AAAAFQEAAAsAAAAAAAAA&#10;AAAAAAAAHwEAAF9yZWxzLy5yZWxzUEsBAi0AFAAGAAgAAAAhACqKNg6+AAAA2wAAAA8AAAAAAAAA&#10;AAAAAAAABwIAAGRycy9kb3ducmV2LnhtbFBLBQYAAAAAAwADALcAAADyAgAAAAA=&#10;" fillcolor="#f2f2f2 [3052]" stroked="f" strokeweight=".5pt">
                  <v:textbox>
                    <w:txbxContent>
                      <w:p w14:paraId="11F10F56" w14:textId="77777777" w:rsidR="00C32FCB" w:rsidRPr="003B4F97" w:rsidRDefault="00C32FCB" w:rsidP="003B4F97">
                        <w:pPr>
                          <w:spacing w:before="120" w:after="120" w:line="240" w:lineRule="atLeast"/>
                          <w:rPr>
                            <w:sz w:val="18"/>
                            <w:szCs w:val="18"/>
                          </w:rPr>
                        </w:pPr>
                        <w:r w:rsidRPr="003B4F97">
                          <w:rPr>
                            <w:sz w:val="18"/>
                            <w:szCs w:val="18"/>
                          </w:rPr>
                          <w:t xml:space="preserve">Trial indicator 13: </w:t>
                        </w:r>
                        <w:r w:rsidRPr="003B4F97">
                          <w:rPr>
                            <w:sz w:val="18"/>
                            <w:szCs w:val="18"/>
                          </w:rPr>
                          <w:br/>
                          <w:t>Postpartum haemorrhage</w:t>
                        </w:r>
                      </w:p>
                    </w:txbxContent>
                  </v:textbox>
                </v:roundrect>
                <w10:anchorlock/>
              </v:group>
            </w:pict>
          </mc:Fallback>
        </mc:AlternateContent>
      </w:r>
    </w:p>
    <w:p w14:paraId="75B43BF7" w14:textId="0F170C1B" w:rsidR="007E73B3" w:rsidRPr="003B4F97" w:rsidRDefault="007E73B3" w:rsidP="003B4F97">
      <w:pPr>
        <w:pStyle w:val="Heading2"/>
      </w:pPr>
      <w:r w:rsidRPr="003B4F97">
        <w:t>How to use this report</w:t>
      </w:r>
    </w:p>
    <w:p w14:paraId="1E6D5676" w14:textId="73DCEAA9" w:rsidR="007E73B3" w:rsidRDefault="007E73B3" w:rsidP="003B4F97">
      <w:pPr>
        <w:pStyle w:val="Normalfollowingheading"/>
      </w:pPr>
      <w:r w:rsidRPr="00DA4AE8">
        <w:t>The main section of this report details statewide data observations and key information for clinicians and health services.</w:t>
      </w:r>
      <w:r w:rsidRPr="007E73B3">
        <w:t xml:space="preserve"> </w:t>
      </w:r>
    </w:p>
    <w:p w14:paraId="2D541E31" w14:textId="57E235C4" w:rsidR="00E73541" w:rsidRDefault="007E73B3" w:rsidP="003B4F97">
      <w:r>
        <w:t>Outcomes are reported here by comparing services with each other and over time. We call this comparison ‘benchmarking’. It can be used to identify high performing services, performance of practices within a multi-site health service and compare practice over time.</w:t>
      </w:r>
      <w:r w:rsidR="00E73541">
        <w:br w:type="page"/>
      </w:r>
    </w:p>
    <w:p w14:paraId="426CEEF2" w14:textId="73C6D130" w:rsidR="007E73B3" w:rsidRDefault="007E73B3" w:rsidP="003B4F97">
      <w:r>
        <w:lastRenderedPageBreak/>
        <w:t>Benchmarking can:</w:t>
      </w:r>
    </w:p>
    <w:p w14:paraId="68178F1B" w14:textId="601DA20D" w:rsidR="007E73B3" w:rsidRPr="003B4F97" w:rsidRDefault="007E73B3" w:rsidP="003B4F97">
      <w:pPr>
        <w:pStyle w:val="Bullet1"/>
      </w:pPr>
      <w:r w:rsidRPr="003B4F97">
        <w:t>allow you to assess performance relative to other health services</w:t>
      </w:r>
    </w:p>
    <w:p w14:paraId="6AD9ECCD" w14:textId="77777777" w:rsidR="007E73B3" w:rsidRPr="003B4F97" w:rsidRDefault="007E73B3" w:rsidP="003B4F97">
      <w:pPr>
        <w:pStyle w:val="Bullet1"/>
      </w:pPr>
      <w:r w:rsidRPr="003B4F97">
        <w:t xml:space="preserve">identify services that are providing best practice that you may want to connect with </w:t>
      </w:r>
    </w:p>
    <w:p w14:paraId="455E6730" w14:textId="5253400F" w:rsidR="007E73B3" w:rsidRPr="003B4F97" w:rsidRDefault="007E73B3" w:rsidP="003B4F97">
      <w:pPr>
        <w:pStyle w:val="Bullet1"/>
      </w:pPr>
      <w:r w:rsidRPr="003B4F97">
        <w:t>highlight opportunities for improvements, particularly where improvement activities have led to success in other organisations.</w:t>
      </w:r>
    </w:p>
    <w:p w14:paraId="51A979DF" w14:textId="77777777" w:rsidR="007E73B3" w:rsidRDefault="007E73B3" w:rsidP="003B4F97">
      <w:r>
        <w:t>Further detail is provided in the appendices.</w:t>
      </w:r>
    </w:p>
    <w:p w14:paraId="6DB54D41" w14:textId="77777777" w:rsidR="007E73B3" w:rsidRPr="00DA4AE8" w:rsidRDefault="007E73B3" w:rsidP="003B4F97">
      <w:pPr>
        <w:pStyle w:val="Bullet1"/>
      </w:pPr>
      <w:r w:rsidRPr="00DA4AE8">
        <w:rPr>
          <w:b/>
          <w:bCs/>
        </w:rPr>
        <w:t>Appendix 1</w:t>
      </w:r>
      <w:r w:rsidRPr="00DA4AE8">
        <w:t xml:space="preserve"> details the data sources for this report</w:t>
      </w:r>
      <w:r>
        <w:t>.</w:t>
      </w:r>
    </w:p>
    <w:p w14:paraId="5F61B05F" w14:textId="77777777" w:rsidR="007E73B3" w:rsidRPr="00DA4AE8" w:rsidRDefault="007E73B3" w:rsidP="003B4F97">
      <w:pPr>
        <w:pStyle w:val="Bullet1"/>
      </w:pPr>
      <w:r w:rsidRPr="00DA4AE8">
        <w:rPr>
          <w:b/>
          <w:bCs/>
        </w:rPr>
        <w:t xml:space="preserve">Appendix </w:t>
      </w:r>
      <w:r>
        <w:rPr>
          <w:b/>
          <w:bCs/>
        </w:rPr>
        <w:t>2</w:t>
      </w:r>
      <w:r w:rsidRPr="00DA4AE8">
        <w:t xml:space="preserve"> lists Victoria’s maternity services and the number of women and babies cared for in 2019</w:t>
      </w:r>
      <w:r>
        <w:t>.</w:t>
      </w:r>
    </w:p>
    <w:p w14:paraId="41B80CCB" w14:textId="77777777" w:rsidR="007E73B3" w:rsidRPr="00DA4AE8" w:rsidRDefault="007E73B3" w:rsidP="003B4F97">
      <w:pPr>
        <w:pStyle w:val="Bullet1"/>
      </w:pPr>
      <w:r w:rsidRPr="00DA4AE8">
        <w:rPr>
          <w:b/>
          <w:bCs/>
        </w:rPr>
        <w:t xml:space="preserve">Appendix </w:t>
      </w:r>
      <w:r>
        <w:rPr>
          <w:b/>
          <w:bCs/>
        </w:rPr>
        <w:t>3</w:t>
      </w:r>
      <w:r w:rsidRPr="00DA4AE8">
        <w:t xml:space="preserve"> contains an overview of results for each individual health service.</w:t>
      </w:r>
    </w:p>
    <w:p w14:paraId="61093992" w14:textId="77777777" w:rsidR="007E73B3" w:rsidRDefault="007E73B3" w:rsidP="003B4F97">
      <w:pPr>
        <w:pStyle w:val="Heading2"/>
      </w:pPr>
      <w:r>
        <w:t>What is different this year?</w:t>
      </w:r>
    </w:p>
    <w:p w14:paraId="0FC0D0C0" w14:textId="77777777" w:rsidR="002A4A13" w:rsidRDefault="002A4A13" w:rsidP="003B4F97">
      <w:pPr>
        <w:pStyle w:val="Heading3"/>
      </w:pPr>
      <w:r>
        <w:t>Some indicators have not been included</w:t>
      </w:r>
    </w:p>
    <w:p w14:paraId="3471EEAF" w14:textId="2DECB2D0" w:rsidR="00DA4AE8" w:rsidRDefault="007E73B3" w:rsidP="003B4F97">
      <w:pPr>
        <w:pStyle w:val="Normalfollowingheading"/>
      </w:pPr>
      <w:r>
        <w:t xml:space="preserve">Due to the </w:t>
      </w:r>
      <w:r w:rsidRPr="002A4A13">
        <w:t>impact</w:t>
      </w:r>
      <w:r>
        <w:t xml:space="preserve"> of the coronavirus (COVID-19) pandemic – both at Safer Care Victoria and in health services - this</w:t>
      </w:r>
      <w:r w:rsidR="00DA4AE8">
        <w:t xml:space="preserve"> year </w:t>
      </w:r>
      <w:r>
        <w:t xml:space="preserve">we have prioritised </w:t>
      </w:r>
      <w:r w:rsidR="00DA4AE8">
        <w:t>16 indicators from the 25 indicators reported previously</w:t>
      </w:r>
      <w:r>
        <w:t>. Indicators not reported this year include:</w:t>
      </w:r>
    </w:p>
    <w:p w14:paraId="27D43EC6" w14:textId="6C949F4A" w:rsidR="007E73B3" w:rsidRPr="00B448F6" w:rsidRDefault="007E73B3" w:rsidP="003B4F97">
      <w:pPr>
        <w:pStyle w:val="Bullet1"/>
      </w:pPr>
      <w:r w:rsidRPr="00B448F6">
        <w:t>Indicator</w:t>
      </w:r>
      <w:r w:rsidR="00572525">
        <w:t>s</w:t>
      </w:r>
      <w:r w:rsidRPr="00B448F6">
        <w:t xml:space="preserve"> 1d</w:t>
      </w:r>
      <w:r w:rsidR="00572525">
        <w:t>i</w:t>
      </w:r>
      <w:r w:rsidR="00FE02E6">
        <w:t xml:space="preserve"> and 1dii</w:t>
      </w:r>
      <w:r w:rsidRPr="00B448F6">
        <w:t xml:space="preserve">: </w:t>
      </w:r>
      <w:r w:rsidR="00591E82">
        <w:t>Episiotomies in</w:t>
      </w:r>
      <w:r w:rsidRPr="00B448F6">
        <w:t xml:space="preserve"> </w:t>
      </w:r>
      <w:r w:rsidR="0046194E" w:rsidRPr="0046194E">
        <w:t>primiparae</w:t>
      </w:r>
      <w:r w:rsidR="0046194E" w:rsidRPr="00555FB7" w:rsidDel="0046194E">
        <w:t xml:space="preserve"> </w:t>
      </w:r>
      <w:r w:rsidRPr="00B448F6">
        <w:t xml:space="preserve"> </w:t>
      </w:r>
    </w:p>
    <w:p w14:paraId="6368CF4C" w14:textId="7EFEC001" w:rsidR="007E73B3" w:rsidRPr="00B448F6" w:rsidRDefault="007E73B3" w:rsidP="003B4F97">
      <w:pPr>
        <w:pStyle w:val="Bullet1"/>
      </w:pPr>
      <w:r w:rsidRPr="00B448F6">
        <w:t xml:space="preserve">Indicators 4a and 4b: Vaginal birth after </w:t>
      </w:r>
      <w:r w:rsidR="00591E82">
        <w:t xml:space="preserve">primary </w:t>
      </w:r>
      <w:r w:rsidRPr="00B448F6">
        <w:t>caesarean section</w:t>
      </w:r>
    </w:p>
    <w:p w14:paraId="72172CC8" w14:textId="58EA791C" w:rsidR="007E73B3" w:rsidRPr="00B448F6" w:rsidRDefault="007E73B3" w:rsidP="003B4F97">
      <w:pPr>
        <w:pStyle w:val="Bullet1"/>
      </w:pPr>
      <w:r w:rsidRPr="00B448F6">
        <w:t>Indicators 8a, 8b and 8c: Breastfeeding in hospital</w:t>
      </w:r>
    </w:p>
    <w:p w14:paraId="6DB75FAA" w14:textId="32E3ACCC" w:rsidR="007E73B3" w:rsidRDefault="007E73B3" w:rsidP="003B4F97">
      <w:pPr>
        <w:pStyle w:val="Bullet1"/>
      </w:pPr>
      <w:r w:rsidRPr="00B448F6">
        <w:t>Indicator 9: First antenatal visit</w:t>
      </w:r>
    </w:p>
    <w:p w14:paraId="54AE29E2" w14:textId="7A07E605" w:rsidR="0094480F" w:rsidRPr="00B448F6" w:rsidRDefault="0094480F" w:rsidP="003B4F97">
      <w:pPr>
        <w:pStyle w:val="Bullet1"/>
      </w:pPr>
      <w:r>
        <w:t xml:space="preserve">Indicator 12a: </w:t>
      </w:r>
      <w:r w:rsidR="002A4309" w:rsidRPr="002A4309">
        <w:t>the rate of women vaccinated for pertussis</w:t>
      </w:r>
      <w:r w:rsidR="002A4309">
        <w:t>.</w:t>
      </w:r>
    </w:p>
    <w:p w14:paraId="074C7C0D" w14:textId="51CF69C5" w:rsidR="002A4A13" w:rsidRPr="003B4F97" w:rsidRDefault="007E73B3" w:rsidP="003B4F97">
      <w:pPr>
        <w:pStyle w:val="Heading3"/>
      </w:pPr>
      <w:r w:rsidRPr="003B4F97">
        <w:t>Funnel plots have been provided for all indicators</w:t>
      </w:r>
    </w:p>
    <w:p w14:paraId="62B3F208" w14:textId="72502B2C" w:rsidR="007E73B3" w:rsidRDefault="002A4A13" w:rsidP="003B4F97">
      <w:pPr>
        <w:pStyle w:val="Normalfollowingheading"/>
      </w:pPr>
      <w:r>
        <w:t>Funnel plots consider the size of the maternity service which is an advantage over the interquartile ranges in identifying most favourable and least favourable outcomes. Please n</w:t>
      </w:r>
      <w:r w:rsidR="007E73B3">
        <w:t>ote</w:t>
      </w:r>
      <w:r>
        <w:t xml:space="preserve"> </w:t>
      </w:r>
      <w:r w:rsidR="007E73B3">
        <w:t>that only the gestation standardised perinatal mortality ratio (GSPMR) funnel plot includes risk</w:t>
      </w:r>
      <w:r w:rsidR="00C61AD0">
        <w:t>-</w:t>
      </w:r>
      <w:r w:rsidR="007E73B3">
        <w:t xml:space="preserve">adjusted rates. All other funnel plots present rates that have not been risk adjusted. </w:t>
      </w:r>
    </w:p>
    <w:p w14:paraId="17E64F66" w14:textId="517035AA" w:rsidR="007E73B3" w:rsidRDefault="007E73B3" w:rsidP="003B4F97">
      <w:r>
        <w:t>Only hospitals with at least 30 records (mothers or newborns) have been included in the funnel plots with the exclusion of the GSPMR funnel plot which applied a different threshold. For the GSPMR funnel plot, only hospitals with at least five deaths during the pooled five-year period (2015</w:t>
      </w:r>
      <w:r w:rsidR="00B946E0">
        <w:t>–</w:t>
      </w:r>
      <w:r>
        <w:t>2019) have been included.</w:t>
      </w:r>
    </w:p>
    <w:p w14:paraId="19E53741" w14:textId="2E167603" w:rsidR="00DA4AE8" w:rsidRDefault="00DA4AE8" w:rsidP="003B4F97">
      <w:pPr>
        <w:pStyle w:val="Heading2"/>
      </w:pPr>
      <w:r>
        <w:t>About the data</w:t>
      </w:r>
    </w:p>
    <w:p w14:paraId="769D5F97" w14:textId="77777777" w:rsidR="002A4A13" w:rsidRDefault="00DA4AE8" w:rsidP="003B4F97">
      <w:pPr>
        <w:pStyle w:val="Normalfollowingheading"/>
      </w:pPr>
      <w:r>
        <w:t xml:space="preserve">Data for this report comes from the Victorian Perinatal Data Collection (VPDC), the Victorian Healthcare Experience Survey (VHES) and the Victorian Admitted Episodes Dataset (VAED). </w:t>
      </w:r>
    </w:p>
    <w:p w14:paraId="6D1A4772" w14:textId="1D198203" w:rsidR="002A4A13" w:rsidRDefault="00DA4AE8" w:rsidP="003B4F97">
      <w:pPr>
        <w:pStyle w:val="Bullet1"/>
      </w:pPr>
      <w:r>
        <w:t xml:space="preserve">VPDC and VHES data is from the 2019 calendar year. </w:t>
      </w:r>
    </w:p>
    <w:p w14:paraId="08AA354A" w14:textId="77777777" w:rsidR="00892B20" w:rsidRDefault="00DA4AE8" w:rsidP="003B4F97">
      <w:pPr>
        <w:pStyle w:val="Bullet1"/>
      </w:pPr>
      <w:r>
        <w:t xml:space="preserve">The VPDC and VHES are used as source for indicators 1a, 1bi, 1bii, 1ci, 1cii, 3, 5, 7, 10, 12b and 13. </w:t>
      </w:r>
    </w:p>
    <w:p w14:paraId="2FCE1366" w14:textId="1F1355A8" w:rsidR="00612C13" w:rsidRPr="001114F0" w:rsidRDefault="00DA4AE8" w:rsidP="003B4F97">
      <w:pPr>
        <w:pStyle w:val="Bullet1"/>
        <w:rPr>
          <w:rFonts w:ascii="VIC SemiBold" w:eastAsiaTheme="majorEastAsia" w:hAnsi="VIC SemiBold" w:cstheme="majorBidi"/>
          <w:color w:val="000000" w:themeColor="text1"/>
          <w:sz w:val="24"/>
          <w:szCs w:val="22"/>
          <w:lang w:val="en-GB"/>
        </w:rPr>
      </w:pPr>
      <w:r>
        <w:t>VAED data is reported for the financial year 2019</w:t>
      </w:r>
      <w:r w:rsidR="00A073E5">
        <w:t>–</w:t>
      </w:r>
      <w:r>
        <w:t>20 and is used as source for indicators 2, 6a and 6b.</w:t>
      </w:r>
      <w:r w:rsidR="00612C13">
        <w:br w:type="page"/>
      </w:r>
    </w:p>
    <w:p w14:paraId="3956AF65" w14:textId="23B06726" w:rsidR="00612C13" w:rsidRDefault="00E56AF7" w:rsidP="003B4F97">
      <w:pPr>
        <w:rPr>
          <w:rFonts w:ascii="VIC SemiBold" w:eastAsiaTheme="majorEastAsia" w:hAnsi="VIC SemiBold" w:cstheme="majorBidi"/>
          <w:caps/>
          <w:color w:val="007586" w:themeColor="text2"/>
          <w:sz w:val="24"/>
          <w:szCs w:val="26"/>
        </w:rPr>
      </w:pPr>
      <w:r>
        <w:lastRenderedPageBreak/>
        <mc:AlternateContent>
          <mc:Choice Requires="wps">
            <w:drawing>
              <wp:inline distT="0" distB="0" distL="0" distR="0" wp14:anchorId="54FC4B29" wp14:editId="71794C2A">
                <wp:extent cx="6480000" cy="1764000"/>
                <wp:effectExtent l="0" t="0" r="16510" b="17780"/>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1764000"/>
                        </a:xfrm>
                        <a:prstGeom prst="rect">
                          <a:avLst/>
                        </a:prstGeom>
                        <a:solidFill>
                          <a:schemeClr val="bg2"/>
                        </a:solidFill>
                        <a:ln w="6350">
                          <a:solidFill>
                            <a:schemeClr val="bg2"/>
                          </a:solidFill>
                          <a:miter lim="800000"/>
                          <a:headEnd/>
                          <a:tailEnd/>
                        </a:ln>
                      </wps:spPr>
                      <wps:txbx>
                        <w:txbxContent>
                          <w:p w14:paraId="6C6C530B" w14:textId="7494FC8D" w:rsidR="00C32FCB" w:rsidRDefault="00C32FCB" w:rsidP="003B4F97">
                            <w:pPr>
                              <w:pStyle w:val="PulloutHeading"/>
                            </w:pPr>
                            <w:r>
                              <w:t>How to interpret the data</w:t>
                            </w:r>
                          </w:p>
                          <w:p w14:paraId="44A66F9A" w14:textId="7A719725" w:rsidR="00C32FCB" w:rsidRDefault="00C32FCB" w:rsidP="003B4F97">
                            <w:pPr>
                              <w:pStyle w:val="PulloutText"/>
                            </w:pPr>
                            <w:r w:rsidRPr="007679FE">
                              <w:rPr>
                                <w:b/>
                                <w:bCs/>
                                <w:sz w:val="22"/>
                                <w:szCs w:val="22"/>
                              </w:rPr>
                              <w:t>Statewide rates</w:t>
                            </w:r>
                            <w:r w:rsidRPr="007679FE">
                              <w:rPr>
                                <w:sz w:val="22"/>
                                <w:szCs w:val="22"/>
                              </w:rPr>
                              <w:t xml:space="preserve"> </w:t>
                            </w:r>
                            <w:r>
                              <w:rPr>
                                <w:sz w:val="22"/>
                                <w:szCs w:val="22"/>
                              </w:rPr>
                              <w:br/>
                            </w:r>
                            <w:r>
                              <w:t xml:space="preserve">These provide an average of all hospitals combined (public and private). The </w:t>
                            </w:r>
                            <w:r w:rsidRPr="00480877">
                              <w:rPr>
                                <w:b/>
                                <w:bCs/>
                              </w:rPr>
                              <w:t>public rate</w:t>
                            </w:r>
                            <w:r>
                              <w:t xml:space="preserve"> is the average of all public hospitals combined and the </w:t>
                            </w:r>
                            <w:r w:rsidRPr="00480877">
                              <w:rPr>
                                <w:b/>
                                <w:bCs/>
                              </w:rPr>
                              <w:t>private rate</w:t>
                            </w:r>
                            <w:r>
                              <w:t xml:space="preserve"> is the average of all private hospitals combined. They do not represent a desired target. In most cases, even where a hospital appears to be doing well in comparison to others, opportunities for improvement remain.</w:t>
                            </w:r>
                          </w:p>
                          <w:p w14:paraId="40144129" w14:textId="12A99D2B" w:rsidR="00C32FCB" w:rsidRDefault="00C32FCB" w:rsidP="003B4F97">
                            <w:pPr>
                              <w:pStyle w:val="PulloutText"/>
                            </w:pPr>
                            <w:r w:rsidRPr="001D65C6">
                              <w:rPr>
                                <w:b/>
                                <w:bCs/>
                                <w:sz w:val="22"/>
                                <w:szCs w:val="22"/>
                              </w:rPr>
                              <w:t>Interquartile ranges</w:t>
                            </w:r>
                            <w:r w:rsidRPr="001D65C6">
                              <w:rPr>
                                <w:sz w:val="22"/>
                                <w:szCs w:val="22"/>
                              </w:rPr>
                              <w:t xml:space="preserve"> </w:t>
                            </w:r>
                            <w:r>
                              <w:rPr>
                                <w:sz w:val="22"/>
                                <w:szCs w:val="22"/>
                              </w:rPr>
                              <w:br/>
                            </w:r>
                            <w:r>
                              <w:t>These represent variation between services. The graphs throughout this report use red and green vertical lines and shading to show the least (red) and most (green) favourable 25 per cent of services. The most favourable rate may be high or low depending on the indicator. For example, we want rates of severe fetal growth restriction to be low and rates of smoking cessation to be high.</w:t>
                            </w:r>
                          </w:p>
                          <w:p w14:paraId="6414900B" w14:textId="0FFF3C7C" w:rsidR="00C32FCB" w:rsidRDefault="00C32FCB" w:rsidP="003B4F97">
                            <w:pPr>
                              <w:pStyle w:val="PulloutText"/>
                            </w:pPr>
                            <w:r w:rsidRPr="001D65C6">
                              <w:rPr>
                                <w:b/>
                                <w:bCs/>
                                <w:sz w:val="22"/>
                                <w:szCs w:val="22"/>
                              </w:rPr>
                              <w:t>Funnel plots</w:t>
                            </w:r>
                            <w:r w:rsidRPr="001D65C6">
                              <w:rPr>
                                <w:sz w:val="22"/>
                                <w:szCs w:val="22"/>
                              </w:rPr>
                              <w:t xml:space="preserve"> </w:t>
                            </w:r>
                            <w:r>
                              <w:rPr>
                                <w:sz w:val="22"/>
                                <w:szCs w:val="22"/>
                              </w:rPr>
                              <w:br/>
                            </w:r>
                            <w:r>
                              <w:t xml:space="preserve">These provide a good visualisation of each hospital’s rate compared to other hospitals and to a target or an average rate (usually the state rate or the median rate across hospitals) and take into consideration the size of the hospital. Each dot represents a hospital’s rate for the given indicator. </w:t>
                            </w:r>
                          </w:p>
                          <w:p w14:paraId="03E6E126" w14:textId="77777777" w:rsidR="00C32FCB" w:rsidRDefault="00C32FCB" w:rsidP="003B4F97">
                            <w:pPr>
                              <w:pStyle w:val="PulloutText"/>
                            </w:pPr>
                            <w:r>
                              <w:t xml:space="preserve">The solid horizontal line represents the average rate (median of hospital rates for all indicators except for indicators 5, 6a, 6b, 11a, 11b in which the state rate is used as the average rate). Hospitals (dots) that are above this line have a rate that is higher than the average rate. Hospitals below this line have a rate that is lower than the average rate. </w:t>
                            </w:r>
                          </w:p>
                          <w:p w14:paraId="4B58188A" w14:textId="77777777" w:rsidR="00C32FCB" w:rsidRDefault="00C32FCB" w:rsidP="003B4F97">
                            <w:pPr>
                              <w:pStyle w:val="PulloutText"/>
                            </w:pPr>
                            <w:r>
                              <w:t xml:space="preserve">The dashed and solid blue lines represent 95 per cent and 99 per cent control limits, respectively. Control limits can be used to test how different each hospital’s rate is from the average rate, taking the size of the hospital into consideration. If a hospital falls outside of the 95 per cent control limits of the funnel plot, its rate is considered to be statistically significantly different from the average rate. Hospitals that fall above the 95 per cent upper control limit have a rate that is statistically significantly higher compared to the average rate. Conversely, those that fall below the 95 per cent lower control limit have a rate that is statistically significantly lower compared to the average rate. A favourable outcome for most indicators is to be lower than the average rate except for indicators 7, 11a, 11b, and 12b. For these indicators, a rate that is higher than the average rate is most desirable. </w:t>
                            </w:r>
                          </w:p>
                          <w:p w14:paraId="710EE73C" w14:textId="180C6D4B" w:rsidR="00C32FCB" w:rsidRDefault="00C32FCB" w:rsidP="003B4F97">
                            <w:pPr>
                              <w:pStyle w:val="PulloutText"/>
                            </w:pPr>
                            <w:r w:rsidRPr="001D65C6">
                              <w:rPr>
                                <w:b/>
                                <w:bCs/>
                                <w:sz w:val="22"/>
                                <w:szCs w:val="22"/>
                              </w:rPr>
                              <w:t>p-values</w:t>
                            </w:r>
                            <w:r w:rsidRPr="001D65C6">
                              <w:rPr>
                                <w:sz w:val="22"/>
                                <w:szCs w:val="22"/>
                              </w:rPr>
                              <w:t xml:space="preserve"> </w:t>
                            </w:r>
                            <w:r>
                              <w:rPr>
                                <w:sz w:val="22"/>
                                <w:szCs w:val="22"/>
                              </w:rPr>
                              <w:br/>
                            </w:r>
                            <w:r>
                              <w:t xml:space="preserve">In comparing the rate for a given indicator with the previous year’s rate, or comparing the rate for public hospitals with the corresponding rate for private hospitals, statistical tests have been done to determine if there’s enough evidence in the data to conclude difference in the rates. A large sample is much better able to detect small differences in the rates compared to a small sample. All tests applied a five per cent significance level which means that the chance of error in concluding a non-significant result, when there is a difference in the rates is limited to five per cent. A p-value </w:t>
                            </w:r>
                            <w:r>
                              <w:br/>
                              <w:t>&lt; 0.05 indicates a statistically significant result. Note that a statistically significant result does not imply clinical significance. However, being able to establish statistical significance means one can then do the next step of assessing clinical significance since it has been established that the difference in the rates is not likely to be due to chance.</w:t>
                            </w:r>
                          </w:p>
                        </w:txbxContent>
                      </wps:txbx>
                      <wps:bodyPr rot="0" vert="horz" wrap="square" lIns="180000" tIns="180000" rIns="144000" bIns="36000" anchor="t" anchorCtr="0">
                        <a:spAutoFit/>
                      </wps:bodyPr>
                    </wps:wsp>
                  </a:graphicData>
                </a:graphic>
              </wp:inline>
            </w:drawing>
          </mc:Choice>
          <mc:Fallback>
            <w:pict>
              <v:shapetype w14:anchorId="54FC4B29" id="_x0000_t202" coordsize="21600,21600" o:spt="202" path="m,l,21600r21600,l21600,xe">
                <v:stroke joinstyle="miter"/>
                <v:path gradientshapeok="t" o:connecttype="rect"/>
              </v:shapetype>
              <v:shape id="Text Box 2" o:spid="_x0000_s1040" type="#_x0000_t202" style="width:510.25pt;height:13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EEwHQIAAE8EAAAOAAAAZHJzL2Uyb0RvYy54bWysVNuO2yAQfa/Uf0C8N86t6cpaZ7XNNlWl&#10;7UXa7QdMMI5RgaFAYqdf3wE76W77tqofEAPD4cw5g69veqPZUfqg0FZ8NplyJq3AWtl9xb8/bt9c&#10;cRYi2Bo0Wlnxkwz8Zv361XXnSjnHFnUtPSMQG8rOVbyN0ZVFEUQrDYQJOmlps0FvIFLo90XtoSN0&#10;o4v5dLoqOvS18yhkCLR6N2zydcZvGini16YJMjJdceIW8+jzuEtjsb6Gcu/BtUqMNOAFLAwoS5de&#10;oO4gAjt49Q+UUcJjwCZOBJoCm0YJmWugambTv6p5aMHJXAuJE9xFpvD/YMWX4zfPVF3xtySPBUMe&#10;Pco+svfYs3mSp3OhpKwHR3mxp2WyOZca3D2KH4FZ3LRg9/LWe+xaCTXRm6WTxZOjA05IILvuM9Z0&#10;DRwiZqC+8SZpR2owQicep4s1iYqgxdXyakofZ4L2Zu9WyxSkO6A8H3c+xI8SDUuTinvyPsPD8T7E&#10;IfWckm4LqFW9VVrnIPWb3GjPjkCdstvn0gn8WZa2rCMqC5LqhQhGRWp3rUzFcz1jAybVPtiaSEIZ&#10;QelhTtdrO8qYlBs0jP2uz4bNFmd7dlifSFiPQ3vTc6RJi/4XZx21dsXDzwN4yZn+ZJM5o5TxWeSH&#10;aJmVZbscLVZZc7CC0CoeORumm5ifUBbB3ZKPW5UVToYPZEba1LXZo/GFpWfxNM5Zf/4D698AAAD/&#10;/wMAUEsDBBQABgAIAAAAIQDkmRvA3AAAAAYBAAAPAAAAZHJzL2Rvd25yZXYueG1sTI9PS8NAEMXv&#10;gt9hGcGb3TXQP6bZFBGKRUFIlZ632TEJzc6G7DSJ396tl3oZeLzHe7/JNpNrxYB9aDxpeJwpEEil&#10;tw1VGr4+tw8rEIENWdN6Qg0/GGCT395kJrV+pAKHPVcillBIjYaauUulDGWNzoSZ75Ci9+17ZzjK&#10;vpK2N2Msd61MlFpIZxqKC7Xp8KXG8rQ/Ow2HoXgt3pLdaTvu3tv5YnziD7Za399Nz2sQjBNfw3DB&#10;j+iQR6ajP5MNotUQH+G/e/FUouYgjhqS5XIFMs/kf/z8FwAA//8DAFBLAQItABQABgAIAAAAIQC2&#10;gziS/gAAAOEBAAATAAAAAAAAAAAAAAAAAAAAAABbQ29udGVudF9UeXBlc10ueG1sUEsBAi0AFAAG&#10;AAgAAAAhADj9If/WAAAAlAEAAAsAAAAAAAAAAAAAAAAALwEAAF9yZWxzLy5yZWxzUEsBAi0AFAAG&#10;AAgAAAAhAK1cQTAdAgAATwQAAA4AAAAAAAAAAAAAAAAALgIAAGRycy9lMm9Eb2MueG1sUEsBAi0A&#10;FAAGAAgAAAAhAOSZG8DcAAAABgEAAA8AAAAAAAAAAAAAAAAAdwQAAGRycy9kb3ducmV2LnhtbFBL&#10;BQYAAAAABAAEAPMAAACABQAAAAA=&#10;" fillcolor="#edf5f7 [3214]" strokecolor="#edf5f7 [3214]" strokeweight=".5pt">
                <v:textbox style="mso-fit-shape-to-text:t" inset="5mm,5mm,4mm,1mm">
                  <w:txbxContent>
                    <w:p w14:paraId="6C6C530B" w14:textId="7494FC8D" w:rsidR="00C32FCB" w:rsidRDefault="00C32FCB" w:rsidP="003B4F97">
                      <w:pPr>
                        <w:pStyle w:val="PulloutHeading"/>
                      </w:pPr>
                      <w:r>
                        <w:t>How to interpret the data</w:t>
                      </w:r>
                    </w:p>
                    <w:p w14:paraId="44A66F9A" w14:textId="7A719725" w:rsidR="00C32FCB" w:rsidRDefault="00C32FCB" w:rsidP="003B4F97">
                      <w:pPr>
                        <w:pStyle w:val="PulloutText"/>
                      </w:pPr>
                      <w:r w:rsidRPr="007679FE">
                        <w:rPr>
                          <w:b/>
                          <w:bCs/>
                          <w:sz w:val="22"/>
                          <w:szCs w:val="22"/>
                        </w:rPr>
                        <w:t>Statewide rates</w:t>
                      </w:r>
                      <w:r w:rsidRPr="007679FE">
                        <w:rPr>
                          <w:sz w:val="22"/>
                          <w:szCs w:val="22"/>
                        </w:rPr>
                        <w:t xml:space="preserve"> </w:t>
                      </w:r>
                      <w:r>
                        <w:rPr>
                          <w:sz w:val="22"/>
                          <w:szCs w:val="22"/>
                        </w:rPr>
                        <w:br/>
                      </w:r>
                      <w:r>
                        <w:t xml:space="preserve">These provide an average of all hospitals combined (public and private). The </w:t>
                      </w:r>
                      <w:r w:rsidRPr="00480877">
                        <w:rPr>
                          <w:b/>
                          <w:bCs/>
                        </w:rPr>
                        <w:t>public rate</w:t>
                      </w:r>
                      <w:r>
                        <w:t xml:space="preserve"> is the average of all public hospitals combined and the </w:t>
                      </w:r>
                      <w:r w:rsidRPr="00480877">
                        <w:rPr>
                          <w:b/>
                          <w:bCs/>
                        </w:rPr>
                        <w:t>private rate</w:t>
                      </w:r>
                      <w:r>
                        <w:t xml:space="preserve"> is the average of all private hospitals combined. They do not represent a desired target. In most cases, even where a hospital appears to be doing well in comparison to others, opportunities for improvement remain.</w:t>
                      </w:r>
                    </w:p>
                    <w:p w14:paraId="40144129" w14:textId="12A99D2B" w:rsidR="00C32FCB" w:rsidRDefault="00C32FCB" w:rsidP="003B4F97">
                      <w:pPr>
                        <w:pStyle w:val="PulloutText"/>
                      </w:pPr>
                      <w:r w:rsidRPr="001D65C6">
                        <w:rPr>
                          <w:b/>
                          <w:bCs/>
                          <w:sz w:val="22"/>
                          <w:szCs w:val="22"/>
                        </w:rPr>
                        <w:t>Interquartile ranges</w:t>
                      </w:r>
                      <w:r w:rsidRPr="001D65C6">
                        <w:rPr>
                          <w:sz w:val="22"/>
                          <w:szCs w:val="22"/>
                        </w:rPr>
                        <w:t xml:space="preserve"> </w:t>
                      </w:r>
                      <w:r>
                        <w:rPr>
                          <w:sz w:val="22"/>
                          <w:szCs w:val="22"/>
                        </w:rPr>
                        <w:br/>
                      </w:r>
                      <w:r>
                        <w:t>These represent variation between services. The graphs throughout this report use red and green vertical lines and shading to show the least (red) and most (green) favourable 25 per cent of services. The most favourable rate may be high or low depending on the indicator. For example, we want rates of severe fetal growth restriction to be low and rates of smoking cessation to be high.</w:t>
                      </w:r>
                    </w:p>
                    <w:p w14:paraId="6414900B" w14:textId="0FFF3C7C" w:rsidR="00C32FCB" w:rsidRDefault="00C32FCB" w:rsidP="003B4F97">
                      <w:pPr>
                        <w:pStyle w:val="PulloutText"/>
                      </w:pPr>
                      <w:r w:rsidRPr="001D65C6">
                        <w:rPr>
                          <w:b/>
                          <w:bCs/>
                          <w:sz w:val="22"/>
                          <w:szCs w:val="22"/>
                        </w:rPr>
                        <w:t>Funnel plots</w:t>
                      </w:r>
                      <w:r w:rsidRPr="001D65C6">
                        <w:rPr>
                          <w:sz w:val="22"/>
                          <w:szCs w:val="22"/>
                        </w:rPr>
                        <w:t xml:space="preserve"> </w:t>
                      </w:r>
                      <w:r>
                        <w:rPr>
                          <w:sz w:val="22"/>
                          <w:szCs w:val="22"/>
                        </w:rPr>
                        <w:br/>
                      </w:r>
                      <w:r>
                        <w:t xml:space="preserve">These provide a good visualisation of each hospital’s rate compared to other hospitals and to a target or an average rate (usually the state rate or the median rate across hospitals) and take into consideration the size of the hospital. Each dot represents a hospital’s rate for the given indicator. </w:t>
                      </w:r>
                    </w:p>
                    <w:p w14:paraId="03E6E126" w14:textId="77777777" w:rsidR="00C32FCB" w:rsidRDefault="00C32FCB" w:rsidP="003B4F97">
                      <w:pPr>
                        <w:pStyle w:val="PulloutText"/>
                      </w:pPr>
                      <w:r>
                        <w:t xml:space="preserve">The solid horizontal line represents the average rate (median of hospital rates for all indicators except for indicators 5, 6a, 6b, 11a, 11b in which the state rate is used as the average rate). Hospitals (dots) that are above this line have a rate that is higher than the average rate. Hospitals below this line have a rate that is lower than the average rate. </w:t>
                      </w:r>
                    </w:p>
                    <w:p w14:paraId="4B58188A" w14:textId="77777777" w:rsidR="00C32FCB" w:rsidRDefault="00C32FCB" w:rsidP="003B4F97">
                      <w:pPr>
                        <w:pStyle w:val="PulloutText"/>
                      </w:pPr>
                      <w:r>
                        <w:t xml:space="preserve">The dashed and solid blue lines represent 95 per cent and 99 per cent control limits, respectively. Control limits can be used to test how different each hospital’s rate is from the average rate, taking the size of the hospital into consideration. If a hospital falls outside of the 95 per cent control limits of the funnel plot, its rate is considered to be statistically significantly different from the average rate. Hospitals that fall above the 95 per cent upper control limit have a rate that is statistically significantly higher compared to the average rate. Conversely, those that fall below the 95 per cent lower control limit have a rate that is statistically significantly lower compared to the average rate. A favourable outcome for most indicators is to be lower than the average rate except for indicators 7, 11a, 11b, and 12b. For these indicators, a rate that is higher than the average rate is most desirable. </w:t>
                      </w:r>
                    </w:p>
                    <w:p w14:paraId="710EE73C" w14:textId="180C6D4B" w:rsidR="00C32FCB" w:rsidRDefault="00C32FCB" w:rsidP="003B4F97">
                      <w:pPr>
                        <w:pStyle w:val="PulloutText"/>
                      </w:pPr>
                      <w:r w:rsidRPr="001D65C6">
                        <w:rPr>
                          <w:b/>
                          <w:bCs/>
                          <w:sz w:val="22"/>
                          <w:szCs w:val="22"/>
                        </w:rPr>
                        <w:t>p-values</w:t>
                      </w:r>
                      <w:r w:rsidRPr="001D65C6">
                        <w:rPr>
                          <w:sz w:val="22"/>
                          <w:szCs w:val="22"/>
                        </w:rPr>
                        <w:t xml:space="preserve"> </w:t>
                      </w:r>
                      <w:r>
                        <w:rPr>
                          <w:sz w:val="22"/>
                          <w:szCs w:val="22"/>
                        </w:rPr>
                        <w:br/>
                      </w:r>
                      <w:r>
                        <w:t xml:space="preserve">In comparing the rate for a given indicator with the previous year’s rate, or comparing the rate for public hospitals with the corresponding rate for private hospitals, statistical tests have been done to determine if there’s enough evidence in the data to conclude difference in the rates. A large sample is much better able to detect small differences in the rates compared to a small sample. All tests applied a five per cent significance level which means that the chance of error in concluding a non-significant result, when there is a difference in the rates is limited to five per cent. A p-value </w:t>
                      </w:r>
                      <w:r>
                        <w:br/>
                        <w:t>&lt; 0.05 indicates a statistically significant result. Note that a statistically significant result does not imply clinical significance. However, being able to establish statistical significance means one can then do the next step of assessing clinical significance since it has been established that the difference in the rates is not likely to be due to chance.</w:t>
                      </w:r>
                    </w:p>
                  </w:txbxContent>
                </v:textbox>
                <w10:anchorlock/>
              </v:shape>
            </w:pict>
          </mc:Fallback>
        </mc:AlternateContent>
      </w:r>
      <w:r w:rsidR="00612C13">
        <w:br w:type="page"/>
      </w:r>
    </w:p>
    <w:p w14:paraId="0FCBA003" w14:textId="48CE9C80" w:rsidR="00DA4AE8" w:rsidRDefault="00DA4AE8" w:rsidP="003B4F97">
      <w:pPr>
        <w:pStyle w:val="Heading2"/>
      </w:pPr>
      <w:r>
        <w:lastRenderedPageBreak/>
        <w:t>Compare your performance</w:t>
      </w:r>
    </w:p>
    <w:p w14:paraId="11C645E5" w14:textId="3334831C" w:rsidR="00DA4AE8" w:rsidRDefault="00DA4AE8" w:rsidP="003B4F97">
      <w:pPr>
        <w:pStyle w:val="Normalfollowingheading"/>
      </w:pPr>
      <w:r>
        <w:t>Each health service will receive their own profile detailing their individual results. These are confidential to each health service a</w:t>
      </w:r>
      <w:r w:rsidR="00A073E5">
        <w:t>lthough</w:t>
      </w:r>
      <w:r>
        <w:t xml:space="preserve"> some services choose to share their results with others. Consider sharing your service profile with others to help identify trends and opportunities for learning together, particularly services within your region and services of similar capability. </w:t>
      </w:r>
    </w:p>
    <w:p w14:paraId="475048B5" w14:textId="77777777" w:rsidR="00DA4AE8" w:rsidRDefault="00DA4AE8" w:rsidP="003B4F97">
      <w:pPr>
        <w:pStyle w:val="Heading3"/>
      </w:pPr>
      <w:r>
        <w:t>Capability levels</w:t>
      </w:r>
    </w:p>
    <w:p w14:paraId="6E02129B" w14:textId="0096AA48" w:rsidR="00DA4AE8" w:rsidRDefault="00DA4AE8" w:rsidP="003B4F97">
      <w:pPr>
        <w:pStyle w:val="Normalfollowingheading"/>
      </w:pPr>
      <w:r>
        <w:t xml:space="preserve">We have clustered health services by capability level so you can easily compare your service with others that care for mothers and babies with a similar level of complexity. </w:t>
      </w:r>
    </w:p>
    <w:p w14:paraId="349B1A54" w14:textId="2F0F4F38" w:rsidR="00DA4AE8" w:rsidRDefault="00DA4AE8" w:rsidP="003B4F97">
      <w:pPr>
        <w:pStyle w:val="Tablechartdiagramheading"/>
      </w:pPr>
      <w:r>
        <w:t>Figure 2</w:t>
      </w:r>
      <w:r w:rsidR="00061B4C">
        <w:t>.</w:t>
      </w:r>
      <w:r>
        <w:t xml:space="preserve"> Levels of maternity and neonatal care </w:t>
      </w:r>
    </w:p>
    <w:p w14:paraId="208F7E38" w14:textId="77777777" w:rsidR="00DA4AE8" w:rsidRDefault="413DAF41" w:rsidP="003B4F97">
      <w:r>
        <w:drawing>
          <wp:inline distT="0" distB="0" distL="0" distR="0" wp14:anchorId="3A624D96" wp14:editId="63549EAF">
            <wp:extent cx="6457950" cy="2555240"/>
            <wp:effectExtent l="0" t="0" r="0" b="0"/>
            <wp:docPr id="7" name="Picture 7" descr="Capability framework for Victorian maternity and newbor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6457950" cy="2555240"/>
                    </a:xfrm>
                    <a:prstGeom prst="rect">
                      <a:avLst/>
                    </a:prstGeom>
                  </pic:spPr>
                </pic:pic>
              </a:graphicData>
            </a:graphic>
          </wp:inline>
        </w:drawing>
      </w:r>
    </w:p>
    <w:p w14:paraId="11373557" w14:textId="77777777" w:rsidR="00DA4AE8" w:rsidRDefault="00DA4AE8" w:rsidP="003B4F97">
      <w:pPr>
        <w:pStyle w:val="Footer"/>
        <w:rPr>
          <w:lang w:val="en-GB"/>
        </w:rPr>
      </w:pPr>
      <w:r w:rsidRPr="005036AA">
        <w:rPr>
          <w:lang w:val="en-GB"/>
        </w:rPr>
        <w:t>Source: Capability framework for Victorian maternity and newborn services.</w:t>
      </w:r>
    </w:p>
    <w:p w14:paraId="478B364A" w14:textId="77777777" w:rsidR="00DA4AE8" w:rsidRDefault="00DA4AE8" w:rsidP="003B4F97">
      <w:pPr>
        <w:pStyle w:val="Heading2"/>
      </w:pPr>
      <w:r>
        <w:t>Inform quality improvement activities</w:t>
      </w:r>
    </w:p>
    <w:p w14:paraId="057E2AC5" w14:textId="791A1C78" w:rsidR="00A073E5" w:rsidRDefault="00DA4AE8" w:rsidP="003B4F97">
      <w:pPr>
        <w:pStyle w:val="Normalfollowingheading"/>
      </w:pPr>
      <w:r>
        <w:t xml:space="preserve">Analysis provided in this report can guide, inform and </w:t>
      </w:r>
      <w:r w:rsidR="00A073E5">
        <w:t>help you prioritise</w:t>
      </w:r>
      <w:r>
        <w:t xml:space="preserve"> local audits</w:t>
      </w:r>
      <w:r w:rsidR="00A073E5">
        <w:t xml:space="preserve">. </w:t>
      </w:r>
    </w:p>
    <w:p w14:paraId="1D51A42F" w14:textId="7E4DB0A2" w:rsidR="00A073E5" w:rsidRDefault="00A073E5" w:rsidP="003B4F97">
      <w:pPr>
        <w:pStyle w:val="Normalfollowingheading"/>
      </w:pPr>
      <w:r>
        <w:t>To further identify areas to implement improvement programs and measure the impact of your programs, you can share this with your:</w:t>
      </w:r>
    </w:p>
    <w:p w14:paraId="46B55312" w14:textId="7FD3D2F7" w:rsidR="00A073E5" w:rsidRDefault="00DA4AE8" w:rsidP="003B4F97">
      <w:pPr>
        <w:pStyle w:val="Bullet1"/>
      </w:pPr>
      <w:r>
        <w:t>quality and safety, mortality and morbidity, and consumer advisory committees</w:t>
      </w:r>
    </w:p>
    <w:p w14:paraId="1FD36FFD" w14:textId="53BAB781" w:rsidR="00DA4AE8" w:rsidRDefault="00DA4AE8" w:rsidP="003B4F97">
      <w:pPr>
        <w:pStyle w:val="Bullet1"/>
      </w:pPr>
      <w:r>
        <w:t>clinicians, managers, executive and board.</w:t>
      </w:r>
      <w:r>
        <w:br w:type="page"/>
      </w:r>
    </w:p>
    <w:p w14:paraId="001F3301" w14:textId="77777777" w:rsidR="00480877" w:rsidRDefault="00480877" w:rsidP="00A60C18">
      <w:pPr>
        <w:pStyle w:val="Heading1"/>
        <w:framePr w:wrap="around"/>
      </w:pPr>
      <w:bookmarkStart w:id="3" w:name="_Toc71710114"/>
      <w:r>
        <w:lastRenderedPageBreak/>
        <w:t>Summary of results</w:t>
      </w:r>
      <w:bookmarkEnd w:id="3"/>
      <w:r>
        <w:t xml:space="preserve"> </w:t>
      </w:r>
    </w:p>
    <w:p w14:paraId="47F44BEF" w14:textId="77777777" w:rsidR="00480877" w:rsidRDefault="00480877" w:rsidP="003B4F97">
      <w:pPr>
        <w:pStyle w:val="Heading2"/>
      </w:pPr>
      <w:r>
        <w:t>Where we are getting better</w:t>
      </w:r>
    </w:p>
    <w:p w14:paraId="0211EDDD" w14:textId="77777777" w:rsidR="00480877" w:rsidRDefault="00480877" w:rsidP="003B4F97">
      <w:pPr>
        <w:pStyle w:val="Normalfollowingheading"/>
      </w:pPr>
      <w:r>
        <w:t>Compared with previous years, the following indicators have improved in 2019.</w:t>
      </w:r>
    </w:p>
    <w:p w14:paraId="04DEF794" w14:textId="4D945668" w:rsidR="00480877" w:rsidRDefault="00A073E5" w:rsidP="003B4F97">
      <w:pPr>
        <w:pStyle w:val="Heading3"/>
      </w:pPr>
      <w:r w:rsidRPr="00E56AF7">
        <w:t>Indicator</w:t>
      </w:r>
      <w:r w:rsidRPr="00480877">
        <w:t xml:space="preserve"> 2</w:t>
      </w:r>
      <w:r>
        <w:t xml:space="preserve">: </w:t>
      </w:r>
      <w:r w:rsidR="00480877" w:rsidRPr="009968C9">
        <w:t>Term</w:t>
      </w:r>
      <w:r w:rsidR="00480877">
        <w:t xml:space="preserve"> babies </w:t>
      </w:r>
      <w:r w:rsidR="00480877" w:rsidRPr="00E56AF7">
        <w:t>without</w:t>
      </w:r>
      <w:r w:rsidR="00480877">
        <w:t xml:space="preserve"> congenital anomalies who required additional care</w:t>
      </w:r>
      <w:r>
        <w:t xml:space="preserve"> </w:t>
      </w:r>
    </w:p>
    <w:p w14:paraId="5BB2A946" w14:textId="0E3B7349" w:rsidR="00480877" w:rsidRDefault="00480877" w:rsidP="003B4F97">
      <w:pPr>
        <w:pStyle w:val="Normalfollowingheading"/>
      </w:pPr>
      <w:r>
        <w:t xml:space="preserve">The rate across public hospitals of term babies without congenital anomalies who required additional care was 8.1 per cent. This is about </w:t>
      </w:r>
      <w:r w:rsidR="00A073E5" w:rsidRPr="009968C9">
        <w:t>one</w:t>
      </w:r>
      <w:r>
        <w:t xml:space="preserve"> percentage point lower when compared to the rate </w:t>
      </w:r>
      <w:r w:rsidR="00A073E5">
        <w:t xml:space="preserve">of 9.2 per cent in </w:t>
      </w:r>
      <w:r>
        <w:t>2018</w:t>
      </w:r>
      <w:r w:rsidR="00A073E5">
        <w:t>–</w:t>
      </w:r>
      <w:r>
        <w:t xml:space="preserve">19. This difference was statistically significant (p&lt;0.001). </w:t>
      </w:r>
    </w:p>
    <w:p w14:paraId="7014D870" w14:textId="150EFB8F" w:rsidR="00480877" w:rsidRDefault="00A073E5" w:rsidP="003B4F97">
      <w:pPr>
        <w:pStyle w:val="Heading3"/>
      </w:pPr>
      <w:r w:rsidRPr="00E56AF7">
        <w:t>Indicator</w:t>
      </w:r>
      <w:r>
        <w:t xml:space="preserve"> 3: </w:t>
      </w:r>
      <w:r w:rsidR="00480877">
        <w:t>Severe fetal growth restriction</w:t>
      </w:r>
    </w:p>
    <w:p w14:paraId="6D01D716" w14:textId="77777777" w:rsidR="00480877" w:rsidRDefault="00480877" w:rsidP="003B4F97">
      <w:pPr>
        <w:pStyle w:val="Normalfollowingheading"/>
      </w:pPr>
      <w:r>
        <w:t xml:space="preserve">For the fourth consecutive year there was a decrease in the statewide rate of severe fetal growth restricted (FGR) babies undelivered by 40 weeks’ gestation. </w:t>
      </w:r>
    </w:p>
    <w:p w14:paraId="7AA55CED" w14:textId="77777777" w:rsidR="00480877" w:rsidRDefault="00480877" w:rsidP="003B4F97">
      <w:r>
        <w:t>The statewide (combined public and private) rate of undetected FGR dropped from 24.3 per cent in 2018 to 23.0 per cent in 2019. Although this difference was not statistically significant (p=0.208), FGR has improved significantly over time (35.6 per cent in 2013 to 23.0 per cent in 2019). In public hospitals the rate decreased from 23.0 per cent in 2018 to 22.1 per cent in 2019 (p=0.301). There was greater improvement in private hospitals with the rate decreasing form 30.2 in 2018 to 26.4 in 2019, however, given the lower count in private hospitals, this difference was not statistically significant (p=0.175).</w:t>
      </w:r>
    </w:p>
    <w:p w14:paraId="34EAECB4" w14:textId="657EF0BA" w:rsidR="00480877" w:rsidRDefault="00A073E5" w:rsidP="003B4F97">
      <w:pPr>
        <w:pStyle w:val="Heading3"/>
      </w:pPr>
      <w:r w:rsidRPr="00E56AF7">
        <w:t>Indicator</w:t>
      </w:r>
      <w:r>
        <w:t xml:space="preserve"> 12b </w:t>
      </w:r>
      <w:r w:rsidR="00480877">
        <w:t>Maternal vaccination for influenza</w:t>
      </w:r>
    </w:p>
    <w:p w14:paraId="72F61772" w14:textId="77777777" w:rsidR="00480877" w:rsidRDefault="00480877" w:rsidP="003B4F97">
      <w:pPr>
        <w:pStyle w:val="Normalfollowingheading"/>
      </w:pPr>
      <w:r>
        <w:t>The statewide rate of women vaccinated for influenza (flu) during pregnancy has increased from 67.1 per cent in 2018 to 74.6 per cent in 2019 (p&lt;0.001). In public hospitals this rate increased from 67.8 per cent in 2018 to 75.8 per cent in 2019 (p&lt;0.001). In private hospitals this rate increased from 65.0 per cent in 2018 to 70.9 per cent in 2019 (p&lt;0.001).</w:t>
      </w:r>
    </w:p>
    <w:p w14:paraId="65EE7543" w14:textId="77777777" w:rsidR="00480877" w:rsidRDefault="00480877" w:rsidP="003B4F97">
      <w:r>
        <w:t>The influenza vaccine protects pregnant women from infections that can cause serious complications during pregnancy and affect the health of their babies. The ideal immunisation rate is 100 per cent.</w:t>
      </w:r>
    </w:p>
    <w:p w14:paraId="5E24696E" w14:textId="77777777" w:rsidR="005E2E66" w:rsidRDefault="005E2E66" w:rsidP="003B4F97">
      <w:pPr>
        <w:rPr>
          <w:rFonts w:ascii="VIC SemiBold" w:eastAsiaTheme="majorEastAsia" w:hAnsi="VIC SemiBold" w:cstheme="majorBidi"/>
          <w:color w:val="007586" w:themeColor="text2"/>
          <w:sz w:val="24"/>
          <w:szCs w:val="26"/>
        </w:rPr>
      </w:pPr>
      <w:r>
        <w:br w:type="page"/>
      </w:r>
    </w:p>
    <w:p w14:paraId="08156721" w14:textId="2B4701FF" w:rsidR="00480877" w:rsidRDefault="00480877" w:rsidP="003B4F97">
      <w:pPr>
        <w:pStyle w:val="Heading2"/>
      </w:pPr>
      <w:r>
        <w:lastRenderedPageBreak/>
        <w:t>Where we are doing less well</w:t>
      </w:r>
    </w:p>
    <w:p w14:paraId="38222405" w14:textId="12983894" w:rsidR="00480877" w:rsidRDefault="00480877" w:rsidP="003B4F97">
      <w:pPr>
        <w:pStyle w:val="Normalfollowingheading"/>
      </w:pPr>
      <w:r>
        <w:t>The following outcomes suggest the need for health services to comprehensively review their practices and then implement and monitor programs to improve performance</w:t>
      </w:r>
      <w:r w:rsidR="005A5A79">
        <w:t>.</w:t>
      </w:r>
    </w:p>
    <w:p w14:paraId="10CCB527" w14:textId="3C710ED5" w:rsidR="00480877" w:rsidRDefault="00A073E5" w:rsidP="003B4F97">
      <w:pPr>
        <w:pStyle w:val="Heading3"/>
      </w:pPr>
      <w:r w:rsidRPr="002828A2">
        <w:t>Indicator</w:t>
      </w:r>
      <w:r>
        <w:t xml:space="preserve"> 1a </w:t>
      </w:r>
      <w:r w:rsidR="00480877">
        <w:t xml:space="preserve">Induction of labour </w:t>
      </w:r>
    </w:p>
    <w:p w14:paraId="7E0EA03D" w14:textId="77777777" w:rsidR="00A073E5" w:rsidRDefault="00480877" w:rsidP="003B4F97">
      <w:pPr>
        <w:pStyle w:val="Normalfollowingheading"/>
      </w:pPr>
      <w:r>
        <w:t xml:space="preserve">The statewide rate of induction of labour in standard primiparae increased by nearly four percentage points from 13.6 per cent in 2018 to 17.3 per cent in 2019 (p&lt;0.001). The rate across public hospitals increased from 9.4 per cent in 2018 to 11.8 per cent in 2019 (p&lt;0.001). The rate in private hospitals also increased significantly from 21.1 per cent in 2018 to 26.5 per cent in 2019 (p&lt;0.001). </w:t>
      </w:r>
    </w:p>
    <w:p w14:paraId="0E974ADA" w14:textId="6B6E35B0" w:rsidR="00480877" w:rsidRDefault="00480877" w:rsidP="003B4F97">
      <w:pPr>
        <w:pStyle w:val="Normalfollowingheading"/>
      </w:pPr>
      <w:r>
        <w:t>While induction of labour is sometimes necessary, it can increase the need for further intervention. Safely reducing the number of primiparous women who have an induced labour may reduce the number who require interventions during labour and birth.</w:t>
      </w:r>
    </w:p>
    <w:p w14:paraId="5D1F3428" w14:textId="1936357A" w:rsidR="00480877" w:rsidRDefault="00A073E5" w:rsidP="003B4F97">
      <w:pPr>
        <w:pStyle w:val="Heading3"/>
      </w:pPr>
      <w:r w:rsidRPr="002828A2">
        <w:t>Indicators</w:t>
      </w:r>
      <w:r>
        <w:t xml:space="preserve"> 1bi and 1bii </w:t>
      </w:r>
      <w:r w:rsidR="00480877">
        <w:t>Caesarean sections in primiparae</w:t>
      </w:r>
    </w:p>
    <w:p w14:paraId="32823C2E" w14:textId="77777777" w:rsidR="00480877" w:rsidRDefault="00480877" w:rsidP="003B4F97">
      <w:pPr>
        <w:pStyle w:val="Normalfollowingheading"/>
      </w:pPr>
      <w:r>
        <w:t xml:space="preserve">The statewide rate of primiparae in Robson group 1 who gave birth by caesarean section (Indicator 1bi) increased slightly from 16.7 per cent in 2018 to 18.0 per cent in 2019 (p=0.007). In public hospitals the rate increased from 15.3 per cent in 2018 to 16.9 per cent in 2019 (p=0.001). The rate in private hospitals changed only slightly from 21.8 per cent in 2018 to 22.0 per cent in 2019 (p=0.561). </w:t>
      </w:r>
    </w:p>
    <w:p w14:paraId="494B8D19" w14:textId="4FAE3680" w:rsidR="00480877" w:rsidRDefault="00480877" w:rsidP="003B4F97">
      <w:r>
        <w:t xml:space="preserve">The statewide rate of primiparae in modified Robson group 2 who gave birth by caesarean section (Indicator 1bii) also increased from 30.6 per cent in 2018 </w:t>
      </w:r>
      <w:r w:rsidR="007878E8">
        <w:t xml:space="preserve">to </w:t>
      </w:r>
      <w:r>
        <w:t>31.6 per cent in 2019 (p=0.031). In public hospitals the rate was 30.2 per cent in 2018 and 31.2 per cent in 2019 (p=0.062). The change in private hospitals was similar at 31.9 per cent in 2018 and 33.2 per cent in 2019 (p=0.853).</w:t>
      </w:r>
    </w:p>
    <w:p w14:paraId="7270D07F" w14:textId="33D387F0" w:rsidR="00480877" w:rsidRDefault="00A073E5" w:rsidP="003B4F97">
      <w:pPr>
        <w:pStyle w:val="Heading3"/>
      </w:pPr>
      <w:r w:rsidRPr="002828A2">
        <w:t>Indicator</w:t>
      </w:r>
      <w:r>
        <w:t xml:space="preserve"> 11b </w:t>
      </w:r>
      <w:r w:rsidR="00480877">
        <w:t>Women’s experiences of care – consistent advice from midwives and other professionals about feeding baby</w:t>
      </w:r>
    </w:p>
    <w:p w14:paraId="133284DB" w14:textId="073EBF54" w:rsidR="00480877" w:rsidRDefault="00480877" w:rsidP="003B4F97">
      <w:pPr>
        <w:pStyle w:val="Normalfollowingheading"/>
      </w:pPr>
      <w:r>
        <w:t>The proportion of women who felt they received consistent advice from midwives and other professionals about feeding their baby decreased from 49.0 per cent in 2018 to 47.2 per cent in 2019. This decrease was statistically significant (p=0.017).</w:t>
      </w:r>
    </w:p>
    <w:p w14:paraId="0AA03876" w14:textId="2B05A909" w:rsidR="00480877" w:rsidRDefault="00480877" w:rsidP="003B4F97">
      <w:r>
        <w:br w:type="page"/>
      </w:r>
    </w:p>
    <w:p w14:paraId="3D9F78C5" w14:textId="5512C03A" w:rsidR="00ED64F1" w:rsidRDefault="00480877" w:rsidP="003B4F97">
      <w:pPr>
        <w:pStyle w:val="Tablechartdiagramheading"/>
      </w:pPr>
      <w:r>
        <w:lastRenderedPageBreak/>
        <w:t>Table 1</w:t>
      </w:r>
      <w:r w:rsidR="00061B4C">
        <w:t>.</w:t>
      </w:r>
      <w:r>
        <w:t xml:space="preserve"> Summary of statewide public and private maternity hospital rates</w:t>
      </w:r>
    </w:p>
    <w:tbl>
      <w:tblPr>
        <w:tblStyle w:val="TableGrid"/>
        <w:tblW w:w="10062" w:type="dxa"/>
        <w:tblLook w:val="04A0" w:firstRow="1" w:lastRow="0" w:firstColumn="1" w:lastColumn="0" w:noHBand="0" w:noVBand="1"/>
      </w:tblPr>
      <w:tblGrid>
        <w:gridCol w:w="502"/>
        <w:gridCol w:w="3469"/>
        <w:gridCol w:w="992"/>
        <w:gridCol w:w="1022"/>
        <w:gridCol w:w="982"/>
        <w:gridCol w:w="982"/>
        <w:gridCol w:w="1075"/>
        <w:gridCol w:w="1038"/>
      </w:tblGrid>
      <w:tr w:rsidR="00C63AAA" w:rsidRPr="00BB5896" w14:paraId="5A80984D" w14:textId="77777777" w:rsidTr="008D61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gridSpan w:val="2"/>
          </w:tcPr>
          <w:p w14:paraId="389512A9" w14:textId="0AF58678" w:rsidR="002372B5" w:rsidRPr="00BB5896" w:rsidRDefault="002372B5" w:rsidP="003B4F97">
            <w:r w:rsidRPr="00BB5896">
              <w:t>Indicator</w:t>
            </w:r>
          </w:p>
        </w:tc>
        <w:tc>
          <w:tcPr>
            <w:tcW w:w="0" w:type="dxa"/>
          </w:tcPr>
          <w:p w14:paraId="49F9AD45" w14:textId="71F86787" w:rsidR="002372B5" w:rsidRPr="00BB5896" w:rsidRDefault="002372B5" w:rsidP="003B4F97">
            <w:pPr>
              <w:cnfStyle w:val="100000000000" w:firstRow="1" w:lastRow="0" w:firstColumn="0" w:lastColumn="0" w:oddVBand="0" w:evenVBand="0" w:oddHBand="0" w:evenHBand="0" w:firstRowFirstColumn="0" w:firstRowLastColumn="0" w:lastRowFirstColumn="0" w:lastRowLastColumn="0"/>
            </w:pPr>
            <w:r w:rsidRPr="00BB5896">
              <w:t>Statewide 2018</w:t>
            </w:r>
          </w:p>
        </w:tc>
        <w:tc>
          <w:tcPr>
            <w:tcW w:w="0" w:type="dxa"/>
            <w:tcBorders>
              <w:bottom w:val="nil"/>
            </w:tcBorders>
          </w:tcPr>
          <w:p w14:paraId="0A78FBAC" w14:textId="62D82F35" w:rsidR="002372B5" w:rsidRPr="008D6192" w:rsidRDefault="002372B5" w:rsidP="003B4F97">
            <w:pPr>
              <w:cnfStyle w:val="100000000000" w:firstRow="1" w:lastRow="0" w:firstColumn="0" w:lastColumn="0" w:oddVBand="0" w:evenVBand="0" w:oddHBand="0" w:evenHBand="0" w:firstRowFirstColumn="0" w:firstRowLastColumn="0" w:lastRowFirstColumn="0" w:lastRowLastColumn="0"/>
            </w:pPr>
            <w:r w:rsidRPr="00CE1539">
              <w:t>Statewide 2019</w:t>
            </w:r>
          </w:p>
        </w:tc>
        <w:tc>
          <w:tcPr>
            <w:tcW w:w="0" w:type="dxa"/>
          </w:tcPr>
          <w:p w14:paraId="5E5BB386" w14:textId="2B36BEBD" w:rsidR="002372B5" w:rsidRPr="00BB5896" w:rsidRDefault="002372B5" w:rsidP="003B4F97">
            <w:pPr>
              <w:cnfStyle w:val="100000000000" w:firstRow="1" w:lastRow="0" w:firstColumn="0" w:lastColumn="0" w:oddVBand="0" w:evenVBand="0" w:oddHBand="0" w:evenHBand="0" w:firstRowFirstColumn="0" w:firstRowLastColumn="0" w:lastRowFirstColumn="0" w:lastRowLastColumn="0"/>
            </w:pPr>
            <w:r w:rsidRPr="00BB5896">
              <w:t>Statewide public</w:t>
            </w:r>
          </w:p>
        </w:tc>
        <w:tc>
          <w:tcPr>
            <w:tcW w:w="0" w:type="dxa"/>
          </w:tcPr>
          <w:p w14:paraId="7F0304CD" w14:textId="6E40295B" w:rsidR="002372B5" w:rsidRPr="00BB5896" w:rsidRDefault="002372B5" w:rsidP="003B4F97">
            <w:pPr>
              <w:cnfStyle w:val="100000000000" w:firstRow="1" w:lastRow="0" w:firstColumn="0" w:lastColumn="0" w:oddVBand="0" w:evenVBand="0" w:oddHBand="0" w:evenHBand="0" w:firstRowFirstColumn="0" w:firstRowLastColumn="0" w:lastRowFirstColumn="0" w:lastRowLastColumn="0"/>
            </w:pPr>
            <w:r w:rsidRPr="00BB5896">
              <w:t>Statewide private</w:t>
            </w:r>
          </w:p>
        </w:tc>
        <w:tc>
          <w:tcPr>
            <w:tcW w:w="0" w:type="dxa"/>
          </w:tcPr>
          <w:p w14:paraId="31DC269B" w14:textId="2E7F79F3" w:rsidR="002372B5" w:rsidRPr="00BB5896" w:rsidRDefault="002372B5" w:rsidP="003B4F97">
            <w:pPr>
              <w:cnfStyle w:val="100000000000" w:firstRow="1" w:lastRow="0" w:firstColumn="0" w:lastColumn="0" w:oddVBand="0" w:evenVBand="0" w:oddHBand="0" w:evenHBand="0" w:firstRowFirstColumn="0" w:firstRowLastColumn="0" w:lastRowFirstColumn="0" w:lastRowLastColumn="0"/>
            </w:pPr>
            <w:r w:rsidRPr="00BB5896">
              <w:t>Least favourable quartile</w:t>
            </w:r>
          </w:p>
        </w:tc>
        <w:tc>
          <w:tcPr>
            <w:tcW w:w="0" w:type="dxa"/>
          </w:tcPr>
          <w:p w14:paraId="65C1E525" w14:textId="6B763CB6" w:rsidR="002372B5" w:rsidRPr="00BB5896" w:rsidRDefault="002372B5" w:rsidP="003B4F97">
            <w:pPr>
              <w:cnfStyle w:val="100000000000" w:firstRow="1" w:lastRow="0" w:firstColumn="0" w:lastColumn="0" w:oddVBand="0" w:evenVBand="0" w:oddHBand="0" w:evenHBand="0" w:firstRowFirstColumn="0" w:firstRowLastColumn="0" w:lastRowFirstColumn="0" w:lastRowLastColumn="0"/>
            </w:pPr>
            <w:r w:rsidRPr="00BB5896">
              <w:t>Most favourable quartile</w:t>
            </w:r>
          </w:p>
        </w:tc>
      </w:tr>
      <w:tr w:rsidR="002372B5" w:rsidRPr="00612C13" w14:paraId="7BCF4992"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125FB657" w14:textId="5C9BB026" w:rsidR="00480877" w:rsidRPr="00612C13" w:rsidRDefault="00480877" w:rsidP="003B4F97">
            <w:r w:rsidRPr="00612C13">
              <w:t>1a</w:t>
            </w:r>
          </w:p>
        </w:tc>
        <w:tc>
          <w:tcPr>
            <w:tcW w:w="3500" w:type="dxa"/>
          </w:tcPr>
          <w:p w14:paraId="7CE2DE73" w14:textId="5BC183E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induction of labour in standard primiparae</w:t>
            </w:r>
          </w:p>
        </w:tc>
        <w:tc>
          <w:tcPr>
            <w:tcW w:w="992" w:type="dxa"/>
          </w:tcPr>
          <w:p w14:paraId="267CE07C" w14:textId="29ED6C6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13.6%</w:t>
            </w:r>
          </w:p>
        </w:tc>
        <w:tc>
          <w:tcPr>
            <w:tcW w:w="1023" w:type="dxa"/>
            <w:tcBorders>
              <w:top w:val="nil"/>
            </w:tcBorders>
            <w:shd w:val="clear" w:color="auto" w:fill="D9D9D9" w:themeFill="background1" w:themeFillShade="D9"/>
          </w:tcPr>
          <w:p w14:paraId="1FBCAE85" w14:textId="1463F267"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17.3%</w:t>
            </w:r>
          </w:p>
        </w:tc>
        <w:tc>
          <w:tcPr>
            <w:tcW w:w="982" w:type="dxa"/>
          </w:tcPr>
          <w:p w14:paraId="247FE402" w14:textId="5957042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11.8%</w:t>
            </w:r>
          </w:p>
        </w:tc>
        <w:tc>
          <w:tcPr>
            <w:tcW w:w="982" w:type="dxa"/>
          </w:tcPr>
          <w:p w14:paraId="595AE356" w14:textId="7A462DF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26.5%</w:t>
            </w:r>
          </w:p>
        </w:tc>
        <w:tc>
          <w:tcPr>
            <w:tcW w:w="1076" w:type="dxa"/>
          </w:tcPr>
          <w:p w14:paraId="0ED04671" w14:textId="715F5877"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25.6%</w:t>
            </w:r>
          </w:p>
        </w:tc>
        <w:tc>
          <w:tcPr>
            <w:tcW w:w="1038" w:type="dxa"/>
          </w:tcPr>
          <w:p w14:paraId="672B1B9D" w14:textId="71D1BC5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11.1%</w:t>
            </w:r>
          </w:p>
        </w:tc>
      </w:tr>
      <w:tr w:rsidR="002372B5" w:rsidRPr="00612C13" w14:paraId="5A853068"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5A4669B0" w14:textId="1853DE9E" w:rsidR="00480877" w:rsidRPr="00612C13" w:rsidRDefault="00480877" w:rsidP="003B4F97">
            <w:r w:rsidRPr="00612C13">
              <w:t>1bi</w:t>
            </w:r>
          </w:p>
        </w:tc>
        <w:tc>
          <w:tcPr>
            <w:tcW w:w="3500" w:type="dxa"/>
          </w:tcPr>
          <w:p w14:paraId="5A516452" w14:textId="649009D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caesarean section in Robson group 1</w:t>
            </w:r>
          </w:p>
        </w:tc>
        <w:tc>
          <w:tcPr>
            <w:tcW w:w="992" w:type="dxa"/>
          </w:tcPr>
          <w:p w14:paraId="7F828064" w14:textId="04D78BE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16.7%</w:t>
            </w:r>
          </w:p>
        </w:tc>
        <w:tc>
          <w:tcPr>
            <w:tcW w:w="1023" w:type="dxa"/>
            <w:shd w:val="clear" w:color="auto" w:fill="D9D9D9" w:themeFill="background1" w:themeFillShade="D9"/>
          </w:tcPr>
          <w:p w14:paraId="4C847E07" w14:textId="5C1DDE6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18.0%</w:t>
            </w:r>
          </w:p>
        </w:tc>
        <w:tc>
          <w:tcPr>
            <w:tcW w:w="982" w:type="dxa"/>
          </w:tcPr>
          <w:p w14:paraId="11E3BC92" w14:textId="00E8E617"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16.9%</w:t>
            </w:r>
          </w:p>
        </w:tc>
        <w:tc>
          <w:tcPr>
            <w:tcW w:w="982" w:type="dxa"/>
          </w:tcPr>
          <w:p w14:paraId="68C5E156" w14:textId="01CFB256"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22.0%</w:t>
            </w:r>
          </w:p>
        </w:tc>
        <w:tc>
          <w:tcPr>
            <w:tcW w:w="1076" w:type="dxa"/>
          </w:tcPr>
          <w:p w14:paraId="0A629835" w14:textId="17F946A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23.7%</w:t>
            </w:r>
          </w:p>
        </w:tc>
        <w:tc>
          <w:tcPr>
            <w:tcW w:w="1038" w:type="dxa"/>
          </w:tcPr>
          <w:p w14:paraId="0375D551" w14:textId="5117C5CC"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14.6%</w:t>
            </w:r>
          </w:p>
        </w:tc>
      </w:tr>
      <w:tr w:rsidR="002372B5" w:rsidRPr="00612C13" w14:paraId="3BACE8EE"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429EF786" w14:textId="63127517" w:rsidR="00480877" w:rsidRPr="00612C13" w:rsidRDefault="00480877" w:rsidP="003B4F97">
            <w:r w:rsidRPr="00612C13">
              <w:t>1bii</w:t>
            </w:r>
          </w:p>
        </w:tc>
        <w:tc>
          <w:tcPr>
            <w:tcW w:w="3500" w:type="dxa"/>
          </w:tcPr>
          <w:p w14:paraId="678A9F2D" w14:textId="5622DBBB"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caesarean section in modified Robson group 2</w:t>
            </w:r>
          </w:p>
        </w:tc>
        <w:tc>
          <w:tcPr>
            <w:tcW w:w="992" w:type="dxa"/>
          </w:tcPr>
          <w:p w14:paraId="4C0976D6" w14:textId="12546FC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30.6%</w:t>
            </w:r>
          </w:p>
        </w:tc>
        <w:tc>
          <w:tcPr>
            <w:tcW w:w="1023" w:type="dxa"/>
            <w:shd w:val="clear" w:color="auto" w:fill="D9D9D9" w:themeFill="background1" w:themeFillShade="D9"/>
          </w:tcPr>
          <w:p w14:paraId="2220C264" w14:textId="4C4FD1EB"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31.6%</w:t>
            </w:r>
          </w:p>
        </w:tc>
        <w:tc>
          <w:tcPr>
            <w:tcW w:w="982" w:type="dxa"/>
          </w:tcPr>
          <w:p w14:paraId="5DCE3737" w14:textId="2D3514E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31.2%</w:t>
            </w:r>
          </w:p>
        </w:tc>
        <w:tc>
          <w:tcPr>
            <w:tcW w:w="982" w:type="dxa"/>
          </w:tcPr>
          <w:p w14:paraId="4B291E5C" w14:textId="6870281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33.2%</w:t>
            </w:r>
          </w:p>
        </w:tc>
        <w:tc>
          <w:tcPr>
            <w:tcW w:w="1076" w:type="dxa"/>
          </w:tcPr>
          <w:p w14:paraId="037E800C" w14:textId="31BF582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40.4%</w:t>
            </w:r>
          </w:p>
        </w:tc>
        <w:tc>
          <w:tcPr>
            <w:tcW w:w="1038" w:type="dxa"/>
          </w:tcPr>
          <w:p w14:paraId="270310EC" w14:textId="14A5501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29.2%</w:t>
            </w:r>
          </w:p>
        </w:tc>
      </w:tr>
      <w:tr w:rsidR="002372B5" w:rsidRPr="00612C13" w14:paraId="0081A104"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7370B8F7" w14:textId="5BB00D97" w:rsidR="00480877" w:rsidRPr="00612C13" w:rsidRDefault="00480877" w:rsidP="003B4F97">
            <w:r w:rsidRPr="00612C13">
              <w:t>1ci</w:t>
            </w:r>
          </w:p>
        </w:tc>
        <w:tc>
          <w:tcPr>
            <w:tcW w:w="3500" w:type="dxa"/>
          </w:tcPr>
          <w:p w14:paraId="4674D903" w14:textId="0C064C33"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third and fourth-degree perineal tears during unassisted vaginal births to primiparae</w:t>
            </w:r>
          </w:p>
        </w:tc>
        <w:tc>
          <w:tcPr>
            <w:tcW w:w="992" w:type="dxa"/>
          </w:tcPr>
          <w:p w14:paraId="0BB6168B" w14:textId="68A5FB0B"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3.8%</w:t>
            </w:r>
          </w:p>
        </w:tc>
        <w:tc>
          <w:tcPr>
            <w:tcW w:w="1023" w:type="dxa"/>
            <w:shd w:val="clear" w:color="auto" w:fill="D9D9D9" w:themeFill="background1" w:themeFillShade="D9"/>
          </w:tcPr>
          <w:p w14:paraId="638B8CCA" w14:textId="429CCFE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4.2%</w:t>
            </w:r>
          </w:p>
        </w:tc>
        <w:tc>
          <w:tcPr>
            <w:tcW w:w="982" w:type="dxa"/>
          </w:tcPr>
          <w:p w14:paraId="7BA5075B" w14:textId="14DFC06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4.7%</w:t>
            </w:r>
          </w:p>
        </w:tc>
        <w:tc>
          <w:tcPr>
            <w:tcW w:w="982" w:type="dxa"/>
          </w:tcPr>
          <w:p w14:paraId="0518366F" w14:textId="66E43AAD"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1.4%</w:t>
            </w:r>
          </w:p>
        </w:tc>
        <w:tc>
          <w:tcPr>
            <w:tcW w:w="1076" w:type="dxa"/>
          </w:tcPr>
          <w:p w14:paraId="0CECE3EB" w14:textId="5CABFF33"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5.6%</w:t>
            </w:r>
          </w:p>
        </w:tc>
        <w:tc>
          <w:tcPr>
            <w:tcW w:w="1038" w:type="dxa"/>
          </w:tcPr>
          <w:p w14:paraId="76F06C8F" w14:textId="4D6A2723"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1.2%</w:t>
            </w:r>
          </w:p>
        </w:tc>
      </w:tr>
      <w:tr w:rsidR="002372B5" w:rsidRPr="00612C13" w14:paraId="1DCE0848"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080ABBB2" w14:textId="690D6D6A" w:rsidR="00480877" w:rsidRPr="00612C13" w:rsidRDefault="00480877" w:rsidP="003B4F97">
            <w:r w:rsidRPr="00612C13">
              <w:t>1cii</w:t>
            </w:r>
          </w:p>
        </w:tc>
        <w:tc>
          <w:tcPr>
            <w:tcW w:w="3500" w:type="dxa"/>
          </w:tcPr>
          <w:p w14:paraId="1ECF59B5" w14:textId="432B584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third and fourth-degree perineal tears during assisted vaginal births to primiparae</w:t>
            </w:r>
          </w:p>
        </w:tc>
        <w:tc>
          <w:tcPr>
            <w:tcW w:w="992" w:type="dxa"/>
          </w:tcPr>
          <w:p w14:paraId="13B14305" w14:textId="70E623F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5.0%</w:t>
            </w:r>
          </w:p>
        </w:tc>
        <w:tc>
          <w:tcPr>
            <w:tcW w:w="1023" w:type="dxa"/>
            <w:shd w:val="clear" w:color="auto" w:fill="D9D9D9" w:themeFill="background1" w:themeFillShade="D9"/>
          </w:tcPr>
          <w:p w14:paraId="1264D2E0" w14:textId="47FE667D"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5.6%</w:t>
            </w:r>
          </w:p>
        </w:tc>
        <w:tc>
          <w:tcPr>
            <w:tcW w:w="982" w:type="dxa"/>
          </w:tcPr>
          <w:p w14:paraId="40FA921C" w14:textId="05AEA64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6.5%</w:t>
            </w:r>
          </w:p>
        </w:tc>
        <w:tc>
          <w:tcPr>
            <w:tcW w:w="982" w:type="dxa"/>
          </w:tcPr>
          <w:p w14:paraId="67C41D3D" w14:textId="182C9AC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2.8%</w:t>
            </w:r>
          </w:p>
        </w:tc>
        <w:tc>
          <w:tcPr>
            <w:tcW w:w="1076" w:type="dxa"/>
          </w:tcPr>
          <w:p w14:paraId="69A2A63E" w14:textId="023985C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7.4%</w:t>
            </w:r>
          </w:p>
        </w:tc>
        <w:tc>
          <w:tcPr>
            <w:tcW w:w="1038" w:type="dxa"/>
          </w:tcPr>
          <w:p w14:paraId="1FD086BF" w14:textId="73CCF3F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2.6%</w:t>
            </w:r>
          </w:p>
        </w:tc>
      </w:tr>
      <w:tr w:rsidR="002372B5" w:rsidRPr="00612C13" w14:paraId="0523B874"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04208328" w14:textId="22A18556" w:rsidR="00480877" w:rsidRPr="00612C13" w:rsidRDefault="00480877" w:rsidP="003B4F97">
            <w:r w:rsidRPr="00612C13">
              <w:t>2</w:t>
            </w:r>
          </w:p>
        </w:tc>
        <w:tc>
          <w:tcPr>
            <w:tcW w:w="3500" w:type="dxa"/>
          </w:tcPr>
          <w:p w14:paraId="6E545691" w14:textId="2984F4D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term babies without congenital anomalies who required additional care</w:t>
            </w:r>
            <w:r w:rsidRPr="00612C13">
              <w:rPr>
                <w:vertAlign w:val="superscript"/>
              </w:rPr>
              <w:t>*</w:t>
            </w:r>
            <w:r w:rsidRPr="00612C13">
              <w:rPr>
                <w:lang w:val="en-GB"/>
              </w:rPr>
              <w:t>†</w:t>
            </w:r>
          </w:p>
        </w:tc>
        <w:tc>
          <w:tcPr>
            <w:tcW w:w="992" w:type="dxa"/>
          </w:tcPr>
          <w:p w14:paraId="3489EBFE" w14:textId="6CB158E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23" w:type="dxa"/>
            <w:shd w:val="clear" w:color="auto" w:fill="D9D9D9" w:themeFill="background1" w:themeFillShade="D9"/>
          </w:tcPr>
          <w:p w14:paraId="2A2F37BB" w14:textId="6AABB73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8.1%</w:t>
            </w:r>
          </w:p>
        </w:tc>
        <w:tc>
          <w:tcPr>
            <w:tcW w:w="982" w:type="dxa"/>
          </w:tcPr>
          <w:p w14:paraId="7079CD35" w14:textId="58A055AD"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8.1%</w:t>
            </w:r>
          </w:p>
        </w:tc>
        <w:tc>
          <w:tcPr>
            <w:tcW w:w="982" w:type="dxa"/>
          </w:tcPr>
          <w:p w14:paraId="0BC26703" w14:textId="1A03BD7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76" w:type="dxa"/>
          </w:tcPr>
          <w:p w14:paraId="3BF6A233" w14:textId="1C8956F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9.4%</w:t>
            </w:r>
          </w:p>
        </w:tc>
        <w:tc>
          <w:tcPr>
            <w:tcW w:w="1038" w:type="dxa"/>
          </w:tcPr>
          <w:p w14:paraId="7FB95CA2" w14:textId="5BDA843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3.5%</w:t>
            </w:r>
          </w:p>
        </w:tc>
      </w:tr>
      <w:tr w:rsidR="002372B5" w:rsidRPr="00612C13" w14:paraId="07B24E53"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4667E885" w14:textId="527CE644" w:rsidR="00480877" w:rsidRPr="00612C13" w:rsidRDefault="00480877" w:rsidP="003B4F97">
            <w:r w:rsidRPr="00612C13">
              <w:t>3</w:t>
            </w:r>
          </w:p>
        </w:tc>
        <w:tc>
          <w:tcPr>
            <w:tcW w:w="3500" w:type="dxa"/>
          </w:tcPr>
          <w:p w14:paraId="1B5020DE" w14:textId="1C9AB07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 xml:space="preserve">Rate of severe fetal growth restriction in a singleton pregnancy undelivered by 40 weeks </w:t>
            </w:r>
          </w:p>
        </w:tc>
        <w:tc>
          <w:tcPr>
            <w:tcW w:w="992" w:type="dxa"/>
          </w:tcPr>
          <w:p w14:paraId="6C09A35C" w14:textId="756FD4E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24.3%</w:t>
            </w:r>
          </w:p>
        </w:tc>
        <w:tc>
          <w:tcPr>
            <w:tcW w:w="1023" w:type="dxa"/>
            <w:shd w:val="clear" w:color="auto" w:fill="D9D9D9" w:themeFill="background1" w:themeFillShade="D9"/>
          </w:tcPr>
          <w:p w14:paraId="48CD01E6" w14:textId="5E47E42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23.0%</w:t>
            </w:r>
          </w:p>
        </w:tc>
        <w:tc>
          <w:tcPr>
            <w:tcW w:w="982" w:type="dxa"/>
          </w:tcPr>
          <w:p w14:paraId="7BCEA998" w14:textId="0707BF0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22.1%</w:t>
            </w:r>
          </w:p>
        </w:tc>
        <w:tc>
          <w:tcPr>
            <w:tcW w:w="982" w:type="dxa"/>
          </w:tcPr>
          <w:p w14:paraId="424D32A4" w14:textId="4F3723E3"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26.4%</w:t>
            </w:r>
          </w:p>
        </w:tc>
        <w:tc>
          <w:tcPr>
            <w:tcW w:w="1076" w:type="dxa"/>
          </w:tcPr>
          <w:p w14:paraId="269C9253" w14:textId="1168A0D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27.3%</w:t>
            </w:r>
          </w:p>
        </w:tc>
        <w:tc>
          <w:tcPr>
            <w:tcW w:w="1038" w:type="dxa"/>
          </w:tcPr>
          <w:p w14:paraId="5FA63E56" w14:textId="75EF4F17"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17.6%</w:t>
            </w:r>
          </w:p>
        </w:tc>
      </w:tr>
      <w:tr w:rsidR="002372B5" w:rsidRPr="00612C13" w14:paraId="796DAFA9"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576D46FA" w14:textId="59D62AC5" w:rsidR="00480877" w:rsidRPr="00612C13" w:rsidRDefault="00480877" w:rsidP="003B4F97">
            <w:r w:rsidRPr="00612C13">
              <w:t>5</w:t>
            </w:r>
          </w:p>
        </w:tc>
        <w:tc>
          <w:tcPr>
            <w:tcW w:w="3500" w:type="dxa"/>
          </w:tcPr>
          <w:p w14:paraId="1648D896" w14:textId="4B655A3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Five-year gestation standardised perinatal mortality ratio (GSPMR) for babies born at</w:t>
            </w:r>
            <w:r w:rsidR="008D6192">
              <w:br/>
            </w:r>
            <w:r w:rsidRPr="00612C13">
              <w:rPr>
                <w:rFonts w:hint="eastAsia"/>
              </w:rPr>
              <w:t>≥</w:t>
            </w:r>
            <w:r w:rsidRPr="00612C13">
              <w:t xml:space="preserve"> 32 weeks</w:t>
            </w:r>
          </w:p>
        </w:tc>
        <w:tc>
          <w:tcPr>
            <w:tcW w:w="992" w:type="dxa"/>
          </w:tcPr>
          <w:p w14:paraId="03A9BE53" w14:textId="4439111C"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1.0</w:t>
            </w:r>
          </w:p>
        </w:tc>
        <w:tc>
          <w:tcPr>
            <w:tcW w:w="1023" w:type="dxa"/>
            <w:shd w:val="clear" w:color="auto" w:fill="D9D9D9" w:themeFill="background1" w:themeFillShade="D9"/>
          </w:tcPr>
          <w:p w14:paraId="21F722BD" w14:textId="5C52461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1.0</w:t>
            </w:r>
          </w:p>
        </w:tc>
        <w:tc>
          <w:tcPr>
            <w:tcW w:w="982" w:type="dxa"/>
          </w:tcPr>
          <w:p w14:paraId="20FC630F" w14:textId="5B59032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982" w:type="dxa"/>
          </w:tcPr>
          <w:p w14:paraId="0D710B59" w14:textId="00D9EA1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76" w:type="dxa"/>
          </w:tcPr>
          <w:p w14:paraId="44CD0117" w14:textId="42F6842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38" w:type="dxa"/>
          </w:tcPr>
          <w:p w14:paraId="07AFAC32" w14:textId="063848B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r>
      <w:tr w:rsidR="002372B5" w:rsidRPr="00612C13" w14:paraId="59B6D4DB"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3CE657E5" w14:textId="1C32D71F" w:rsidR="00480877" w:rsidRPr="00612C13" w:rsidRDefault="00480877" w:rsidP="003B4F97">
            <w:r w:rsidRPr="00612C13">
              <w:t>6a</w:t>
            </w:r>
          </w:p>
        </w:tc>
        <w:tc>
          <w:tcPr>
            <w:tcW w:w="3500" w:type="dxa"/>
          </w:tcPr>
          <w:p w14:paraId="6BC6B744" w14:textId="6573775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maternal readmissions during the postnatal period</w:t>
            </w:r>
            <w:r w:rsidRPr="00612C13">
              <w:rPr>
                <w:lang w:val="en-GB"/>
              </w:rPr>
              <w:t>†</w:t>
            </w:r>
          </w:p>
        </w:tc>
        <w:tc>
          <w:tcPr>
            <w:tcW w:w="992" w:type="dxa"/>
          </w:tcPr>
          <w:p w14:paraId="4171AC0E" w14:textId="19B5E52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2.6%</w:t>
            </w:r>
          </w:p>
        </w:tc>
        <w:tc>
          <w:tcPr>
            <w:tcW w:w="1023" w:type="dxa"/>
            <w:shd w:val="clear" w:color="auto" w:fill="D9D9D9" w:themeFill="background1" w:themeFillShade="D9"/>
          </w:tcPr>
          <w:p w14:paraId="40E274C5" w14:textId="7223D00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2.3%</w:t>
            </w:r>
          </w:p>
        </w:tc>
        <w:tc>
          <w:tcPr>
            <w:tcW w:w="982" w:type="dxa"/>
          </w:tcPr>
          <w:p w14:paraId="4AA681AF" w14:textId="62F03006"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2.4%</w:t>
            </w:r>
          </w:p>
        </w:tc>
        <w:tc>
          <w:tcPr>
            <w:tcW w:w="982" w:type="dxa"/>
          </w:tcPr>
          <w:p w14:paraId="70C9E16D" w14:textId="336F38B6"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1.7%</w:t>
            </w:r>
          </w:p>
        </w:tc>
        <w:tc>
          <w:tcPr>
            <w:tcW w:w="1076" w:type="dxa"/>
          </w:tcPr>
          <w:p w14:paraId="0BD9FE0C" w14:textId="4CDF727C"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38" w:type="dxa"/>
          </w:tcPr>
          <w:p w14:paraId="44F3D81E" w14:textId="3337ED1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r>
      <w:tr w:rsidR="002372B5" w:rsidRPr="00612C13" w14:paraId="5AF92A0F"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5078CB07" w14:textId="3AA359CE" w:rsidR="00480877" w:rsidRPr="00612C13" w:rsidRDefault="00480877" w:rsidP="003B4F97">
            <w:r w:rsidRPr="00612C13">
              <w:t>6b</w:t>
            </w:r>
          </w:p>
        </w:tc>
        <w:tc>
          <w:tcPr>
            <w:tcW w:w="3500" w:type="dxa"/>
          </w:tcPr>
          <w:p w14:paraId="4511A9BA" w14:textId="27B91A0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newborn readmissions during the postnatal period</w:t>
            </w:r>
            <w:r w:rsidRPr="00612C13">
              <w:rPr>
                <w:lang w:val="en-GB"/>
              </w:rPr>
              <w:t>*†</w:t>
            </w:r>
          </w:p>
        </w:tc>
        <w:tc>
          <w:tcPr>
            <w:tcW w:w="992" w:type="dxa"/>
          </w:tcPr>
          <w:p w14:paraId="51A92AC6" w14:textId="0328C22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23" w:type="dxa"/>
            <w:shd w:val="clear" w:color="auto" w:fill="D9D9D9" w:themeFill="background1" w:themeFillShade="D9"/>
          </w:tcPr>
          <w:p w14:paraId="61DABE7A" w14:textId="4DAE42A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4.1%</w:t>
            </w:r>
          </w:p>
        </w:tc>
        <w:tc>
          <w:tcPr>
            <w:tcW w:w="982" w:type="dxa"/>
          </w:tcPr>
          <w:p w14:paraId="1FCA3247" w14:textId="3140597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4.1%</w:t>
            </w:r>
          </w:p>
        </w:tc>
        <w:tc>
          <w:tcPr>
            <w:tcW w:w="982" w:type="dxa"/>
          </w:tcPr>
          <w:p w14:paraId="2AF78D1C" w14:textId="0CB3FAD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76" w:type="dxa"/>
          </w:tcPr>
          <w:p w14:paraId="75ED314D" w14:textId="6FAA4206"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38" w:type="dxa"/>
          </w:tcPr>
          <w:p w14:paraId="278957C7" w14:textId="71B3C40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r>
      <w:tr w:rsidR="002372B5" w:rsidRPr="00612C13" w14:paraId="22CEA748"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06C8095C" w14:textId="2DF4335A" w:rsidR="00480877" w:rsidRPr="00612C13" w:rsidRDefault="00480877" w:rsidP="003B4F97">
            <w:r w:rsidRPr="00612C13">
              <w:t>7</w:t>
            </w:r>
          </w:p>
        </w:tc>
        <w:tc>
          <w:tcPr>
            <w:tcW w:w="3500" w:type="dxa"/>
          </w:tcPr>
          <w:p w14:paraId="431BCC9D" w14:textId="0C62C87C"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smoking cessation during pregnancy</w:t>
            </w:r>
          </w:p>
        </w:tc>
        <w:tc>
          <w:tcPr>
            <w:tcW w:w="992" w:type="dxa"/>
          </w:tcPr>
          <w:p w14:paraId="1C8573BC" w14:textId="44B1E6C8"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28.0%</w:t>
            </w:r>
          </w:p>
        </w:tc>
        <w:tc>
          <w:tcPr>
            <w:tcW w:w="1023" w:type="dxa"/>
            <w:shd w:val="clear" w:color="auto" w:fill="D9D9D9" w:themeFill="background1" w:themeFillShade="D9"/>
          </w:tcPr>
          <w:p w14:paraId="46B5BED3" w14:textId="77EF672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28.0%</w:t>
            </w:r>
          </w:p>
        </w:tc>
        <w:tc>
          <w:tcPr>
            <w:tcW w:w="982" w:type="dxa"/>
          </w:tcPr>
          <w:p w14:paraId="45668217" w14:textId="36558E4D"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26.8%</w:t>
            </w:r>
          </w:p>
        </w:tc>
        <w:tc>
          <w:tcPr>
            <w:tcW w:w="982" w:type="dxa"/>
          </w:tcPr>
          <w:p w14:paraId="0899733E" w14:textId="0B40E3F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59.3%</w:t>
            </w:r>
          </w:p>
        </w:tc>
        <w:tc>
          <w:tcPr>
            <w:tcW w:w="1076" w:type="dxa"/>
          </w:tcPr>
          <w:p w14:paraId="01E6BE8F" w14:textId="537517F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12.5%</w:t>
            </w:r>
          </w:p>
        </w:tc>
        <w:tc>
          <w:tcPr>
            <w:tcW w:w="1038" w:type="dxa"/>
          </w:tcPr>
          <w:p w14:paraId="0C292DCC" w14:textId="4E26791D"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35.1%</w:t>
            </w:r>
          </w:p>
        </w:tc>
      </w:tr>
      <w:tr w:rsidR="002372B5" w:rsidRPr="00612C13" w14:paraId="7C438E75"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0D089105" w14:textId="5E43CFA8" w:rsidR="00480877" w:rsidRPr="00612C13" w:rsidRDefault="00480877" w:rsidP="003B4F97">
            <w:r w:rsidRPr="00612C13">
              <w:t>10</w:t>
            </w:r>
          </w:p>
        </w:tc>
        <w:tc>
          <w:tcPr>
            <w:tcW w:w="3500" w:type="dxa"/>
          </w:tcPr>
          <w:p w14:paraId="1CB03593" w14:textId="6A8240FC"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term babies without congenital anomalies with an Apgar score &lt; 7 at five minutes</w:t>
            </w:r>
          </w:p>
        </w:tc>
        <w:tc>
          <w:tcPr>
            <w:tcW w:w="992" w:type="dxa"/>
          </w:tcPr>
          <w:p w14:paraId="2F040A31" w14:textId="22040566"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1.3%</w:t>
            </w:r>
          </w:p>
        </w:tc>
        <w:tc>
          <w:tcPr>
            <w:tcW w:w="1023" w:type="dxa"/>
            <w:shd w:val="clear" w:color="auto" w:fill="D9D9D9" w:themeFill="background1" w:themeFillShade="D9"/>
          </w:tcPr>
          <w:p w14:paraId="4907BFB5" w14:textId="0F4FEB9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1.3%</w:t>
            </w:r>
          </w:p>
        </w:tc>
        <w:tc>
          <w:tcPr>
            <w:tcW w:w="982" w:type="dxa"/>
          </w:tcPr>
          <w:p w14:paraId="49526EA7" w14:textId="080D583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1.3%</w:t>
            </w:r>
          </w:p>
        </w:tc>
        <w:tc>
          <w:tcPr>
            <w:tcW w:w="982" w:type="dxa"/>
          </w:tcPr>
          <w:p w14:paraId="7A6BC5B8" w14:textId="02FE32D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1.0%</w:t>
            </w:r>
          </w:p>
        </w:tc>
        <w:tc>
          <w:tcPr>
            <w:tcW w:w="1076" w:type="dxa"/>
          </w:tcPr>
          <w:p w14:paraId="138D27DF" w14:textId="6CF0209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1.8%</w:t>
            </w:r>
          </w:p>
        </w:tc>
        <w:tc>
          <w:tcPr>
            <w:tcW w:w="1038" w:type="dxa"/>
          </w:tcPr>
          <w:p w14:paraId="293F4B96" w14:textId="531E2DB3"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0.9%</w:t>
            </w:r>
          </w:p>
        </w:tc>
      </w:tr>
      <w:tr w:rsidR="002372B5" w:rsidRPr="00612C13" w14:paraId="75491719"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76F907A9" w14:textId="14DFCA03" w:rsidR="00480877" w:rsidRPr="00612C13" w:rsidRDefault="00480877" w:rsidP="003B4F97">
            <w:r w:rsidRPr="00612C13">
              <w:t>11a</w:t>
            </w:r>
          </w:p>
        </w:tc>
        <w:tc>
          <w:tcPr>
            <w:tcW w:w="3500" w:type="dxa"/>
          </w:tcPr>
          <w:p w14:paraId="4AA7C545" w14:textId="6855899D"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women who felt involved, as much as they wanted to be, in decisions about their care during labour and birth</w:t>
            </w:r>
            <w:r w:rsidRPr="00612C13">
              <w:rPr>
                <w:lang w:val="en-GB"/>
              </w:rPr>
              <w:t>*</w:t>
            </w:r>
          </w:p>
        </w:tc>
        <w:tc>
          <w:tcPr>
            <w:tcW w:w="992" w:type="dxa"/>
          </w:tcPr>
          <w:p w14:paraId="2147D10B" w14:textId="348D328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23" w:type="dxa"/>
            <w:shd w:val="clear" w:color="auto" w:fill="D9D9D9" w:themeFill="background1" w:themeFillShade="D9"/>
          </w:tcPr>
          <w:p w14:paraId="5B2B58D4" w14:textId="27D89E3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982" w:type="dxa"/>
          </w:tcPr>
          <w:p w14:paraId="28FBA1F2" w14:textId="3C39914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80.0%</w:t>
            </w:r>
          </w:p>
        </w:tc>
        <w:tc>
          <w:tcPr>
            <w:tcW w:w="982" w:type="dxa"/>
          </w:tcPr>
          <w:p w14:paraId="58808E17" w14:textId="0786EB3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76" w:type="dxa"/>
          </w:tcPr>
          <w:p w14:paraId="56D7E5A4" w14:textId="5DFB87E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38" w:type="dxa"/>
          </w:tcPr>
          <w:p w14:paraId="3391A3E3" w14:textId="159AB09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r>
      <w:tr w:rsidR="002372B5" w:rsidRPr="00612C13" w14:paraId="349FE896"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15AEA3DF" w14:textId="69E824B6" w:rsidR="00480877" w:rsidRPr="00612C13" w:rsidRDefault="00480877" w:rsidP="003B4F97">
            <w:r w:rsidRPr="00612C13">
              <w:t>11b</w:t>
            </w:r>
          </w:p>
        </w:tc>
        <w:tc>
          <w:tcPr>
            <w:tcW w:w="3500" w:type="dxa"/>
          </w:tcPr>
          <w:p w14:paraId="67D15C61" w14:textId="09D556B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women who felt that midwives and other health professionals gave them consistent advice about feeding their baby</w:t>
            </w:r>
            <w:r w:rsidRPr="00612C13">
              <w:rPr>
                <w:lang w:val="en-GB"/>
              </w:rPr>
              <w:t>*</w:t>
            </w:r>
          </w:p>
        </w:tc>
        <w:tc>
          <w:tcPr>
            <w:tcW w:w="992" w:type="dxa"/>
          </w:tcPr>
          <w:p w14:paraId="65D1E22F" w14:textId="586CD3AB"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23" w:type="dxa"/>
            <w:shd w:val="clear" w:color="auto" w:fill="D9D9D9" w:themeFill="background1" w:themeFillShade="D9"/>
          </w:tcPr>
          <w:p w14:paraId="3FDF02F6" w14:textId="6201268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982" w:type="dxa"/>
          </w:tcPr>
          <w:p w14:paraId="698161B2" w14:textId="612F0578"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47.2%</w:t>
            </w:r>
          </w:p>
        </w:tc>
        <w:tc>
          <w:tcPr>
            <w:tcW w:w="982" w:type="dxa"/>
          </w:tcPr>
          <w:p w14:paraId="238DCAB3" w14:textId="63F1A7E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76" w:type="dxa"/>
          </w:tcPr>
          <w:p w14:paraId="11A5F11F" w14:textId="48C43F69"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c>
          <w:tcPr>
            <w:tcW w:w="1038" w:type="dxa"/>
          </w:tcPr>
          <w:p w14:paraId="261FFFAA" w14:textId="2BC172D7"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NA</w:t>
            </w:r>
          </w:p>
        </w:tc>
      </w:tr>
      <w:tr w:rsidR="002372B5" w:rsidRPr="00612C13" w14:paraId="790A3B1A"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0ED7A74E" w14:textId="0347662A" w:rsidR="00480877" w:rsidRPr="00612C13" w:rsidRDefault="00480877" w:rsidP="003B4F97">
            <w:r w:rsidRPr="00612C13">
              <w:t>12b</w:t>
            </w:r>
          </w:p>
        </w:tc>
        <w:tc>
          <w:tcPr>
            <w:tcW w:w="3500" w:type="dxa"/>
          </w:tcPr>
          <w:p w14:paraId="023A0C91" w14:textId="6527107A"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women vaccinated for influenza during pregnancy</w:t>
            </w:r>
          </w:p>
        </w:tc>
        <w:tc>
          <w:tcPr>
            <w:tcW w:w="992" w:type="dxa"/>
          </w:tcPr>
          <w:p w14:paraId="0800D71E" w14:textId="26B0138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67.1%</w:t>
            </w:r>
          </w:p>
        </w:tc>
        <w:tc>
          <w:tcPr>
            <w:tcW w:w="1023" w:type="dxa"/>
            <w:shd w:val="clear" w:color="auto" w:fill="D9D9D9" w:themeFill="background1" w:themeFillShade="D9"/>
          </w:tcPr>
          <w:p w14:paraId="23495579" w14:textId="4BE91E0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74.6%</w:t>
            </w:r>
          </w:p>
        </w:tc>
        <w:tc>
          <w:tcPr>
            <w:tcW w:w="982" w:type="dxa"/>
          </w:tcPr>
          <w:p w14:paraId="4F60B693" w14:textId="49317DB5"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75.8%</w:t>
            </w:r>
          </w:p>
        </w:tc>
        <w:tc>
          <w:tcPr>
            <w:tcW w:w="982" w:type="dxa"/>
          </w:tcPr>
          <w:p w14:paraId="4C48F5C3" w14:textId="0AB06512"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70.9%</w:t>
            </w:r>
          </w:p>
        </w:tc>
        <w:tc>
          <w:tcPr>
            <w:tcW w:w="1076" w:type="dxa"/>
          </w:tcPr>
          <w:p w14:paraId="26091F98" w14:textId="2C220EA0"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71.1%</w:t>
            </w:r>
          </w:p>
        </w:tc>
        <w:tc>
          <w:tcPr>
            <w:tcW w:w="1038" w:type="dxa"/>
          </w:tcPr>
          <w:p w14:paraId="470DD752" w14:textId="3197D49C"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80.5%</w:t>
            </w:r>
          </w:p>
        </w:tc>
      </w:tr>
      <w:tr w:rsidR="002372B5" w:rsidRPr="00612C13" w14:paraId="3FC0EDC6" w14:textId="77777777" w:rsidTr="00090D39">
        <w:tc>
          <w:tcPr>
            <w:cnfStyle w:val="001000000000" w:firstRow="0" w:lastRow="0" w:firstColumn="1" w:lastColumn="0" w:oddVBand="0" w:evenVBand="0" w:oddHBand="0" w:evenHBand="0" w:firstRowFirstColumn="0" w:firstRowLastColumn="0" w:lastRowFirstColumn="0" w:lastRowLastColumn="0"/>
            <w:tcW w:w="469" w:type="dxa"/>
          </w:tcPr>
          <w:p w14:paraId="326096CA" w14:textId="0624739A" w:rsidR="00480877" w:rsidRPr="00612C13" w:rsidRDefault="00480877" w:rsidP="003B4F97">
            <w:r w:rsidRPr="00612C13">
              <w:t>13</w:t>
            </w:r>
          </w:p>
        </w:tc>
        <w:tc>
          <w:tcPr>
            <w:tcW w:w="3500" w:type="dxa"/>
          </w:tcPr>
          <w:p w14:paraId="3E859F78" w14:textId="3F73944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Rate of women with severe postpartum haemorrhage</w:t>
            </w:r>
          </w:p>
        </w:tc>
        <w:tc>
          <w:tcPr>
            <w:tcW w:w="992" w:type="dxa"/>
          </w:tcPr>
          <w:p w14:paraId="2743A180" w14:textId="500BCCD1"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2.2%</w:t>
            </w:r>
          </w:p>
        </w:tc>
        <w:tc>
          <w:tcPr>
            <w:tcW w:w="1023" w:type="dxa"/>
            <w:shd w:val="clear" w:color="auto" w:fill="D9D9D9" w:themeFill="background1" w:themeFillShade="D9"/>
          </w:tcPr>
          <w:p w14:paraId="68977C58" w14:textId="6FBD5F24"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2.5%</w:t>
            </w:r>
          </w:p>
        </w:tc>
        <w:tc>
          <w:tcPr>
            <w:tcW w:w="982" w:type="dxa"/>
          </w:tcPr>
          <w:p w14:paraId="168A3BCD" w14:textId="4EF7D386"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2.9%</w:t>
            </w:r>
          </w:p>
        </w:tc>
        <w:tc>
          <w:tcPr>
            <w:tcW w:w="982" w:type="dxa"/>
          </w:tcPr>
          <w:p w14:paraId="5024D64D" w14:textId="147AA7CE"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0.9%</w:t>
            </w:r>
          </w:p>
        </w:tc>
        <w:tc>
          <w:tcPr>
            <w:tcW w:w="1076" w:type="dxa"/>
          </w:tcPr>
          <w:p w14:paraId="303E35F8" w14:textId="4084416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3.0%</w:t>
            </w:r>
          </w:p>
        </w:tc>
        <w:tc>
          <w:tcPr>
            <w:tcW w:w="1038" w:type="dxa"/>
          </w:tcPr>
          <w:p w14:paraId="5DA93772" w14:textId="2CCF109F" w:rsidR="00480877" w:rsidRPr="00612C13" w:rsidRDefault="00480877" w:rsidP="003B4F97">
            <w:pPr>
              <w:cnfStyle w:val="000000000000" w:firstRow="0" w:lastRow="0" w:firstColumn="0" w:lastColumn="0" w:oddVBand="0" w:evenVBand="0" w:oddHBand="0" w:evenHBand="0" w:firstRowFirstColumn="0" w:firstRowLastColumn="0" w:lastRowFirstColumn="0" w:lastRowLastColumn="0"/>
            </w:pPr>
            <w:r w:rsidRPr="00612C13">
              <w:t>1.0%</w:t>
            </w:r>
          </w:p>
        </w:tc>
      </w:tr>
    </w:tbl>
    <w:p w14:paraId="024D5187" w14:textId="77777777" w:rsidR="00480877" w:rsidRDefault="00480877" w:rsidP="003B4F97">
      <w:pPr>
        <w:pStyle w:val="Footer"/>
      </w:pPr>
      <w:r>
        <w:t xml:space="preserve">Notes: </w:t>
      </w:r>
    </w:p>
    <w:p w14:paraId="6B3D5692" w14:textId="77777777" w:rsidR="00480877" w:rsidRDefault="00480877" w:rsidP="003B4F97">
      <w:pPr>
        <w:pStyle w:val="Footer"/>
      </w:pPr>
      <w:r>
        <w:t>Quartiles are calculated for statewide public and private health services combined, unless stated otherwise.</w:t>
      </w:r>
    </w:p>
    <w:p w14:paraId="2B2F1787" w14:textId="77777777" w:rsidR="00480877" w:rsidRDefault="00480877" w:rsidP="003B4F97">
      <w:pPr>
        <w:pStyle w:val="Footer"/>
      </w:pPr>
      <w:r>
        <w:t>* Result includes public hospitals only</w:t>
      </w:r>
    </w:p>
    <w:p w14:paraId="48A66398" w14:textId="0C1F9863" w:rsidR="00480877" w:rsidRDefault="00480877" w:rsidP="003B4F97">
      <w:pPr>
        <w:pStyle w:val="Footer"/>
      </w:pPr>
      <w:r>
        <w:t>† Results shown are for 2018</w:t>
      </w:r>
      <w:r w:rsidR="008D6192">
        <w:t>–</w:t>
      </w:r>
      <w:r>
        <w:t>19, 2019</w:t>
      </w:r>
      <w:r w:rsidR="008D6192">
        <w:t>–</w:t>
      </w:r>
      <w:r>
        <w:t>20 FY as they are sourced from the VAED</w:t>
      </w:r>
    </w:p>
    <w:p w14:paraId="7588B011" w14:textId="38EBFFAC" w:rsidR="0064798F" w:rsidRDefault="00480877" w:rsidP="003B4F97">
      <w:pPr>
        <w:pStyle w:val="Footer"/>
      </w:pPr>
      <w:r>
        <w:t>NA – not applicable</w:t>
      </w:r>
    </w:p>
    <w:p w14:paraId="7B3899C2" w14:textId="456F9BB1" w:rsidR="00480877" w:rsidRDefault="00480877" w:rsidP="003B4F97">
      <w:r>
        <w:br w:type="page"/>
      </w:r>
    </w:p>
    <w:p w14:paraId="05219966" w14:textId="59C06E92" w:rsidR="00480877" w:rsidRPr="00A60C18" w:rsidRDefault="00480877" w:rsidP="00A60C18">
      <w:pPr>
        <w:pStyle w:val="Heading1"/>
        <w:framePr w:wrap="around"/>
      </w:pPr>
      <w:bookmarkStart w:id="4" w:name="_Toc71710115"/>
      <w:r w:rsidRPr="00A60C18">
        <w:lastRenderedPageBreak/>
        <w:t>1a: Induction of labour in standard primiparae</w:t>
      </w:r>
      <w:bookmarkEnd w:id="4"/>
    </w:p>
    <w:p w14:paraId="3791B1D2" w14:textId="77777777" w:rsidR="00A15F45" w:rsidRDefault="00A15F45" w:rsidP="003B4F97">
      <w:pPr>
        <w:pStyle w:val="IntroductoryText"/>
      </w:pPr>
      <w:r>
        <w:t xml:space="preserve">Induction of labour is sometimes necessary. However, Victorian data shows it can increase the need for further </w:t>
      </w:r>
      <w:r w:rsidRPr="00A57505">
        <w:t>intervention</w:t>
      </w:r>
      <w:r>
        <w:t xml:space="preserve">, such as caesarean (refer to </w:t>
      </w:r>
      <w:r w:rsidRPr="00254B91">
        <w:rPr>
          <w:rFonts w:ascii="VIC SemiBold" w:hAnsi="VIC SemiBold"/>
        </w:rPr>
        <w:t>Indicator 1bii</w:t>
      </w:r>
      <w:r>
        <w:t xml:space="preserve">). Safely reducing the number of primiparous women who have an induced labour may reduce the number who require birthing interventions </w:t>
      </w:r>
      <w:r w:rsidRPr="00A57505">
        <w:t>overall</w:t>
      </w:r>
      <w:r>
        <w:t>.</w:t>
      </w:r>
    </w:p>
    <w:p w14:paraId="621A5AB7" w14:textId="77777777" w:rsidR="00A57505" w:rsidRDefault="00A57505" w:rsidP="003B4F97">
      <w:pPr>
        <w:pStyle w:val="Heading2"/>
        <w:rPr>
          <w:lang w:val="en-GB"/>
        </w:rPr>
      </w:pPr>
      <w:r>
        <w:rPr>
          <w:lang w:val="en-GB"/>
        </w:rPr>
        <w:t>About this indicator</w:t>
      </w:r>
    </w:p>
    <w:p w14:paraId="770366A9" w14:textId="0BEC608C" w:rsidR="00A57505" w:rsidRPr="005036AA" w:rsidRDefault="00A57505" w:rsidP="003B4F97">
      <w:pPr>
        <w:pStyle w:val="Normalfollowingheading"/>
        <w:rPr>
          <w:lang w:val="en-GB"/>
        </w:rPr>
      </w:pPr>
      <w:r w:rsidRPr="005036AA">
        <w:rPr>
          <w:lang w:val="en-GB"/>
        </w:rPr>
        <w:t xml:space="preserve">This indicator shows the rate of induction of labour for </w:t>
      </w:r>
      <w:r w:rsidR="00E97545">
        <w:rPr>
          <w:lang w:val="en-GB"/>
        </w:rPr>
        <w:t xml:space="preserve">the </w:t>
      </w:r>
      <w:r w:rsidRPr="005036AA">
        <w:rPr>
          <w:lang w:val="en-GB"/>
        </w:rPr>
        <w:t xml:space="preserve">standard </w:t>
      </w:r>
      <w:r w:rsidR="00E97545">
        <w:rPr>
          <w:lang w:val="en-GB"/>
        </w:rPr>
        <w:t>woman giving birth to her first child</w:t>
      </w:r>
      <w:r w:rsidR="00F90284">
        <w:rPr>
          <w:lang w:val="en-GB"/>
        </w:rPr>
        <w:t xml:space="preserve"> (primipara)</w:t>
      </w:r>
      <w:r w:rsidRPr="005036AA">
        <w:rPr>
          <w:lang w:val="en-GB"/>
        </w:rPr>
        <w:t xml:space="preserve">. </w:t>
      </w:r>
    </w:p>
    <w:p w14:paraId="58864679" w14:textId="1E7CD6E2" w:rsidR="00A57505" w:rsidRPr="005036AA" w:rsidRDefault="00A57505" w:rsidP="003B4F97">
      <w:pPr>
        <w:rPr>
          <w:lang w:val="en-GB"/>
        </w:rPr>
      </w:pPr>
      <w:r w:rsidRPr="005036AA">
        <w:rPr>
          <w:lang w:val="en-GB"/>
        </w:rPr>
        <w:t xml:space="preserve">Excluding women with complicated pregnancies, this indicator </w:t>
      </w:r>
      <w:r w:rsidR="006F12AA">
        <w:rPr>
          <w:lang w:val="en-GB"/>
        </w:rPr>
        <w:t>take</w:t>
      </w:r>
      <w:r w:rsidR="00C869C3">
        <w:rPr>
          <w:lang w:val="en-GB"/>
        </w:rPr>
        <w:t>s</w:t>
      </w:r>
      <w:r w:rsidR="006F12AA">
        <w:rPr>
          <w:lang w:val="en-GB"/>
        </w:rPr>
        <w:t xml:space="preserve"> into account patient</w:t>
      </w:r>
      <w:r w:rsidRPr="005036AA">
        <w:rPr>
          <w:lang w:val="en-GB"/>
        </w:rPr>
        <w:t xml:space="preserve"> complexity and compares between </w:t>
      </w:r>
      <w:r w:rsidR="00437361">
        <w:rPr>
          <w:lang w:val="en-GB"/>
        </w:rPr>
        <w:t>low risk</w:t>
      </w:r>
      <w:r w:rsidRPr="005036AA">
        <w:rPr>
          <w:lang w:val="en-GB"/>
        </w:rPr>
        <w:t xml:space="preserve"> women at all hospitals. These women </w:t>
      </w:r>
      <w:r>
        <w:rPr>
          <w:lang w:val="en-GB"/>
        </w:rPr>
        <w:t>are</w:t>
      </w:r>
      <w:r w:rsidRPr="005036AA">
        <w:rPr>
          <w:lang w:val="en-GB"/>
        </w:rPr>
        <w:t xml:space="preserve"> expected to need little intervention.</w:t>
      </w:r>
    </w:p>
    <w:p w14:paraId="4886D0C1" w14:textId="5677C6D5" w:rsidR="00A57505" w:rsidRDefault="00A57505" w:rsidP="003B4F97">
      <w:pPr>
        <w:pStyle w:val="Heading2"/>
      </w:pPr>
      <w:r w:rsidRPr="00A57505">
        <w:t>Observations on the data</w:t>
      </w:r>
    </w:p>
    <w:p w14:paraId="21DE26C0" w14:textId="4E85DE27" w:rsidR="008D6192" w:rsidRDefault="00A15F45" w:rsidP="003B4F97">
      <w:pPr>
        <w:pStyle w:val="Normalfollowingheading"/>
      </w:pPr>
      <w:r>
        <w:t xml:space="preserve">Similar to the previous years, the rate in 2019 of standard primiparae having an induced labour in private hospitals was significantly higher compared to public hospitals (26.5% and 11.8% respectively, p&lt;0.001). </w:t>
      </w:r>
    </w:p>
    <w:p w14:paraId="153186C3" w14:textId="77777777" w:rsidR="008D6192" w:rsidRDefault="00A15F45" w:rsidP="003B4F97">
      <w:pPr>
        <w:pStyle w:val="Normalfollowingheading"/>
      </w:pPr>
      <w:r>
        <w:t xml:space="preserve">The statewide </w:t>
      </w:r>
      <w:r w:rsidRPr="00A57505">
        <w:t>rate</w:t>
      </w:r>
      <w:r>
        <w:t xml:space="preserve"> for 2019 was 17.3 per cent, which is nearly four percentage points higher than last year’s rate which was 13.6 per cent. </w:t>
      </w:r>
    </w:p>
    <w:p w14:paraId="1723A42D" w14:textId="62814B45" w:rsidR="00A15F45" w:rsidRDefault="00A15F45" w:rsidP="003B4F97">
      <w:pPr>
        <w:pStyle w:val="Normalfollowingheading"/>
      </w:pPr>
      <w:r>
        <w:t>Similar to the previous year’s results, there was considerable variation in hospital rates for this indicator, from 0 to 37.8 per cent (</w:t>
      </w:r>
      <w:r w:rsidRPr="00A8534A">
        <w:rPr>
          <w:b/>
          <w:bCs/>
        </w:rPr>
        <w:t>Figure 3</w:t>
      </w:r>
      <w:r>
        <w:t xml:space="preserve">). </w:t>
      </w:r>
    </w:p>
    <w:p w14:paraId="2B1439EA" w14:textId="77777777" w:rsidR="00A57505" w:rsidRDefault="00A57505" w:rsidP="003B4F97">
      <w:pPr>
        <w:rPr>
          <w:rFonts w:ascii="VIC SemiBold" w:hAnsi="VIC SemiBold"/>
          <w:color w:val="007586" w:themeColor="text2"/>
          <w:spacing w:val="2"/>
          <w:szCs w:val="18"/>
          <w:lang w:val="en-GB" w:eastAsia="en-AU"/>
        </w:rPr>
      </w:pPr>
      <w:r>
        <w:br w:type="page"/>
      </w:r>
    </w:p>
    <w:p w14:paraId="4D5DFEA1" w14:textId="0FCD12AD" w:rsidR="00A15F45" w:rsidRDefault="00A15F45" w:rsidP="003B4F97">
      <w:pPr>
        <w:pStyle w:val="Tablechartdiagramheading"/>
      </w:pPr>
      <w:r>
        <w:lastRenderedPageBreak/>
        <w:t>Figure 3. Indicator 1a: Rate of induction of labour in standard primiparae, 2019</w:t>
      </w:r>
    </w:p>
    <w:p w14:paraId="29FE4DBE" w14:textId="2B4AE38D" w:rsidR="00A15F45" w:rsidRDefault="00375F26" w:rsidP="003B4F97">
      <w:r>
        <mc:AlternateContent>
          <mc:Choice Requires="wps">
            <w:drawing>
              <wp:anchor distT="0" distB="0" distL="114300" distR="114300" simplePos="0" relativeHeight="251658241" behindDoc="0" locked="0" layoutInCell="1" allowOverlap="1" wp14:anchorId="4BE2B13C" wp14:editId="58D80922">
                <wp:simplePos x="0" y="0"/>
                <wp:positionH relativeFrom="column">
                  <wp:posOffset>4851400</wp:posOffset>
                </wp:positionH>
                <wp:positionV relativeFrom="paragraph">
                  <wp:posOffset>163830</wp:posOffset>
                </wp:positionV>
                <wp:extent cx="1547495" cy="6875780"/>
                <wp:effectExtent l="0" t="0" r="0" b="0"/>
                <wp:wrapNone/>
                <wp:docPr id="4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47495" cy="6875780"/>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C741A" id="Rectangle 44" o:spid="_x0000_s1026" style="position:absolute;margin-left:382pt;margin-top:12.9pt;width:121.85pt;height:541.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77qQIAAKkFAAAOAAAAZHJzL2Uyb0RvYy54bWysVE1v2zAMvQ/YfxB0Xx0HTtMGdYqgRYYB&#10;RVv0Az0rshQbkEVNUuJkv36UZLtB112G5aBQIvlIPpO8uj60iuyFdQ3okuZnE0qE5lA1elvS15f1&#10;twtKnGe6Ygq0KOlROHq9/PrlqjMLMYUaVCUsQRDtFp0pae29WWSZ47VomTsDIzQqJdiWebzabVZZ&#10;1iF6q7LpZHKedWArY4EL5/D1NinpMuJLKbh/kNIJT1RJMTcfTxvPTTiz5RVbbC0zdcP7NNg/ZNGy&#10;RmPQEeqWeUZ2tvkDqm24BQfSn3FoM5Cy4SLWgNXkkw/VPNfMiFgLkuPMSJP7f7D8fv9oSVOVtCgo&#10;0azFb/SErDG9VYLgGxLUGbdAu2fzaPubQzFUe5C2Df9YBzlEUo8jqeLgCcfHfFbMi8sZJRx15xfz&#10;2fwi0p69uxvr/HcBLQlCSS3Gj2Sy/Z3zGBJNB5MQzYFqqnWjVLzY7eZGWbJn+IXX6wn+kq8yNUuv&#10;+SS/PA+FII5L5kk+xVE6oGkIuMk0vGSh9lRtlPxRiWCn9JOQSBvWN43hYsOKMRHGudA+T6qaVSJl&#10;Movp9ZmEFg8eMZcIGJAlxh+xe4DBMoEM2Ammtw+uIvb76Jx4+EtiyXn0iJFB+9G5bTTYzypTWFUf&#10;OdkPJCVqAksbqI7YVBbStDnD1w1+2Dvm/COzOF44iLgy/AMeUkFXUuglSmqwvz57D/bY9ailpMNx&#10;Lan7uWNWUKJ+aJyHy7wownzHSzGbT/FiTzWbU43etTeA/ZLjcjI8isHeq0GUFto33CyrEBVVTHOM&#10;XVLu7XC58WmN4G7iYrWKZjjThvk7/Wx4AA+shsZ9Obwxa/ru9jgY9zCMNlt8aPJkGzw1rHYeZBMn&#10;4J3Xnm/cB7Fx+t0VFs7pPVq9b9jlbwAAAP//AwBQSwMEFAAGAAgAAAAhAOCfPIXgAAAADAEAAA8A&#10;AABkcnMvZG93bnJldi54bWxMj8FOwzAMhu9IvENkJG4sWQXtVJpOCAS7soEmjllj2kLjVE22tm+P&#10;d2I3W/71+/uK9eQ6ccIhtJ40LBcKBFLlbUu1hs+P17sViBANWdN5Qg0zBliX11eFya0faYunXawF&#10;l1DIjYYmxj6XMlQNOhMWvkfi27cfnIm8DrW0gxm53HUyUSqVzrTEHxrT43OD1e/u6DRUX2H/vo2b&#10;l5+a5rd0HPfDZk60vr2Znh5BRJzifxjO+IwOJTMd/JFsEJ2GLL1nl6gheWCFc0CpLANx4GmpVinI&#10;spCXEuUfAAAA//8DAFBLAQItABQABgAIAAAAIQC2gziS/gAAAOEBAAATAAAAAAAAAAAAAAAAAAAA&#10;AABbQ29udGVudF9UeXBlc10ueG1sUEsBAi0AFAAGAAgAAAAhADj9If/WAAAAlAEAAAsAAAAAAAAA&#10;AAAAAAAALwEAAF9yZWxzLy5yZWxzUEsBAi0AFAAGAAgAAAAhAHglDvupAgAAqQUAAA4AAAAAAAAA&#10;AAAAAAAALgIAAGRycy9lMm9Eb2MueG1sUEsBAi0AFAAGAAgAAAAhAOCfPIXgAAAADAEAAA8AAAAA&#10;AAAAAAAAAAAAAwUAAGRycy9kb3ducmV2LnhtbFBLBQYAAAAABAAEAPMAAAAQBgAAAAA=&#10;" fillcolor="red" stroked="f" strokeweight="2pt">
                <v:fill opacity="6682f"/>
              </v:rect>
            </w:pict>
          </mc:Fallback>
        </mc:AlternateContent>
      </w:r>
      <w:r>
        <mc:AlternateContent>
          <mc:Choice Requires="wps">
            <w:drawing>
              <wp:anchor distT="0" distB="0" distL="114300" distR="114300" simplePos="0" relativeHeight="251658240" behindDoc="0" locked="0" layoutInCell="1" allowOverlap="1" wp14:anchorId="1C2C1581" wp14:editId="17CD1F7F">
                <wp:simplePos x="0" y="0"/>
                <wp:positionH relativeFrom="column">
                  <wp:posOffset>1872615</wp:posOffset>
                </wp:positionH>
                <wp:positionV relativeFrom="paragraph">
                  <wp:posOffset>167005</wp:posOffset>
                </wp:positionV>
                <wp:extent cx="1295400" cy="6875780"/>
                <wp:effectExtent l="0" t="0" r="0" b="1270"/>
                <wp:wrapNone/>
                <wp:docPr id="43" name="Rectangle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95400" cy="6875780"/>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07439" id="Rectangle 43" o:spid="_x0000_s1026" style="position:absolute;margin-left:147.45pt;margin-top:13.15pt;width:102pt;height:541.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E/HqgIAAKkFAAAOAAAAZHJzL2Uyb0RvYy54bWysVMFu2zAMvQ/YPwi6r7azpG2COkXQosOA&#10;og3aDj0rshQbkEVNUuJkXz9Kst2g6y7DclAokXwkn0leXR9aRfbCugZ0SYuznBKhOVSN3pb0x8vd&#10;l0tKnGe6Ygq0KOlROHq9/PzpqjMLMYEaVCUsQRDtFp0pae29WWSZ47VomTsDIzQqJdiWebzabVZZ&#10;1iF6q7JJnp9nHdjKWODCOXy9TUq6jPhSCu4fpXTCE1VSzM3H08ZzE85secUWW8tM3fA+DfYPWbSs&#10;0Rh0hLplnpGdbf6AahtuwYH0ZxzaDKRsuIg1YDVF/q6a55oZEWtBcpwZaXL/D5Y/7NeWNFVJp18p&#10;0azFb/SErDG9VYLgGxLUGbdAu2eztv3NoRiqPUjbhn+sgxwiqceRVHHwhONjMZnPpjlyz1F3fnkx&#10;u7iMtGdv7sY6/01AS4JQUovxI5lsf+88hkTTwSREc6Ca6q5RKl7sdnOjLNkz/MLzyW0+y5OvMjVL&#10;r0VezM9DIYjjknmST3GUDmgaAm4yDS9ZqD1VGyV/VCLYKf0kJNKG9U1iuNiwYkyEcS60L5KqZpVI&#10;mcxy/A2ZhBYPHjGXCBiQJcYfsXuAwTKBDNgpy94+uIrY76Nz4uEviSXn0SNGBu1H57bRYD+qTGFV&#10;feRkP5CUqAksbaA6YlNZSNPmDL9r8MPeM+fXzOJ4YTPgyvCPeEgFXUmhlyipwf766D3YY9ejlpIO&#10;x7Wk7ueOWUGJ+q5xHubFdBrmO16ms4sJXuypZnOq0bv2BrBfClxOhkcx2Hs1iNJC+4qbZRWioopp&#10;jrFLyr0dLjc+rRHcTVysVtEMZ9owf6+fDQ/ggdXQuC+HV2ZN390eB+MBhtFmi3dNnmyDp4bVzoNs&#10;4gS88drzjfsgNk6/u8LCOb1Hq7cNu/wNAAD//wMAUEsDBBQABgAIAAAAIQCStqGf4AAAAAsBAAAP&#10;AAAAZHJzL2Rvd25yZXYueG1sTI9NTsMwEEb3SNzBGiR21ElJqzrEqRCISBUsoHAANx6SlHgcYrdN&#10;b8+wgt38PH3zplhPrhdHHEPnSUM6S0Ag1d521Gj4eH+6WYEI0ZA1vSfUcMYA6/LyojC59Sd6w+M2&#10;NoJDKORGQxvjkEsZ6hadCTM/IPHu04/ORG7HRtrRnDjc9XKeJEvpTEd8oTUDPrRYf20PTkP28rj3&#10;cljsF41T1ev38+ZcVRutr6+m+zsQEaf4B8OvPqtDyU47fyAbRK9hrjLFKBfLWxAMZGrFgx2TaaJS&#10;kGUh//9Q/gAAAP//AwBQSwECLQAUAAYACAAAACEAtoM4kv4AAADhAQAAEwAAAAAAAAAAAAAAAAAA&#10;AAAAW0NvbnRlbnRfVHlwZXNdLnhtbFBLAQItABQABgAIAAAAIQA4/SH/1gAAAJQBAAALAAAAAAAA&#10;AAAAAAAAAC8BAABfcmVscy8ucmVsc1BLAQItABQABgAIAAAAIQA9pE/HqgIAAKkFAAAOAAAAAAAA&#10;AAAAAAAAAC4CAABkcnMvZTJvRG9jLnhtbFBLAQItABQABgAIAAAAIQCStqGf4AAAAAsBAAAPAAAA&#10;AAAAAAAAAAAAAAQFAABkcnMvZG93bnJldi54bWxQSwUGAAAAAAQABADzAAAAEQYAAAAA&#10;" fillcolor="#92d050" stroked="f" strokeweight="2pt">
                <v:fill opacity="6682f"/>
              </v:rect>
            </w:pict>
          </mc:Fallback>
        </mc:AlternateContent>
      </w:r>
      <w:r w:rsidR="00A15F45">
        <w:drawing>
          <wp:inline distT="0" distB="0" distL="0" distR="0" wp14:anchorId="1BF9310A" wp14:editId="2947D9CD">
            <wp:extent cx="6480000" cy="7200000"/>
            <wp:effectExtent l="0" t="0" r="0" b="1270"/>
            <wp:docPr id="36" name="Chart 36" descr="This bar graph shows the rate of induction of labour in uncomplicated first births statewide and at each hospital. A larger proportion of private than public hospitals had rates that fell within the least favourable 25%">
              <a:extLst xmlns:a="http://schemas.openxmlformats.org/drawingml/2006/main">
                <a:ext uri="{FF2B5EF4-FFF2-40B4-BE49-F238E27FC236}">
                  <a16:creationId xmlns:a16="http://schemas.microsoft.com/office/drawing/2014/main" id="{BF434421-04DF-4E8D-ACE7-1DDBD37F7A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00A15F45">
        <w:br w:type="page"/>
      </w:r>
    </w:p>
    <w:p w14:paraId="36772406" w14:textId="77777777" w:rsidR="00A15F45" w:rsidRPr="005036AA" w:rsidRDefault="00A15F45" w:rsidP="003B4F97">
      <w:pPr>
        <w:pStyle w:val="Tablechartdiagramheading"/>
      </w:pPr>
      <w:r w:rsidRPr="009C58E7">
        <w:lastRenderedPageBreak/>
        <w:t xml:space="preserve">Figure </w:t>
      </w:r>
      <w:r>
        <w:t>4</w:t>
      </w:r>
      <w:r w:rsidRPr="00994C5C">
        <w:t xml:space="preserve">. Funnel plot of </w:t>
      </w:r>
      <w:r>
        <w:t>the rate of induction of labour in standard primiparae</w:t>
      </w:r>
      <w:r w:rsidRPr="00994C5C">
        <w:t>, 201</w:t>
      </w:r>
      <w:r>
        <w:t>9</w:t>
      </w:r>
    </w:p>
    <w:p w14:paraId="13ADC449" w14:textId="613FDAAE" w:rsidR="00A15F45" w:rsidRDefault="00A15F45" w:rsidP="003B4F97">
      <w:r>
        <w:drawing>
          <wp:inline distT="0" distB="0" distL="0" distR="0" wp14:anchorId="0C4FF0A6" wp14:editId="782511DF">
            <wp:extent cx="5297541" cy="3780000"/>
            <wp:effectExtent l="0" t="0" r="0" b="0"/>
            <wp:docPr id="38" name="Picture 38" descr="This funnel plot shows the distribution of induction rates across all hospitals. More private than public hospitals had rates that were significantly higher than average and only public hospitals had rates that were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funnel plot shows the distribution of induction rates across all hospitals. More private than public hospitals had rates that were significantly higher than average and only public hospitals had rates that were significantly lower."/>
                    <pic:cNvPicPr/>
                  </pic:nvPicPr>
                  <pic:blipFill rotWithShape="1">
                    <a:blip r:embed="rId26">
                      <a:extLst>
                        <a:ext uri="{28A0092B-C50C-407E-A947-70E740481C1C}">
                          <a14:useLocalDpi xmlns:a14="http://schemas.microsoft.com/office/drawing/2010/main" val="0"/>
                        </a:ext>
                      </a:extLst>
                    </a:blip>
                    <a:srcRect t="5577"/>
                    <a:stretch/>
                  </pic:blipFill>
                  <pic:spPr bwMode="auto">
                    <a:xfrm>
                      <a:off x="0" y="0"/>
                      <a:ext cx="5297541" cy="3780000"/>
                    </a:xfrm>
                    <a:prstGeom prst="rect">
                      <a:avLst/>
                    </a:prstGeom>
                    <a:ln>
                      <a:noFill/>
                    </a:ln>
                    <a:extLst>
                      <a:ext uri="{53640926-AAD7-44D8-BBD7-CCE9431645EC}">
                        <a14:shadowObscured xmlns:a14="http://schemas.microsoft.com/office/drawing/2010/main"/>
                      </a:ext>
                    </a:extLst>
                  </pic:spPr>
                </pic:pic>
              </a:graphicData>
            </a:graphic>
          </wp:inline>
        </w:drawing>
      </w:r>
    </w:p>
    <w:p w14:paraId="69B538F9" w14:textId="1F9413FA" w:rsidR="008D6192" w:rsidRPr="00A8534A" w:rsidRDefault="008D6192"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750685B0" w14:textId="3BEE0201" w:rsidR="00480877" w:rsidRDefault="00480877" w:rsidP="003B4F97">
      <w:pPr>
        <w:pStyle w:val="Heading2"/>
      </w:pPr>
      <w:r>
        <w:t>Definition</w:t>
      </w:r>
      <w:r w:rsidR="00A15F45">
        <w:t>s</w:t>
      </w:r>
      <w:r w:rsidR="007A1D1D">
        <w:t xml:space="preserve"> and data sources</w:t>
      </w:r>
    </w:p>
    <w:p w14:paraId="70F81111" w14:textId="77777777" w:rsidR="00AC6F52" w:rsidRDefault="00A57505" w:rsidP="003B4F97">
      <w:pPr>
        <w:pStyle w:val="Normalfollowingheading"/>
      </w:pPr>
      <w:r w:rsidRPr="00671495">
        <w:t xml:space="preserve">The standard primipara </w:t>
      </w:r>
      <w:r w:rsidR="00F14A1F">
        <w:t xml:space="preserve">in this indicator </w:t>
      </w:r>
      <w:r w:rsidRPr="00671495">
        <w:t>is defined as a woman, 20</w:t>
      </w:r>
      <w:r w:rsidR="008D6192" w:rsidRPr="00671495">
        <w:t xml:space="preserve"> to</w:t>
      </w:r>
      <w:r w:rsidR="009968C9">
        <w:t xml:space="preserve"> </w:t>
      </w:r>
      <w:r w:rsidRPr="00671495">
        <w:t>39 years of age, free of obstetric and specified medical complications (pre-existing hypertension, diabetes, cardiac disease or serious psychiatric conditions), giving birth for the first time with a singleton pregnancy between 37 and 40 weeks completed gestation (259–286 days), with a non-small for gestational age (greater than tenth centile) infant and a cephalic presentation.</w:t>
      </w:r>
      <w:r w:rsidR="00AC6F52">
        <w:t xml:space="preserve"> </w:t>
      </w:r>
    </w:p>
    <w:p w14:paraId="14DDFEAE" w14:textId="2F948D28" w:rsidR="00A57505" w:rsidRPr="00A60C18" w:rsidRDefault="00A57505" w:rsidP="00A60C18">
      <w:pPr>
        <w:pStyle w:val="Heading4"/>
      </w:pPr>
      <w:r w:rsidRPr="00A60C18">
        <w:t>Data source: Victorian Perinatal Data Collection (VPDC)</w:t>
      </w:r>
    </w:p>
    <w:p w14:paraId="2380160E" w14:textId="77777777" w:rsidR="00A57505" w:rsidRPr="00A57505" w:rsidRDefault="00A57505" w:rsidP="003B4F97">
      <w:pPr>
        <w:pStyle w:val="Normalfollowingheading"/>
      </w:pPr>
      <w:r w:rsidRPr="00A57505">
        <w:t>Data for this indicator is sourced from the VPDC for the calendar year from 1 January 2019 to 31 December 2019.</w:t>
      </w:r>
    </w:p>
    <w:p w14:paraId="03DADD73" w14:textId="77777777" w:rsidR="00A57505" w:rsidRPr="00A57505" w:rsidRDefault="00A57505" w:rsidP="003B4F97">
      <w:r w:rsidRPr="00A57505">
        <w:t>This indicator is derived using the following VPDC variables: ‘parity’, ‘maternal age’, ‘plurality’, ‘estimated gestational age’, ‘birth presentation’, ‘obstetric complications-ICD-10-AM code’, ‘maternal medical conditions-ICD-10-AM code’, ‘indication for induction-ICD-10-AM code’, ‘indications for operative delivery-ICD-10-AM code’, ‘birthweight’, and ‘labour type’.</w:t>
      </w:r>
    </w:p>
    <w:p w14:paraId="0C7B82A2" w14:textId="77777777" w:rsidR="00A57505" w:rsidRDefault="00A57505" w:rsidP="003B4F97">
      <w:r>
        <w:br w:type="page"/>
      </w:r>
    </w:p>
    <w:p w14:paraId="4B82A396" w14:textId="6DCA7F1E" w:rsidR="00A57505" w:rsidRDefault="00A57505" w:rsidP="003B4F97">
      <w:r w:rsidRPr="00A57505">
        <w:lastRenderedPageBreak/>
        <w:t>The inclusion criteria for the standard primipara have been reviewed. The upper age limit has been increased to 39 years. The medical conditions that exclude women are now limited to pre-existing hypertension, diabetes, cardiac disease or serious psychiatric conditions (schizophrenia, other psychotic disorders and bipolar disorder). Women are excluded if they have any obstetric conditions recorded in the ‘complications of pregnancy’ or ‘indication for induction’ field (any condition listed in the ‘O’ chapter of ICD-10 that occurs before the onset of labour, but not those related to gestation or spurious labour).</w:t>
      </w:r>
    </w:p>
    <w:p w14:paraId="1BFCAB3B" w14:textId="62EA2462" w:rsidR="002372B5" w:rsidRPr="00A15F45" w:rsidRDefault="002372B5" w:rsidP="003B4F97">
      <w:pPr>
        <w:pStyle w:val="Tablechartdiagramheading"/>
      </w:pPr>
      <w:r w:rsidRPr="00A15F45">
        <w:t>Numerator/denominator</w:t>
      </w:r>
    </w:p>
    <w:tbl>
      <w:tblPr>
        <w:tblStyle w:val="TableGrid"/>
        <w:tblW w:w="10206" w:type="dxa"/>
        <w:tblLook w:val="04A0" w:firstRow="1" w:lastRow="0" w:firstColumn="1" w:lastColumn="0" w:noHBand="0" w:noVBand="1"/>
      </w:tblPr>
      <w:tblGrid>
        <w:gridCol w:w="3401"/>
        <w:gridCol w:w="3402"/>
        <w:gridCol w:w="3403"/>
      </w:tblGrid>
      <w:tr w:rsidR="002372B5" w:rsidRPr="006B3248" w14:paraId="7C643A4F"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25FD331F" w14:textId="3283EB1A" w:rsidR="002372B5" w:rsidRPr="006B3248" w:rsidRDefault="002372B5" w:rsidP="003B4F97">
            <w:pPr>
              <w:pStyle w:val="Tableheader"/>
              <w:rPr>
                <w:b/>
                <w:lang w:val="en-GB"/>
              </w:rPr>
            </w:pPr>
            <w:r w:rsidRPr="006B3248">
              <w:rPr>
                <w:b/>
              </w:rPr>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7D9F057F" w14:textId="09DF02B7" w:rsidR="002372B5" w:rsidRPr="006B3248" w:rsidRDefault="002372B5" w:rsidP="003B4F97">
            <w:pPr>
              <w:pStyle w:val="Tableheader"/>
              <w:cnfStyle w:val="100000000000" w:firstRow="1" w:lastRow="0" w:firstColumn="0" w:lastColumn="0" w:oddVBand="0" w:evenVBand="0" w:oddHBand="0" w:evenHBand="0" w:firstRowFirstColumn="0" w:firstRowLastColumn="0" w:lastRowFirstColumn="0" w:lastRowLastColumn="0"/>
              <w:rPr>
                <w:b/>
                <w:lang w:val="en-GB"/>
              </w:rPr>
            </w:pPr>
            <w:r w:rsidRPr="006B3248">
              <w:rPr>
                <w:b/>
              </w:rPr>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8A2E627" w14:textId="4B77D7C8" w:rsidR="002372B5" w:rsidRPr="006B3248" w:rsidRDefault="002372B5" w:rsidP="003B4F97">
            <w:pPr>
              <w:pStyle w:val="Tableheader"/>
              <w:cnfStyle w:val="100000000000" w:firstRow="1" w:lastRow="0" w:firstColumn="0" w:lastColumn="0" w:oddVBand="0" w:evenVBand="0" w:oddHBand="0" w:evenHBand="0" w:firstRowFirstColumn="0" w:firstRowLastColumn="0" w:lastRowFirstColumn="0" w:lastRowLastColumn="0"/>
              <w:rPr>
                <w:b/>
                <w:lang w:val="en-GB"/>
              </w:rPr>
            </w:pPr>
            <w:r w:rsidRPr="006B3248">
              <w:rPr>
                <w:b/>
              </w:rPr>
              <w:t>Denominator</w:t>
            </w:r>
          </w:p>
        </w:tc>
      </w:tr>
      <w:tr w:rsidR="002372B5" w14:paraId="19FA4212"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2C1DE83B" w14:textId="2B6AEA4E" w:rsidR="002372B5" w:rsidRDefault="002372B5" w:rsidP="003B4F97">
            <w:pPr>
              <w:pStyle w:val="Tabletext"/>
              <w:rPr>
                <w:lang w:val="en-GB"/>
              </w:rPr>
            </w:pPr>
            <w:r w:rsidRPr="005C0006">
              <w:t>Indicator 1a:</w:t>
            </w:r>
            <w:r w:rsidRPr="004A52F6">
              <w:t xml:space="preserve"> Rate of induction of labour in standard primiparae</w:t>
            </w:r>
          </w:p>
        </w:tc>
        <w:tc>
          <w:tcPr>
            <w:tcW w:w="3401" w:type="dxa"/>
          </w:tcPr>
          <w:p w14:paraId="1262D8E8" w14:textId="24EF4AED" w:rsidR="002372B5" w:rsidRDefault="002372B5" w:rsidP="003B4F97">
            <w:pPr>
              <w:pStyle w:val="Tabletext"/>
              <w:cnfStyle w:val="000000000000" w:firstRow="0" w:lastRow="0" w:firstColumn="0" w:lastColumn="0" w:oddVBand="0" w:evenVBand="0" w:oddHBand="0" w:evenHBand="0" w:firstRowFirstColumn="0" w:firstRowLastColumn="0" w:lastRowFirstColumn="0" w:lastRowLastColumn="0"/>
              <w:rPr>
                <w:lang w:val="en-GB"/>
              </w:rPr>
            </w:pPr>
            <w:r w:rsidRPr="004A52F6">
              <w:t>The number of standard primiparae who give birth undergoing induction of</w:t>
            </w:r>
            <w:r w:rsidR="00FF19C3">
              <w:t xml:space="preserve"> </w:t>
            </w:r>
            <w:r w:rsidRPr="004A52F6">
              <w:t>labour</w:t>
            </w:r>
          </w:p>
        </w:tc>
        <w:tc>
          <w:tcPr>
            <w:tcW w:w="3402" w:type="dxa"/>
          </w:tcPr>
          <w:p w14:paraId="7527FBF8" w14:textId="2DFA87E6" w:rsidR="002372B5" w:rsidRDefault="002372B5" w:rsidP="003B4F97">
            <w:pPr>
              <w:pStyle w:val="Tabletext"/>
              <w:cnfStyle w:val="000000000000" w:firstRow="0" w:lastRow="0" w:firstColumn="0" w:lastColumn="0" w:oddVBand="0" w:evenVBand="0" w:oddHBand="0" w:evenHBand="0" w:firstRowFirstColumn="0" w:firstRowLastColumn="0" w:lastRowFirstColumn="0" w:lastRowLastColumn="0"/>
              <w:rPr>
                <w:lang w:val="en-GB"/>
              </w:rPr>
            </w:pPr>
            <w:r w:rsidRPr="004A52F6">
              <w:t>The number of standard primiparae</w:t>
            </w:r>
          </w:p>
        </w:tc>
      </w:tr>
    </w:tbl>
    <w:p w14:paraId="082F450B" w14:textId="112C7C05" w:rsidR="00622E3C" w:rsidRDefault="00622E3C" w:rsidP="003B4F97">
      <w:r>
        <w:br w:type="page"/>
      </w:r>
    </w:p>
    <w:p w14:paraId="742CCD78" w14:textId="465EB90C" w:rsidR="00622E3C" w:rsidRDefault="00622E3C" w:rsidP="00A60C18">
      <w:pPr>
        <w:pStyle w:val="Heading1"/>
        <w:framePr w:wrap="around"/>
      </w:pPr>
      <w:bookmarkStart w:id="5" w:name="_Toc71710116"/>
      <w:r>
        <w:lastRenderedPageBreak/>
        <w:t>1b: Caesarean sections in primiparae</w:t>
      </w:r>
      <w:bookmarkEnd w:id="5"/>
    </w:p>
    <w:p w14:paraId="20F450E1" w14:textId="77777777" w:rsidR="00D35DE3" w:rsidRDefault="00D35DE3" w:rsidP="003B4F97">
      <w:pPr>
        <w:pStyle w:val="IntroductoryText"/>
      </w:pPr>
      <w:r>
        <w:t>Caesarean sections are vital for the outcome of mothers and babies in some situations. However, they are accompanied by higher morbidity for women and babies, slower recovery, increased risk of placental complications in subsequent births and increased cost to the healthcare system. A caesarean birth for the first baby increases the risk of caesarean birth for subsequent babies.</w:t>
      </w:r>
    </w:p>
    <w:p w14:paraId="419BC67A" w14:textId="101A0047" w:rsidR="00A57505" w:rsidRDefault="00A57505" w:rsidP="003B4F97">
      <w:pPr>
        <w:pStyle w:val="Heading2"/>
      </w:pPr>
      <w:r>
        <w:t>About this indicator</w:t>
      </w:r>
    </w:p>
    <w:p w14:paraId="28CE6154" w14:textId="71302E81" w:rsidR="00A57505" w:rsidRPr="009B3F04" w:rsidRDefault="0039477A" w:rsidP="003B4F97">
      <w:pPr>
        <w:pStyle w:val="Normalfollowingheading"/>
      </w:pPr>
      <w:r w:rsidRPr="009B3F04">
        <w:t>Indicator 1</w:t>
      </w:r>
      <w:r w:rsidR="006E7C7F" w:rsidRPr="009B3F04">
        <w:t>b</w:t>
      </w:r>
      <w:r w:rsidRPr="009B3F04">
        <w:t xml:space="preserve"> measures outcomes for women having their first birth</w:t>
      </w:r>
      <w:r w:rsidR="00352BD2" w:rsidRPr="009B3F04">
        <w:t xml:space="preserve"> (primiparae)</w:t>
      </w:r>
      <w:r w:rsidR="0014024A" w:rsidRPr="009B3F04">
        <w:t xml:space="preserve">, either spontaneous or induced </w:t>
      </w:r>
      <w:r w:rsidR="00314D58" w:rsidRPr="009B3F04">
        <w:t>(</w:t>
      </w:r>
      <w:r w:rsidR="0014024A" w:rsidRPr="009B3F04">
        <w:t xml:space="preserve">but not by </w:t>
      </w:r>
      <w:r w:rsidR="00F2748F" w:rsidRPr="009B3F04">
        <w:t>pre-labour</w:t>
      </w:r>
      <w:r w:rsidR="00314D58" w:rsidRPr="009B3F04">
        <w:t>,</w:t>
      </w:r>
      <w:r w:rsidR="00F2748F" w:rsidRPr="009B3F04">
        <w:t xml:space="preserve"> </w:t>
      </w:r>
      <w:r w:rsidR="0014024A" w:rsidRPr="009B3F04">
        <w:t>caes</w:t>
      </w:r>
      <w:r w:rsidR="00F2748F" w:rsidRPr="009B3F04">
        <w:t>arean section</w:t>
      </w:r>
      <w:r w:rsidR="00314D58" w:rsidRPr="009B3F04">
        <w:t>)</w:t>
      </w:r>
      <w:r w:rsidRPr="009B3F04">
        <w:t xml:space="preserve">. </w:t>
      </w:r>
      <w:r w:rsidR="006E7C7F" w:rsidRPr="009B3F04">
        <w:t>It includes only those that are singleton, presenting head-first, and at least 37 weeks’ gestation.</w:t>
      </w:r>
      <w:r w:rsidRPr="009B3F04">
        <w:t xml:space="preserve"> </w:t>
      </w:r>
      <w:r w:rsidR="00A57505" w:rsidRPr="009B3F04">
        <w:t>The Robson classification system (also known as the 10-group classification) categorises all women into one of 10 groups that are mutually exclusive and exhaustive based on basic obstetric characteristics.</w:t>
      </w:r>
    </w:p>
    <w:p w14:paraId="770D925F" w14:textId="30075FD0" w:rsidR="00BD031C" w:rsidRPr="009B3F04" w:rsidRDefault="00BD031C" w:rsidP="003B4F97">
      <w:pPr>
        <w:pStyle w:val="Bullet1"/>
      </w:pPr>
      <w:r w:rsidRPr="009B3F04">
        <w:rPr>
          <w:rFonts w:ascii="VIC Medium" w:hAnsi="VIC Medium"/>
        </w:rPr>
        <w:t>Indicator 1bi</w:t>
      </w:r>
      <w:r w:rsidRPr="009B3F04">
        <w:t xml:space="preserve"> (Robson group </w:t>
      </w:r>
      <w:r w:rsidR="00EF61CF" w:rsidRPr="009B3F04">
        <w:t xml:space="preserve">1) </w:t>
      </w:r>
      <w:r w:rsidRPr="009B3F04">
        <w:t xml:space="preserve">considers </w:t>
      </w:r>
      <w:r w:rsidR="006E7C7F" w:rsidRPr="009B3F04">
        <w:t xml:space="preserve">the proportion of caesarean sections in </w:t>
      </w:r>
      <w:r w:rsidRPr="009B3F04">
        <w:t>women whose labour commenced spontaneously.</w:t>
      </w:r>
    </w:p>
    <w:p w14:paraId="5EB53927" w14:textId="7485219A" w:rsidR="00BD031C" w:rsidRPr="009B3F04" w:rsidRDefault="00BD031C" w:rsidP="003B4F97">
      <w:pPr>
        <w:pStyle w:val="Bullet1"/>
      </w:pPr>
      <w:r w:rsidRPr="009B3F04">
        <w:rPr>
          <w:rFonts w:ascii="VIC Medium" w:hAnsi="VIC Medium"/>
        </w:rPr>
        <w:t>Indicator 1bii</w:t>
      </w:r>
      <w:r w:rsidRPr="009B3F04">
        <w:t xml:space="preserve"> </w:t>
      </w:r>
      <w:r w:rsidR="00EF61CF" w:rsidRPr="009B3F04">
        <w:t xml:space="preserve">(modified Robson Group 2) </w:t>
      </w:r>
      <w:r w:rsidRPr="009B3F04">
        <w:t xml:space="preserve">considers </w:t>
      </w:r>
      <w:r w:rsidR="006E7C7F" w:rsidRPr="009B3F04">
        <w:t xml:space="preserve">the proportion of caesarean sections in </w:t>
      </w:r>
      <w:r w:rsidRPr="009B3F04">
        <w:t>women whose labour was induced (</w:t>
      </w:r>
      <w:r w:rsidR="00EF61CF" w:rsidRPr="009B3F04">
        <w:t xml:space="preserve">but excludes </w:t>
      </w:r>
      <w:r w:rsidR="00314D58" w:rsidRPr="009B3F04">
        <w:t>those undergoing pre-</w:t>
      </w:r>
      <w:r w:rsidR="002B16F7" w:rsidRPr="009B3F04">
        <w:t>l</w:t>
      </w:r>
      <w:r w:rsidR="00314D58" w:rsidRPr="009B3F04">
        <w:t>abour caesarean</w:t>
      </w:r>
      <w:r w:rsidRPr="009B3F04">
        <w:t>).</w:t>
      </w:r>
    </w:p>
    <w:p w14:paraId="05E8296B" w14:textId="7B62289E" w:rsidR="00A57505" w:rsidRDefault="00A57505" w:rsidP="003B4F97">
      <w:pPr>
        <w:pStyle w:val="Heading2"/>
      </w:pPr>
      <w:r w:rsidRPr="00A57505">
        <w:t>Observations on the data</w:t>
      </w:r>
    </w:p>
    <w:p w14:paraId="10DF52E7" w14:textId="189F5843" w:rsidR="00D35DE3" w:rsidRDefault="00D35DE3" w:rsidP="003B4F97">
      <w:pPr>
        <w:pStyle w:val="Normalfollowingheading"/>
      </w:pPr>
      <w:r>
        <w:t>The statewide rate of primiparae in Robson group 1 who gave birth by caesarean section (</w:t>
      </w:r>
      <w:r w:rsidRPr="00896F4A">
        <w:rPr>
          <w:rFonts w:ascii="VIC Medium" w:hAnsi="VIC Medium"/>
        </w:rPr>
        <w:t>Indicator 1bi</w:t>
      </w:r>
      <w:r>
        <w:t>) was 18.0 per cent. This is slightly higher compared to the rate in 2018 which was 16.7 per cent. The rate was lower across public hospitals (16.9 per cent) than private hospitals (22.0 per cent, p-value &lt;0.001).</w:t>
      </w:r>
    </w:p>
    <w:p w14:paraId="627C28A8" w14:textId="77777777" w:rsidR="00D35DE3" w:rsidRDefault="00D35DE3" w:rsidP="003B4F97">
      <w:r>
        <w:t>The statewide rate of primiparae in modified Robson group 2 who gave birth by caesarean section (</w:t>
      </w:r>
      <w:r w:rsidRPr="007C02B5">
        <w:rPr>
          <w:rFonts w:ascii="VIC Medium" w:hAnsi="VIC Medium"/>
        </w:rPr>
        <w:t>Indicator 1bii</w:t>
      </w:r>
      <w:r>
        <w:t>) was 31.6 per cent and is one percentage point higher compared to the rate in 2018 which was 30.6 per cent. The rate across public hospitals was also lower compared to private hospitals (31.2 and 33.2 per cent respectively, p-value=0.019).</w:t>
      </w:r>
    </w:p>
    <w:p w14:paraId="503097F9" w14:textId="1FFC8124" w:rsidR="00D35DE3" w:rsidRDefault="00D35DE3" w:rsidP="003B4F97">
      <w:r>
        <w:t xml:space="preserve">There was considerable variation between hospitals across the state and within maternity capability levels as shown in </w:t>
      </w:r>
      <w:r w:rsidR="008F2B4A" w:rsidRPr="002F7257">
        <w:rPr>
          <w:b/>
          <w:bCs/>
        </w:rPr>
        <w:t>F</w:t>
      </w:r>
      <w:r w:rsidRPr="002F7257">
        <w:rPr>
          <w:b/>
          <w:bCs/>
        </w:rPr>
        <w:t>igures 5</w:t>
      </w:r>
      <w:r>
        <w:t xml:space="preserve"> </w:t>
      </w:r>
      <w:r w:rsidR="00127401">
        <w:t>and</w:t>
      </w:r>
      <w:r>
        <w:t xml:space="preserve"> </w:t>
      </w:r>
      <w:r w:rsidRPr="002F7257">
        <w:rPr>
          <w:b/>
          <w:bCs/>
        </w:rPr>
        <w:t>6</w:t>
      </w:r>
      <w:r>
        <w:t xml:space="preserve"> (</w:t>
      </w:r>
      <w:r w:rsidR="008F2B4A" w:rsidRPr="002F7257">
        <w:rPr>
          <w:rFonts w:ascii="VIC Medium" w:hAnsi="VIC Medium"/>
        </w:rPr>
        <w:t>I</w:t>
      </w:r>
      <w:r w:rsidRPr="002F7257">
        <w:rPr>
          <w:rFonts w:ascii="VIC Medium" w:hAnsi="VIC Medium"/>
        </w:rPr>
        <w:t>ndicator 1bi</w:t>
      </w:r>
      <w:r>
        <w:t xml:space="preserve">) and </w:t>
      </w:r>
      <w:r w:rsidR="008F2B4A" w:rsidRPr="002F7257">
        <w:rPr>
          <w:b/>
          <w:bCs/>
        </w:rPr>
        <w:t>F</w:t>
      </w:r>
      <w:r w:rsidRPr="002F7257">
        <w:rPr>
          <w:b/>
          <w:bCs/>
        </w:rPr>
        <w:t>igures 7</w:t>
      </w:r>
      <w:r>
        <w:t xml:space="preserve"> </w:t>
      </w:r>
      <w:r w:rsidR="00127401">
        <w:t>and</w:t>
      </w:r>
      <w:r>
        <w:t xml:space="preserve"> </w:t>
      </w:r>
      <w:r w:rsidRPr="002F7257">
        <w:rPr>
          <w:b/>
          <w:bCs/>
        </w:rPr>
        <w:t>8</w:t>
      </w:r>
      <w:r>
        <w:t xml:space="preserve"> (</w:t>
      </w:r>
      <w:r w:rsidR="008F2B4A" w:rsidRPr="002F7257">
        <w:rPr>
          <w:rFonts w:ascii="VIC Medium" w:hAnsi="VIC Medium"/>
        </w:rPr>
        <w:t>I</w:t>
      </w:r>
      <w:r w:rsidRPr="002F7257">
        <w:rPr>
          <w:rFonts w:ascii="VIC Medium" w:hAnsi="VIC Medium"/>
        </w:rPr>
        <w:t>ndicator 1bii</w:t>
      </w:r>
      <w:r>
        <w:t>).</w:t>
      </w:r>
    </w:p>
    <w:p w14:paraId="18E384F0" w14:textId="77777777" w:rsidR="00A57505" w:rsidRDefault="00A57505" w:rsidP="003B4F97">
      <w:pPr>
        <w:rPr>
          <w:rFonts w:ascii="VIC SemiBold" w:hAnsi="VIC SemiBold"/>
          <w:color w:val="007586" w:themeColor="text2"/>
          <w:spacing w:val="2"/>
          <w:szCs w:val="18"/>
          <w:lang w:val="en-GB" w:eastAsia="en-AU"/>
        </w:rPr>
      </w:pPr>
      <w:r>
        <w:br w:type="page"/>
      </w:r>
    </w:p>
    <w:p w14:paraId="5FC47AAA" w14:textId="78F0DE7C" w:rsidR="00D35DE3" w:rsidRDefault="00D35DE3" w:rsidP="003B4F97">
      <w:pPr>
        <w:pStyle w:val="Tablechartdiagramheading"/>
      </w:pPr>
      <w:r>
        <w:lastRenderedPageBreak/>
        <w:t>Figure 5</w:t>
      </w:r>
      <w:r w:rsidDel="008F2B4A">
        <w:t>.</w:t>
      </w:r>
      <w:r>
        <w:t xml:space="preserve"> Indicator 1bi: Rate of caesarean section in Robson </w:t>
      </w:r>
      <w:r w:rsidRPr="00A57505">
        <w:t>group</w:t>
      </w:r>
      <w:r>
        <w:t xml:space="preserve"> 1, 2019</w:t>
      </w:r>
    </w:p>
    <w:p w14:paraId="0FA2C6CB" w14:textId="686A8212" w:rsidR="00D35DE3" w:rsidRDefault="006A160F" w:rsidP="003B4F97">
      <w:r w:rsidRPr="005A5A79">
        <mc:AlternateContent>
          <mc:Choice Requires="wps">
            <w:drawing>
              <wp:anchor distT="0" distB="0" distL="114300" distR="114300" simplePos="0" relativeHeight="251658244" behindDoc="0" locked="0" layoutInCell="1" allowOverlap="1" wp14:anchorId="6470F238" wp14:editId="461B0AD7">
                <wp:simplePos x="0" y="0"/>
                <wp:positionH relativeFrom="column">
                  <wp:posOffset>1802765</wp:posOffset>
                </wp:positionH>
                <wp:positionV relativeFrom="paragraph">
                  <wp:posOffset>158750</wp:posOffset>
                </wp:positionV>
                <wp:extent cx="1346200" cy="6911975"/>
                <wp:effectExtent l="0" t="0" r="6350" b="3175"/>
                <wp:wrapNone/>
                <wp:docPr id="45" name="Rectangle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46200" cy="6911975"/>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18E9EF" id="Rectangle 45" o:spid="_x0000_s1026" style="position:absolute;margin-left:141.95pt;margin-top:12.5pt;width:106pt;height:544.2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awtqQIAAKkFAAAOAAAAZHJzL2Uyb0RvYy54bWysVMFu2zAMvQ/YPwi6r7azJG2COkXQosOA&#10;oi3aDj0rshQbkEVNUuJkXz9Kst2g6y7DclAokXwkn0leXh1aRfbCugZ0SYuznBKhOVSN3pb0x8vt&#10;lwtKnGe6Ygq0KOlROHq1+vzpsjNLMYEaVCUsQRDtlp0pae29WWaZ47VomTsDIzQqJdiWebzabVZZ&#10;1iF6q7JJns+zDmxlLHDhHL7eJCVdRXwpBfcPUjrhiSop5ubjaeO5CWe2umTLrWWmbnifBvuHLFrW&#10;aAw6Qt0wz8jONn9AtQ234ED6Mw5tBlI2XMQasJoif1fNc82MiLUgOc6MNLn/B8vv94+WNFVJpzNK&#10;NGvxGz0ha0xvlSD4hgR1xi3R7tk82v7mUAzVHqRtwz/WQQ6R1ONIqjh4wvGx+Dqd45eihKNuviiK&#10;xXlEzd7cjXX+m4CWBKGkFuNHMtn+znkMiaaDSYjmQDXVbaNUvNjt5lpZsmf4hReTm3yWJ19lapZe&#10;i7xYzEMhiOOSeZJPcZQOaBoCbjINL1moPVUbJX9UItgp/SQk0ob1TWK42LBiTIRxLrQvkqpmlUiZ&#10;zHL8DZmEFg8eMZcIGJAlxh+xe4DBMoEM2CnL3j64itjvo3Pi4S+JJefRI0YG7UfnttFgP6pMYVV9&#10;5GQ/kJSoCSxtoDpiU1lI0+YMv23ww94x5x+ZxfHCZsCV4R/wkAq6kkIvUVKD/fXRe7DHrkctJR2O&#10;a0ndzx2zghL1XeM8LIrpNMx3vExn5xO82FPN5lSjd+01YL8UuJwMj2Kw92oQpYX2FTfLOkRFFdMc&#10;Y5eUeztcrn1aI7ibuFivoxnOtGH+Tj8bHsADq6FxXw6vzJq+uz0Oxj0Mo82W75o82QZPDeudB9nE&#10;CXjjtecb90FsnH53hYVzeo9Wbxt29RsAAP//AwBQSwMEFAAGAAgAAAAhAMMvTy3gAAAACwEAAA8A&#10;AABkcnMvZG93bnJldi54bWxMj8FOwzAQRO9I/IO1SNyok7ZGTYhTIRCRKjhA4QPceElS4nWI3Tb9&#10;e5YT3HZ3nmZnivXkenHEMXSeNKSzBARS7W1HjYaP96ebFYgQDVnTe0INZwywLi8vCpNbf6I3PG5j&#10;I9iEQm40tDEOuZShbtGZMPMDEmuffnQm8jo20o7mxOaul/MkuZXOdMQfWjPgQ4v11/bgNCxfHvde&#10;DmqvGpdVr9/Pm3NVbbS+vpru70BEnOIfDL/xOTqUnGnnD2SD6DXMV4uMUR4Ud2JgmSk+7JhM04UC&#10;WRbyf4fyBwAA//8DAFBLAQItABQABgAIAAAAIQC2gziS/gAAAOEBAAATAAAAAAAAAAAAAAAAAAAA&#10;AABbQ29udGVudF9UeXBlc10ueG1sUEsBAi0AFAAGAAgAAAAhADj9If/WAAAAlAEAAAsAAAAAAAAA&#10;AAAAAAAALwEAAF9yZWxzLy5yZWxzUEsBAi0AFAAGAAgAAAAhAFMZrC2pAgAAqQUAAA4AAAAAAAAA&#10;AAAAAAAALgIAAGRycy9lMm9Eb2MueG1sUEsBAi0AFAAGAAgAAAAhAMMvTy3gAAAACwEAAA8AAAAA&#10;AAAAAAAAAAAAAwUAAGRycy9kb3ducmV2LnhtbFBLBQYAAAAABAAEAPMAAAAQBgAAAAA=&#10;" fillcolor="#92d050" stroked="f" strokeweight="2pt">
                <v:fill opacity="6682f"/>
              </v:rect>
            </w:pict>
          </mc:Fallback>
        </mc:AlternateContent>
      </w:r>
      <w:r w:rsidRPr="005A5A79">
        <mc:AlternateContent>
          <mc:Choice Requires="wps">
            <w:drawing>
              <wp:anchor distT="0" distB="0" distL="114300" distR="114300" simplePos="0" relativeHeight="251658245" behindDoc="0" locked="0" layoutInCell="1" allowOverlap="1" wp14:anchorId="67BEB494" wp14:editId="198D2D8A">
                <wp:simplePos x="0" y="0"/>
                <wp:positionH relativeFrom="column">
                  <wp:posOffset>3997325</wp:posOffset>
                </wp:positionH>
                <wp:positionV relativeFrom="paragraph">
                  <wp:posOffset>158750</wp:posOffset>
                </wp:positionV>
                <wp:extent cx="2425700" cy="6911975"/>
                <wp:effectExtent l="0" t="0" r="0" b="3175"/>
                <wp:wrapNone/>
                <wp:docPr id="46" name="Rectangle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5700" cy="6911975"/>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234E87" id="Rectangle 46" o:spid="_x0000_s1026" style="position:absolute;margin-left:314.75pt;margin-top:12.5pt;width:191pt;height:544.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o+pQIAAKkFAAAOAAAAZHJzL2Uyb0RvYy54bWysVMFu2zAMvQ/YPwi6r7aDpF2COkXQIsOA&#10;oivaDj0rshQbkERNUuJkXz9Kctyu7WlYDoooko/kM8nLq4NWZC+c78DUtDorKRGGQ9OZbU1/Pq2/&#10;fKXEB2YapsCImh6Fp1fLz58ue7sQE2hBNcIRBDF+0duatiHYRVF43grN/BlYYVApwWkWUHTbonGs&#10;R3StiklZnhc9uMY64MJ7fL3JSrpM+FIKHn5I6UUgqqaYW0inS+cmnsXyki22jtm240Ma7B+y0Kwz&#10;GHSEumGBkZ3r3kHpjjvwIMMZB12AlB0XqQaspirfVPPYMitSLUiOtyNN/v/B8rv9vSNdU9PpOSWG&#10;afxGD8gaM1slCL4hQb31C7R7tPdukDxeY7UH6XT8xzrIIZF6HEkVh0A4Pk6mk9lFidxz1J3Pq2p+&#10;MYuoxYu7dT58E6BJvNTUYfxEJtvf+pBNTyYxmgfVNetOqSS47eZaObJn+IXX6xJ/2VfZluXXqqzm&#10;qRAM6bN5Cv8XjjIRzUDEzSHjSxFrz9WmWzgqEe2UeRASaYv1pXCpYcWYCONcmFBlVcsakTOZpfQy&#10;/OiRckmAEVli/BF7AIjD8B47wwz20VWkfh+dMw9jmJzBKbHsPHqkyGDC6Kw7A+6jyhRWNUTO9ieS&#10;MjWRpQ00R2wqB3navOXrDj/sLfPhnjkcL2wGXBnhBx5SQV9TGG6UtOB+f/Qe7bHrUUtJj+NaU/9r&#10;x5ygRH03OA/zajqN852E6exigoJ7rdm81pidvgbslwqXk+XpGu2DOl2lA/2Mm2UVo6KKGY6xa8qD&#10;OwnXIa8R3E1crFbJDGfasnBrHi2P4JHV2LhPh2fm7NDdAQfjDk6jzRZvmjzbRk8Dq10A2aUJeOF1&#10;4Bv3QWqcYXfFhfNaTlYvG3b5BwAA//8DAFBLAwQUAAYACAAAACEATvYV7d8AAAAMAQAADwAAAGRy&#10;cy9kb3ducmV2LnhtbEyPQU/DMAyF70j8h8hI3FjaolZQmk4IBLuygSaOWWPaQuNUSba2/x7vBDfb&#10;7+n5e9V6toM4oQ+9IwXpKgGB1DjTU6vg4/3l5g5EiJqMHhyhggUDrOvLi0qXxk20xdMutoJDKJRa&#10;QRfjWEoZmg6tDis3IrH25bzVkVffSuP1xOF2kFmSFNLqnvhDp0d86rD52R2tguYz7N+2cfP83dLy&#10;WkzT3m+WTKnrq/nxAUTEOf6Z4YzP6FAz08EdyQQxKCiy+5ytCrKcO50NSZry5cBTmt7mIOtK/i9R&#10;/wIAAP//AwBQSwECLQAUAAYACAAAACEAtoM4kv4AAADhAQAAEwAAAAAAAAAAAAAAAAAAAAAAW0Nv&#10;bnRlbnRfVHlwZXNdLnhtbFBLAQItABQABgAIAAAAIQA4/SH/1gAAAJQBAAALAAAAAAAAAAAAAAAA&#10;AC8BAABfcmVscy8ucmVsc1BLAQItABQABgAIAAAAIQDRWLo+pQIAAKkFAAAOAAAAAAAAAAAAAAAA&#10;AC4CAABkcnMvZTJvRG9jLnhtbFBLAQItABQABgAIAAAAIQBO9hXt3wAAAAwBAAAPAAAAAAAAAAAA&#10;AAAAAP8EAABkcnMvZG93bnJldi54bWxQSwUGAAAAAAQABADzAAAACwYAAAAA&#10;" fillcolor="red" stroked="f" strokeweight="2pt">
                <v:fill opacity="6682f"/>
              </v:rect>
            </w:pict>
          </mc:Fallback>
        </mc:AlternateContent>
      </w:r>
      <w:r w:rsidR="00D35DE3">
        <w:drawing>
          <wp:inline distT="0" distB="0" distL="0" distR="0" wp14:anchorId="72B116F6" wp14:editId="1896DDCC">
            <wp:extent cx="6480000" cy="7200000"/>
            <wp:effectExtent l="0" t="0" r="0" b="1270"/>
            <wp:docPr id="1" name="Chart 1" descr="This bar graph shows the rates of caesarean section at each hospital in women in Robson group 1, whose labour started spontaneously. A larger proportion of private than public hospitals had rates that fell into the least favourable 25% of hospitals.">
              <a:extLst xmlns:a="http://schemas.openxmlformats.org/drawingml/2006/main">
                <a:ext uri="{FF2B5EF4-FFF2-40B4-BE49-F238E27FC236}">
                  <a16:creationId xmlns:a16="http://schemas.microsoft.com/office/drawing/2014/main" id="{1F10C4B4-5024-4095-B4C3-19DF87D98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517D172" w14:textId="77777777" w:rsidR="00A57505" w:rsidRDefault="00A57505" w:rsidP="003B4F97">
      <w:pPr>
        <w:rPr>
          <w:rFonts w:ascii="VIC SemiBold" w:hAnsi="VIC SemiBold"/>
          <w:color w:val="007586" w:themeColor="text2"/>
          <w:spacing w:val="2"/>
          <w:szCs w:val="18"/>
          <w:lang w:val="en-GB" w:eastAsia="en-AU"/>
        </w:rPr>
      </w:pPr>
      <w:r>
        <w:br w:type="page"/>
      </w:r>
    </w:p>
    <w:p w14:paraId="4274C844" w14:textId="1B163596" w:rsidR="005A5A79" w:rsidRPr="004407DA" w:rsidRDefault="005A5A79" w:rsidP="00A60C18">
      <w:pPr>
        <w:pStyle w:val="Tablechartdiagramheading"/>
        <w:spacing w:before="0" w:after="0"/>
      </w:pPr>
      <w:r w:rsidRPr="009C58E7">
        <w:lastRenderedPageBreak/>
        <w:t xml:space="preserve">Figure </w:t>
      </w:r>
      <w:r>
        <w:t>6</w:t>
      </w:r>
      <w:r w:rsidRPr="00994C5C" w:rsidDel="008F2B4A">
        <w:t>.</w:t>
      </w:r>
      <w:r w:rsidRPr="00994C5C">
        <w:t xml:space="preserve"> Funnel plot of </w:t>
      </w:r>
      <w:r>
        <w:t>the rate of caesarean section in Robson group 1</w:t>
      </w:r>
      <w:r w:rsidRPr="00994C5C">
        <w:t>, 201</w:t>
      </w:r>
      <w:r>
        <w:t>9</w:t>
      </w:r>
    </w:p>
    <w:p w14:paraId="1533A462" w14:textId="77777777" w:rsidR="005A5A79" w:rsidRDefault="005A5A79" w:rsidP="00A60C18">
      <w:pPr>
        <w:spacing w:before="0"/>
      </w:pPr>
      <w:r>
        <w:drawing>
          <wp:inline distT="0" distB="0" distL="0" distR="0" wp14:anchorId="7936089B" wp14:editId="285C4763">
            <wp:extent cx="4962110" cy="3564000"/>
            <wp:effectExtent l="0" t="0" r="0" b="0"/>
            <wp:docPr id="28" name="Picture 28" descr="This funnel plot shows the distribution of caesarean rates across hospitals in women in Robson Group 1, whose labour started spontaneously. More private than public hospitals had rates that were significantly above average and more public than private hospitals had rates that were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unnel plot shows the distribution of caesarean rates across hospitals in women in Robson Group 1, whose labour started spontaneously. More private than public hospitals had rates that were significantly above average and more public than private hospitals had rates that were significantly lower."/>
                    <pic:cNvPicPr/>
                  </pic:nvPicPr>
                  <pic:blipFill rotWithShape="1">
                    <a:blip r:embed="rId28">
                      <a:extLst>
                        <a:ext uri="{28A0092B-C50C-407E-A947-70E740481C1C}">
                          <a14:useLocalDpi xmlns:a14="http://schemas.microsoft.com/office/drawing/2010/main" val="0"/>
                        </a:ext>
                      </a:extLst>
                    </a:blip>
                    <a:srcRect t="5421"/>
                    <a:stretch/>
                  </pic:blipFill>
                  <pic:spPr bwMode="auto">
                    <a:xfrm>
                      <a:off x="0" y="0"/>
                      <a:ext cx="4962110" cy="3564000"/>
                    </a:xfrm>
                    <a:prstGeom prst="rect">
                      <a:avLst/>
                    </a:prstGeom>
                    <a:ln>
                      <a:noFill/>
                    </a:ln>
                    <a:extLst>
                      <a:ext uri="{53640926-AAD7-44D8-BBD7-CCE9431645EC}">
                        <a14:shadowObscured xmlns:a14="http://schemas.microsoft.com/office/drawing/2010/main"/>
                      </a:ext>
                    </a:extLst>
                  </pic:spPr>
                </pic:pic>
              </a:graphicData>
            </a:graphic>
          </wp:inline>
        </w:drawing>
      </w:r>
    </w:p>
    <w:p w14:paraId="02CB0BB2" w14:textId="5D16834E" w:rsidR="005A5A79" w:rsidRPr="005036AA" w:rsidRDefault="005A5A79" w:rsidP="00A60C18">
      <w:pPr>
        <w:pStyle w:val="Tablechartdiagramheading"/>
        <w:spacing w:before="0" w:after="0"/>
      </w:pPr>
      <w:r w:rsidRPr="009C58E7">
        <w:t xml:space="preserve">Figure </w:t>
      </w:r>
      <w:r w:rsidR="00A05477">
        <w:t>7</w:t>
      </w:r>
      <w:r w:rsidRPr="00994C5C" w:rsidDel="008F2B4A">
        <w:t>.</w:t>
      </w:r>
      <w:r w:rsidRPr="00994C5C">
        <w:t xml:space="preserve"> Funnel plot of </w:t>
      </w:r>
      <w:r>
        <w:t>the rate of caesarean section in modified Robson group 2</w:t>
      </w:r>
      <w:r w:rsidRPr="00994C5C">
        <w:t>, 201</w:t>
      </w:r>
      <w:r>
        <w:t>9</w:t>
      </w:r>
    </w:p>
    <w:p w14:paraId="428C595F" w14:textId="5E9EC8A8" w:rsidR="005A5A79" w:rsidRDefault="005A5A79" w:rsidP="00A60C18">
      <w:pPr>
        <w:spacing w:before="0"/>
      </w:pPr>
      <w:r>
        <w:drawing>
          <wp:inline distT="0" distB="0" distL="0" distR="0" wp14:anchorId="1D4D63B6" wp14:editId="15D4CCD6">
            <wp:extent cx="4950759" cy="3600000"/>
            <wp:effectExtent l="0" t="0" r="2540" b="635"/>
            <wp:docPr id="30" name="Picture 30" descr="This funnel plot shows the distribution of caesarean rates across hospitals in women in modified Robson Group 2, whose labour was induced. Two public and two private hospitals had rates that were statistically higher than average, and more public than private hospitals had rates that were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is funnel plot shows the distribution of caesarean rates across hospitals in women in modified Robson Group 2, whose labour was induced. Two public and two private hospitals had rates that were statistically higher than average, and more public than private hospitals had rates that were significantly lower."/>
                    <pic:cNvPicPr/>
                  </pic:nvPicPr>
                  <pic:blipFill rotWithShape="1">
                    <a:blip r:embed="rId29">
                      <a:extLst>
                        <a:ext uri="{28A0092B-C50C-407E-A947-70E740481C1C}">
                          <a14:useLocalDpi xmlns:a14="http://schemas.microsoft.com/office/drawing/2010/main" val="0"/>
                        </a:ext>
                      </a:extLst>
                    </a:blip>
                    <a:srcRect t="4751"/>
                    <a:stretch/>
                  </pic:blipFill>
                  <pic:spPr bwMode="auto">
                    <a:xfrm>
                      <a:off x="0" y="0"/>
                      <a:ext cx="4950759" cy="3600000"/>
                    </a:xfrm>
                    <a:prstGeom prst="rect">
                      <a:avLst/>
                    </a:prstGeom>
                    <a:ln>
                      <a:noFill/>
                    </a:ln>
                    <a:extLst>
                      <a:ext uri="{53640926-AAD7-44D8-BBD7-CCE9431645EC}">
                        <a14:shadowObscured xmlns:a14="http://schemas.microsoft.com/office/drawing/2010/main"/>
                      </a:ext>
                    </a:extLst>
                  </pic:spPr>
                </pic:pic>
              </a:graphicData>
            </a:graphic>
          </wp:inline>
        </w:drawing>
      </w:r>
    </w:p>
    <w:p w14:paraId="5A5AA57E"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2196DF4F" w14:textId="23451ABD" w:rsidR="005A5A79" w:rsidRPr="00882A45" w:rsidRDefault="005A5A79" w:rsidP="003B4F97">
      <w:pPr>
        <w:pStyle w:val="Tablechartdiagramheading"/>
      </w:pPr>
      <w:r w:rsidRPr="00882A45">
        <w:lastRenderedPageBreak/>
        <w:t xml:space="preserve">Figure </w:t>
      </w:r>
      <w:r w:rsidR="00A05477">
        <w:t>8.</w:t>
      </w:r>
      <w:r w:rsidRPr="00882A45">
        <w:t xml:space="preserve"> Indicator 1bii: </w:t>
      </w:r>
      <w:r>
        <w:t>R</w:t>
      </w:r>
      <w:r w:rsidRPr="00882A45">
        <w:t>ate of caesarean section in modified Robson group 2</w:t>
      </w:r>
      <w:r>
        <w:t>,</w:t>
      </w:r>
      <w:r w:rsidRPr="00882A45">
        <w:t xml:space="preserve"> 201</w:t>
      </w:r>
      <w:r>
        <w:t>9</w:t>
      </w:r>
    </w:p>
    <w:p w14:paraId="34018C6D" w14:textId="632FEBF5" w:rsidR="005A5A79" w:rsidRDefault="00E56AF7" w:rsidP="003B4F97">
      <w:r w:rsidRPr="005A5A79">
        <mc:AlternateContent>
          <mc:Choice Requires="wps">
            <w:drawing>
              <wp:anchor distT="0" distB="0" distL="114300" distR="114300" simplePos="0" relativeHeight="251658247" behindDoc="0" locked="0" layoutInCell="1" allowOverlap="1" wp14:anchorId="7777F6EA" wp14:editId="68128005">
                <wp:simplePos x="0" y="0"/>
                <wp:positionH relativeFrom="column">
                  <wp:posOffset>4180471</wp:posOffset>
                </wp:positionH>
                <wp:positionV relativeFrom="paragraph">
                  <wp:posOffset>167079</wp:posOffset>
                </wp:positionV>
                <wp:extent cx="2196000" cy="6825482"/>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96000" cy="6825482"/>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9EBCE0" id="Rectangle 49" o:spid="_x0000_s1026" style="position:absolute;margin-left:329.15pt;margin-top:13.15pt;width:172.9pt;height:537.4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Z6DowIAAKkFAAAOAAAAZHJzL2Uyb0RvYy54bWysVN9P3DAMfp+0/yHK+2h7Ohic6KET6KZJ&#10;iCFg4jmXJtdKaZw5uV/76+ckvcKAp2kvaRzbn+2vti+v9r1hW4W+A1vz6qTkTFkJTWfXNf/5tPxy&#10;zpkPwjbCgFU1PyjPr+afP13u3ExNoAXTKGQEYv1s52rehuBmReFlq3rhT8ApS0oN2ItAIq6LBsWO&#10;0HtTTMryrNgBNg5BKu/p9SYr+Tzha61k+KG1V4GZmlNuIZ2YzlU8i/mlmK1RuLaTQxriH7LoRWcp&#10;6Ah1I4JgG+zeQfWdRPCgw4mEvgCtO6lSDVRNVb6p5rEVTqVaiBzvRpr8/4OVd9t7ZF1T8+kFZ1b0&#10;9I8eiDVh10YxeiOCds7PyO7R3eMgebrGavca+/ilOtg+kXoYSVX7wCQ9TqqLs7Ik7iXpzs4np9Pz&#10;SUQtXtwd+vBNQc/ipeZI8ROZYnvrQzY9msRoHkzXLDtjkoDr1bVBthX0h5dLilRmX+NakV+rklIY&#10;QvpsnsL/hWNsRLMQcXPI+FLE2nO16RYORkU7Yx+UJtpifSlcalg1JiKkVDZUWdWKRuVMTlN6GX70&#10;SLkkwIisKf6IPQDEYXiPnWEG++iqUr+PzpmHMUzO4JhYdh49UmSwYXTuOwv4UWWGqhoiZ/sjSZma&#10;yNIKmgM1FUKeNu/ksqMfeyt8uBdI40XNQCsj/KBDG9jVHIYbZy3g74/eoz11PWk529G41tz/2ghU&#10;nJnvlubhoppO43wnYXr6dUICvtasXmvspr8G6peKlpOT6RrtgzleNUL/TJtlEaOSSlhJsWsuAx6F&#10;65DXCO0mqRaLZEYz7US4tY9ORvDIamzcp/2zQDd0d6DBuIPjaIvZmybPttHTwmITQHdpAl54Hfim&#10;fZAaZ9hdceG8lpPVy4ad/wEAAP//AwBQSwMEFAAGAAgAAAAhAHTRzhTfAAAADAEAAA8AAABkcnMv&#10;ZG93bnJldi54bWxMj8FOwzAMhu9IvENkJG4saYFq6ppOCAS7soEmjlnjtYXGqZpsbd8e7wQn2/Kn&#10;35+L9eQ6ccYhtJ40JAsFAqnytqVaw+fH690SRIiGrOk8oYYZA6zL66vC5NaPtMXzLtaCQyjkRkMT&#10;Y59LGaoGnQkL3yPx7ugHZyKPQy3tYEYOd51MlcqkMy3xhcb0+Nxg9bM7OQ3VV9i/b+Pm5bum+S0b&#10;x/2wmVOtb2+mpxWIiFP8g+Giz+pQstPBn8gG0WnIHpf3jGpIM64XQKmHBMSBu0QlKciykP+fKH8B&#10;AAD//wMAUEsBAi0AFAAGAAgAAAAhALaDOJL+AAAA4QEAABMAAAAAAAAAAAAAAAAAAAAAAFtDb250&#10;ZW50X1R5cGVzXS54bWxQSwECLQAUAAYACAAAACEAOP0h/9YAAACUAQAACwAAAAAAAAAAAAAAAAAv&#10;AQAAX3JlbHMvLnJlbHNQSwECLQAUAAYACAAAACEAzi2eg6MCAACpBQAADgAAAAAAAAAAAAAAAAAu&#10;AgAAZHJzL2Uyb0RvYy54bWxQSwECLQAUAAYACAAAACEAdNHOFN8AAAAMAQAADwAAAAAAAAAAAAAA&#10;AAD9BAAAZHJzL2Rvd25yZXYueG1sUEsFBgAAAAAEAAQA8wAAAAkGAAAAAA==&#10;" fillcolor="red" stroked="f" strokeweight="2pt">
                <v:fill opacity="6682f"/>
              </v:rect>
            </w:pict>
          </mc:Fallback>
        </mc:AlternateContent>
      </w:r>
      <w:r w:rsidRPr="005A5A79">
        <mc:AlternateContent>
          <mc:Choice Requires="wps">
            <w:drawing>
              <wp:anchor distT="0" distB="0" distL="114300" distR="114300" simplePos="0" relativeHeight="251658246" behindDoc="0" locked="0" layoutInCell="1" allowOverlap="1" wp14:anchorId="15726AEA" wp14:editId="2883EC71">
                <wp:simplePos x="0" y="0"/>
                <wp:positionH relativeFrom="column">
                  <wp:posOffset>2085857</wp:posOffset>
                </wp:positionH>
                <wp:positionV relativeFrom="paragraph">
                  <wp:posOffset>167079</wp:posOffset>
                </wp:positionV>
                <wp:extent cx="1485900" cy="6825482"/>
                <wp:effectExtent l="0" t="0" r="0" b="0"/>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5900" cy="6825482"/>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7F7BF" id="Rectangle 48" o:spid="_x0000_s1026" style="position:absolute;margin-left:164.25pt;margin-top:13.15pt;width:117pt;height:537.4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aX4qAIAAKkFAAAOAAAAZHJzL2Uyb0RvYy54bWysVE1v2zAMvQ/YfxB0X/2BpEuCOkXQosOA&#10;oivaDj0rshQbkEVNUuJkv36UZLtd112G5aCIIvlIPpO8uDx2ihyEdS3oihZnOSVCc6hbvavo96eb&#10;TwtKnGe6Zgq0qOhJOHq5/vjhojcrUUIDqhaWIIh2q95UtPHerLLM8UZ0zJ2BERqVEmzHPIp2l9WW&#10;9YjeqazM8/OsB1sbC1w4h6/XSUnXEV9Kwf03KZ3wRFUUc/PxtPHchjNbX7DVzjLTtHxIg/1DFh1r&#10;NQadoK6ZZ2Rv2z+gupZbcCD9GYcuAylbLmINWE2Rv6nmsWFGxFqQHGcmmtz/g+V3h3tL2rqiM/xS&#10;mnX4jR6QNaZ3ShB8Q4J641Zo92ju7SA5vIZqj9J24R/rIMdI6mkiVRw94fhYzBbzZY7cc9SdL8r5&#10;bFEG1OzF3VjnvwjoSLhU1GL8SCY73DqfTEeTEM2BauubVqko2N32SllyYPiFl+V1Ps+TrzINS69F&#10;XizPh5Aumcfwv+EoHdA0BNwUMrxkofZUbbz5kxLBTukHIZE2rK+M4WLDiikRxrnQvkiqhtUiZTLP&#10;8TdmElo8eMRcImBAlhh/wh4ARssEMmKnLAf74Cpiv0/OiYe/JJacJ48YGbSfnLtWg32vMoVVDZGT&#10;/UhSoiawtIX6hE1lIU2bM/ymxQ97y5y/ZxbHC5sBV4b/hodU0FcUhhslDdif770He+x61FLS47hW&#10;1P3YMysoUV81zsOymM3CfEdhNv9comBfa7avNXrfXQH2S4HLyfB4DfZejVdpoXvGzbIJUVHFNMfY&#10;FeXejsKVT2sEdxMXm000w5k2zN/qR8MDeGA1NO7T8ZlZM3S3x8G4g3G02epNkyfb4Klhs/cg2zgB&#10;L7wOfOM+iI0z7K6wcF7L0eplw65/AQAA//8DAFBLAwQUAAYACAAAACEAQP5JpuEAAAALAQAADwAA&#10;AGRycy9kb3ducmV2LnhtbEyPwU7DMAyG70i8Q2QkbixtR6utNJ0QiEoTO8DYA2SNaTsapzTZ1r09&#10;5gRH259+f3+xmmwvTjj6zpGCeBaBQKqd6ahRsPt4uVuA8EGT0b0jVHBBD6vy+qrQuXFnesfTNjSC&#10;Q8jnWkEbwpBL6esWrfYzNyDx7dONVgcex0aaUZ853PYyiaJMWt0Rf2j1gE8t1l/bo1Vwv3k+ODmk&#10;h7Sxy+rt+3V9qaq1Urc30+MDiIBT+IPhV5/VoWSnvTuS8aJXME8WKaMKkmwOgoE0S3ixZzKO4gRk&#10;Wcj/HcofAAAA//8DAFBLAQItABQABgAIAAAAIQC2gziS/gAAAOEBAAATAAAAAAAAAAAAAAAAAAAA&#10;AABbQ29udGVudF9UeXBlc10ueG1sUEsBAi0AFAAGAAgAAAAhADj9If/WAAAAlAEAAAsAAAAAAAAA&#10;AAAAAAAALwEAAF9yZWxzLy5yZWxzUEsBAi0AFAAGAAgAAAAhACDBpfioAgAAqQUAAA4AAAAAAAAA&#10;AAAAAAAALgIAAGRycy9lMm9Eb2MueG1sUEsBAi0AFAAGAAgAAAAhAED+SabhAAAACwEAAA8AAAAA&#10;AAAAAAAAAAAAAgUAAGRycy9kb3ducmV2LnhtbFBLBQYAAAAABAAEAPMAAAAQBgAAAAA=&#10;" fillcolor="#92d050" stroked="f" strokeweight="2pt">
                <v:fill opacity="6682f"/>
              </v:rect>
            </w:pict>
          </mc:Fallback>
        </mc:AlternateContent>
      </w:r>
      <w:r w:rsidR="005A5A79">
        <w:drawing>
          <wp:inline distT="0" distB="0" distL="0" distR="0" wp14:anchorId="3A750A50" wp14:editId="4CA596EB">
            <wp:extent cx="6480000" cy="7200000"/>
            <wp:effectExtent l="0" t="0" r="0" b="1270"/>
            <wp:docPr id="17" name="Chart 17" descr="This bar graph shows the rates at each hospital and statewide of caesarean section in women in modified Robson Group 2, whose labour was induced. A larger proportion of private than public hospitals had rates that fell into the least favourable 25% of hospitals.">
              <a:extLst xmlns:a="http://schemas.openxmlformats.org/drawingml/2006/main">
                <a:ext uri="{FF2B5EF4-FFF2-40B4-BE49-F238E27FC236}">
                  <a16:creationId xmlns:a16="http://schemas.microsoft.com/office/drawing/2014/main" id="{A07FC552-7207-48BE-9730-16BA4642B9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3ACAE4C" w14:textId="77777777" w:rsidR="00A57505" w:rsidRDefault="00A57505" w:rsidP="003B4F97">
      <w:pPr>
        <w:rPr>
          <w:rFonts w:ascii="VIC SemiBold" w:hAnsi="VIC SemiBold"/>
          <w:color w:val="007586" w:themeColor="text2"/>
          <w:spacing w:val="2"/>
          <w:szCs w:val="18"/>
          <w:lang w:val="en-GB" w:eastAsia="en-AU"/>
        </w:rPr>
      </w:pPr>
      <w:r>
        <w:br w:type="page"/>
      </w:r>
    </w:p>
    <w:p w14:paraId="662FAB8D" w14:textId="00664D07" w:rsidR="00E56AF7" w:rsidRDefault="00E56AF7" w:rsidP="003B4F97">
      <w:pPr>
        <w:pStyle w:val="Tablechartdiagramheading"/>
      </w:pPr>
      <w:r w:rsidRPr="003D631E">
        <w:t>Table 2</w:t>
      </w:r>
      <w:r w:rsidRPr="003D631E" w:rsidDel="008F2B4A">
        <w:t>.</w:t>
      </w:r>
      <w:r w:rsidRPr="003D631E">
        <w:t xml:space="preserve"> Rate of caesarean section in Robson groups 1 and 2</w:t>
      </w:r>
      <w:r>
        <w:t>, 2016</w:t>
      </w:r>
      <w:r w:rsidR="005823FE">
        <w:t>–</w:t>
      </w:r>
      <w:r>
        <w:t>19</w:t>
      </w:r>
    </w:p>
    <w:tbl>
      <w:tblPr>
        <w:tblStyle w:val="TableGrid"/>
        <w:tblW w:w="10206" w:type="dxa"/>
        <w:tblLook w:val="04A0" w:firstRow="1" w:lastRow="0" w:firstColumn="1" w:lastColumn="0" w:noHBand="0" w:noVBand="1"/>
      </w:tblPr>
      <w:tblGrid>
        <w:gridCol w:w="1134"/>
        <w:gridCol w:w="1134"/>
        <w:gridCol w:w="1134"/>
        <w:gridCol w:w="1134"/>
        <w:gridCol w:w="1134"/>
        <w:gridCol w:w="1134"/>
        <w:gridCol w:w="1134"/>
        <w:gridCol w:w="1134"/>
        <w:gridCol w:w="1134"/>
      </w:tblGrid>
      <w:tr w:rsidR="002A3CE9" w14:paraId="56D4C9DB"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DD51F88" w14:textId="77777777" w:rsidR="00E56AF7" w:rsidRDefault="00E56AF7" w:rsidP="003B4F97">
            <w:pPr>
              <w:rPr>
                <w:lang w:eastAsia="en-AU"/>
              </w:rPr>
            </w:pPr>
          </w:p>
        </w:tc>
        <w:tc>
          <w:tcPr>
            <w:tcW w:w="340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427800C" w14:textId="77777777" w:rsidR="00E56AF7" w:rsidRDefault="00E56AF7" w:rsidP="003B4F97">
            <w:pPr>
              <w:cnfStyle w:val="100000000000" w:firstRow="1" w:lastRow="0" w:firstColumn="0" w:lastColumn="0" w:oddVBand="0" w:evenVBand="0" w:oddHBand="0" w:evenHBand="0" w:firstRowFirstColumn="0" w:firstRowLastColumn="0" w:lastRowFirstColumn="0" w:lastRowLastColumn="0"/>
              <w:rPr>
                <w:lang w:eastAsia="en-AU"/>
              </w:rPr>
            </w:pPr>
            <w:r>
              <w:t>Robson Group 1</w:t>
            </w:r>
          </w:p>
        </w:tc>
        <w:tc>
          <w:tcPr>
            <w:tcW w:w="1134" w:type="dxa"/>
            <w:tcBorders>
              <w:top w:val="none" w:sz="0" w:space="0" w:color="auto"/>
              <w:left w:val="none" w:sz="0" w:space="0" w:color="auto"/>
              <w:bottom w:val="nil"/>
              <w:right w:val="none" w:sz="0" w:space="0" w:color="auto"/>
              <w:tl2br w:val="none" w:sz="0" w:space="0" w:color="auto"/>
              <w:tr2bl w:val="none" w:sz="0" w:space="0" w:color="auto"/>
            </w:tcBorders>
            <w:tcMar>
              <w:top w:w="0" w:type="nil"/>
              <w:left w:w="0" w:type="nil"/>
              <w:bottom w:w="0" w:type="nil"/>
              <w:right w:w="0" w:type="nil"/>
            </w:tcMar>
          </w:tcPr>
          <w:p w14:paraId="7A680574" w14:textId="77777777" w:rsidR="00E56AF7" w:rsidRDefault="00E56AF7" w:rsidP="003B4F97">
            <w:pPr>
              <w:cnfStyle w:val="100000000000" w:firstRow="1" w:lastRow="0" w:firstColumn="0" w:lastColumn="0" w:oddVBand="0" w:evenVBand="0" w:oddHBand="0" w:evenHBand="0" w:firstRowFirstColumn="0" w:firstRowLastColumn="0" w:lastRowFirstColumn="0" w:lastRowLastColumn="0"/>
              <w:rPr>
                <w:lang w:eastAsia="en-AU"/>
              </w:rPr>
            </w:pPr>
          </w:p>
        </w:tc>
        <w:tc>
          <w:tcPr>
            <w:tcW w:w="340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03A61CB8" w14:textId="77777777" w:rsidR="00E56AF7" w:rsidRDefault="00E56AF7" w:rsidP="003B4F97">
            <w:pPr>
              <w:cnfStyle w:val="100000000000" w:firstRow="1" w:lastRow="0" w:firstColumn="0" w:lastColumn="0" w:oddVBand="0" w:evenVBand="0" w:oddHBand="0" w:evenHBand="0" w:firstRowFirstColumn="0" w:firstRowLastColumn="0" w:lastRowFirstColumn="0" w:lastRowLastColumn="0"/>
              <w:rPr>
                <w:lang w:eastAsia="en-AU"/>
              </w:rPr>
            </w:pPr>
            <w:r>
              <w:t>Robson Group 2</w:t>
            </w:r>
          </w:p>
        </w:tc>
        <w:tc>
          <w:tcPr>
            <w:tcW w:w="1134" w:type="dxa"/>
            <w:tcBorders>
              <w:top w:val="none" w:sz="0" w:space="0" w:color="auto"/>
              <w:left w:val="none" w:sz="0" w:space="0" w:color="auto"/>
              <w:bottom w:val="nil"/>
              <w:right w:val="none" w:sz="0" w:space="0" w:color="auto"/>
              <w:tl2br w:val="none" w:sz="0" w:space="0" w:color="auto"/>
              <w:tr2bl w:val="none" w:sz="0" w:space="0" w:color="auto"/>
            </w:tcBorders>
            <w:tcMar>
              <w:top w:w="0" w:type="nil"/>
              <w:left w:w="0" w:type="nil"/>
              <w:bottom w:w="0" w:type="nil"/>
              <w:right w:w="0" w:type="nil"/>
            </w:tcMar>
          </w:tcPr>
          <w:p w14:paraId="16A86FC6" w14:textId="77777777" w:rsidR="00E56AF7" w:rsidRDefault="00E56AF7" w:rsidP="003B4F97">
            <w:pPr>
              <w:cnfStyle w:val="100000000000" w:firstRow="1" w:lastRow="0" w:firstColumn="0" w:lastColumn="0" w:oddVBand="0" w:evenVBand="0" w:oddHBand="0" w:evenHBand="0" w:firstRowFirstColumn="0" w:firstRowLastColumn="0" w:lastRowFirstColumn="0" w:lastRowLastColumn="0"/>
              <w:rPr>
                <w:lang w:eastAsia="en-AU"/>
              </w:rPr>
            </w:pPr>
          </w:p>
        </w:tc>
      </w:tr>
      <w:tr w:rsidR="00E56AF7" w14:paraId="72A7CD4C" w14:textId="77777777" w:rsidTr="00FF19C3">
        <w:tc>
          <w:tcPr>
            <w:cnfStyle w:val="001000000000" w:firstRow="0" w:lastRow="0" w:firstColumn="1" w:lastColumn="0" w:oddVBand="0" w:evenVBand="0" w:oddHBand="0" w:evenHBand="0" w:firstRowFirstColumn="0" w:firstRowLastColumn="0" w:lastRowFirstColumn="0" w:lastRowLastColumn="0"/>
            <w:tcW w:w="1133" w:type="dxa"/>
          </w:tcPr>
          <w:p w14:paraId="3C50C8FA" w14:textId="77777777" w:rsidR="00E56AF7" w:rsidRDefault="00E56AF7" w:rsidP="003B4F97">
            <w:pPr>
              <w:rPr>
                <w:lang w:eastAsia="en-AU"/>
              </w:rPr>
            </w:pPr>
          </w:p>
        </w:tc>
        <w:tc>
          <w:tcPr>
            <w:tcW w:w="1133" w:type="dxa"/>
            <w:vAlign w:val="center"/>
          </w:tcPr>
          <w:p w14:paraId="023AE050"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2016</w:t>
            </w:r>
          </w:p>
        </w:tc>
        <w:tc>
          <w:tcPr>
            <w:tcW w:w="1134" w:type="dxa"/>
            <w:vAlign w:val="center"/>
          </w:tcPr>
          <w:p w14:paraId="27BC0719"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2017</w:t>
            </w:r>
          </w:p>
        </w:tc>
        <w:tc>
          <w:tcPr>
            <w:tcW w:w="1134" w:type="dxa"/>
            <w:vAlign w:val="center"/>
          </w:tcPr>
          <w:p w14:paraId="73692019"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2018</w:t>
            </w:r>
          </w:p>
        </w:tc>
        <w:tc>
          <w:tcPr>
            <w:tcW w:w="1134" w:type="dxa"/>
            <w:tcBorders>
              <w:top w:val="nil"/>
            </w:tcBorders>
            <w:shd w:val="clear" w:color="auto" w:fill="D9D9D9" w:themeFill="background1" w:themeFillShade="D9"/>
            <w:vAlign w:val="center"/>
          </w:tcPr>
          <w:p w14:paraId="23016402"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2019</w:t>
            </w:r>
          </w:p>
        </w:tc>
        <w:tc>
          <w:tcPr>
            <w:tcW w:w="1134" w:type="dxa"/>
            <w:vAlign w:val="center"/>
          </w:tcPr>
          <w:p w14:paraId="07665D33"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2016</w:t>
            </w:r>
          </w:p>
        </w:tc>
        <w:tc>
          <w:tcPr>
            <w:tcW w:w="1134" w:type="dxa"/>
            <w:vAlign w:val="center"/>
          </w:tcPr>
          <w:p w14:paraId="7D12110A"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2017</w:t>
            </w:r>
          </w:p>
        </w:tc>
        <w:tc>
          <w:tcPr>
            <w:tcW w:w="1134" w:type="dxa"/>
            <w:vAlign w:val="center"/>
          </w:tcPr>
          <w:p w14:paraId="3924B095"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2018</w:t>
            </w:r>
          </w:p>
        </w:tc>
        <w:tc>
          <w:tcPr>
            <w:tcW w:w="1134" w:type="dxa"/>
            <w:tcBorders>
              <w:top w:val="nil"/>
            </w:tcBorders>
            <w:shd w:val="clear" w:color="auto" w:fill="D9D9D9" w:themeFill="background1" w:themeFillShade="D9"/>
            <w:vAlign w:val="center"/>
          </w:tcPr>
          <w:p w14:paraId="4F971906" w14:textId="77777777" w:rsidR="00E56AF7" w:rsidRPr="005823FE"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rsidRPr="005823FE">
              <w:t>2019</w:t>
            </w:r>
          </w:p>
        </w:tc>
      </w:tr>
      <w:tr w:rsidR="00E56AF7" w14:paraId="0985DF3C" w14:textId="77777777" w:rsidTr="00FF19C3">
        <w:tc>
          <w:tcPr>
            <w:cnfStyle w:val="001000000000" w:firstRow="0" w:lastRow="0" w:firstColumn="1" w:lastColumn="0" w:oddVBand="0" w:evenVBand="0" w:oddHBand="0" w:evenHBand="0" w:firstRowFirstColumn="0" w:firstRowLastColumn="0" w:lastRowFirstColumn="0" w:lastRowLastColumn="0"/>
            <w:tcW w:w="1133" w:type="dxa"/>
            <w:vAlign w:val="center"/>
          </w:tcPr>
          <w:p w14:paraId="2A7BDFCF" w14:textId="77777777" w:rsidR="00E56AF7" w:rsidRDefault="00E56AF7" w:rsidP="003B4F97">
            <w:pPr>
              <w:rPr>
                <w:lang w:eastAsia="en-AU"/>
              </w:rPr>
            </w:pPr>
            <w:r w:rsidRPr="00FE4E27">
              <w:t>Public</w:t>
            </w:r>
          </w:p>
        </w:tc>
        <w:tc>
          <w:tcPr>
            <w:tcW w:w="1133" w:type="dxa"/>
            <w:vAlign w:val="center"/>
          </w:tcPr>
          <w:p w14:paraId="6D45E422"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14.9%</w:t>
            </w:r>
          </w:p>
        </w:tc>
        <w:tc>
          <w:tcPr>
            <w:tcW w:w="1134" w:type="dxa"/>
            <w:vAlign w:val="center"/>
          </w:tcPr>
          <w:p w14:paraId="2D4DE7AF"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15.0%</w:t>
            </w:r>
          </w:p>
        </w:tc>
        <w:tc>
          <w:tcPr>
            <w:tcW w:w="1134" w:type="dxa"/>
            <w:vAlign w:val="center"/>
          </w:tcPr>
          <w:p w14:paraId="20BDFDD1"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15.3%</w:t>
            </w:r>
          </w:p>
        </w:tc>
        <w:tc>
          <w:tcPr>
            <w:tcW w:w="1134" w:type="dxa"/>
            <w:shd w:val="clear" w:color="auto" w:fill="D9D9D9" w:themeFill="background1" w:themeFillShade="D9"/>
            <w:vAlign w:val="center"/>
          </w:tcPr>
          <w:p w14:paraId="33BEFB37"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16.9%</w:t>
            </w:r>
          </w:p>
        </w:tc>
        <w:tc>
          <w:tcPr>
            <w:tcW w:w="1134" w:type="dxa"/>
            <w:vAlign w:val="center"/>
          </w:tcPr>
          <w:p w14:paraId="40B840FA"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30.4%</w:t>
            </w:r>
          </w:p>
        </w:tc>
        <w:tc>
          <w:tcPr>
            <w:tcW w:w="1134" w:type="dxa"/>
            <w:vAlign w:val="center"/>
          </w:tcPr>
          <w:p w14:paraId="77A1820C"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29.6%</w:t>
            </w:r>
          </w:p>
        </w:tc>
        <w:tc>
          <w:tcPr>
            <w:tcW w:w="1134" w:type="dxa"/>
            <w:vAlign w:val="center"/>
          </w:tcPr>
          <w:p w14:paraId="0A06EE4A"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30.2%</w:t>
            </w:r>
          </w:p>
        </w:tc>
        <w:tc>
          <w:tcPr>
            <w:tcW w:w="1134" w:type="dxa"/>
            <w:shd w:val="clear" w:color="auto" w:fill="D9D9D9" w:themeFill="background1" w:themeFillShade="D9"/>
            <w:vAlign w:val="center"/>
          </w:tcPr>
          <w:p w14:paraId="46F03DF6"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31.2%</w:t>
            </w:r>
          </w:p>
        </w:tc>
      </w:tr>
      <w:tr w:rsidR="00E56AF7" w14:paraId="5D3B0A7F" w14:textId="77777777" w:rsidTr="00FF19C3">
        <w:tc>
          <w:tcPr>
            <w:cnfStyle w:val="001000000000" w:firstRow="0" w:lastRow="0" w:firstColumn="1" w:lastColumn="0" w:oddVBand="0" w:evenVBand="0" w:oddHBand="0" w:evenHBand="0" w:firstRowFirstColumn="0" w:firstRowLastColumn="0" w:lastRowFirstColumn="0" w:lastRowLastColumn="0"/>
            <w:tcW w:w="1133" w:type="dxa"/>
            <w:vAlign w:val="center"/>
          </w:tcPr>
          <w:p w14:paraId="6FD1C49B" w14:textId="77777777" w:rsidR="00E56AF7" w:rsidRDefault="00E56AF7" w:rsidP="003B4F97">
            <w:pPr>
              <w:rPr>
                <w:lang w:eastAsia="en-AU"/>
              </w:rPr>
            </w:pPr>
            <w:r w:rsidRPr="00FE4E27">
              <w:t>Private</w:t>
            </w:r>
          </w:p>
        </w:tc>
        <w:tc>
          <w:tcPr>
            <w:tcW w:w="1133" w:type="dxa"/>
            <w:vAlign w:val="center"/>
          </w:tcPr>
          <w:p w14:paraId="5D7056E8"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21.7%</w:t>
            </w:r>
          </w:p>
        </w:tc>
        <w:tc>
          <w:tcPr>
            <w:tcW w:w="1134" w:type="dxa"/>
            <w:vAlign w:val="center"/>
          </w:tcPr>
          <w:p w14:paraId="39C2F200"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22.5%</w:t>
            </w:r>
          </w:p>
        </w:tc>
        <w:tc>
          <w:tcPr>
            <w:tcW w:w="1134" w:type="dxa"/>
            <w:vAlign w:val="center"/>
          </w:tcPr>
          <w:p w14:paraId="06CABD2D"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21.8%</w:t>
            </w:r>
          </w:p>
        </w:tc>
        <w:tc>
          <w:tcPr>
            <w:tcW w:w="1134" w:type="dxa"/>
            <w:shd w:val="clear" w:color="auto" w:fill="D9D9D9" w:themeFill="background1" w:themeFillShade="D9"/>
            <w:vAlign w:val="center"/>
          </w:tcPr>
          <w:p w14:paraId="2AC80C4A"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22.0%</w:t>
            </w:r>
          </w:p>
        </w:tc>
        <w:tc>
          <w:tcPr>
            <w:tcW w:w="1134" w:type="dxa"/>
            <w:vAlign w:val="center"/>
          </w:tcPr>
          <w:p w14:paraId="578C3B6A"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32.8%</w:t>
            </w:r>
          </w:p>
        </w:tc>
        <w:tc>
          <w:tcPr>
            <w:tcW w:w="1134" w:type="dxa"/>
            <w:vAlign w:val="center"/>
          </w:tcPr>
          <w:p w14:paraId="39D024C1"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32.3%</w:t>
            </w:r>
          </w:p>
        </w:tc>
        <w:tc>
          <w:tcPr>
            <w:tcW w:w="1134" w:type="dxa"/>
            <w:vAlign w:val="center"/>
          </w:tcPr>
          <w:p w14:paraId="011ED264"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31.9%</w:t>
            </w:r>
          </w:p>
        </w:tc>
        <w:tc>
          <w:tcPr>
            <w:tcW w:w="1134" w:type="dxa"/>
            <w:shd w:val="clear" w:color="auto" w:fill="D9D9D9" w:themeFill="background1" w:themeFillShade="D9"/>
            <w:vAlign w:val="center"/>
          </w:tcPr>
          <w:p w14:paraId="1679E461"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33.2%</w:t>
            </w:r>
          </w:p>
        </w:tc>
      </w:tr>
      <w:tr w:rsidR="00E56AF7" w14:paraId="7A4B647D" w14:textId="77777777" w:rsidTr="00FF19C3">
        <w:tc>
          <w:tcPr>
            <w:cnfStyle w:val="001000000000" w:firstRow="0" w:lastRow="0" w:firstColumn="1" w:lastColumn="0" w:oddVBand="0" w:evenVBand="0" w:oddHBand="0" w:evenHBand="0" w:firstRowFirstColumn="0" w:firstRowLastColumn="0" w:lastRowFirstColumn="0" w:lastRowLastColumn="0"/>
            <w:tcW w:w="1133" w:type="dxa"/>
            <w:vAlign w:val="center"/>
          </w:tcPr>
          <w:p w14:paraId="3D0E8463" w14:textId="77777777" w:rsidR="00E56AF7" w:rsidRDefault="00E56AF7" w:rsidP="003B4F97">
            <w:pPr>
              <w:rPr>
                <w:lang w:eastAsia="en-AU"/>
              </w:rPr>
            </w:pPr>
            <w:r w:rsidRPr="00FE4E27">
              <w:t>Combined</w:t>
            </w:r>
          </w:p>
        </w:tc>
        <w:tc>
          <w:tcPr>
            <w:tcW w:w="1133" w:type="dxa"/>
            <w:vAlign w:val="center"/>
          </w:tcPr>
          <w:p w14:paraId="70F9AED1"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16.4%</w:t>
            </w:r>
          </w:p>
        </w:tc>
        <w:tc>
          <w:tcPr>
            <w:tcW w:w="1134" w:type="dxa"/>
            <w:vAlign w:val="center"/>
          </w:tcPr>
          <w:p w14:paraId="35B4747F"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16.7%</w:t>
            </w:r>
          </w:p>
        </w:tc>
        <w:tc>
          <w:tcPr>
            <w:tcW w:w="1134" w:type="dxa"/>
            <w:vAlign w:val="center"/>
          </w:tcPr>
          <w:p w14:paraId="66E60D9E"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16.7%</w:t>
            </w:r>
          </w:p>
        </w:tc>
        <w:tc>
          <w:tcPr>
            <w:tcW w:w="1134" w:type="dxa"/>
            <w:shd w:val="clear" w:color="auto" w:fill="D9D9D9" w:themeFill="background1" w:themeFillShade="D9"/>
            <w:vAlign w:val="center"/>
          </w:tcPr>
          <w:p w14:paraId="22A54C4E"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18.0%</w:t>
            </w:r>
          </w:p>
        </w:tc>
        <w:tc>
          <w:tcPr>
            <w:tcW w:w="1134" w:type="dxa"/>
            <w:vAlign w:val="center"/>
          </w:tcPr>
          <w:p w14:paraId="3A6D0103"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31.0%</w:t>
            </w:r>
          </w:p>
        </w:tc>
        <w:tc>
          <w:tcPr>
            <w:tcW w:w="1134" w:type="dxa"/>
            <w:vAlign w:val="center"/>
          </w:tcPr>
          <w:p w14:paraId="02CC9E2B"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30.1%</w:t>
            </w:r>
          </w:p>
        </w:tc>
        <w:tc>
          <w:tcPr>
            <w:tcW w:w="1134" w:type="dxa"/>
            <w:vAlign w:val="center"/>
          </w:tcPr>
          <w:p w14:paraId="7EDC956F"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30.6%</w:t>
            </w:r>
          </w:p>
        </w:tc>
        <w:tc>
          <w:tcPr>
            <w:tcW w:w="1134" w:type="dxa"/>
            <w:shd w:val="clear" w:color="auto" w:fill="D9D9D9" w:themeFill="background1" w:themeFillShade="D9"/>
            <w:vAlign w:val="center"/>
          </w:tcPr>
          <w:p w14:paraId="6F5DBDE8" w14:textId="77777777" w:rsidR="00E56AF7" w:rsidRDefault="00E56AF7" w:rsidP="003B4F97">
            <w:pPr>
              <w:cnfStyle w:val="000000000000" w:firstRow="0" w:lastRow="0" w:firstColumn="0" w:lastColumn="0" w:oddVBand="0" w:evenVBand="0" w:oddHBand="0" w:evenHBand="0" w:firstRowFirstColumn="0" w:firstRowLastColumn="0" w:lastRowFirstColumn="0" w:lastRowLastColumn="0"/>
              <w:rPr>
                <w:lang w:eastAsia="en-AU"/>
              </w:rPr>
            </w:pPr>
            <w:r>
              <w:t>31.6%</w:t>
            </w:r>
          </w:p>
        </w:tc>
      </w:tr>
    </w:tbl>
    <w:p w14:paraId="75D36F89" w14:textId="3CF05F7C" w:rsidR="00622E3C" w:rsidRDefault="00622E3C" w:rsidP="003B4F97">
      <w:pPr>
        <w:pStyle w:val="Heading2"/>
      </w:pPr>
      <w:r>
        <w:t>Definition</w:t>
      </w:r>
      <w:r w:rsidR="005A5A79">
        <w:t>s</w:t>
      </w:r>
      <w:r w:rsidR="007A1D1D">
        <w:t xml:space="preserve"> and data sources</w:t>
      </w:r>
    </w:p>
    <w:p w14:paraId="36CBF154" w14:textId="77777777" w:rsidR="00314D58" w:rsidRPr="00314D58" w:rsidRDefault="00314D58" w:rsidP="003B4F97">
      <w:r w:rsidRPr="00314D58">
        <w:t>Robson group 1 (</w:t>
      </w:r>
      <w:r w:rsidRPr="00F27A5C">
        <w:rPr>
          <w:rFonts w:ascii="VIC Medium" w:hAnsi="VIC Medium"/>
        </w:rPr>
        <w:t>Indicator 1bi</w:t>
      </w:r>
      <w:r w:rsidRPr="00314D58">
        <w:t>) includes first-time birthing women with a singleton cephalic pregnancy, at greater than or equal to 37 weeks’ gestation in spontaneous labour.</w:t>
      </w:r>
    </w:p>
    <w:p w14:paraId="48F5EA8C" w14:textId="77777777" w:rsidR="00314D58" w:rsidRDefault="00314D58" w:rsidP="003B4F97">
      <w:r w:rsidRPr="00314D58">
        <w:t>Modified Robson group 2 (</w:t>
      </w:r>
      <w:r w:rsidRPr="00F27A5C">
        <w:rPr>
          <w:rFonts w:ascii="VIC Medium" w:hAnsi="VIC Medium"/>
        </w:rPr>
        <w:t>Indicator 1bii</w:t>
      </w:r>
      <w:r w:rsidRPr="00314D58">
        <w:t>) includes women having their first baby with a singleton cephalic pregnancy, at greater than or equal to 37 weeks’ gestation who had labour induced. Modified Robson group 2 excludes pre-labour caesareans, which are included in the standard Robson group 2.</w:t>
      </w:r>
    </w:p>
    <w:p w14:paraId="34D7A3F5" w14:textId="77777777" w:rsidR="00A57505" w:rsidRDefault="00A57505" w:rsidP="00A60C18">
      <w:pPr>
        <w:pStyle w:val="Heading4"/>
      </w:pPr>
      <w:r>
        <w:t>Data source: Victorian Perinatal Data Collection</w:t>
      </w:r>
    </w:p>
    <w:p w14:paraId="4FB9B8EE" w14:textId="28C578D7" w:rsidR="00A57505" w:rsidRDefault="00A57505" w:rsidP="003B4F97">
      <w:pPr>
        <w:pStyle w:val="Normalfollowingheading"/>
      </w:pPr>
      <w:r>
        <w:t xml:space="preserve">Data for these indicators are sourced from the VPDC for the calendar year from 1 January 2019 to </w:t>
      </w:r>
      <w:r w:rsidR="008F2B4A">
        <w:br/>
      </w:r>
      <w:r>
        <w:t>31 December 2019.</w:t>
      </w:r>
    </w:p>
    <w:p w14:paraId="5DB73CF2" w14:textId="22F874E1" w:rsidR="00A57505" w:rsidRPr="00A57505" w:rsidRDefault="00A57505" w:rsidP="003B4F97">
      <w:r>
        <w:t>The indicators are derived using the following VPDC variables: ‘parity’, ‘plurality’, ‘birth presentation’, ‘estimated gestational age’, ‘onset of labour’ and ‘method of birth’.</w:t>
      </w:r>
    </w:p>
    <w:p w14:paraId="0E021FFF" w14:textId="714061FC" w:rsidR="005A5A79" w:rsidRDefault="005A5A79" w:rsidP="003B4F97">
      <w:pPr>
        <w:pStyle w:val="Tablechartdiagramheading"/>
      </w:pPr>
      <w:r w:rsidRPr="005036AA">
        <w:t>Numerator/denominator</w:t>
      </w:r>
    </w:p>
    <w:tbl>
      <w:tblPr>
        <w:tblStyle w:val="TableGrid"/>
        <w:tblW w:w="10206" w:type="dxa"/>
        <w:tblLook w:val="04A0" w:firstRow="1" w:lastRow="0" w:firstColumn="1" w:lastColumn="0" w:noHBand="0" w:noVBand="1"/>
      </w:tblPr>
      <w:tblGrid>
        <w:gridCol w:w="3401"/>
        <w:gridCol w:w="3402"/>
        <w:gridCol w:w="3403"/>
      </w:tblGrid>
      <w:tr w:rsidR="00E56AF7" w14:paraId="71C4BF64"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14204B0" w14:textId="53A82267" w:rsidR="00E56AF7" w:rsidRDefault="00E56AF7" w:rsidP="003B4F97">
            <w:pPr>
              <w:rPr>
                <w:lang w:val="en-GB" w:eastAsia="en-AU"/>
              </w:rPr>
            </w:pPr>
            <w:r w:rsidRPr="005C0006">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CBAA994" w14:textId="743CA5F4" w:rsidR="00E56AF7" w:rsidRDefault="00E56AF7"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5C0006">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0088435" w14:textId="55B767FE" w:rsidR="00E56AF7" w:rsidRDefault="00E56AF7"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5C0006">
              <w:t>Denominator</w:t>
            </w:r>
          </w:p>
        </w:tc>
      </w:tr>
      <w:tr w:rsidR="00E56AF7" w14:paraId="50E72A8C"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23EF4CE0" w14:textId="480BAB62" w:rsidR="00E56AF7" w:rsidRDefault="00E56AF7" w:rsidP="003B4F97">
            <w:pPr>
              <w:rPr>
                <w:lang w:val="en-GB" w:eastAsia="en-AU"/>
              </w:rPr>
            </w:pPr>
            <w:r w:rsidRPr="005C0006">
              <w:t>Indicator 1bi: Rate of caesarean section in Robson group 1</w:t>
            </w:r>
          </w:p>
        </w:tc>
        <w:tc>
          <w:tcPr>
            <w:tcW w:w="3401" w:type="dxa"/>
          </w:tcPr>
          <w:p w14:paraId="2E64F66E" w14:textId="02BAB183" w:rsidR="00E56AF7" w:rsidRDefault="00E56AF7"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5C0006">
              <w:t>The number of women giving birth for the first time, with spontaneous onset of labour and a singleton, cephalic-presenting baby born at 37 or more weeks by caesarean section</w:t>
            </w:r>
          </w:p>
        </w:tc>
        <w:tc>
          <w:tcPr>
            <w:tcW w:w="3402" w:type="dxa"/>
          </w:tcPr>
          <w:p w14:paraId="724EB79E" w14:textId="4F389913" w:rsidR="00E56AF7" w:rsidRDefault="00E56AF7"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5C0006">
              <w:t>The number of women giving birth for the first time, with spontaneous onset of labour and a singleton, cephalic-presenting baby born at 37 or more weeks</w:t>
            </w:r>
          </w:p>
        </w:tc>
      </w:tr>
      <w:tr w:rsidR="00E56AF7" w14:paraId="2E449A39"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4F582A54" w14:textId="5434B1B5" w:rsidR="00E56AF7" w:rsidRDefault="00E56AF7" w:rsidP="003B4F97">
            <w:pPr>
              <w:rPr>
                <w:lang w:val="en-GB" w:eastAsia="en-AU"/>
              </w:rPr>
            </w:pPr>
            <w:r w:rsidRPr="005C0006">
              <w:t>Indicator 1bi: Rate of caesarean section in Robson group 1</w:t>
            </w:r>
          </w:p>
        </w:tc>
        <w:tc>
          <w:tcPr>
            <w:tcW w:w="3401" w:type="dxa"/>
          </w:tcPr>
          <w:p w14:paraId="045CC0D2" w14:textId="04925B34" w:rsidR="00E56AF7" w:rsidRDefault="00E56AF7"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5C0006">
              <w:t>The number of women giving birth for the first time, with spontaneous onset of labour and a singleton, cephalic-presenting baby born at 37 or more weeks by caesarean section</w:t>
            </w:r>
          </w:p>
        </w:tc>
        <w:tc>
          <w:tcPr>
            <w:tcW w:w="3402" w:type="dxa"/>
          </w:tcPr>
          <w:p w14:paraId="755DE5C5" w14:textId="7DC18353" w:rsidR="00E56AF7" w:rsidRDefault="00E56AF7"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5C0006">
              <w:t>The number of women giving birth for the first time, with spontaneous onset of labour and a singleton, cephalic-presenting baby born at 37 or more weeks</w:t>
            </w:r>
          </w:p>
        </w:tc>
      </w:tr>
    </w:tbl>
    <w:p w14:paraId="3DD2BBB9" w14:textId="3CC86BD2" w:rsidR="00D15E6B" w:rsidRPr="00484FB6" w:rsidRDefault="00D15E6B" w:rsidP="003B4F97">
      <w:r w:rsidRPr="00484FB6">
        <w:br w:type="page"/>
      </w:r>
    </w:p>
    <w:p w14:paraId="5822FD5F" w14:textId="2AC0EAA8" w:rsidR="00D15E6B" w:rsidRDefault="00D15E6B" w:rsidP="00A60C18">
      <w:pPr>
        <w:pStyle w:val="Heading1"/>
        <w:framePr w:wrap="around"/>
      </w:pPr>
      <w:bookmarkStart w:id="6" w:name="_Toc71710117"/>
      <w:r>
        <w:t>1c: Perineal tears in primiparae</w:t>
      </w:r>
      <w:bookmarkEnd w:id="6"/>
    </w:p>
    <w:p w14:paraId="74C5A138" w14:textId="59031D2B" w:rsidR="00E56AF7" w:rsidRPr="00E56AF7" w:rsidRDefault="00E56AF7" w:rsidP="003B4F97">
      <w:pPr>
        <w:pStyle w:val="IntroductoryText"/>
      </w:pPr>
      <w:r w:rsidRPr="00E56AF7">
        <w:t>Third- and fourth-degree perineal tears are a significant birth</w:t>
      </w:r>
      <w:r w:rsidR="008F2B4A">
        <w:t>-</w:t>
      </w:r>
      <w:r w:rsidRPr="00E56AF7">
        <w:t>related complication that may lead to long-term disability. Women having their first birth vaginally in Victoria are four times more likely to experience a severe (third- or fourth</w:t>
      </w:r>
      <w:r w:rsidR="008F2B4A">
        <w:t>-</w:t>
      </w:r>
      <w:r w:rsidRPr="00E56AF7">
        <w:t>degree) perineal laceration compared to those having a subsequent birth vaginally. It is important that, where possible, they are prevented from happening and, when they do happen, they are recognised and appropriate</w:t>
      </w:r>
      <w:r w:rsidR="008F2B4A">
        <w:t>ly</w:t>
      </w:r>
      <w:r w:rsidRPr="00E56AF7">
        <w:t xml:space="preserve"> treat</w:t>
      </w:r>
      <w:r w:rsidR="008F2B4A">
        <w:t>ed</w:t>
      </w:r>
      <w:r w:rsidRPr="00E56AF7">
        <w:t>. Third- and fourth-degree tear rates may reflect the quality of care or reflect differences in the accuracy of identification and reporting.</w:t>
      </w:r>
    </w:p>
    <w:p w14:paraId="657530D8" w14:textId="6782E4F1" w:rsidR="00090D39" w:rsidRDefault="00090D39" w:rsidP="003B4F97">
      <w:r>
        <w:t>Maternity services participating in the SCV Better Births for Women collaborative are using improvement science methods and have introduced an evidence-based bundle of clinical interventions. This bundle of interventions includes practices before, during and after birth to better prevent and recognise severe perineal trauma and reduce the rate of third- and fourth-degree tears and associated sequelae for all women giving birth vaginally.</w:t>
      </w:r>
    </w:p>
    <w:p w14:paraId="7D0B2BC7" w14:textId="77777777" w:rsidR="00090D39" w:rsidRDefault="00090D39" w:rsidP="003B4F97">
      <w:pPr>
        <w:pStyle w:val="Heading2"/>
      </w:pPr>
      <w:r>
        <w:t>About this indicator</w:t>
      </w:r>
    </w:p>
    <w:p w14:paraId="44A3910A" w14:textId="0120A5AF" w:rsidR="006231CD" w:rsidRPr="00F27A5C" w:rsidRDefault="00090D39" w:rsidP="003B4F97">
      <w:pPr>
        <w:pStyle w:val="Normalfollowingheading"/>
        <w:rPr>
          <w:lang w:val="en-GB"/>
        </w:rPr>
      </w:pPr>
      <w:r w:rsidRPr="00F27A5C">
        <w:rPr>
          <w:lang w:val="en-GB"/>
        </w:rPr>
        <w:t xml:space="preserve">This indicator shows the rate of third and fourth-degree perineal tears in </w:t>
      </w:r>
      <w:r w:rsidR="00D742DA" w:rsidRPr="00F27A5C">
        <w:rPr>
          <w:lang w:val="en-GB"/>
        </w:rPr>
        <w:t xml:space="preserve">women </w:t>
      </w:r>
      <w:r w:rsidR="00C6601D" w:rsidRPr="00F27A5C">
        <w:rPr>
          <w:lang w:val="en-GB"/>
        </w:rPr>
        <w:t>who gave</w:t>
      </w:r>
      <w:r w:rsidR="00B75A56" w:rsidRPr="00F27A5C">
        <w:rPr>
          <w:lang w:val="en-GB"/>
        </w:rPr>
        <w:t xml:space="preserve"> birth for the first time </w:t>
      </w:r>
      <w:r w:rsidR="00C6601D" w:rsidRPr="00F27A5C">
        <w:rPr>
          <w:lang w:val="en-GB"/>
        </w:rPr>
        <w:t xml:space="preserve">and </w:t>
      </w:r>
      <w:r w:rsidR="006231CD" w:rsidRPr="00F27A5C">
        <w:rPr>
          <w:lang w:val="en-GB"/>
        </w:rPr>
        <w:t xml:space="preserve">who </w:t>
      </w:r>
      <w:r w:rsidR="00C6601D" w:rsidRPr="00F27A5C">
        <w:rPr>
          <w:lang w:val="en-GB"/>
        </w:rPr>
        <w:t xml:space="preserve">had a vaginal birth </w:t>
      </w:r>
      <w:r w:rsidR="00DF6C23" w:rsidRPr="00F27A5C">
        <w:rPr>
          <w:lang w:val="en-GB"/>
        </w:rPr>
        <w:t>(</w:t>
      </w:r>
      <w:r w:rsidR="00C6601D" w:rsidRPr="00F27A5C">
        <w:rPr>
          <w:lang w:val="en-GB"/>
        </w:rPr>
        <w:t>with or without the use of instruments</w:t>
      </w:r>
      <w:r w:rsidR="00DF6C23" w:rsidRPr="00F27A5C">
        <w:rPr>
          <w:lang w:val="en-GB"/>
        </w:rPr>
        <w:t>)</w:t>
      </w:r>
      <w:r w:rsidR="00C6601D" w:rsidRPr="00F27A5C">
        <w:rPr>
          <w:lang w:val="en-GB"/>
        </w:rPr>
        <w:t xml:space="preserve">. </w:t>
      </w:r>
    </w:p>
    <w:p w14:paraId="68967075" w14:textId="486375D6" w:rsidR="00090D39" w:rsidRPr="00F27A5C" w:rsidRDefault="00B8702F" w:rsidP="003B4F97">
      <w:r w:rsidRPr="00F27A5C">
        <w:rPr>
          <w:lang w:val="en-GB"/>
        </w:rPr>
        <w:t xml:space="preserve">An </w:t>
      </w:r>
      <w:r w:rsidRPr="00F27A5C">
        <w:t xml:space="preserve">assisted (or operative/instrumental) vaginal birth refers to a forceps- or vacuum-assisted birth. Operative intervention in the second stage of labour may be indicated by conditions of the fetus or the mother. </w:t>
      </w:r>
    </w:p>
    <w:p w14:paraId="0A051402" w14:textId="36B5D473" w:rsidR="003D3245" w:rsidRPr="00F27A5C" w:rsidRDefault="003D3245" w:rsidP="003B4F97">
      <w:pPr>
        <w:rPr>
          <w:lang w:val="en-GB"/>
        </w:rPr>
      </w:pPr>
      <w:r w:rsidRPr="00F27A5C">
        <w:t>An unassi</w:t>
      </w:r>
      <w:r w:rsidR="00F27A5C" w:rsidRPr="00F27A5C">
        <w:t>s</w:t>
      </w:r>
      <w:r w:rsidRPr="00F27A5C">
        <w:t>ted vaginal birth is one that occurs without the use of instruments (forceps or vacuum).</w:t>
      </w:r>
    </w:p>
    <w:p w14:paraId="6E651989" w14:textId="372BA316" w:rsidR="00090D39" w:rsidRPr="00F27A5C" w:rsidRDefault="00DF6C23" w:rsidP="003B4F97">
      <w:pPr>
        <w:pStyle w:val="Bullet1"/>
      </w:pPr>
      <w:r w:rsidRPr="00F27A5C">
        <w:rPr>
          <w:rFonts w:ascii="VIC Medium" w:hAnsi="VIC Medium"/>
        </w:rPr>
        <w:t xml:space="preserve">Indicator 1ci </w:t>
      </w:r>
      <w:r w:rsidRPr="00F27A5C">
        <w:t>refers to</w:t>
      </w:r>
      <w:r w:rsidRPr="00F27A5C">
        <w:rPr>
          <w:rFonts w:ascii="VIC Medium" w:hAnsi="VIC Medium"/>
        </w:rPr>
        <w:t xml:space="preserve"> </w:t>
      </w:r>
      <w:r w:rsidR="00090D39" w:rsidRPr="00F27A5C">
        <w:t>unassisted vaginal births</w:t>
      </w:r>
      <w:r w:rsidR="008F2B4A" w:rsidRPr="00F27A5C">
        <w:t xml:space="preserve"> </w:t>
      </w:r>
    </w:p>
    <w:p w14:paraId="37917F3A" w14:textId="2B72CD40" w:rsidR="00090D39" w:rsidRPr="00F27A5C" w:rsidRDefault="006231CD" w:rsidP="003B4F97">
      <w:pPr>
        <w:pStyle w:val="Bullet1"/>
      </w:pPr>
      <w:r w:rsidRPr="00F27A5C">
        <w:rPr>
          <w:rFonts w:ascii="VIC Medium" w:hAnsi="VIC Medium"/>
        </w:rPr>
        <w:t xml:space="preserve">Indicator 1cii </w:t>
      </w:r>
      <w:r w:rsidRPr="00F27A5C">
        <w:t>refers to</w:t>
      </w:r>
      <w:r w:rsidRPr="00F27A5C">
        <w:rPr>
          <w:rFonts w:ascii="VIC Medium" w:hAnsi="VIC Medium"/>
        </w:rPr>
        <w:t xml:space="preserve"> </w:t>
      </w:r>
      <w:r w:rsidR="00090D39" w:rsidRPr="00F27A5C">
        <w:t>assisted vaginal births.</w:t>
      </w:r>
    </w:p>
    <w:p w14:paraId="406F5BFA" w14:textId="77777777" w:rsidR="00090D39" w:rsidRDefault="00090D39" w:rsidP="003B4F97">
      <w:pPr>
        <w:pStyle w:val="Heading2"/>
      </w:pPr>
      <w:r w:rsidRPr="00A57505">
        <w:t>Observations on the data</w:t>
      </w:r>
    </w:p>
    <w:p w14:paraId="328904DD" w14:textId="77777777" w:rsidR="00E56AF7" w:rsidRDefault="00E56AF7" w:rsidP="003B4F97">
      <w:pPr>
        <w:pStyle w:val="Normalfollowingheading"/>
      </w:pPr>
      <w:r>
        <w:t>The statewide rate of third- and fourth-degree perineal tears in unassisted vaginal births (</w:t>
      </w:r>
      <w:r w:rsidRPr="004D128F">
        <w:rPr>
          <w:rFonts w:ascii="VIC Medium" w:hAnsi="VIC Medium"/>
        </w:rPr>
        <w:t>Indicator 1ci</w:t>
      </w:r>
      <w:r>
        <w:t>) was 4.2 per cent, a slight increase from the previous year’s rate of 3.8 per cent. The rate was significantly higher in public hospitals (4.7 per cent) compared to private hospitals (1.4 per cent, p-value&lt;0.001).</w:t>
      </w:r>
    </w:p>
    <w:p w14:paraId="4D8C580B" w14:textId="4FAEDFA1" w:rsidR="00E56AF7" w:rsidRDefault="00E56AF7" w:rsidP="003B4F97">
      <w:r>
        <w:t>The statewide rate of third- and fourth-degree tears in assisted vaginal births (</w:t>
      </w:r>
      <w:r w:rsidRPr="004D128F">
        <w:rPr>
          <w:rFonts w:ascii="VIC Medium" w:hAnsi="VIC Medium"/>
        </w:rPr>
        <w:t>Indicator 1cii</w:t>
      </w:r>
      <w:r>
        <w:t xml:space="preserve">) was </w:t>
      </w:r>
      <w:r w:rsidR="00061B4C">
        <w:br/>
      </w:r>
      <w:r>
        <w:t xml:space="preserve">5.6 per cent, also slightly higher compared to the previous year’s rate of 5.0 per cent. The rate was again significantly higher in public hospitals (6.5 per cent) compared to private hospitals (2.8 per cent, </w:t>
      </w:r>
      <w:r w:rsidR="00061B4C">
        <w:br/>
      </w:r>
      <w:r>
        <w:t>p-value&lt;0.001).</w:t>
      </w:r>
    </w:p>
    <w:p w14:paraId="55152630" w14:textId="4FE28BFD" w:rsidR="00E56AF7" w:rsidRPr="00E56AF7" w:rsidRDefault="00E56AF7" w:rsidP="003B4F97">
      <w:r w:rsidRPr="004D128F">
        <w:rPr>
          <w:b/>
        </w:rPr>
        <w:t>Figures 9</w:t>
      </w:r>
      <w:r>
        <w:t xml:space="preserve"> and </w:t>
      </w:r>
      <w:r w:rsidRPr="004D128F">
        <w:rPr>
          <w:b/>
        </w:rPr>
        <w:t>10</w:t>
      </w:r>
      <w:r>
        <w:t xml:space="preserve"> (</w:t>
      </w:r>
      <w:r w:rsidRPr="004D128F">
        <w:rPr>
          <w:rFonts w:ascii="VIC Medium" w:hAnsi="VIC Medium"/>
        </w:rPr>
        <w:t>Indicator 1ci</w:t>
      </w:r>
      <w:r>
        <w:t xml:space="preserve">) and </w:t>
      </w:r>
      <w:r w:rsidR="00061B4C" w:rsidRPr="004D128F">
        <w:rPr>
          <w:b/>
        </w:rPr>
        <w:t xml:space="preserve">Figures </w:t>
      </w:r>
      <w:r w:rsidRPr="004D128F">
        <w:rPr>
          <w:b/>
        </w:rPr>
        <w:t>10</w:t>
      </w:r>
      <w:r>
        <w:t xml:space="preserve"> and </w:t>
      </w:r>
      <w:r w:rsidRPr="004D128F">
        <w:rPr>
          <w:b/>
        </w:rPr>
        <w:t xml:space="preserve">11 </w:t>
      </w:r>
      <w:r>
        <w:t>(</w:t>
      </w:r>
      <w:r w:rsidRPr="004D128F">
        <w:rPr>
          <w:rFonts w:ascii="VIC Medium" w:hAnsi="VIC Medium"/>
        </w:rPr>
        <w:t>Indicator 1cii</w:t>
      </w:r>
      <w:r>
        <w:t>) show that there is significant variation between hospitals across the state and within maternity capability levels, also within private hospitals in the rate of third</w:t>
      </w:r>
      <w:r w:rsidR="00061B4C">
        <w:t>-</w:t>
      </w:r>
      <w:r>
        <w:t xml:space="preserve"> and fourth</w:t>
      </w:r>
      <w:r w:rsidR="00061B4C">
        <w:t>-</w:t>
      </w:r>
      <w:r>
        <w:t>degree perineal tears in both assisted and unassisted vaginal births.</w:t>
      </w:r>
    </w:p>
    <w:p w14:paraId="3A71E8B7" w14:textId="77777777" w:rsidR="00E56AF7" w:rsidRDefault="00E56AF7" w:rsidP="003B4F97">
      <w:pPr>
        <w:rPr>
          <w:rFonts w:ascii="VIC SemiBold" w:hAnsi="VIC SemiBold"/>
          <w:color w:val="007586" w:themeColor="text2"/>
          <w:spacing w:val="2"/>
          <w:szCs w:val="18"/>
          <w:lang w:val="en-GB" w:eastAsia="en-AU"/>
        </w:rPr>
      </w:pPr>
      <w:r>
        <w:br w:type="page"/>
      </w:r>
    </w:p>
    <w:p w14:paraId="6FDD1A6C" w14:textId="0DDB84B0" w:rsidR="00891FF7" w:rsidRDefault="00D15E6B" w:rsidP="003B4F97">
      <w:pPr>
        <w:pStyle w:val="Tablechartdiagramheading"/>
      </w:pPr>
      <w:r>
        <w:t>Figure 9</w:t>
      </w:r>
      <w:r w:rsidDel="00061B4C">
        <w:t>.</w:t>
      </w:r>
      <w:r>
        <w:t xml:space="preserve"> Indicator 1ci: Rate of third- and fourth-degree perineal tears during unassisted vaginal births to primiparae, 2019</w:t>
      </w:r>
    </w:p>
    <w:p w14:paraId="06ACBF18" w14:textId="424B1D2D" w:rsidR="00E56AF7" w:rsidRDefault="00BC269A" w:rsidP="003B4F97">
      <w:pPr>
        <w:rPr>
          <w:rFonts w:ascii="VIC SemiBold" w:hAnsi="VIC SemiBold"/>
          <w:color w:val="007586" w:themeColor="text2"/>
          <w:spacing w:val="2"/>
          <w:szCs w:val="18"/>
          <w:lang w:val="en-GB" w:eastAsia="en-AU"/>
        </w:rPr>
      </w:pPr>
      <w:r w:rsidRPr="00BC269A">
        <mc:AlternateContent>
          <mc:Choice Requires="wps">
            <w:drawing>
              <wp:anchor distT="0" distB="0" distL="114300" distR="114300" simplePos="0" relativeHeight="251658249" behindDoc="0" locked="0" layoutInCell="1" allowOverlap="1" wp14:anchorId="626C94C6" wp14:editId="7AA05323">
                <wp:simplePos x="0" y="0"/>
                <wp:positionH relativeFrom="column">
                  <wp:posOffset>4241165</wp:posOffset>
                </wp:positionH>
                <wp:positionV relativeFrom="paragraph">
                  <wp:posOffset>156210</wp:posOffset>
                </wp:positionV>
                <wp:extent cx="2171700" cy="6876000"/>
                <wp:effectExtent l="0" t="0" r="0" b="1270"/>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71700" cy="6876000"/>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842F7" id="Rectangle 52" o:spid="_x0000_s1026" style="position:absolute;margin-left:333.95pt;margin-top:12.3pt;width:171pt;height:541.4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ifowIAAKkFAAAOAAAAZHJzL2Uyb0RvYy54bWysVFFP2zAQfp+0/2D5fSSpoIWKFFWgTpMQ&#10;IGDi2XXsJpLt82y3affrd7bTwICnaS+Oz3f33d2Xu7u82mtFdsL5DkxNq5OSEmE4NJ3Z1PTn8+rb&#10;OSU+MNMwBUbU9CA8vVp8/XLZ27mYQAuqEY4giPHz3ta0DcHOi8LzVmjmT8AKg0oJTrOAotsUjWM9&#10;omtVTMpyWvTgGuuAC+/x9SYr6SLhSyl4uJfSi0BUTTG3kE6XznU8i8Ulm28cs23HhzTYP2ShWWcw&#10;6Ah1wwIjW9d9gNIdd+BBhhMOugApOy5SDVhNVb6r5qllVqRakBxvR5r8/4Pld7sHR7qmpmcTSgzT&#10;+I8ekTVmNkoQfEOCeuvnaPdkH9wgebzGavfS6fjFOsg+kXoYSRX7QDg+TqpZNSuRe4666flsWqKA&#10;OMWru3U+fBegSbzU1GH8RCbb3fqQTY8mMZoH1TWrTqkkuM36WjmyY/iHVysEL7Ovsi3Lr1VZXUyH&#10;kD6bp/B/4SgT0QxE3BwyvhSx9lxtuoWDEtFOmUchkbZYXwqXGlaMiTDOhQlVVrWsETmTs5Rehh89&#10;Ui4JMCJLjD9iDwBxGD5iZ5jBPrqK1O+jc+ZhDJMzOCaWnUePFBlMGJ11Z8B9VpnCqobI2f5IUqYm&#10;srSG5oBN5SBPm7d81eGPvWU+PDCH44XNgCsj3OMhFfQ1heFGSQvu92fv0R67HrWU9DiuNfW/tswJ&#10;StQPg/NwUZ2exvlOwunZbIKCe6tZv9WYrb4G7JcKl5Pl6RrtgzpepQP9gptlGaOiihmOsWvKgzsK&#10;1yGvEdxNXCyXyQxn2rJwa54sj+CR1di4z/sX5uzQ3QEH4w6Oo83m75o820ZPA8ttANmlCXjldeAb&#10;90FqnGF3xYXzVk5Wrxt28QcAAP//AwBQSwMEFAAGAAgAAAAhABsi9p/fAAAADAEAAA8AAABkcnMv&#10;ZG93bnJldi54bWxMj8tOwzAQRfdI/IM1SOyo3ahyaYhTIRB0SwuqWLqxm6TE48h2m+Tvma5gN4+j&#10;O2eK9eg6drEhth4VzGcCmMXKmxZrBV+fbw+PwGLSaHTn0SqYbIR1eXtT6Nz4Abf2sks1oxCMuVbQ&#10;pNTnnMeqsU7Hme8t0u7og9OJ2lBzE/RA4a7jmRCSO90iXWh0b18aW/3szk5B9R33H9u0eT3VOL3L&#10;YdiHzZQpdX83Pj8BS3ZMfzBc9UkdSnI6+DOayDoFUi5XhCrIFhLYFRBiRZMDVXOxXAAvC/7/ifIX&#10;AAD//wMAUEsBAi0AFAAGAAgAAAAhALaDOJL+AAAA4QEAABMAAAAAAAAAAAAAAAAAAAAAAFtDb250&#10;ZW50X1R5cGVzXS54bWxQSwECLQAUAAYACAAAACEAOP0h/9YAAACUAQAACwAAAAAAAAAAAAAAAAAv&#10;AQAAX3JlbHMvLnJlbHNQSwECLQAUAAYACAAAACEA76Zon6MCAACpBQAADgAAAAAAAAAAAAAAAAAu&#10;AgAAZHJzL2Uyb0RvYy54bWxQSwECLQAUAAYACAAAACEAGyL2n98AAAAMAQAADwAAAAAAAAAAAAAA&#10;AAD9BAAAZHJzL2Rvd25yZXYueG1sUEsFBgAAAAAEAAQA8wAAAAkGAAAAAA==&#10;" fillcolor="red" stroked="f" strokeweight="2pt">
                <v:fill opacity="6682f"/>
              </v:rect>
            </w:pict>
          </mc:Fallback>
        </mc:AlternateContent>
      </w:r>
      <w:r w:rsidRPr="00BC269A">
        <mc:AlternateContent>
          <mc:Choice Requires="wps">
            <w:drawing>
              <wp:anchor distT="0" distB="0" distL="114300" distR="114300" simplePos="0" relativeHeight="251658248" behindDoc="0" locked="0" layoutInCell="1" allowOverlap="1" wp14:anchorId="1B467125" wp14:editId="747DE789">
                <wp:simplePos x="0" y="0"/>
                <wp:positionH relativeFrom="column">
                  <wp:posOffset>2145665</wp:posOffset>
                </wp:positionH>
                <wp:positionV relativeFrom="paragraph">
                  <wp:posOffset>149860</wp:posOffset>
                </wp:positionV>
                <wp:extent cx="419100" cy="6876000"/>
                <wp:effectExtent l="0" t="0" r="0" b="1270"/>
                <wp:wrapNone/>
                <wp:docPr id="51" name="Rectangle 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9100" cy="6876000"/>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E0A0B" id="Rectangle 51" o:spid="_x0000_s1026" style="position:absolute;margin-left:168.95pt;margin-top:11.8pt;width:33pt;height:54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grpQIAAKgFAAAOAAAAZHJzL2Uyb0RvYy54bWysVMFu2zAMvQ/YPwi6r7aDJG2COkXQosOA&#10;oi2aDj0rshQbkEVNUuJkXz9Kst2u7WnYRRZF8pF8Jnl5dWwVOQjrGtAlLc5ySoTmUDV6V9Kfz7ff&#10;LihxnumKKdCipCfh6NXq65fLzizFBGpQlbAEQbRbdqaktfdmmWWO16Jl7gyM0KiUYFvmUbS7rLKs&#10;Q/RWZZM8n2cd2MpY4MI5fL1JSrqK+FIK7h+kdMITVVLMzcfTxnMbzmx1yZY7y0zd8D4N9g9ZtKzR&#10;GHSEumGekb1tPkC1DbfgQPozDm0GUjZcxBqwmiJ/V82mZkbEWpAcZ0aa3P+D5feHR0uaqqSzghLN&#10;WvxHT8ga0zslCL4hQZ1xS7TbmEfbSw6vodqjtG34Yh3kGEk9jaSKoyccH6fFosiReo6q+cX5PEcB&#10;YbJXb2Od/y6gJeFSUovhI5fscOd8Mh1MQjAHqqluG6WiYHfba2XJgeEPXkxu8lmefJWpWXot8mIx&#10;70O6ZB7D/4WjdEDTEHBTyPCShdJTsfHmT0oEO6WfhETWsLxJDBf7VYyJMM6F9kVS1awSKZMZ1j4U&#10;P3rEXCJgQJYYf8TuAcIsfMROWfb2wVXEdh+dEw9jmJTBkFhyHj1iZNB+dG4bDfazyhRW1UdO9gNJ&#10;iZrA0haqE/aUhTRszvDbBn/sHXP+kVmcLmwG3Bj+AQ+poCsp9DdKarC/P3sP9tj0qKWkw2ktqfu1&#10;Z1ZQon5oHIdFMZ2G8Y7CdHY+QcG+1WzfavS+vQbsF+x4zC5eg71Xw1VaaF9wsaxDVFQxzTF2Sbm3&#10;g3Dt0xbB1cTFeh3NcKQN83d6Y3gAD6yGxn0+vjBr+u72OBf3MEw2W75r8mQbPDWs9x5kEyfgldee&#10;b1wHsXH61RX2zVs5Wr0u2NUfAAAA//8DAFBLAwQUAAYACAAAACEACXYR2OEAAAALAQAADwAAAGRy&#10;cy9kb3ducmV2LnhtbEyPwU7DMAyG70i8Q2Qkbizd2nWsNJ0QiErTOMDGA2SNaTsapzTZ1r095gRH&#10;259+f3++Gm0nTjj41pGC6SQCgVQ501Kt4GP3cncPwgdNRneOUMEFPayK66tcZ8ad6R1P21ALDiGf&#10;aQVNCH0mpa8atNpPXI/Et083WB14HGppBn3mcNvJWRSl0uqW+EOje3xqsPraHq2C5PX54GQ/P8xr&#10;uyzfvjfrS1mulbq9GR8fQAQcwx8Mv/qsDgU77d2RjBedgjheLBlVMItTEAwkUcyLPZPTKE1AFrn8&#10;36H4AQAA//8DAFBLAQItABQABgAIAAAAIQC2gziS/gAAAOEBAAATAAAAAAAAAAAAAAAAAAAAAABb&#10;Q29udGVudF9UeXBlc10ueG1sUEsBAi0AFAAGAAgAAAAhADj9If/WAAAAlAEAAAsAAAAAAAAAAAAA&#10;AAAALwEAAF9yZWxzLy5yZWxzUEsBAi0AFAAGAAgAAAAhAOxB2CulAgAAqAUAAA4AAAAAAAAAAAAA&#10;AAAALgIAAGRycy9lMm9Eb2MueG1sUEsBAi0AFAAGAAgAAAAhAAl2EdjhAAAACwEAAA8AAAAAAAAA&#10;AAAAAAAA/wQAAGRycy9kb3ducmV2LnhtbFBLBQYAAAAABAAEAPMAAAANBgAAAAA=&#10;" fillcolor="#92d050" stroked="f" strokeweight="2pt">
                <v:fill opacity="6682f"/>
              </v:rect>
            </w:pict>
          </mc:Fallback>
        </mc:AlternateContent>
      </w:r>
      <w:r w:rsidR="00D15E6B" w:rsidRPr="005E5012">
        <w:rPr>
          <w:color w:val="FF0000"/>
        </w:rPr>
        <w:drawing>
          <wp:inline distT="0" distB="0" distL="0" distR="0" wp14:anchorId="736E682A" wp14:editId="4C770BFE">
            <wp:extent cx="6480000" cy="7200000"/>
            <wp:effectExtent l="0" t="0" r="0" b="1270"/>
            <wp:docPr id="19" name="Chart 19" descr="This bar graph shows the rates at each hospital and statewide of third- and fourth-degree perineal tears in women who gave birth for the first time and who had a vaginal birth without the use of instruments. A larger proportion of public than private hospitals had rates that fell into the least favourable 25% of hospitals.">
              <a:extLst xmlns:a="http://schemas.openxmlformats.org/drawingml/2006/main">
                <a:ext uri="{FF2B5EF4-FFF2-40B4-BE49-F238E27FC236}">
                  <a16:creationId xmlns:a16="http://schemas.microsoft.com/office/drawing/2014/main" id="{AD864AB7-944F-457D-9D9A-D766001182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E56AF7">
        <w:br w:type="page"/>
      </w:r>
    </w:p>
    <w:p w14:paraId="0D0223EA" w14:textId="2876933B" w:rsidR="00D15E6B" w:rsidRDefault="00D15E6B" w:rsidP="00A60C18">
      <w:pPr>
        <w:pStyle w:val="Tablechartdiagramheading"/>
        <w:spacing w:before="0" w:after="0"/>
      </w:pPr>
      <w:r w:rsidRPr="009C58E7">
        <w:t xml:space="preserve">Figure </w:t>
      </w:r>
      <w:r>
        <w:t>10</w:t>
      </w:r>
      <w:r w:rsidRPr="00994C5C" w:rsidDel="00061B4C">
        <w:t>.</w:t>
      </w:r>
      <w:r w:rsidRPr="00994C5C">
        <w:t xml:space="preserve"> Funnel plot of </w:t>
      </w:r>
      <w:r>
        <w:t>the rate of third- and fourth-degree perineal tears during unassisted vaginal births to primiparae</w:t>
      </w:r>
      <w:r w:rsidRPr="00994C5C">
        <w:t>, 201</w:t>
      </w:r>
      <w:r>
        <w:t>9</w:t>
      </w:r>
    </w:p>
    <w:p w14:paraId="1CC1E75D" w14:textId="0D24FFC1" w:rsidR="00D15E6B" w:rsidRDefault="00D15E6B" w:rsidP="00A60C18">
      <w:pPr>
        <w:spacing w:before="0" w:after="0"/>
      </w:pPr>
      <w:r>
        <w:drawing>
          <wp:inline distT="0" distB="0" distL="0" distR="0" wp14:anchorId="1DCCB4D8" wp14:editId="5D3C5552">
            <wp:extent cx="4826897" cy="3456000"/>
            <wp:effectExtent l="0" t="0" r="0" b="0"/>
            <wp:docPr id="32" name="Picture 32" descr="This funnel plot shows the distribution of hospital rates of third- and fourth-degree perineal tears in women giving birth for the first time vaginally and without instruments. Several public hospitals had rates that were statistically significantly high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is funnel plot shows the distribution of hospital rates of third- and fourth-degree perineal tears in women giving birth for the first time vaginally and without instruments. Several public hospitals had rates that were statistically significantly higher than average."/>
                    <pic:cNvPicPr/>
                  </pic:nvPicPr>
                  <pic:blipFill rotWithShape="1">
                    <a:blip r:embed="rId32">
                      <a:extLst>
                        <a:ext uri="{28A0092B-C50C-407E-A947-70E740481C1C}">
                          <a14:useLocalDpi xmlns:a14="http://schemas.microsoft.com/office/drawing/2010/main" val="0"/>
                        </a:ext>
                      </a:extLst>
                    </a:blip>
                    <a:srcRect t="5681"/>
                    <a:stretch/>
                  </pic:blipFill>
                  <pic:spPr bwMode="auto">
                    <a:xfrm>
                      <a:off x="0" y="0"/>
                      <a:ext cx="4826897" cy="3456000"/>
                    </a:xfrm>
                    <a:prstGeom prst="rect">
                      <a:avLst/>
                    </a:prstGeom>
                    <a:ln>
                      <a:noFill/>
                    </a:ln>
                    <a:extLst>
                      <a:ext uri="{53640926-AAD7-44D8-BBD7-CCE9431645EC}">
                        <a14:shadowObscured xmlns:a14="http://schemas.microsoft.com/office/drawing/2010/main"/>
                      </a:ext>
                    </a:extLst>
                  </pic:spPr>
                </pic:pic>
              </a:graphicData>
            </a:graphic>
          </wp:inline>
        </w:drawing>
      </w:r>
    </w:p>
    <w:p w14:paraId="3CE96254" w14:textId="0D725E91" w:rsidR="00BC269A" w:rsidRPr="005036AA" w:rsidRDefault="00BC269A" w:rsidP="00A60C18">
      <w:pPr>
        <w:pStyle w:val="Tablechartdiagramheading"/>
        <w:spacing w:before="0"/>
      </w:pPr>
      <w:r w:rsidRPr="009C58E7">
        <w:t xml:space="preserve">Figure </w:t>
      </w:r>
      <w:r>
        <w:t>1</w:t>
      </w:r>
      <w:r w:rsidR="00A05477">
        <w:t>1</w:t>
      </w:r>
      <w:r w:rsidRPr="00994C5C">
        <w:t xml:space="preserve">. Funnel plot of </w:t>
      </w:r>
      <w:r>
        <w:t>the rate of third- and fourth-degree perineal tears during assisted vaginal births to primiparae</w:t>
      </w:r>
      <w:r w:rsidRPr="00994C5C">
        <w:t>, 201</w:t>
      </w:r>
      <w:r>
        <w:t>9</w:t>
      </w:r>
    </w:p>
    <w:p w14:paraId="606E1751" w14:textId="2397D2A4" w:rsidR="00BC269A" w:rsidRDefault="00BC269A" w:rsidP="00A60C18">
      <w:pPr>
        <w:spacing w:before="0" w:after="0"/>
      </w:pPr>
      <w:r>
        <w:drawing>
          <wp:inline distT="0" distB="0" distL="0" distR="0" wp14:anchorId="7A81775B" wp14:editId="3766ACF3">
            <wp:extent cx="4834157" cy="3492000"/>
            <wp:effectExtent l="0" t="0" r="5080" b="0"/>
            <wp:docPr id="33" name="Picture 33" descr="This funnel plot shows the distribution of hospital rates of third- and fourth-degree perineal tears in women giving birth for the first time vaginally with instrumental assistance. Several public hospitals had rates that were statistically significantly higher than average and several private hospitals had rates that were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is funnel plot shows the distribution of hospital rates of third- and fourth-degree perineal tears in women giving birth for the first time vaginally with instrumental assistance. Several public hospitals had rates that were statistically significantly higher than average and several private hospitals had rates that were significantly lower."/>
                    <pic:cNvPicPr/>
                  </pic:nvPicPr>
                  <pic:blipFill rotWithShape="1">
                    <a:blip r:embed="rId33">
                      <a:extLst>
                        <a:ext uri="{28A0092B-C50C-407E-A947-70E740481C1C}">
                          <a14:useLocalDpi xmlns:a14="http://schemas.microsoft.com/office/drawing/2010/main" val="0"/>
                        </a:ext>
                      </a:extLst>
                    </a:blip>
                    <a:srcRect t="4161"/>
                    <a:stretch/>
                  </pic:blipFill>
                  <pic:spPr bwMode="auto">
                    <a:xfrm>
                      <a:off x="0" y="0"/>
                      <a:ext cx="4834157" cy="3492000"/>
                    </a:xfrm>
                    <a:prstGeom prst="rect">
                      <a:avLst/>
                    </a:prstGeom>
                    <a:ln>
                      <a:noFill/>
                    </a:ln>
                    <a:extLst>
                      <a:ext uri="{53640926-AAD7-44D8-BBD7-CCE9431645EC}">
                        <a14:shadowObscured xmlns:a14="http://schemas.microsoft.com/office/drawing/2010/main"/>
                      </a:ext>
                    </a:extLst>
                  </pic:spPr>
                </pic:pic>
              </a:graphicData>
            </a:graphic>
          </wp:inline>
        </w:drawing>
      </w:r>
    </w:p>
    <w:p w14:paraId="37EE45E9"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0F1BE28F" w14:textId="4988D8B0" w:rsidR="00D15E6B" w:rsidRPr="005036AA" w:rsidRDefault="00D15E6B" w:rsidP="003B4F97">
      <w:pPr>
        <w:pStyle w:val="Tablechartdiagramheading"/>
      </w:pPr>
      <w:r w:rsidRPr="000262E1">
        <w:t xml:space="preserve">Figure </w:t>
      </w:r>
      <w:r>
        <w:t>1</w:t>
      </w:r>
      <w:r w:rsidR="00A05477">
        <w:t>2</w:t>
      </w:r>
      <w:r w:rsidRPr="000262E1">
        <w:t xml:space="preserve">. Indicator 1cii: </w:t>
      </w:r>
      <w:r>
        <w:t>R</w:t>
      </w:r>
      <w:r w:rsidRPr="000262E1">
        <w:t>ate of third- and fourth-degree perineal tears during assisted vaginal births to</w:t>
      </w:r>
      <w:r w:rsidR="00061B4C">
        <w:rPr>
          <w:rFonts w:ascii="Cambria" w:hAnsi="Cambria" w:cs="Cambria"/>
        </w:rPr>
        <w:t xml:space="preserve"> </w:t>
      </w:r>
      <w:r w:rsidRPr="005036AA">
        <w:t>primiparae</w:t>
      </w:r>
      <w:r>
        <w:t xml:space="preserve">, </w:t>
      </w:r>
      <w:r w:rsidRPr="005036AA">
        <w:t>201</w:t>
      </w:r>
      <w:r>
        <w:t>9</w:t>
      </w:r>
    </w:p>
    <w:p w14:paraId="26959A74" w14:textId="5B7707B7" w:rsidR="00090D39" w:rsidRDefault="006A160F" w:rsidP="003B4F97">
      <w:pPr>
        <w:rPr>
          <w:rFonts w:ascii="VIC SemiBold" w:hAnsi="VIC SemiBold"/>
          <w:color w:val="007586" w:themeColor="text2"/>
          <w:spacing w:val="2"/>
          <w:szCs w:val="18"/>
          <w:lang w:val="en-GB" w:eastAsia="en-AU"/>
        </w:rPr>
      </w:pPr>
      <w:r w:rsidRPr="00BC269A">
        <mc:AlternateContent>
          <mc:Choice Requires="wps">
            <w:drawing>
              <wp:anchor distT="0" distB="0" distL="114300" distR="114300" simplePos="0" relativeHeight="251658250" behindDoc="0" locked="0" layoutInCell="1" allowOverlap="1" wp14:anchorId="6062CA9E" wp14:editId="4FD258E4">
                <wp:simplePos x="0" y="0"/>
                <wp:positionH relativeFrom="column">
                  <wp:posOffset>2202815</wp:posOffset>
                </wp:positionH>
                <wp:positionV relativeFrom="paragraph">
                  <wp:posOffset>126365</wp:posOffset>
                </wp:positionV>
                <wp:extent cx="488950" cy="5582093"/>
                <wp:effectExtent l="0" t="0" r="6350" b="0"/>
                <wp:wrapNone/>
                <wp:docPr id="53" name="Rectangle 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8950" cy="5582093"/>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20010" id="Rectangle 53" o:spid="_x0000_s1026" style="position:absolute;margin-left:173.45pt;margin-top:9.95pt;width:38.5pt;height:439.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QOlqgIAAKgFAAAOAAAAZHJzL2Uyb0RvYy54bWysVMFu2zAMvQ/YPwi6r7azpEuCOkXQosOA&#10;oi3aDj0rshQbkEVNUuJkXz9Kst106y7DclAokXwkn0leXB5aRfbCugZ0SYuznBKhOVSN3pb0+/PN&#10;pzklzjNdMQValPQoHL1cffxw0ZmlmEANqhKWIIh2y86UtPbeLLPM8Vq0zJ2BERqVEmzLPF7tNqss&#10;6xC9Vdkkz8+zDmxlLHDhHL5eJyVdRXwpBff3UjrhiSop5ubjaeO5CWe2umDLrWWmbnifBvuHLFrW&#10;aAw6Ql0zz8jONn9AtQ234ED6Mw5tBlI2XMQasJoi/62ap5oZEWtBcpwZaXL/D5bf7R8saaqSzj5T&#10;olmL3+gRWWN6qwTBNySoM26Jdk/mwfY3h2Ko9iBtG/6xDnKIpB5HUsXBE46P0/l8MUPqOapms/kk&#10;X0TQ7NXbWOe/CmhJEEpqMXzkku1vnceIaDqYhGAOVFPdNErFi91urpQle4YfeDG5zjFUeGfK1Cy9&#10;FnmxOA91II5L5kk+xVE6eGkIuMk0vGSh9FRslPxRiWCn9KOQyBqWN4nhYr+KMRHGudC+SKqaVSJl&#10;MsvxN2QSOjx4xFwiYECWGH/E7gEGywQyYKcse/vgKmK7j86Jh78klpxHjxgZtB+d20aDfa8yhVX1&#10;kZP9QFKiJrC0geqIPWUhDZsz/KbBD3vLnH9gFqcLmwE3hr/HQyroSgq9REkN9ud778Eemx61lHQ4&#10;rSV1P3bMCkrUN43jsCim0zDe8TKdfZngxZ5qNqcavWuvAPulwN1keBSDvVeDKC20L7hY1iEqqpjm&#10;GLuk3NvhcuXTFsHVxMV6Hc1wpA3zt/rJ8AAeWA2N+3x4Ydb03e1xLu5gmGxs1LdNnmyDp4b1zoNs&#10;4gS88trzjesgNk6/usK+Ob1Hq9cFu/oFAAD//wMAUEsDBBQABgAIAAAAIQCY6KGf4AAAAAoBAAAP&#10;AAAAZHJzL2Rvd25yZXYueG1sTI/BTsMwEETvlfgHa5G4tQ5tWtUhToVARKrgAIUPcOMlSYnXIXbb&#10;9O9ZTnDaXc1o9k2+GV0nTjiE1pOG21kCAqnytqVaw8f703QNIkRD1nSeUMMFA2yKq0luMuvP9Ian&#10;XawFh1DIjIYmxj6TMlQNOhNmvkdi7dMPzkQ+h1rawZw53HVyniQr6UxL/KExPT40WH3tjk5D+vJ4&#10;8LJfHpa1U+Xr9/P2UpZbrW+ux/s7EBHH+GeGX3xGh4KZ9v5INohOwyJdKbayoHiyIZ0veNlrWCuV&#10;gCxy+b9C8QMAAP//AwBQSwECLQAUAAYACAAAACEAtoM4kv4AAADhAQAAEwAAAAAAAAAAAAAAAAAA&#10;AAAAW0NvbnRlbnRfVHlwZXNdLnhtbFBLAQItABQABgAIAAAAIQA4/SH/1gAAAJQBAAALAAAAAAAA&#10;AAAAAAAAAC8BAABfcmVscy8ucmVsc1BLAQItABQABgAIAAAAIQC99QOlqgIAAKgFAAAOAAAAAAAA&#10;AAAAAAAAAC4CAABkcnMvZTJvRG9jLnhtbFBLAQItABQABgAIAAAAIQCY6KGf4AAAAAoBAAAPAAAA&#10;AAAAAAAAAAAAAAQFAABkcnMvZG93bnJldi54bWxQSwUGAAAAAAQABADzAAAAEQYAAAAA&#10;" fillcolor="#92d050" stroked="f" strokeweight="2pt">
                <v:fill opacity="6682f"/>
              </v:rect>
            </w:pict>
          </mc:Fallback>
        </mc:AlternateContent>
      </w:r>
      <w:r w:rsidR="00BC269A" w:rsidRPr="00BC269A">
        <mc:AlternateContent>
          <mc:Choice Requires="wps">
            <w:drawing>
              <wp:anchor distT="0" distB="0" distL="114300" distR="114300" simplePos="0" relativeHeight="251658251" behindDoc="0" locked="0" layoutInCell="1" allowOverlap="1" wp14:anchorId="3B11188B" wp14:editId="01EC1C75">
                <wp:simplePos x="0" y="0"/>
                <wp:positionH relativeFrom="column">
                  <wp:posOffset>3701415</wp:posOffset>
                </wp:positionH>
                <wp:positionV relativeFrom="paragraph">
                  <wp:posOffset>125095</wp:posOffset>
                </wp:positionV>
                <wp:extent cx="2736850" cy="5582093"/>
                <wp:effectExtent l="0" t="0" r="6350" b="0"/>
                <wp:wrapNone/>
                <wp:docPr id="54" name="Rectangle 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36850" cy="5582093"/>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C6CD5" id="Rectangle 54" o:spid="_x0000_s1026" style="position:absolute;margin-left:291.45pt;margin-top:9.85pt;width:215.5pt;height:439.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qRpgIAAKkFAAAOAAAAZHJzL2Uyb0RvYy54bWysVE1v2zAMvQ/YfxB0X22nST+COEWQIsOA&#10;og3aDj0rshQbkEVNUuJkv36U5Lhd29OwHBRRJB/JZ5Kzm0OryF5Y14AuaXGWUyI0h6rR25L+fF59&#10;u6LEeaYrpkCLkh6Fozfzr19mnZmKEdSgKmEJgmg37UxJa+/NNMscr0XL3BkYoVEpwbbMo2i3WWVZ&#10;h+itykZ5fpF1YCtjgQvn8PU2Kek84kspuH+Q0glPVEkxNx9PG89NOLP5jE23lpm64X0a7B+yaFmj&#10;MegAdcs8IzvbfIBqG27BgfRnHNoMpGy4iDVgNUX+rpqnmhkRa0FynBlocv8Plt/v15Y0VUknY0o0&#10;a/EbPSJrTG+VIPiGBHXGTdHuyaxtLzm8hmoP0rbhH+sgh0jqcSBVHDzh+Di6PL+4miD3HHWTydUo&#10;vz4PqNmru7HOfxfQknApqcX4kUy2v3M+mZ5MQjQHqqlWjVJRsNvNUlmyZ/iFV6scf8lXmZql1yIv&#10;ri/6kC6Zx/B/4Sgd0DQE3BQyvGSh9lRtvPmjEsFO6UchkbZQXwwXG1YMiTDOhfZFUtWsEimTSUwv&#10;wQ8eMZcIGJAlxh+we4AwDB+xE0xvH1xF7PfBOfEwhEkZnBJLzoNHjAzaD85to8F+VpnCqvrIyf5E&#10;UqImsLSB6ohNZSFNmzN81eCHvWPOr5nF8cJmwJXhH/CQCrqSQn+jpAb7+7P3YI9dj1pKOhzXkrpf&#10;O2YFJeqHxnm4LsbjMN9RGE8uRyjYt5rNW43etUvAfilwORker8Heq9NVWmhfcLMsQlRUMc0xdkm5&#10;tydh6dMawd3ExWIRzXCmDfN3+snwAB5YDY37fHhh1vTd7XEw7uE02mz6rsmTbfDUsNh5kE2cgFde&#10;e75xH8TG6XdXWDhv5Wj1umHnfwAAAP//AwBQSwMEFAAGAAgAAAAhAL9nqVzeAAAACwEAAA8AAABk&#10;cnMvZG93bnJldi54bWxMj8FOwzAMhu9IvENkJG4sXREjLU0nBIJd2UATx6wxbaFxqiZb27fHO8HR&#10;/j/9/lysJ9eJEw6h9aRhuUhAIFXetlRr+Hh/uVEgQjRkTecJNcwYYF1eXhQmt36kLZ52sRZcQiE3&#10;GpoY+1zKUDXoTFj4HomzLz84E3kcamkHM3K562SaJCvpTEt8oTE9PjVY/eyOTkP1GfZv27h5/q5p&#10;fl2N437YzKnW11fT4wOIiFP8g+Gsz+pQstPBH8kG0Wm4U2nGKAfZPYgzkCxveXPQoDKlQJaF/P9D&#10;+QsAAP//AwBQSwECLQAUAAYACAAAACEAtoM4kv4AAADhAQAAEwAAAAAAAAAAAAAAAAAAAAAAW0Nv&#10;bnRlbnRfVHlwZXNdLnhtbFBLAQItABQABgAIAAAAIQA4/SH/1gAAAJQBAAALAAAAAAAAAAAAAAAA&#10;AC8BAABfcmVscy8ucmVsc1BLAQItABQABgAIAAAAIQCW9zqRpgIAAKkFAAAOAAAAAAAAAAAAAAAA&#10;AC4CAABkcnMvZTJvRG9jLnhtbFBLAQItABQABgAIAAAAIQC/Z6lc3gAAAAsBAAAPAAAAAAAAAAAA&#10;AAAAAAAFAABkcnMvZG93bnJldi54bWxQSwUGAAAAAAQABADzAAAACwYAAAAA&#10;" fillcolor="red" stroked="f" strokeweight="2pt">
                <v:fill opacity="6682f"/>
              </v:rect>
            </w:pict>
          </mc:Fallback>
        </mc:AlternateContent>
      </w:r>
      <w:r w:rsidR="00D15E6B">
        <w:drawing>
          <wp:inline distT="0" distB="0" distL="0" distR="0" wp14:anchorId="70020654" wp14:editId="3155CF80">
            <wp:extent cx="6480000" cy="5796000"/>
            <wp:effectExtent l="0" t="0" r="0" b="0"/>
            <wp:docPr id="20" name="Chart 20" descr="This bar graph shows the rates at each hospital and statewide of third- and fourth-degree perineal tears in women giving birth for the first time vaginally with instrumental assistance. A larger proportion of public than private hospitals had rates that fell within the least favourable 25% of hospitals.">
              <a:extLst xmlns:a="http://schemas.openxmlformats.org/drawingml/2006/main">
                <a:ext uri="{FF2B5EF4-FFF2-40B4-BE49-F238E27FC236}">
                  <a16:creationId xmlns:a16="http://schemas.microsoft.com/office/drawing/2014/main" id="{83249C90-F44A-4F7A-B230-861E3A549D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C833112" w14:textId="7C6F705B" w:rsidR="00BC269A" w:rsidRDefault="00BC269A" w:rsidP="003B4F97">
      <w:pPr>
        <w:pStyle w:val="Tablechartdiagramheading"/>
      </w:pPr>
      <w:r w:rsidRPr="005036AA">
        <w:t>Table 3. Rate of third- and fourth-degree perineal tears</w:t>
      </w:r>
      <w:r>
        <w:t>, 2016</w:t>
      </w:r>
      <w:r w:rsidR="00061B4C">
        <w:t>–</w:t>
      </w:r>
      <w:r>
        <w:t>19</w:t>
      </w:r>
      <w:r w:rsidRPr="005036AA">
        <w:t xml:space="preserve"> </w:t>
      </w:r>
    </w:p>
    <w:tbl>
      <w:tblPr>
        <w:tblStyle w:val="TableGrid"/>
        <w:tblW w:w="10206" w:type="dxa"/>
        <w:tblLook w:val="04A0" w:firstRow="1" w:lastRow="0" w:firstColumn="1" w:lastColumn="0" w:noHBand="0" w:noVBand="1"/>
      </w:tblPr>
      <w:tblGrid>
        <w:gridCol w:w="1134"/>
        <w:gridCol w:w="1134"/>
        <w:gridCol w:w="1134"/>
        <w:gridCol w:w="1134"/>
        <w:gridCol w:w="1134"/>
        <w:gridCol w:w="1134"/>
        <w:gridCol w:w="1134"/>
        <w:gridCol w:w="1134"/>
        <w:gridCol w:w="1134"/>
      </w:tblGrid>
      <w:tr w:rsidR="002A3CE9" w14:paraId="3844448F"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3"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6FFE527B" w14:textId="77777777" w:rsidR="00BC269A" w:rsidRDefault="00BC269A" w:rsidP="003B4F97">
            <w:pPr>
              <w:rPr>
                <w:lang w:val="en-GB" w:eastAsia="en-AU"/>
              </w:rPr>
            </w:pPr>
          </w:p>
        </w:tc>
        <w:tc>
          <w:tcPr>
            <w:tcW w:w="3401"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AAF3BD0" w14:textId="77777777" w:rsidR="00BC269A" w:rsidRDefault="00BC269A" w:rsidP="003B4F97">
            <w:pPr>
              <w:cnfStyle w:val="100000000000" w:firstRow="1" w:lastRow="0" w:firstColumn="0" w:lastColumn="0" w:oddVBand="0" w:evenVBand="0" w:oddHBand="0" w:evenHBand="0" w:firstRowFirstColumn="0" w:firstRowLastColumn="0" w:lastRowFirstColumn="0" w:lastRowLastColumn="0"/>
              <w:rPr>
                <w:lang w:val="en-GB" w:eastAsia="en-AU"/>
              </w:rPr>
            </w:pPr>
            <w:r>
              <w:t>During unassisted vaginal births</w:t>
            </w:r>
          </w:p>
        </w:tc>
        <w:tc>
          <w:tcPr>
            <w:tcW w:w="1134" w:type="dxa"/>
            <w:tcBorders>
              <w:top w:val="none" w:sz="0" w:space="0" w:color="auto"/>
              <w:left w:val="none" w:sz="0" w:space="0" w:color="auto"/>
              <w:bottom w:val="nil"/>
              <w:right w:val="none" w:sz="0" w:space="0" w:color="auto"/>
              <w:tl2br w:val="none" w:sz="0" w:space="0" w:color="auto"/>
              <w:tr2bl w:val="none" w:sz="0" w:space="0" w:color="auto"/>
            </w:tcBorders>
            <w:tcMar>
              <w:top w:w="0" w:type="nil"/>
              <w:left w:w="0" w:type="nil"/>
              <w:bottom w:w="0" w:type="nil"/>
              <w:right w:w="0" w:type="nil"/>
            </w:tcMar>
          </w:tcPr>
          <w:p w14:paraId="7F96493D" w14:textId="77777777" w:rsidR="00BC269A" w:rsidRDefault="00BC269A" w:rsidP="003B4F97">
            <w:pPr>
              <w:cnfStyle w:val="100000000000" w:firstRow="1" w:lastRow="0" w:firstColumn="0" w:lastColumn="0" w:oddVBand="0" w:evenVBand="0" w:oddHBand="0" w:evenHBand="0" w:firstRowFirstColumn="0" w:firstRowLastColumn="0" w:lastRowFirstColumn="0" w:lastRowLastColumn="0"/>
              <w:rPr>
                <w:lang w:val="en-GB" w:eastAsia="en-AU"/>
              </w:rPr>
            </w:pPr>
          </w:p>
        </w:tc>
        <w:tc>
          <w:tcPr>
            <w:tcW w:w="3402" w:type="dxa"/>
            <w:gridSpan w:val="3"/>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384AF95" w14:textId="77777777" w:rsidR="00BC269A" w:rsidRDefault="00BC269A" w:rsidP="003B4F97">
            <w:pPr>
              <w:cnfStyle w:val="100000000000" w:firstRow="1" w:lastRow="0" w:firstColumn="0" w:lastColumn="0" w:oddVBand="0" w:evenVBand="0" w:oddHBand="0" w:evenHBand="0" w:firstRowFirstColumn="0" w:firstRowLastColumn="0" w:lastRowFirstColumn="0" w:lastRowLastColumn="0"/>
              <w:rPr>
                <w:lang w:val="en-GB" w:eastAsia="en-AU"/>
              </w:rPr>
            </w:pPr>
            <w:r>
              <w:t>During assisted vaginal births</w:t>
            </w:r>
          </w:p>
        </w:tc>
        <w:tc>
          <w:tcPr>
            <w:tcW w:w="1134" w:type="dxa"/>
            <w:tcBorders>
              <w:top w:val="none" w:sz="0" w:space="0" w:color="auto"/>
              <w:left w:val="none" w:sz="0" w:space="0" w:color="auto"/>
              <w:bottom w:val="nil"/>
              <w:right w:val="none" w:sz="0" w:space="0" w:color="auto"/>
              <w:tl2br w:val="none" w:sz="0" w:space="0" w:color="auto"/>
              <w:tr2bl w:val="none" w:sz="0" w:space="0" w:color="auto"/>
            </w:tcBorders>
            <w:tcMar>
              <w:top w:w="0" w:type="nil"/>
              <w:left w:w="0" w:type="nil"/>
              <w:bottom w:w="0" w:type="nil"/>
              <w:right w:w="0" w:type="nil"/>
            </w:tcMar>
          </w:tcPr>
          <w:p w14:paraId="5450BBDF" w14:textId="77777777" w:rsidR="00BC269A" w:rsidRDefault="00BC269A" w:rsidP="003B4F97">
            <w:pPr>
              <w:cnfStyle w:val="100000000000" w:firstRow="1" w:lastRow="0" w:firstColumn="0" w:lastColumn="0" w:oddVBand="0" w:evenVBand="0" w:oddHBand="0" w:evenHBand="0" w:firstRowFirstColumn="0" w:firstRowLastColumn="0" w:lastRowFirstColumn="0" w:lastRowLastColumn="0"/>
              <w:rPr>
                <w:lang w:val="en-GB" w:eastAsia="en-AU"/>
              </w:rPr>
            </w:pPr>
          </w:p>
        </w:tc>
      </w:tr>
      <w:tr w:rsidR="00BC269A" w14:paraId="61456F83" w14:textId="77777777" w:rsidTr="00FF19C3">
        <w:tc>
          <w:tcPr>
            <w:cnfStyle w:val="001000000000" w:firstRow="0" w:lastRow="0" w:firstColumn="1" w:lastColumn="0" w:oddVBand="0" w:evenVBand="0" w:oddHBand="0" w:evenHBand="0" w:firstRowFirstColumn="0" w:firstRowLastColumn="0" w:lastRowFirstColumn="0" w:lastRowLastColumn="0"/>
            <w:tcW w:w="1133" w:type="dxa"/>
          </w:tcPr>
          <w:p w14:paraId="2E070707" w14:textId="77777777" w:rsidR="00BC269A" w:rsidRDefault="00BC269A" w:rsidP="003B4F97">
            <w:pPr>
              <w:rPr>
                <w:lang w:val="en-GB" w:eastAsia="en-AU"/>
              </w:rPr>
            </w:pPr>
          </w:p>
        </w:tc>
        <w:tc>
          <w:tcPr>
            <w:tcW w:w="1133" w:type="dxa"/>
            <w:vAlign w:val="center"/>
          </w:tcPr>
          <w:p w14:paraId="5EA572A7"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2016</w:t>
            </w:r>
          </w:p>
        </w:tc>
        <w:tc>
          <w:tcPr>
            <w:tcW w:w="1134" w:type="dxa"/>
            <w:vAlign w:val="center"/>
          </w:tcPr>
          <w:p w14:paraId="0C2C6C14"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2017</w:t>
            </w:r>
          </w:p>
        </w:tc>
        <w:tc>
          <w:tcPr>
            <w:tcW w:w="1134" w:type="dxa"/>
            <w:vAlign w:val="center"/>
          </w:tcPr>
          <w:p w14:paraId="1F3AF4F6"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2018</w:t>
            </w:r>
          </w:p>
        </w:tc>
        <w:tc>
          <w:tcPr>
            <w:tcW w:w="1134" w:type="dxa"/>
            <w:tcBorders>
              <w:top w:val="nil"/>
            </w:tcBorders>
            <w:shd w:val="clear" w:color="auto" w:fill="D9D9D9" w:themeFill="background1" w:themeFillShade="D9"/>
            <w:vAlign w:val="center"/>
          </w:tcPr>
          <w:p w14:paraId="33D455F6"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2019</w:t>
            </w:r>
          </w:p>
        </w:tc>
        <w:tc>
          <w:tcPr>
            <w:tcW w:w="1134" w:type="dxa"/>
            <w:vAlign w:val="center"/>
          </w:tcPr>
          <w:p w14:paraId="73F29AFA"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2016</w:t>
            </w:r>
          </w:p>
        </w:tc>
        <w:tc>
          <w:tcPr>
            <w:tcW w:w="1134" w:type="dxa"/>
            <w:vAlign w:val="center"/>
          </w:tcPr>
          <w:p w14:paraId="3D305624"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2017</w:t>
            </w:r>
          </w:p>
        </w:tc>
        <w:tc>
          <w:tcPr>
            <w:tcW w:w="1134" w:type="dxa"/>
            <w:vAlign w:val="center"/>
          </w:tcPr>
          <w:p w14:paraId="02657D85"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2018</w:t>
            </w:r>
          </w:p>
        </w:tc>
        <w:tc>
          <w:tcPr>
            <w:tcW w:w="1134" w:type="dxa"/>
            <w:tcBorders>
              <w:top w:val="nil"/>
            </w:tcBorders>
            <w:shd w:val="clear" w:color="auto" w:fill="D9D9D9" w:themeFill="background1" w:themeFillShade="D9"/>
            <w:vAlign w:val="center"/>
          </w:tcPr>
          <w:p w14:paraId="0A8D1403" w14:textId="77777777" w:rsidR="00BC269A" w:rsidRP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C269A">
              <w:t>2019</w:t>
            </w:r>
          </w:p>
        </w:tc>
      </w:tr>
      <w:tr w:rsidR="00BC269A" w14:paraId="582EDC14" w14:textId="77777777" w:rsidTr="00FF19C3">
        <w:tc>
          <w:tcPr>
            <w:cnfStyle w:val="001000000000" w:firstRow="0" w:lastRow="0" w:firstColumn="1" w:lastColumn="0" w:oddVBand="0" w:evenVBand="0" w:oddHBand="0" w:evenHBand="0" w:firstRowFirstColumn="0" w:firstRowLastColumn="0" w:lastRowFirstColumn="0" w:lastRowLastColumn="0"/>
            <w:tcW w:w="1133" w:type="dxa"/>
            <w:vAlign w:val="center"/>
          </w:tcPr>
          <w:p w14:paraId="3FD3DCCE" w14:textId="77777777" w:rsidR="00BC269A" w:rsidRDefault="00BC269A" w:rsidP="003B4F97">
            <w:pPr>
              <w:rPr>
                <w:lang w:val="en-GB" w:eastAsia="en-AU"/>
              </w:rPr>
            </w:pPr>
            <w:r w:rsidRPr="00FE4E27">
              <w:t>Public</w:t>
            </w:r>
          </w:p>
        </w:tc>
        <w:tc>
          <w:tcPr>
            <w:tcW w:w="1133" w:type="dxa"/>
            <w:vAlign w:val="center"/>
          </w:tcPr>
          <w:p w14:paraId="3DCAAECA"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4.9%</w:t>
            </w:r>
          </w:p>
        </w:tc>
        <w:tc>
          <w:tcPr>
            <w:tcW w:w="1134" w:type="dxa"/>
            <w:vAlign w:val="center"/>
          </w:tcPr>
          <w:p w14:paraId="23A06110"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3.6%</w:t>
            </w:r>
          </w:p>
        </w:tc>
        <w:tc>
          <w:tcPr>
            <w:tcW w:w="1134" w:type="dxa"/>
            <w:vAlign w:val="center"/>
          </w:tcPr>
          <w:p w14:paraId="5AB868F2"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4.4%</w:t>
            </w:r>
          </w:p>
        </w:tc>
        <w:tc>
          <w:tcPr>
            <w:tcW w:w="1134" w:type="dxa"/>
            <w:shd w:val="clear" w:color="auto" w:fill="D9D9D9" w:themeFill="background1" w:themeFillShade="D9"/>
            <w:vAlign w:val="center"/>
          </w:tcPr>
          <w:p w14:paraId="6F9EE65A"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4.7%</w:t>
            </w:r>
          </w:p>
        </w:tc>
        <w:tc>
          <w:tcPr>
            <w:tcW w:w="1134" w:type="dxa"/>
            <w:vAlign w:val="center"/>
          </w:tcPr>
          <w:p w14:paraId="3DF7EDC0"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7.7%</w:t>
            </w:r>
          </w:p>
        </w:tc>
        <w:tc>
          <w:tcPr>
            <w:tcW w:w="1134" w:type="dxa"/>
            <w:vAlign w:val="center"/>
          </w:tcPr>
          <w:p w14:paraId="6B68BDAF"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5.5%</w:t>
            </w:r>
          </w:p>
        </w:tc>
        <w:tc>
          <w:tcPr>
            <w:tcW w:w="1134" w:type="dxa"/>
            <w:vAlign w:val="center"/>
          </w:tcPr>
          <w:p w14:paraId="2C41C1BC"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6.0%</w:t>
            </w:r>
          </w:p>
        </w:tc>
        <w:tc>
          <w:tcPr>
            <w:tcW w:w="1134" w:type="dxa"/>
            <w:shd w:val="clear" w:color="auto" w:fill="D9D9D9" w:themeFill="background1" w:themeFillShade="D9"/>
            <w:vAlign w:val="center"/>
          </w:tcPr>
          <w:p w14:paraId="71B21725"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6.5%</w:t>
            </w:r>
          </w:p>
        </w:tc>
      </w:tr>
      <w:tr w:rsidR="00BC269A" w14:paraId="0566A19F" w14:textId="77777777" w:rsidTr="00FF19C3">
        <w:tc>
          <w:tcPr>
            <w:cnfStyle w:val="001000000000" w:firstRow="0" w:lastRow="0" w:firstColumn="1" w:lastColumn="0" w:oddVBand="0" w:evenVBand="0" w:oddHBand="0" w:evenHBand="0" w:firstRowFirstColumn="0" w:firstRowLastColumn="0" w:lastRowFirstColumn="0" w:lastRowLastColumn="0"/>
            <w:tcW w:w="1133" w:type="dxa"/>
            <w:vAlign w:val="center"/>
          </w:tcPr>
          <w:p w14:paraId="18BDCC00" w14:textId="77777777" w:rsidR="00BC269A" w:rsidRDefault="00BC269A" w:rsidP="003B4F97">
            <w:pPr>
              <w:rPr>
                <w:lang w:val="en-GB" w:eastAsia="en-AU"/>
              </w:rPr>
            </w:pPr>
            <w:r w:rsidRPr="00FE4E27">
              <w:t>Private</w:t>
            </w:r>
          </w:p>
        </w:tc>
        <w:tc>
          <w:tcPr>
            <w:tcW w:w="1133" w:type="dxa"/>
            <w:vAlign w:val="center"/>
          </w:tcPr>
          <w:p w14:paraId="4447E295"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1.3%</w:t>
            </w:r>
          </w:p>
        </w:tc>
        <w:tc>
          <w:tcPr>
            <w:tcW w:w="1134" w:type="dxa"/>
            <w:vAlign w:val="center"/>
          </w:tcPr>
          <w:p w14:paraId="14CC4C04"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1.0%</w:t>
            </w:r>
          </w:p>
        </w:tc>
        <w:tc>
          <w:tcPr>
            <w:tcW w:w="1134" w:type="dxa"/>
            <w:vAlign w:val="center"/>
          </w:tcPr>
          <w:p w14:paraId="7C8CFFC7"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1.0%</w:t>
            </w:r>
          </w:p>
        </w:tc>
        <w:tc>
          <w:tcPr>
            <w:tcW w:w="1134" w:type="dxa"/>
            <w:shd w:val="clear" w:color="auto" w:fill="D9D9D9" w:themeFill="background1" w:themeFillShade="D9"/>
            <w:vAlign w:val="center"/>
          </w:tcPr>
          <w:p w14:paraId="483D7CB0"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1.4%</w:t>
            </w:r>
          </w:p>
        </w:tc>
        <w:tc>
          <w:tcPr>
            <w:tcW w:w="1134" w:type="dxa"/>
            <w:vAlign w:val="center"/>
          </w:tcPr>
          <w:p w14:paraId="79E54E77"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2.5%</w:t>
            </w:r>
          </w:p>
        </w:tc>
        <w:tc>
          <w:tcPr>
            <w:tcW w:w="1134" w:type="dxa"/>
            <w:vAlign w:val="center"/>
          </w:tcPr>
          <w:p w14:paraId="6D0025F6"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2.5%</w:t>
            </w:r>
          </w:p>
        </w:tc>
        <w:tc>
          <w:tcPr>
            <w:tcW w:w="1134" w:type="dxa"/>
            <w:vAlign w:val="center"/>
          </w:tcPr>
          <w:p w14:paraId="39BD3C96"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2.4%</w:t>
            </w:r>
          </w:p>
        </w:tc>
        <w:tc>
          <w:tcPr>
            <w:tcW w:w="1134" w:type="dxa"/>
            <w:shd w:val="clear" w:color="auto" w:fill="D9D9D9" w:themeFill="background1" w:themeFillShade="D9"/>
            <w:vAlign w:val="center"/>
          </w:tcPr>
          <w:p w14:paraId="2BCA27D3"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2.8%</w:t>
            </w:r>
          </w:p>
        </w:tc>
      </w:tr>
      <w:tr w:rsidR="00BC269A" w14:paraId="50CF11F0" w14:textId="77777777" w:rsidTr="00FF19C3">
        <w:tc>
          <w:tcPr>
            <w:cnfStyle w:val="001000000000" w:firstRow="0" w:lastRow="0" w:firstColumn="1" w:lastColumn="0" w:oddVBand="0" w:evenVBand="0" w:oddHBand="0" w:evenHBand="0" w:firstRowFirstColumn="0" w:firstRowLastColumn="0" w:lastRowFirstColumn="0" w:lastRowLastColumn="0"/>
            <w:tcW w:w="1133" w:type="dxa"/>
            <w:vAlign w:val="center"/>
          </w:tcPr>
          <w:p w14:paraId="4D530DAE" w14:textId="77777777" w:rsidR="00BC269A" w:rsidRDefault="00BC269A" w:rsidP="003B4F97">
            <w:pPr>
              <w:rPr>
                <w:lang w:val="en-GB" w:eastAsia="en-AU"/>
              </w:rPr>
            </w:pPr>
            <w:r w:rsidRPr="00FE4E27">
              <w:t>Combined</w:t>
            </w:r>
          </w:p>
        </w:tc>
        <w:tc>
          <w:tcPr>
            <w:tcW w:w="1133" w:type="dxa"/>
            <w:vAlign w:val="center"/>
          </w:tcPr>
          <w:p w14:paraId="0640998A"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4.3%</w:t>
            </w:r>
          </w:p>
        </w:tc>
        <w:tc>
          <w:tcPr>
            <w:tcW w:w="1134" w:type="dxa"/>
            <w:vAlign w:val="center"/>
          </w:tcPr>
          <w:p w14:paraId="774F07FD"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3.2%</w:t>
            </w:r>
          </w:p>
        </w:tc>
        <w:tc>
          <w:tcPr>
            <w:tcW w:w="1134" w:type="dxa"/>
            <w:vAlign w:val="center"/>
          </w:tcPr>
          <w:p w14:paraId="2DF27257"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3.8%</w:t>
            </w:r>
          </w:p>
        </w:tc>
        <w:tc>
          <w:tcPr>
            <w:tcW w:w="1134" w:type="dxa"/>
            <w:shd w:val="clear" w:color="auto" w:fill="D9D9D9" w:themeFill="background1" w:themeFillShade="D9"/>
            <w:vAlign w:val="center"/>
          </w:tcPr>
          <w:p w14:paraId="49195024"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4.2%</w:t>
            </w:r>
          </w:p>
        </w:tc>
        <w:tc>
          <w:tcPr>
            <w:tcW w:w="1134" w:type="dxa"/>
            <w:vAlign w:val="center"/>
          </w:tcPr>
          <w:p w14:paraId="6B245B6E"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6.2%</w:t>
            </w:r>
          </w:p>
        </w:tc>
        <w:tc>
          <w:tcPr>
            <w:tcW w:w="1134" w:type="dxa"/>
            <w:vAlign w:val="center"/>
          </w:tcPr>
          <w:p w14:paraId="6CD46971"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4.7%</w:t>
            </w:r>
          </w:p>
        </w:tc>
        <w:tc>
          <w:tcPr>
            <w:tcW w:w="1134" w:type="dxa"/>
            <w:vAlign w:val="center"/>
          </w:tcPr>
          <w:p w14:paraId="2BDE1634"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5.0%</w:t>
            </w:r>
          </w:p>
        </w:tc>
        <w:tc>
          <w:tcPr>
            <w:tcW w:w="1134" w:type="dxa"/>
            <w:shd w:val="clear" w:color="auto" w:fill="D9D9D9" w:themeFill="background1" w:themeFillShade="D9"/>
            <w:vAlign w:val="center"/>
          </w:tcPr>
          <w:p w14:paraId="02069000" w14:textId="77777777" w:rsidR="00BC269A" w:rsidRDefault="00BC269A" w:rsidP="003B4F97">
            <w:pPr>
              <w:cnfStyle w:val="000000000000" w:firstRow="0" w:lastRow="0" w:firstColumn="0" w:lastColumn="0" w:oddVBand="0" w:evenVBand="0" w:oddHBand="0" w:evenHBand="0" w:firstRowFirstColumn="0" w:firstRowLastColumn="0" w:lastRowFirstColumn="0" w:lastRowLastColumn="0"/>
              <w:rPr>
                <w:lang w:val="en-GB" w:eastAsia="en-AU"/>
              </w:rPr>
            </w:pPr>
            <w:r>
              <w:t>5.6%</w:t>
            </w:r>
          </w:p>
        </w:tc>
      </w:tr>
    </w:tbl>
    <w:p w14:paraId="2BD54293" w14:textId="226C0A02" w:rsidR="00BC269A" w:rsidRDefault="00BC269A" w:rsidP="003B4F97">
      <w:pPr>
        <w:pStyle w:val="Heading2"/>
      </w:pPr>
      <w:r>
        <w:t>Definition</w:t>
      </w:r>
      <w:r w:rsidR="00D742DA">
        <w:t>s and data sources</w:t>
      </w:r>
    </w:p>
    <w:p w14:paraId="3A6A27A6" w14:textId="393A12E7" w:rsidR="00090D39" w:rsidRPr="00090D39" w:rsidRDefault="00090D39" w:rsidP="003B4F97">
      <w:pPr>
        <w:pStyle w:val="Normalfollowingheading"/>
      </w:pPr>
      <w:r w:rsidRPr="00090D39">
        <w:t>For all primiparae, (i) the proportion who have a third- or fourth-degree perineal tear during an unassisted vaginal birth, and (ii) the proportion who had a third- or fourth-degree perineal tear during an assisted vaginal birth.</w:t>
      </w:r>
    </w:p>
    <w:p w14:paraId="64FF9FB3" w14:textId="77777777" w:rsidR="00090D39" w:rsidRPr="00090D39" w:rsidRDefault="00090D39" w:rsidP="003B4F97">
      <w:r w:rsidRPr="00090D39">
        <w:t>Included are those women who gave birth for the first time and had a vaginal birth, with or without instruments. Women who had a multiple birth are included if this was the first time they had given birth.</w:t>
      </w:r>
    </w:p>
    <w:p w14:paraId="3D9E86CB" w14:textId="77777777" w:rsidR="00090D39" w:rsidRPr="00090D39" w:rsidRDefault="00090D39" w:rsidP="003B4F97">
      <w:r w:rsidRPr="00090D39">
        <w:t>Excluded are those women who did not give birth for the first time or gave birth by caesarean section.</w:t>
      </w:r>
    </w:p>
    <w:p w14:paraId="05A601C0" w14:textId="77777777" w:rsidR="00090D39" w:rsidRPr="00090D39" w:rsidRDefault="00090D39" w:rsidP="003B4F97">
      <w:r w:rsidRPr="00090D39">
        <w:t>Third-degree perineal tear means a perineal laceration, rupture or tear also involving anal sphincter, rectovaginal septum and/or sphincter not otherwise specified. Excludes lacerations involving the anal or rectal mucosa.</w:t>
      </w:r>
    </w:p>
    <w:p w14:paraId="4C9DDAB9" w14:textId="77777777" w:rsidR="00090D39" w:rsidRPr="00090D39" w:rsidRDefault="00090D39" w:rsidP="003B4F97">
      <w:r w:rsidRPr="00090D39">
        <w:t>Fourth-degree perineal tear means a perineal laceration, rupture or tear occurring during delivery, also involving anal mucosa and/or rectal mucosa.</w:t>
      </w:r>
    </w:p>
    <w:p w14:paraId="5EDCB8FB" w14:textId="77777777" w:rsidR="00090D39" w:rsidRPr="00090D39" w:rsidRDefault="00090D39" w:rsidP="003B4F97">
      <w:r w:rsidRPr="00090D39">
        <w:t>The rates for third- and fourth-degree tears includes episiotomies extended by a laceration of a third- and fourth-degree type.</w:t>
      </w:r>
    </w:p>
    <w:p w14:paraId="54B163DA" w14:textId="77777777" w:rsidR="00090D39" w:rsidRPr="00090D39" w:rsidRDefault="00090D39" w:rsidP="00A60C18">
      <w:pPr>
        <w:pStyle w:val="Heading4"/>
      </w:pPr>
      <w:r w:rsidRPr="00090D39">
        <w:t>Data source: Victorian Perinatal Data Collection</w:t>
      </w:r>
    </w:p>
    <w:p w14:paraId="02318F17" w14:textId="78E19DA5" w:rsidR="00090D39" w:rsidRDefault="00090D39" w:rsidP="003B4F97">
      <w:pPr>
        <w:pStyle w:val="Normalfollowingheading"/>
      </w:pPr>
      <w:r w:rsidRPr="00090D39">
        <w:t xml:space="preserve">Data for these indicators are sourced from the VPDC for the calendar year from 1 January 2019 to </w:t>
      </w:r>
      <w:r w:rsidR="00061B4C">
        <w:br/>
      </w:r>
      <w:r w:rsidRPr="00090D39">
        <w:t>31 December 2019.</w:t>
      </w:r>
    </w:p>
    <w:p w14:paraId="68004CD9" w14:textId="10540431" w:rsidR="005823FE" w:rsidRDefault="005823FE" w:rsidP="003B4F97">
      <w:pPr>
        <w:pStyle w:val="Tablechartdiagramheading"/>
      </w:pPr>
      <w:r w:rsidRPr="005036AA">
        <w:t>Numerator/denominator</w:t>
      </w:r>
    </w:p>
    <w:tbl>
      <w:tblPr>
        <w:tblStyle w:val="TableGrid"/>
        <w:tblW w:w="10206" w:type="dxa"/>
        <w:tblLook w:val="04A0" w:firstRow="1" w:lastRow="0" w:firstColumn="1" w:lastColumn="0" w:noHBand="0" w:noVBand="1"/>
      </w:tblPr>
      <w:tblGrid>
        <w:gridCol w:w="3401"/>
        <w:gridCol w:w="3402"/>
        <w:gridCol w:w="3403"/>
      </w:tblGrid>
      <w:tr w:rsidR="005823FE" w14:paraId="76D68503"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4A4C709" w14:textId="71C7A192" w:rsidR="005823FE" w:rsidRDefault="005823FE" w:rsidP="003B4F97">
            <w:pPr>
              <w:rPr>
                <w:lang w:val="en-GB" w:eastAsia="en-AU"/>
              </w:rPr>
            </w:pPr>
            <w:r w:rsidRPr="00737395">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00747B44" w14:textId="128E4B5D" w:rsidR="005823FE" w:rsidRDefault="005823FE"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737395">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0FA98EC3" w14:textId="77EDE2DB" w:rsidR="005823FE" w:rsidRDefault="005823FE"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737395">
              <w:t>Denominator</w:t>
            </w:r>
          </w:p>
        </w:tc>
      </w:tr>
      <w:tr w:rsidR="005823FE" w14:paraId="5E86DF2E"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1EB9B5F2" w14:textId="6DBA83A5" w:rsidR="005823FE" w:rsidRDefault="005823FE" w:rsidP="003B4F97">
            <w:pPr>
              <w:rPr>
                <w:lang w:val="en-GB" w:eastAsia="en-AU"/>
              </w:rPr>
            </w:pPr>
            <w:r w:rsidRPr="00737395">
              <w:t>Indicator 1ci: Rate of third- or fourth-degree perineal tears during unassisted vaginal births to primiparae</w:t>
            </w:r>
          </w:p>
        </w:tc>
        <w:tc>
          <w:tcPr>
            <w:tcW w:w="3401" w:type="dxa"/>
          </w:tcPr>
          <w:p w14:paraId="5585CBB8" w14:textId="275946A8" w:rsidR="005823FE" w:rsidRDefault="005823FE"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737395">
              <w:t>The number of primiparae who had a third- or fourth-degree perineal laceration during an unassisted vaginal birth</w:t>
            </w:r>
          </w:p>
        </w:tc>
        <w:tc>
          <w:tcPr>
            <w:tcW w:w="3402" w:type="dxa"/>
          </w:tcPr>
          <w:p w14:paraId="08E544A3" w14:textId="26F85C4C" w:rsidR="005823FE" w:rsidRDefault="005823FE"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737395">
              <w:t>The number of primiparae who had an unassisted vaginal birth</w:t>
            </w:r>
          </w:p>
        </w:tc>
      </w:tr>
      <w:tr w:rsidR="005823FE" w14:paraId="3293D1BC"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772CC9DD" w14:textId="44758B27" w:rsidR="005823FE" w:rsidRDefault="005823FE" w:rsidP="003B4F97">
            <w:pPr>
              <w:rPr>
                <w:lang w:val="en-GB" w:eastAsia="en-AU"/>
              </w:rPr>
            </w:pPr>
            <w:r w:rsidRPr="00737395">
              <w:t>Indicator 1cii: Rate of third- or fourth-degree perineal tears during assisted vaginal births to primiparae</w:t>
            </w:r>
          </w:p>
        </w:tc>
        <w:tc>
          <w:tcPr>
            <w:tcW w:w="3401" w:type="dxa"/>
          </w:tcPr>
          <w:p w14:paraId="0C49218B" w14:textId="6C683C9E" w:rsidR="005823FE" w:rsidRDefault="005823FE"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737395">
              <w:t>The number of primiparae who had a third- or fourth-degree perineal laceration during an assisted (instrumental) vaginal birth</w:t>
            </w:r>
          </w:p>
        </w:tc>
        <w:tc>
          <w:tcPr>
            <w:tcW w:w="3402" w:type="dxa"/>
          </w:tcPr>
          <w:p w14:paraId="6C988784" w14:textId="75EA775A" w:rsidR="005823FE" w:rsidRDefault="005823FE"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737395">
              <w:t>The number of primiparae who had an assisted vaginal birth</w:t>
            </w:r>
          </w:p>
        </w:tc>
      </w:tr>
    </w:tbl>
    <w:p w14:paraId="54666D1E" w14:textId="77777777" w:rsidR="00D15E6B" w:rsidRDefault="00D15E6B" w:rsidP="003B4F97">
      <w:r>
        <w:br w:type="page"/>
      </w:r>
    </w:p>
    <w:p w14:paraId="7874ECCA" w14:textId="79DF5BA7" w:rsidR="00D15E6B" w:rsidRPr="005036AA" w:rsidRDefault="00D15E6B" w:rsidP="00A60C18">
      <w:pPr>
        <w:pStyle w:val="Heading1"/>
        <w:framePr w:wrap="around"/>
        <w:rPr>
          <w:lang w:val="en-GB"/>
        </w:rPr>
      </w:pPr>
      <w:bookmarkStart w:id="7" w:name="_Toc62475727"/>
      <w:bookmarkStart w:id="8" w:name="_Toc71710118"/>
      <w:r w:rsidRPr="005036AA">
        <w:rPr>
          <w:lang w:val="en-GB"/>
        </w:rPr>
        <w:t xml:space="preserve">2: </w:t>
      </w:r>
      <w:r>
        <w:rPr>
          <w:lang w:val="en-GB"/>
        </w:rPr>
        <w:t>T</w:t>
      </w:r>
      <w:r w:rsidRPr="005036AA">
        <w:rPr>
          <w:lang w:val="en-GB"/>
        </w:rPr>
        <w:t>erm babies without congenital anomalies who required additional care</w:t>
      </w:r>
      <w:bookmarkEnd w:id="7"/>
      <w:bookmarkEnd w:id="8"/>
    </w:p>
    <w:p w14:paraId="1CE49750" w14:textId="665B569B" w:rsidR="00BC269A" w:rsidRPr="005036AA" w:rsidRDefault="00BC269A" w:rsidP="003B4F97">
      <w:pPr>
        <w:pStyle w:val="IntroductoryText"/>
        <w:rPr>
          <w:lang w:val="en-GB"/>
        </w:rPr>
      </w:pPr>
      <w:r w:rsidRPr="000262E1">
        <w:t>Most inborn babies, born at 37 weeks or more, with a birthweight of at least 2,500 grams and without the</w:t>
      </w:r>
      <w:r>
        <w:rPr>
          <w:rFonts w:ascii="Cambria" w:hAnsi="Cambria" w:cs="Cambria"/>
          <w:color w:val="0F151F"/>
          <w:lang w:val="en-GB"/>
        </w:rPr>
        <w:t xml:space="preserve"> </w:t>
      </w:r>
      <w:r w:rsidRPr="000262E1">
        <w:t>presence of a congenital anomaly are not expected to require additional care following birth.</w:t>
      </w:r>
      <w:r>
        <w:t xml:space="preserve"> </w:t>
      </w:r>
      <w:r w:rsidRPr="005036AA">
        <w:rPr>
          <w:lang w:val="en-GB"/>
        </w:rPr>
        <w:t>As such, the indicator indirectly measures the quality of care provided during pregnancy, labour and birth and in the early neonatal period.</w:t>
      </w:r>
    </w:p>
    <w:p w14:paraId="4F27FC68" w14:textId="77777777" w:rsidR="00090D39" w:rsidRDefault="00090D39" w:rsidP="003B4F97">
      <w:pPr>
        <w:pStyle w:val="Heading2"/>
      </w:pPr>
      <w:r>
        <w:t>About this indicator</w:t>
      </w:r>
    </w:p>
    <w:p w14:paraId="791BC90F" w14:textId="77777777" w:rsidR="00090D39" w:rsidRPr="005036AA" w:rsidRDefault="00090D39" w:rsidP="003B4F97">
      <w:pPr>
        <w:pStyle w:val="Normalfollowingheading"/>
        <w:rPr>
          <w:lang w:val="en-GB"/>
        </w:rPr>
      </w:pPr>
      <w:r w:rsidRPr="005036AA">
        <w:rPr>
          <w:lang w:val="en-GB"/>
        </w:rPr>
        <w:t>This indicator aims to highlight variations in the care required for term babies (born at 37 weeks or more) without congenital anomalies.</w:t>
      </w:r>
    </w:p>
    <w:p w14:paraId="39FD4075" w14:textId="082FD3AE" w:rsidR="00090D39" w:rsidRPr="000262E1" w:rsidRDefault="00090D39" w:rsidP="003B4F97">
      <w:r w:rsidRPr="000262E1">
        <w:t xml:space="preserve">While we know some babies will experience medical conditions following birth that require admission to hospital for additional care (for example, </w:t>
      </w:r>
      <w:r>
        <w:t>jaundice</w:t>
      </w:r>
      <w:r w:rsidRPr="000262E1">
        <w:t>, low Apgar score, sepsis, seizures), we</w:t>
      </w:r>
      <w:r w:rsidR="00F02D2D">
        <w:rPr>
          <w:rFonts w:ascii="Cambria" w:hAnsi="Cambria" w:cs="Cambria"/>
          <w:color w:val="0F151F"/>
          <w:lang w:val="en-GB"/>
        </w:rPr>
        <w:t xml:space="preserve"> </w:t>
      </w:r>
      <w:r w:rsidRPr="000262E1">
        <w:t>expect the need for additional care and treatment in this cohort to be low.</w:t>
      </w:r>
    </w:p>
    <w:p w14:paraId="1B7413CA" w14:textId="7F35BF93" w:rsidR="00090D39" w:rsidRDefault="00090D39" w:rsidP="003B4F97">
      <w:pPr>
        <w:rPr>
          <w:lang w:val="en-GB"/>
        </w:rPr>
      </w:pPr>
      <w:r w:rsidRPr="005036AA">
        <w:rPr>
          <w:lang w:val="en-GB"/>
        </w:rPr>
        <w:t>Higher rates may indicate quality of care issues during labour, birth and/or the immediate neonatal period.</w:t>
      </w:r>
    </w:p>
    <w:p w14:paraId="14BE2EC2" w14:textId="77777777" w:rsidR="00090D39" w:rsidRDefault="00090D39" w:rsidP="003B4F97">
      <w:pPr>
        <w:pStyle w:val="Heading2"/>
      </w:pPr>
      <w:r w:rsidRPr="00A57505">
        <w:t>Observations on the data</w:t>
      </w:r>
    </w:p>
    <w:p w14:paraId="7892EC71" w14:textId="479B5F51" w:rsidR="00BC269A" w:rsidRPr="0003010C" w:rsidRDefault="00BC269A" w:rsidP="003B4F97">
      <w:pPr>
        <w:pStyle w:val="Normalfollowingheading"/>
        <w:rPr>
          <w:lang w:val="en-GB"/>
        </w:rPr>
      </w:pPr>
      <w:r w:rsidRPr="0003010C">
        <w:rPr>
          <w:lang w:val="en-GB"/>
        </w:rPr>
        <w:t>The statewide public hospital rate of term babies without congenital anomalies who required additional care in 2019–20 was 8.1 per cent</w:t>
      </w:r>
      <w:r>
        <w:rPr>
          <w:lang w:val="en-GB"/>
        </w:rPr>
        <w:t>. This is</w:t>
      </w:r>
      <w:r w:rsidRPr="0003010C">
        <w:rPr>
          <w:lang w:val="en-GB"/>
        </w:rPr>
        <w:t xml:space="preserve"> around </w:t>
      </w:r>
      <w:r w:rsidR="00F02D2D">
        <w:rPr>
          <w:lang w:val="en-GB"/>
        </w:rPr>
        <w:t>one</w:t>
      </w:r>
      <w:r w:rsidRPr="0003010C">
        <w:rPr>
          <w:lang w:val="en-GB"/>
        </w:rPr>
        <w:t xml:space="preserve"> percentage point lower compared to the 9.2 per cent rate in 2018</w:t>
      </w:r>
      <w:r w:rsidR="00F02D2D">
        <w:rPr>
          <w:lang w:val="en-GB"/>
        </w:rPr>
        <w:t>–</w:t>
      </w:r>
      <w:r w:rsidRPr="0003010C">
        <w:rPr>
          <w:lang w:val="en-GB"/>
        </w:rPr>
        <w:t xml:space="preserve">19. This is also the lowest rate for this indicator over the </w:t>
      </w:r>
      <w:r w:rsidR="00F02D2D">
        <w:rPr>
          <w:lang w:val="en-GB"/>
        </w:rPr>
        <w:t>p</w:t>
      </w:r>
      <w:r w:rsidRPr="0003010C">
        <w:rPr>
          <w:lang w:val="en-GB"/>
        </w:rPr>
        <w:t xml:space="preserve">ast five years (the rate </w:t>
      </w:r>
      <w:r>
        <w:rPr>
          <w:lang w:val="en-GB"/>
        </w:rPr>
        <w:t>during the previous</w:t>
      </w:r>
      <w:r w:rsidRPr="0003010C">
        <w:rPr>
          <w:lang w:val="en-GB"/>
        </w:rPr>
        <w:t xml:space="preserve"> five years ranged from 8.5 per cent to 9.4 per cent).</w:t>
      </w:r>
    </w:p>
    <w:p w14:paraId="3785B4B2" w14:textId="1F71DE11" w:rsidR="00BC269A" w:rsidRDefault="00BC269A" w:rsidP="003B4F97">
      <w:pPr>
        <w:rPr>
          <w:lang w:val="en-GB"/>
        </w:rPr>
      </w:pPr>
      <w:r w:rsidRPr="004D128F">
        <w:rPr>
          <w:b/>
          <w:lang w:val="en-GB"/>
        </w:rPr>
        <w:t>Figures 13</w:t>
      </w:r>
      <w:r w:rsidRPr="0003010C">
        <w:rPr>
          <w:lang w:val="en-GB"/>
        </w:rPr>
        <w:t xml:space="preserve"> and</w:t>
      </w:r>
      <w:r w:rsidRPr="004D128F">
        <w:rPr>
          <w:b/>
          <w:lang w:val="en-GB"/>
        </w:rPr>
        <w:t xml:space="preserve"> 14</w:t>
      </w:r>
      <w:r w:rsidRPr="0003010C">
        <w:rPr>
          <w:lang w:val="en-GB"/>
        </w:rPr>
        <w:t xml:space="preserve"> show </w:t>
      </w:r>
      <w:r>
        <w:rPr>
          <w:lang w:val="en-GB"/>
        </w:rPr>
        <w:t xml:space="preserve">significant </w:t>
      </w:r>
      <w:r w:rsidRPr="0003010C">
        <w:rPr>
          <w:lang w:val="en-GB"/>
        </w:rPr>
        <w:t>variation between hospitals, ranging from zero to 14.9 per cent.</w:t>
      </w:r>
    </w:p>
    <w:p w14:paraId="5A9E82D5" w14:textId="77777777" w:rsidR="00090D39" w:rsidRDefault="00090D39" w:rsidP="003B4F97">
      <w:pPr>
        <w:rPr>
          <w:rFonts w:ascii="VIC SemiBold" w:hAnsi="VIC SemiBold"/>
          <w:color w:val="007586" w:themeColor="text2"/>
          <w:spacing w:val="2"/>
          <w:szCs w:val="18"/>
          <w:lang w:val="en-GB" w:eastAsia="en-AU"/>
        </w:rPr>
      </w:pPr>
      <w:r>
        <w:br w:type="page"/>
      </w:r>
    </w:p>
    <w:p w14:paraId="5285023B" w14:textId="2CF1FDB3" w:rsidR="00BC269A" w:rsidRPr="005036AA" w:rsidRDefault="00BC269A" w:rsidP="003B4F97">
      <w:pPr>
        <w:pStyle w:val="Tablechartdiagramheading"/>
      </w:pPr>
      <w:r w:rsidRPr="005036AA">
        <w:t>Figure 1</w:t>
      </w:r>
      <w:r>
        <w:t>3</w:t>
      </w:r>
      <w:r w:rsidRPr="005036AA">
        <w:t xml:space="preserve">. Indicator 2: </w:t>
      </w:r>
      <w:r>
        <w:t>R</w:t>
      </w:r>
      <w:r w:rsidRPr="005036AA">
        <w:t>ate of term babies without congenital anomalies who required additional care</w:t>
      </w:r>
      <w:r>
        <w:t>,</w:t>
      </w:r>
      <w:r w:rsidRPr="005036AA">
        <w:t xml:space="preserve"> 201</w:t>
      </w:r>
      <w:r>
        <w:t>9</w:t>
      </w:r>
      <w:r w:rsidRPr="005036AA">
        <w:t>–</w:t>
      </w:r>
      <w:r>
        <w:t>20</w:t>
      </w:r>
    </w:p>
    <w:p w14:paraId="6E60FE00" w14:textId="42E165E3" w:rsidR="00BC269A" w:rsidRDefault="006A160F" w:rsidP="003B4F97">
      <w:pPr>
        <w:rPr>
          <w:lang w:val="en-GB"/>
        </w:rPr>
      </w:pPr>
      <w:r w:rsidRPr="00BC269A">
        <mc:AlternateContent>
          <mc:Choice Requires="wps">
            <w:drawing>
              <wp:anchor distT="0" distB="0" distL="114300" distR="114300" simplePos="0" relativeHeight="251658252" behindDoc="0" locked="0" layoutInCell="1" allowOverlap="1" wp14:anchorId="401CCB31" wp14:editId="3142CD9B">
                <wp:simplePos x="0" y="0"/>
                <wp:positionH relativeFrom="column">
                  <wp:posOffset>2000250</wp:posOffset>
                </wp:positionH>
                <wp:positionV relativeFrom="paragraph">
                  <wp:posOffset>173990</wp:posOffset>
                </wp:positionV>
                <wp:extent cx="895350" cy="6794205"/>
                <wp:effectExtent l="0" t="0" r="0" b="6985"/>
                <wp:wrapNone/>
                <wp:docPr id="56" name="Rectangle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95350" cy="6794205"/>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DAE0A" id="Rectangle 56" o:spid="_x0000_s1026" style="position:absolute;margin-left:157.5pt;margin-top:13.7pt;width:70.5pt;height:5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Qy2qQIAAKgFAAAOAAAAZHJzL2Uyb0RvYy54bWysVFFPGzEMfp+0/xDlfdxd1wKtuKIKxDQJ&#10;AQImntNc0jspibMk7bX79XOS6wFjT9P6kMax/dn+zvbF5V4rshPOd2BqWp2UlAjDoenMpqY/nm++&#10;nFPiAzMNU2BETQ/C08vl508XvV2ICbSgGuEIghi/6G1N2xDsoig8b4Vm/gSsMKiU4DQLKLpN0TjW&#10;I7pWxaQsT4seXGMdcOE9vl5nJV0mfCkFD/dSehGIqinmFtLp0rmOZ7G8YIuNY7bt+JAG+4csNOsM&#10;Bh2hrllgZOu6D1C64w48yHDCQRcgZcdFqgGrqco/qnlqmRWpFiTH25Em//9g+d3uwZGuqenslBLD&#10;NH6jR2SNmY0SBN+QoN76Bdo92Qc3SB6vsdq9dDr+Yx1kn0g9jKSKfSAcH8/ns68zpJ6j6vRsPp2U&#10;swhavHpb58M3AZrES00dhk9cst2tD9n0aBKDeVBdc9MplQS3WV8pR3YMP/B8cl1iqPjOlG1Zfq3K&#10;ap7qwJA+m6fw73CUiV4GIm4OGV+KWHouNt3CQYlop8yjkMgaljdJ4VK/ijERxrkwocqqljUiZzIr&#10;8TcUP3qkXBJgRJYYf8QeAOIsfMTOWQ720VWkdh+dMw9jmJzBMbHsPHqkyGDC6Kw7A+5vlSmsaoic&#10;7Y8kZWoiS2toDthTDvKwectvOvywt8yHB+ZwurAZcGOEezykgr6mMNwoacH9+tt7tMemRy0lPU5r&#10;Tf3PLXOCEvXd4DjMq+k0jncSprOzCQrurWb9VmO2+gqwXyrcTZana7QP6niVDvQLLpZVjIoqZjjG&#10;rikP7ihchbxFcDVxsVolMxxpy8KtebI8gkdWY+M+71+Ys0N3B5yLOzhONjbq+ybPttHTwGobQHZp&#10;Al55HfjGdZAaZ1hdcd+8lZPV64Jd/gYAAP//AwBQSwMEFAAGAAgAAAAhAMfK9ZrgAAAACwEAAA8A&#10;AABkcnMvZG93bnJldi54bWxMj89OwkAQxu8mvMNmTLzJFmwRarfEYGxC9KDgAyzdsS10Z2t3gfL2&#10;jCc9zje/fH+y5WBbccLeN44UTMYRCKTSmYYqBV/b1/s5CB80Gd06QgUX9LDMRzeZTo070yeeNqES&#10;bEI+1QrqELpUSl/WaLUfuw6Jf9+utzrw2VfS9PrM5raV0yiaSasb4oRad7iqsTxsjlZB/P6yd7JL&#10;9kllF8XHz9v6UhRrpe5uh+cnEAGH8AfDb32uDjl32rkjGS9aBQ+ThLcEBdPHGAQDcTJjYcdktGBJ&#10;5pn8vyG/AgAA//8DAFBLAQItABQABgAIAAAAIQC2gziS/gAAAOEBAAATAAAAAAAAAAAAAAAAAAAA&#10;AABbQ29udGVudF9UeXBlc10ueG1sUEsBAi0AFAAGAAgAAAAhADj9If/WAAAAlAEAAAsAAAAAAAAA&#10;AAAAAAAALwEAAF9yZWxzLy5yZWxzUEsBAi0AFAAGAAgAAAAhAG25DLapAgAAqAUAAA4AAAAAAAAA&#10;AAAAAAAALgIAAGRycy9lMm9Eb2MueG1sUEsBAi0AFAAGAAgAAAAhAMfK9ZrgAAAACwEAAA8AAAAA&#10;AAAAAAAAAAAAAwUAAGRycy9kb3ducmV2LnhtbFBLBQYAAAAABAAEAPMAAAAQBgAAAAA=&#10;" fillcolor="#92d050" stroked="f" strokeweight="2pt">
                <v:fill opacity="6682f"/>
              </v:rect>
            </w:pict>
          </mc:Fallback>
        </mc:AlternateContent>
      </w:r>
      <w:r w:rsidR="005823FE" w:rsidRPr="00BC269A">
        <mc:AlternateContent>
          <mc:Choice Requires="wps">
            <w:drawing>
              <wp:anchor distT="0" distB="0" distL="114300" distR="114300" simplePos="0" relativeHeight="251658253" behindDoc="0" locked="0" layoutInCell="1" allowOverlap="1" wp14:anchorId="7D138291" wp14:editId="49BE709E">
                <wp:simplePos x="0" y="0"/>
                <wp:positionH relativeFrom="column">
                  <wp:posOffset>4251960</wp:posOffset>
                </wp:positionH>
                <wp:positionV relativeFrom="paragraph">
                  <wp:posOffset>176530</wp:posOffset>
                </wp:positionV>
                <wp:extent cx="2225040" cy="6794205"/>
                <wp:effectExtent l="0" t="0" r="3810" b="6985"/>
                <wp:wrapNone/>
                <wp:docPr id="58" name="Rectangle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25040" cy="6794205"/>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40EA" id="Rectangle 58" o:spid="_x0000_s1026" style="position:absolute;margin-left:334.8pt;margin-top:13.9pt;width:175.2pt;height:53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vKapAIAAKkFAAAOAAAAZHJzL2Uyb0RvYy54bWysVEtv2zAMvg/YfxB0X/1A0q5BnSJIkWFA&#10;0RZth54VWYoNyKImKXGyXz9Kcpy+TsNyUESR/Eh+Jnl1ve8U2QnrWtAVLc5ySoTmULd6U9Ffz6tv&#10;3ylxnumaKdCiogfh6PX865er3sxECQ2oWliCINrNelPRxnszyzLHG9ExdwZGaFRKsB3zKNpNVlvW&#10;I3qnsjLPz7MebG0scOEcvt4kJZ1HfCkF9/dSOuGJqijm5uNp47kOZza/YrONZaZp+ZAG+4csOtZq&#10;DDpC3TDPyNa2H6C6lltwIP0Zhy4DKVsuYg1YTZG/q+apYUbEWpAcZ0aa3P+D5Xe7B0vauqJT/FKa&#10;dfiNHpE1pjdKEHxDgnrjZmj3ZB7sIDm8hmr30nbhH+sg+0jqYSRV7D3h+FiW5TSfIPccdecXl5My&#10;nwbU7ORurPM/BHQkXCpqMX4kk+1unU+mR5MQzYFq61WrVBTsZr1UluwYfuHVKsdf8lWmYem1yIvL&#10;8yGkS+Yx/BscpQOahoCbQoaXLNSeqo03f1Ai2Cn9KCTSFuqL4WLDijERxrnQvkiqhtUiZTKN6SX4&#10;0SPmEgEDssT4I/YAEIbhI3aCGeyDq4j9PjonHsYwKYNjYsl59IiRQfvRuWs12M8qU1jVEDnZH0lK&#10;1ASW1lAfsKkspGlzhq9a/LC3zPkHZnG8sBlwZfh7PKSCvqIw3ChpwP757D3YY9ejlpIex7Wi7veW&#10;WUGJ+qlxHi6LSegxH4XJ9KJEwb7WrF9r9LZbAvZLgcvJ8HgN9l4dr9JC94KbZRGiooppjrEryr09&#10;Ckuf1gjuJi4Wi2iGM22Yv9VPhgfwwGpo3Of9C7Nm6G6Pg3EHx9Fms3dNnmyDp4bF1oNs4wSceB34&#10;xn0QG2fYXWHhvJaj1WnDzv8CAAD//wMAUEsDBBQABgAIAAAAIQB0X3PK3QAAAAwBAAAPAAAAZHJz&#10;L2Rvd25yZXYueG1sTI/NTsMwEITvSLyDtUjcqEMOhoY4FQJBr7SgiqMbL0kgXke22yRvz+YEt/0Z&#10;zXxTbibXizOG2HnScLvKQCDV3nbUaPh4f7m5BxGTIWt6T6hhxgib6vKiNIX1I+3wvE+NYBOKhdHQ&#10;pjQUUsa6RWfiyg9I/PvywZnEa2ikDWZkc9fLPMuUdKYjTmjNgE8t1j/7k9NQf8bD2y5tn78bml/V&#10;OB7Cds61vr6aHh9AJJzSnxgWfEaHipmO/kQ2il6DUmvFUg35HVdYBBkHgjgu05pvsirl/xLVLwAA&#10;AP//AwBQSwECLQAUAAYACAAAACEAtoM4kv4AAADhAQAAEwAAAAAAAAAAAAAAAAAAAAAAW0NvbnRl&#10;bnRfVHlwZXNdLnhtbFBLAQItABQABgAIAAAAIQA4/SH/1gAAAJQBAAALAAAAAAAAAAAAAAAAAC8B&#10;AABfcmVscy8ucmVsc1BLAQItABQABgAIAAAAIQCmgvKapAIAAKkFAAAOAAAAAAAAAAAAAAAAAC4C&#10;AABkcnMvZTJvRG9jLnhtbFBLAQItABQABgAIAAAAIQB0X3PK3QAAAAwBAAAPAAAAAAAAAAAAAAAA&#10;AP4EAABkcnMvZG93bnJldi54bWxQSwUGAAAAAAQABADzAAAACAYAAAAA&#10;" fillcolor="red" stroked="f" strokeweight="2pt">
                <v:fill opacity="6682f"/>
              </v:rect>
            </w:pict>
          </mc:Fallback>
        </mc:AlternateContent>
      </w:r>
      <w:r w:rsidR="00BC269A">
        <w:drawing>
          <wp:inline distT="0" distB="0" distL="0" distR="0" wp14:anchorId="4F5B03AB" wp14:editId="105D751E">
            <wp:extent cx="6479540" cy="6948000"/>
            <wp:effectExtent l="0" t="0" r="0" b="5715"/>
            <wp:docPr id="55" name="Chart 55" descr="This bar graph shows the rates at each public hospital and the rate across all public hospitals of term babies without congenital anomalies who required additional care. Rates that fell within the least favourable 25% of hospitals were commonly found in level 4, 5 and 6 hospitals.">
              <a:extLst xmlns:a="http://schemas.openxmlformats.org/drawingml/2006/main">
                <a:ext uri="{FF2B5EF4-FFF2-40B4-BE49-F238E27FC236}">
                  <a16:creationId xmlns:a16="http://schemas.microsoft.com/office/drawing/2014/main" id="{35F12902-D76F-40C4-AA3F-7C26272E97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06CF0B3" w14:textId="77777777" w:rsidR="00BC269A" w:rsidRPr="005036AA" w:rsidRDefault="00BC269A" w:rsidP="003B4F97">
      <w:pPr>
        <w:pStyle w:val="Footer"/>
      </w:pPr>
      <w:r w:rsidRPr="005036AA">
        <w:t>Note: Reporting of unqualified neonate admissions to the VAED for private hospitals is optional. It is therefore not possible to</w:t>
      </w:r>
      <w:r>
        <w:rPr>
          <w:rFonts w:ascii="Cambria" w:hAnsi="Cambria" w:cs="Cambria"/>
        </w:rPr>
        <w:t xml:space="preserve"> </w:t>
      </w:r>
      <w:r w:rsidRPr="005036AA">
        <w:t>establish an accurate denominator (that includes public and private hospitals) for this indicator. As such, only public hospitals are included in the results.</w:t>
      </w:r>
    </w:p>
    <w:p w14:paraId="02C550D4" w14:textId="62F456EE" w:rsidR="005823FE" w:rsidRPr="005036AA" w:rsidRDefault="00090D39" w:rsidP="003B4F97">
      <w:pPr>
        <w:pStyle w:val="Tablechartdiagramheading"/>
      </w:pPr>
      <w:r>
        <w:br w:type="page"/>
      </w:r>
      <w:r w:rsidR="005823FE" w:rsidRPr="009C58E7">
        <w:t xml:space="preserve">Figure </w:t>
      </w:r>
      <w:r w:rsidR="005823FE">
        <w:t>14</w:t>
      </w:r>
      <w:r w:rsidR="005823FE" w:rsidRPr="00994C5C">
        <w:t xml:space="preserve">. Funnel plot of </w:t>
      </w:r>
      <w:r w:rsidR="005823FE">
        <w:t>the rate of term babies without congenital anomalies who required additional care</w:t>
      </w:r>
      <w:r w:rsidR="005823FE" w:rsidRPr="00994C5C">
        <w:t>, 201</w:t>
      </w:r>
      <w:r w:rsidR="005823FE">
        <w:t>9</w:t>
      </w:r>
      <w:r w:rsidR="005823FE" w:rsidRPr="00994C5C">
        <w:t>–</w:t>
      </w:r>
      <w:r w:rsidR="005823FE">
        <w:t>20</w:t>
      </w:r>
    </w:p>
    <w:p w14:paraId="6CA2C659" w14:textId="3268D390" w:rsidR="00BC269A" w:rsidRDefault="005823FE" w:rsidP="003B4F97">
      <w:pPr>
        <w:rPr>
          <w:lang w:val="en-GB"/>
        </w:rPr>
      </w:pPr>
      <w:r>
        <w:drawing>
          <wp:inline distT="0" distB="0" distL="0" distR="0" wp14:anchorId="20DB860E" wp14:editId="3FC4FCB7">
            <wp:extent cx="5307745" cy="3780000"/>
            <wp:effectExtent l="0" t="0" r="7620" b="0"/>
            <wp:docPr id="34" name="Picture 34" descr="This funnel plot shows the distribution of rates of term babies without congenital anomalies born in public hospitals who required additional care. A number of hospitals had rates that were statistically significantly higher or low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funnel plot shows the distribution of rates of term babies without congenital anomalies born in public hospitals who required additional care. A number of hospitals had rates that were statistically significantly higher or lower than average."/>
                    <pic:cNvPicPr/>
                  </pic:nvPicPr>
                  <pic:blipFill rotWithShape="1">
                    <a:blip r:embed="rId36">
                      <a:extLst>
                        <a:ext uri="{28A0092B-C50C-407E-A947-70E740481C1C}">
                          <a14:useLocalDpi xmlns:a14="http://schemas.microsoft.com/office/drawing/2010/main" val="0"/>
                        </a:ext>
                      </a:extLst>
                    </a:blip>
                    <a:srcRect t="4970"/>
                    <a:stretch/>
                  </pic:blipFill>
                  <pic:spPr bwMode="auto">
                    <a:xfrm>
                      <a:off x="0" y="0"/>
                      <a:ext cx="5307745" cy="3780000"/>
                    </a:xfrm>
                    <a:prstGeom prst="rect">
                      <a:avLst/>
                    </a:prstGeom>
                    <a:ln>
                      <a:noFill/>
                    </a:ln>
                    <a:extLst>
                      <a:ext uri="{53640926-AAD7-44D8-BBD7-CCE9431645EC}">
                        <a14:shadowObscured xmlns:a14="http://schemas.microsoft.com/office/drawing/2010/main"/>
                      </a:ext>
                    </a:extLst>
                  </pic:spPr>
                </pic:pic>
              </a:graphicData>
            </a:graphic>
          </wp:inline>
        </w:drawing>
      </w:r>
    </w:p>
    <w:p w14:paraId="771FF4CB"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227F1FA3" w14:textId="076A5973" w:rsidR="00D15E6B" w:rsidRDefault="00D15E6B" w:rsidP="003B4F97">
      <w:pPr>
        <w:pStyle w:val="Tablechartdiagramheading"/>
      </w:pPr>
      <w:r>
        <w:t>Table</w:t>
      </w:r>
      <w:r w:rsidRPr="005036AA">
        <w:t xml:space="preserve"> </w:t>
      </w:r>
      <w:r>
        <w:t>4</w:t>
      </w:r>
      <w:r w:rsidRPr="005036AA">
        <w:t>. Rate of term babies without congenital anomalies who required additional care</w:t>
      </w:r>
      <w:r>
        <w:t>, by financial year, 2015</w:t>
      </w:r>
      <w:r w:rsidR="00061B4C">
        <w:t>–</w:t>
      </w:r>
      <w:r>
        <w:t xml:space="preserve">20 </w:t>
      </w:r>
    </w:p>
    <w:tbl>
      <w:tblPr>
        <w:tblStyle w:val="TableGrid"/>
        <w:tblW w:w="10206" w:type="dxa"/>
        <w:tblLook w:val="04A0" w:firstRow="1" w:lastRow="0" w:firstColumn="1" w:lastColumn="0" w:noHBand="0" w:noVBand="1"/>
      </w:tblPr>
      <w:tblGrid>
        <w:gridCol w:w="1701"/>
        <w:gridCol w:w="1701"/>
        <w:gridCol w:w="1701"/>
        <w:gridCol w:w="1701"/>
        <w:gridCol w:w="1701"/>
        <w:gridCol w:w="1701"/>
      </w:tblGrid>
      <w:tr w:rsidR="002A3CE9" w14:paraId="1825F5CD"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0E517A9" w14:textId="77777777" w:rsidR="00D15E6B" w:rsidRDefault="00D15E6B" w:rsidP="003B4F97">
            <w:pPr>
              <w:rPr>
                <w:lang w:val="en-GB" w:eastAsia="en-AU"/>
              </w:rPr>
            </w:pPr>
          </w:p>
        </w:tc>
        <w:tc>
          <w:tcPr>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FC98801" w14:textId="1DB5A083" w:rsidR="00D15E6B" w:rsidRDefault="00D15E6B"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D241B6">
              <w:t>2015–16</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17397DB" w14:textId="5BDB7E81" w:rsidR="00D15E6B" w:rsidRDefault="00D15E6B"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D241B6">
              <w:t>2016–17</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A959262" w14:textId="0E910E8E" w:rsidR="00D15E6B" w:rsidRDefault="00D15E6B"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D241B6">
              <w:t>2017–18</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71DB41C" w14:textId="280D3469" w:rsidR="00D15E6B" w:rsidRDefault="00D15E6B" w:rsidP="003B4F97">
            <w:pPr>
              <w:cnfStyle w:val="100000000000" w:firstRow="1" w:lastRow="0" w:firstColumn="0" w:lastColumn="0" w:oddVBand="0" w:evenVBand="0" w:oddHBand="0" w:evenHBand="0" w:firstRowFirstColumn="0" w:firstRowLastColumn="0" w:lastRowFirstColumn="0" w:lastRowLastColumn="0"/>
              <w:rPr>
                <w:lang w:val="en-GB" w:eastAsia="en-AU"/>
              </w:rPr>
            </w:pPr>
            <w:r>
              <w:t>2018</w:t>
            </w:r>
            <w:r w:rsidR="00B946E0">
              <w:t>–</w:t>
            </w:r>
            <w:r>
              <w:t>19</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9936F6A" w14:textId="29D3E4B0" w:rsidR="00D15E6B" w:rsidRDefault="00D15E6B" w:rsidP="003B4F97">
            <w:pPr>
              <w:cnfStyle w:val="100000000000" w:firstRow="1" w:lastRow="0" w:firstColumn="0" w:lastColumn="0" w:oddVBand="0" w:evenVBand="0" w:oddHBand="0" w:evenHBand="0" w:firstRowFirstColumn="0" w:firstRowLastColumn="0" w:lastRowFirstColumn="0" w:lastRowLastColumn="0"/>
              <w:rPr>
                <w:lang w:val="en-GB" w:eastAsia="en-AU"/>
              </w:rPr>
            </w:pPr>
            <w:r>
              <w:t>2019</w:t>
            </w:r>
            <w:r w:rsidR="00B946E0">
              <w:t>–</w:t>
            </w:r>
            <w:r>
              <w:t>20</w:t>
            </w:r>
          </w:p>
        </w:tc>
      </w:tr>
      <w:tr w:rsidR="00D15E6B" w14:paraId="68352811" w14:textId="77777777" w:rsidTr="00FF19C3">
        <w:tc>
          <w:tcPr>
            <w:cnfStyle w:val="001000000000" w:firstRow="0" w:lastRow="0" w:firstColumn="1" w:lastColumn="0" w:oddVBand="0" w:evenVBand="0" w:oddHBand="0" w:evenHBand="0" w:firstRowFirstColumn="0" w:firstRowLastColumn="0" w:lastRowFirstColumn="0" w:lastRowLastColumn="0"/>
            <w:tcW w:w="1700" w:type="dxa"/>
            <w:vAlign w:val="center"/>
          </w:tcPr>
          <w:p w14:paraId="0353671C" w14:textId="5F35BC73" w:rsidR="00D15E6B" w:rsidRDefault="00D15E6B" w:rsidP="003B4F97">
            <w:pPr>
              <w:rPr>
                <w:lang w:val="en-GB" w:eastAsia="en-AU"/>
              </w:rPr>
            </w:pPr>
            <w:r w:rsidRPr="00D241B6">
              <w:t>Public</w:t>
            </w:r>
          </w:p>
        </w:tc>
        <w:tc>
          <w:tcPr>
            <w:tcW w:w="1700" w:type="dxa"/>
            <w:vAlign w:val="center"/>
          </w:tcPr>
          <w:p w14:paraId="31A7420A" w14:textId="2B8B71E1" w:rsidR="00D15E6B" w:rsidRDefault="00D15E6B"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D241B6">
              <w:t>8.6%</w:t>
            </w:r>
          </w:p>
        </w:tc>
        <w:tc>
          <w:tcPr>
            <w:tcW w:w="1701" w:type="dxa"/>
            <w:vAlign w:val="center"/>
          </w:tcPr>
          <w:p w14:paraId="789D3B32" w14:textId="1F9C8002" w:rsidR="00D15E6B" w:rsidRDefault="00D15E6B"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D241B6">
              <w:t>9.4%</w:t>
            </w:r>
          </w:p>
        </w:tc>
        <w:tc>
          <w:tcPr>
            <w:tcW w:w="1701" w:type="dxa"/>
            <w:vAlign w:val="center"/>
          </w:tcPr>
          <w:p w14:paraId="42F4DB89" w14:textId="51E79A34" w:rsidR="00D15E6B" w:rsidRDefault="00D15E6B"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D241B6">
              <w:t>8.7%</w:t>
            </w:r>
          </w:p>
        </w:tc>
        <w:tc>
          <w:tcPr>
            <w:tcW w:w="1701" w:type="dxa"/>
            <w:vAlign w:val="center"/>
          </w:tcPr>
          <w:p w14:paraId="4696DFAD" w14:textId="3D138FB0" w:rsidR="00D15E6B" w:rsidRDefault="00D15E6B" w:rsidP="003B4F97">
            <w:pPr>
              <w:cnfStyle w:val="000000000000" w:firstRow="0" w:lastRow="0" w:firstColumn="0" w:lastColumn="0" w:oddVBand="0" w:evenVBand="0" w:oddHBand="0" w:evenHBand="0" w:firstRowFirstColumn="0" w:firstRowLastColumn="0" w:lastRowFirstColumn="0" w:lastRowLastColumn="0"/>
              <w:rPr>
                <w:lang w:val="en-GB" w:eastAsia="en-AU"/>
              </w:rPr>
            </w:pPr>
            <w:r>
              <w:t>9.2%</w:t>
            </w:r>
          </w:p>
        </w:tc>
        <w:tc>
          <w:tcPr>
            <w:tcW w:w="1701" w:type="dxa"/>
            <w:tcBorders>
              <w:top w:val="single" w:sz="24" w:space="0" w:color="CCCCD0" w:themeColor="accent6"/>
            </w:tcBorders>
            <w:shd w:val="clear" w:color="auto" w:fill="D9D9D9" w:themeFill="background1" w:themeFillShade="D9"/>
            <w:vAlign w:val="center"/>
          </w:tcPr>
          <w:p w14:paraId="250FBF93" w14:textId="327C21C3" w:rsidR="00D15E6B" w:rsidRDefault="00D15E6B" w:rsidP="003B4F97">
            <w:pPr>
              <w:cnfStyle w:val="000000000000" w:firstRow="0" w:lastRow="0" w:firstColumn="0" w:lastColumn="0" w:oddVBand="0" w:evenVBand="0" w:oddHBand="0" w:evenHBand="0" w:firstRowFirstColumn="0" w:firstRowLastColumn="0" w:lastRowFirstColumn="0" w:lastRowLastColumn="0"/>
              <w:rPr>
                <w:lang w:val="en-GB" w:eastAsia="en-AU"/>
              </w:rPr>
            </w:pPr>
            <w:r>
              <w:t>8.1%</w:t>
            </w:r>
          </w:p>
        </w:tc>
      </w:tr>
    </w:tbl>
    <w:p w14:paraId="1701DE58" w14:textId="2F5B47AB" w:rsidR="005823FE" w:rsidRPr="005036AA" w:rsidRDefault="005823FE" w:rsidP="003B4F97">
      <w:pPr>
        <w:pStyle w:val="Heading2"/>
      </w:pPr>
      <w:r w:rsidRPr="005036AA">
        <w:t>Definition</w:t>
      </w:r>
      <w:r w:rsidR="00783482">
        <w:t>s and Data Sources</w:t>
      </w:r>
    </w:p>
    <w:p w14:paraId="7FFBFE50" w14:textId="77777777" w:rsidR="005823FE" w:rsidRPr="005036AA" w:rsidRDefault="005823FE" w:rsidP="003B4F97">
      <w:pPr>
        <w:pStyle w:val="Normalfollowingheading"/>
        <w:rPr>
          <w:lang w:val="en-GB"/>
        </w:rPr>
      </w:pPr>
      <w:r w:rsidRPr="005036AA">
        <w:rPr>
          <w:lang w:val="en-GB"/>
        </w:rPr>
        <w:t>This indicator includes inborn term babies. An inborn term baby is an infant born at the reporting hospital at a gestational age of 37 weeks or more. Term babies without congenital anomalies who require additional care are defined as newborns who:</w:t>
      </w:r>
    </w:p>
    <w:p w14:paraId="01583BB4" w14:textId="77777777" w:rsidR="005823FE" w:rsidRPr="005036AA" w:rsidRDefault="005823FE" w:rsidP="003B4F97">
      <w:pPr>
        <w:pStyle w:val="Bullet1"/>
        <w:rPr>
          <w:lang w:val="en-GB"/>
        </w:rPr>
      </w:pPr>
      <w:r w:rsidRPr="005036AA">
        <w:rPr>
          <w:lang w:val="en-GB"/>
        </w:rPr>
        <w:t>are not less than 37 weeks 0 days’ gestation</w:t>
      </w:r>
    </w:p>
    <w:p w14:paraId="30F70697" w14:textId="77777777" w:rsidR="005823FE" w:rsidRPr="005036AA" w:rsidRDefault="005823FE" w:rsidP="003B4F97">
      <w:pPr>
        <w:pStyle w:val="Bullet1"/>
        <w:rPr>
          <w:lang w:val="en-GB"/>
        </w:rPr>
      </w:pPr>
      <w:r w:rsidRPr="005036AA">
        <w:rPr>
          <w:lang w:val="en-GB"/>
        </w:rPr>
        <w:t>weigh not less than 2,500 grams</w:t>
      </w:r>
    </w:p>
    <w:p w14:paraId="0FC48A0E" w14:textId="77777777" w:rsidR="005823FE" w:rsidRPr="005036AA" w:rsidRDefault="005823FE" w:rsidP="003B4F97">
      <w:pPr>
        <w:pStyle w:val="Bullet1"/>
        <w:rPr>
          <w:lang w:val="en-GB"/>
        </w:rPr>
      </w:pPr>
      <w:r w:rsidRPr="005036AA">
        <w:rPr>
          <w:lang w:val="en-GB"/>
        </w:rPr>
        <w:t>are without congenital anomalies</w:t>
      </w:r>
    </w:p>
    <w:p w14:paraId="29981EE7" w14:textId="441D532F" w:rsidR="005823FE" w:rsidRPr="00484FB6" w:rsidRDefault="005823FE" w:rsidP="003B4F97">
      <w:pPr>
        <w:pStyle w:val="Bullet1"/>
        <w:rPr>
          <w:lang w:val="en-GB"/>
        </w:rPr>
      </w:pPr>
      <w:r w:rsidRPr="00484FB6">
        <w:rPr>
          <w:lang w:val="en-GB"/>
        </w:rPr>
        <w:t>are grouped to Victorian diagnostic-related groups (VIC-DRGs) representing the need for more than normal care (see list of VIC-DRGs provided below).</w:t>
      </w:r>
      <w:r w:rsidRPr="00484FB6">
        <w:rPr>
          <w:lang w:val="en-GB"/>
        </w:rPr>
        <w:br w:type="page"/>
      </w:r>
    </w:p>
    <w:p w14:paraId="11D07981" w14:textId="34CFF934" w:rsidR="005823FE" w:rsidRPr="005036AA" w:rsidRDefault="005823FE" w:rsidP="003B4F97">
      <w:pPr>
        <w:rPr>
          <w:lang w:val="en-GB"/>
        </w:rPr>
      </w:pPr>
      <w:r w:rsidRPr="005036AA">
        <w:rPr>
          <w:lang w:val="en-GB"/>
        </w:rPr>
        <w:t>Excluded are:</w:t>
      </w:r>
    </w:p>
    <w:p w14:paraId="05D1F25E" w14:textId="77777777" w:rsidR="005823FE" w:rsidRPr="005036AA" w:rsidRDefault="005823FE" w:rsidP="003B4F97">
      <w:pPr>
        <w:pStyle w:val="Bullet1"/>
        <w:rPr>
          <w:lang w:val="en-GB"/>
        </w:rPr>
      </w:pPr>
      <w:r w:rsidRPr="005036AA">
        <w:rPr>
          <w:lang w:val="en-GB"/>
        </w:rPr>
        <w:t>babies born at another hospital</w:t>
      </w:r>
    </w:p>
    <w:p w14:paraId="624BBE3A" w14:textId="77777777" w:rsidR="005823FE" w:rsidRPr="005036AA" w:rsidRDefault="005823FE" w:rsidP="003B4F97">
      <w:pPr>
        <w:pStyle w:val="Bullet1"/>
        <w:rPr>
          <w:lang w:val="en-GB"/>
        </w:rPr>
      </w:pPr>
      <w:r w:rsidRPr="005036AA">
        <w:rPr>
          <w:lang w:val="en-GB"/>
        </w:rPr>
        <w:t>pre-term newborn babies</w:t>
      </w:r>
    </w:p>
    <w:p w14:paraId="0ECD9080" w14:textId="77777777" w:rsidR="005823FE" w:rsidRPr="005036AA" w:rsidRDefault="005823FE" w:rsidP="003B4F97">
      <w:pPr>
        <w:pStyle w:val="Bullet1"/>
        <w:rPr>
          <w:lang w:val="en-GB"/>
        </w:rPr>
      </w:pPr>
      <w:r w:rsidRPr="005036AA">
        <w:rPr>
          <w:lang w:val="en-GB"/>
        </w:rPr>
        <w:t>infants with congenital anomalies</w:t>
      </w:r>
    </w:p>
    <w:p w14:paraId="7F2D3CFD" w14:textId="77777777" w:rsidR="005823FE" w:rsidRPr="005036AA" w:rsidRDefault="005823FE" w:rsidP="003B4F97">
      <w:pPr>
        <w:pStyle w:val="Bullet1"/>
        <w:rPr>
          <w:lang w:val="en-GB"/>
        </w:rPr>
      </w:pPr>
      <w:r w:rsidRPr="005036AA">
        <w:rPr>
          <w:lang w:val="en-GB"/>
        </w:rPr>
        <w:t>birthweight less than 2,500 grams</w:t>
      </w:r>
    </w:p>
    <w:p w14:paraId="0589A27C" w14:textId="77777777" w:rsidR="005823FE" w:rsidRPr="005036AA" w:rsidRDefault="005823FE" w:rsidP="003B4F97">
      <w:pPr>
        <w:pStyle w:val="Bullet1"/>
        <w:rPr>
          <w:lang w:val="en-GB"/>
        </w:rPr>
      </w:pPr>
      <w:r w:rsidRPr="005036AA">
        <w:rPr>
          <w:lang w:val="en-GB"/>
        </w:rPr>
        <w:t>stillborn babies</w:t>
      </w:r>
    </w:p>
    <w:p w14:paraId="0C2B2A2B" w14:textId="77777777" w:rsidR="005823FE" w:rsidRPr="005036AA" w:rsidRDefault="005823FE" w:rsidP="003B4F97">
      <w:pPr>
        <w:pStyle w:val="Bullet1"/>
        <w:rPr>
          <w:lang w:val="en-GB"/>
        </w:rPr>
      </w:pPr>
      <w:r w:rsidRPr="005036AA">
        <w:rPr>
          <w:lang w:val="en-GB"/>
        </w:rPr>
        <w:t>readmission (separation not related to the birth episode).</w:t>
      </w:r>
    </w:p>
    <w:p w14:paraId="6EFD7328" w14:textId="77777777" w:rsidR="005823FE" w:rsidRPr="0050056B" w:rsidRDefault="005823FE" w:rsidP="003B4F97">
      <w:pPr>
        <w:rPr>
          <w:lang w:val="en-GB"/>
        </w:rPr>
      </w:pPr>
      <w:r w:rsidRPr="0050056B">
        <w:rPr>
          <w:lang w:val="en-GB"/>
        </w:rPr>
        <w:t>The denominator for the 201</w:t>
      </w:r>
      <w:r>
        <w:rPr>
          <w:lang w:val="en-GB"/>
        </w:rPr>
        <w:t>9</w:t>
      </w:r>
      <w:r w:rsidRPr="0050056B">
        <w:rPr>
          <w:lang w:val="en-GB"/>
        </w:rPr>
        <w:t>–</w:t>
      </w:r>
      <w:r>
        <w:rPr>
          <w:lang w:val="en-GB"/>
        </w:rPr>
        <w:t>20</w:t>
      </w:r>
      <w:r w:rsidRPr="0050056B">
        <w:rPr>
          <w:lang w:val="en-GB"/>
        </w:rPr>
        <w:t xml:space="preserve"> reporting period is episodes grouped to the Version </w:t>
      </w:r>
      <w:r>
        <w:rPr>
          <w:lang w:val="en-GB"/>
        </w:rPr>
        <w:t>9</w:t>
      </w:r>
      <w:r w:rsidRPr="0050056B">
        <w:rPr>
          <w:lang w:val="en-GB"/>
        </w:rPr>
        <w:t>.0 VIC-DRGs:</w:t>
      </w:r>
    </w:p>
    <w:p w14:paraId="0C37C6F0" w14:textId="77777777" w:rsidR="005823FE" w:rsidRPr="005036AA" w:rsidRDefault="005823FE" w:rsidP="003B4F97">
      <w:pPr>
        <w:pStyle w:val="Bullet1"/>
        <w:rPr>
          <w:lang w:val="en-GB"/>
        </w:rPr>
      </w:pPr>
      <w:r w:rsidRPr="005036AA">
        <w:rPr>
          <w:lang w:val="en-GB"/>
        </w:rPr>
        <w:t>P68A (v7): Neonate, AdmWt &gt;=2500g W/O Sig OR Proc &gt;=37 Comp Wks Gest W Mult Major Probs</w:t>
      </w:r>
    </w:p>
    <w:p w14:paraId="52D78CF9" w14:textId="77777777" w:rsidR="005823FE" w:rsidRPr="005036AA" w:rsidRDefault="005823FE" w:rsidP="003B4F97">
      <w:pPr>
        <w:pStyle w:val="Bullet1"/>
        <w:rPr>
          <w:lang w:val="en-GB"/>
        </w:rPr>
      </w:pPr>
      <w:r w:rsidRPr="005036AA">
        <w:rPr>
          <w:lang w:val="en-GB"/>
        </w:rPr>
        <w:t>P68B (v7): Neonate, AdmWt &gt;=2500g W/O Sig OR Proc &gt;=37 Comp Wks Gest W Major Problem</w:t>
      </w:r>
    </w:p>
    <w:p w14:paraId="3248179B" w14:textId="77777777" w:rsidR="005823FE" w:rsidRPr="005036AA" w:rsidRDefault="005823FE" w:rsidP="003B4F97">
      <w:pPr>
        <w:pStyle w:val="Bullet1"/>
        <w:rPr>
          <w:lang w:val="en-GB"/>
        </w:rPr>
      </w:pPr>
      <w:r w:rsidRPr="005036AA">
        <w:rPr>
          <w:lang w:val="en-GB"/>
        </w:rPr>
        <w:t>P68C (v7) Neonate, AdmWt &gt;=2500g W/O Sig OR Proc &gt;=37 Comp Wks Gest W Other Problem</w:t>
      </w:r>
    </w:p>
    <w:p w14:paraId="12BE6569" w14:textId="77777777" w:rsidR="005823FE" w:rsidRPr="005036AA" w:rsidRDefault="005823FE" w:rsidP="003B4F97">
      <w:pPr>
        <w:pStyle w:val="Bullet1"/>
        <w:rPr>
          <w:lang w:val="pl-PL"/>
        </w:rPr>
      </w:pPr>
      <w:r w:rsidRPr="005036AA">
        <w:rPr>
          <w:lang w:val="pl-PL"/>
        </w:rPr>
        <w:t>P68D (v7) Neonate, AdmWt &gt;=2500g W/O Sig OR Proc &gt;=37 Comp Wks Gest W/O Problem</w:t>
      </w:r>
    </w:p>
    <w:p w14:paraId="2D45274A" w14:textId="77777777" w:rsidR="005823FE" w:rsidRPr="005036AA" w:rsidRDefault="005823FE" w:rsidP="003B4F97">
      <w:pPr>
        <w:pStyle w:val="Bullet1"/>
        <w:rPr>
          <w:lang w:val="en-GB"/>
        </w:rPr>
      </w:pPr>
      <w:r w:rsidRPr="005036AA">
        <w:rPr>
          <w:lang w:val="en-GB"/>
        </w:rPr>
        <w:t>P06A Neonate, Admission weight &gt; 2499g with Significant Operating Room Procedure with Multi Major Problems</w:t>
      </w:r>
    </w:p>
    <w:p w14:paraId="510119EC" w14:textId="77777777" w:rsidR="005823FE" w:rsidRPr="005036AA" w:rsidRDefault="005823FE" w:rsidP="003B4F97">
      <w:pPr>
        <w:pStyle w:val="Bullet1"/>
        <w:rPr>
          <w:lang w:val="en-GB"/>
        </w:rPr>
      </w:pPr>
      <w:r w:rsidRPr="005036AA">
        <w:rPr>
          <w:lang w:val="en-GB"/>
        </w:rPr>
        <w:t>P06B Neonate, Admission weight &gt; 2499g with Significant Operating Room Procedure without Multi Major Problems</w:t>
      </w:r>
    </w:p>
    <w:p w14:paraId="324C5CFC" w14:textId="77777777" w:rsidR="005823FE" w:rsidRPr="005036AA" w:rsidRDefault="005823FE" w:rsidP="003B4F97">
      <w:pPr>
        <w:pStyle w:val="Bullet1"/>
        <w:rPr>
          <w:lang w:val="en-GB"/>
        </w:rPr>
      </w:pPr>
      <w:r w:rsidRPr="005036AA">
        <w:rPr>
          <w:lang w:val="en-GB"/>
        </w:rPr>
        <w:t>P60A Neonate, Died or Transferred &lt; 5 days of admission, without Significant Operating Room Procedure, Newborn</w:t>
      </w:r>
    </w:p>
    <w:p w14:paraId="3697F8C1" w14:textId="77777777" w:rsidR="005823FE" w:rsidRPr="005036AA" w:rsidRDefault="005823FE" w:rsidP="003B4F97">
      <w:pPr>
        <w:pStyle w:val="Bullet1"/>
        <w:rPr>
          <w:lang w:val="en-GB"/>
        </w:rPr>
      </w:pPr>
      <w:r w:rsidRPr="005036AA">
        <w:rPr>
          <w:lang w:val="en-GB"/>
        </w:rPr>
        <w:t>P60B Neonate, Neonate W/O Sig OR Proc, Died or Transferred to Acute Facility Same Day.</w:t>
      </w:r>
    </w:p>
    <w:p w14:paraId="7F2EC958" w14:textId="77777777" w:rsidR="005823FE" w:rsidRPr="005036AA" w:rsidRDefault="005823FE" w:rsidP="00A60C18">
      <w:pPr>
        <w:pStyle w:val="Heading4"/>
      </w:pPr>
      <w:r w:rsidRPr="005036AA">
        <w:t>Data source: Victorian Admitted Episodes Dataset</w:t>
      </w:r>
    </w:p>
    <w:p w14:paraId="40EF2EE1" w14:textId="77777777" w:rsidR="005823FE" w:rsidRPr="005036AA" w:rsidRDefault="005823FE" w:rsidP="003B4F97">
      <w:pPr>
        <w:pStyle w:val="Normalfollowingheading"/>
        <w:rPr>
          <w:lang w:val="en-GB"/>
        </w:rPr>
      </w:pPr>
      <w:r w:rsidRPr="005036AA">
        <w:rPr>
          <w:lang w:val="en-GB"/>
        </w:rPr>
        <w:t xml:space="preserve">Data </w:t>
      </w:r>
      <w:r>
        <w:rPr>
          <w:lang w:val="en-GB"/>
        </w:rPr>
        <w:t xml:space="preserve">for this indicator is sourced </w:t>
      </w:r>
      <w:r w:rsidRPr="005036AA">
        <w:rPr>
          <w:lang w:val="en-GB"/>
        </w:rPr>
        <w:t xml:space="preserve">from the VAED </w:t>
      </w:r>
      <w:r>
        <w:rPr>
          <w:lang w:val="en-GB"/>
        </w:rPr>
        <w:t>for the</w:t>
      </w:r>
      <w:r w:rsidRPr="005036AA">
        <w:rPr>
          <w:lang w:val="en-GB"/>
        </w:rPr>
        <w:t xml:space="preserve"> financial year from 1 July 201</w:t>
      </w:r>
      <w:r>
        <w:rPr>
          <w:lang w:val="en-GB"/>
        </w:rPr>
        <w:t>9</w:t>
      </w:r>
      <w:r w:rsidRPr="005036AA">
        <w:rPr>
          <w:lang w:val="en-GB"/>
        </w:rPr>
        <w:t xml:space="preserve"> to 30 June 20</w:t>
      </w:r>
      <w:r>
        <w:rPr>
          <w:lang w:val="en-GB"/>
        </w:rPr>
        <w:t>20</w:t>
      </w:r>
      <w:r w:rsidRPr="005036AA">
        <w:rPr>
          <w:lang w:val="en-GB"/>
        </w:rPr>
        <w:t>.</w:t>
      </w:r>
    </w:p>
    <w:p w14:paraId="32E63598" w14:textId="4BE643AE" w:rsidR="005823FE" w:rsidRDefault="005823FE" w:rsidP="003B4F97">
      <w:pPr>
        <w:pStyle w:val="Tablechartdiagramheading"/>
      </w:pPr>
      <w:r w:rsidRPr="005036AA">
        <w:t>Numerator/denominator</w:t>
      </w:r>
    </w:p>
    <w:tbl>
      <w:tblPr>
        <w:tblStyle w:val="TableGrid"/>
        <w:tblW w:w="10206" w:type="dxa"/>
        <w:tblLook w:val="04A0" w:firstRow="1" w:lastRow="0" w:firstColumn="1" w:lastColumn="0" w:noHBand="0" w:noVBand="1"/>
      </w:tblPr>
      <w:tblGrid>
        <w:gridCol w:w="3401"/>
        <w:gridCol w:w="3402"/>
        <w:gridCol w:w="3403"/>
      </w:tblGrid>
      <w:tr w:rsidR="005823FE" w14:paraId="4C9ABEE5"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2509E66" w14:textId="08F76220" w:rsidR="005823FE" w:rsidRDefault="005823FE" w:rsidP="003B4F97">
            <w:pPr>
              <w:rPr>
                <w:lang w:val="en-GB" w:eastAsia="en-AU"/>
              </w:rPr>
            </w:pPr>
            <w:r w:rsidRPr="0050056B">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9D98D8A" w14:textId="157C1C1A" w:rsidR="005823FE" w:rsidRDefault="005823FE"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50056B">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A17C2D9" w14:textId="554EC6F1" w:rsidR="005823FE" w:rsidRDefault="005823FE"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50056B">
              <w:t>Denominator</w:t>
            </w:r>
          </w:p>
        </w:tc>
      </w:tr>
      <w:tr w:rsidR="005823FE" w14:paraId="1B4B0030"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679A3CA4" w14:textId="19C05366" w:rsidR="005823FE" w:rsidRDefault="005823FE" w:rsidP="003B4F97">
            <w:pPr>
              <w:rPr>
                <w:lang w:val="en-GB" w:eastAsia="en-AU"/>
              </w:rPr>
            </w:pPr>
            <w:r w:rsidRPr="007E2B42">
              <w:t>Indicator 2:</w:t>
            </w:r>
            <w:r w:rsidRPr="0050056B">
              <w:t xml:space="preserve"> Rate of term babies without congenital anomalies who required additional care</w:t>
            </w:r>
          </w:p>
        </w:tc>
        <w:tc>
          <w:tcPr>
            <w:tcW w:w="3401" w:type="dxa"/>
          </w:tcPr>
          <w:p w14:paraId="23155D89" w14:textId="024C2B7A" w:rsidR="005823FE" w:rsidRDefault="005823FE"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50056B">
              <w:t>The number of inborn term babies without birth defects grouped to VIC</w:t>
            </w:r>
            <w:r w:rsidRPr="0050056B">
              <w:rPr>
                <w:rFonts w:ascii="Cambria Math" w:hAnsi="Cambria Math" w:cs="Cambria Math"/>
              </w:rPr>
              <w:t>‑</w:t>
            </w:r>
            <w:r w:rsidRPr="0050056B">
              <w:t>DRG P68A, P68B, P68C, P06A, P06B, P60A</w:t>
            </w:r>
            <w:r w:rsidRPr="00E87C44">
              <w:rPr>
                <w:vertAlign w:val="superscript"/>
              </w:rPr>
              <w:t>#</w:t>
            </w:r>
            <w:r w:rsidRPr="0050056B">
              <w:t xml:space="preserve"> and P60B</w:t>
            </w:r>
            <w:r w:rsidRPr="00E87C44">
              <w:rPr>
                <w:vertAlign w:val="superscript"/>
              </w:rPr>
              <w:t>#</w:t>
            </w:r>
          </w:p>
        </w:tc>
        <w:tc>
          <w:tcPr>
            <w:tcW w:w="3402" w:type="dxa"/>
          </w:tcPr>
          <w:p w14:paraId="05B21136" w14:textId="3F2C9C5F" w:rsidR="005823FE" w:rsidRDefault="005823FE"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50056B">
              <w:t>The number of inborn term babies without congenital anomalies grouped to VIC-DRG P68A, P68B, P68C, P68D, P06A, P06B, P60A</w:t>
            </w:r>
            <w:r w:rsidRPr="00E87C44">
              <w:rPr>
                <w:vertAlign w:val="superscript"/>
              </w:rPr>
              <w:t>#</w:t>
            </w:r>
            <w:r w:rsidRPr="0050056B">
              <w:t xml:space="preserve"> and P60B</w:t>
            </w:r>
            <w:r w:rsidRPr="007E2B42">
              <w:rPr>
                <w:vertAlign w:val="superscript"/>
              </w:rPr>
              <w:t>#</w:t>
            </w:r>
          </w:p>
        </w:tc>
      </w:tr>
    </w:tbl>
    <w:p w14:paraId="49A4BF9B" w14:textId="77777777" w:rsidR="005823FE" w:rsidRPr="005036AA" w:rsidRDefault="005823FE" w:rsidP="003B4F97">
      <w:pPr>
        <w:pStyle w:val="Footer"/>
        <w:rPr>
          <w:lang w:val="en-GB"/>
        </w:rPr>
      </w:pPr>
      <w:r w:rsidRPr="005036AA">
        <w:rPr>
          <w:vertAlign w:val="superscript"/>
          <w:lang w:val="en-GB"/>
        </w:rPr>
        <w:t>#</w:t>
      </w:r>
      <w:r w:rsidRPr="005036AA">
        <w:rPr>
          <w:lang w:val="en-GB"/>
        </w:rPr>
        <w:t>All newborns initially grouped to P60A and P60B were regrouped to the next logical VIC-DRG following removal of the separation mode ‘Died or Transferred’ and replaced with the separation mode of ‘Home’. This was done so that only those babies in P60A and P60B who require additional care are counted in the numerator. To include the whole of P60A and P60B in the numerator would overestimate the rate of newborns requiring additional care because some healthy newborns are transferred for other</w:t>
      </w:r>
      <w:r w:rsidRPr="005036AA">
        <w:rPr>
          <w:rFonts w:ascii="Cambria" w:hAnsi="Cambria" w:cs="Cambria"/>
          <w:lang w:val="en-GB"/>
        </w:rPr>
        <w:t> </w:t>
      </w:r>
      <w:r w:rsidRPr="005036AA">
        <w:rPr>
          <w:lang w:val="en-GB"/>
        </w:rPr>
        <w:t>reasons.</w:t>
      </w:r>
    </w:p>
    <w:p w14:paraId="23BD42EC" w14:textId="77777777" w:rsidR="00D15E6B" w:rsidRDefault="00D15E6B" w:rsidP="003B4F97">
      <w:r>
        <w:br w:type="page"/>
      </w:r>
    </w:p>
    <w:p w14:paraId="5005199B" w14:textId="59D4AE23" w:rsidR="00D15E6B" w:rsidRDefault="005823FE" w:rsidP="00A60C18">
      <w:pPr>
        <w:pStyle w:val="Heading1"/>
        <w:framePr w:wrap="around"/>
      </w:pPr>
      <w:bookmarkStart w:id="9" w:name="_Toc71710119"/>
      <w:r>
        <w:t>3</w:t>
      </w:r>
      <w:r w:rsidR="00D15E6B">
        <w:t>: Severe fetal growth restriction</w:t>
      </w:r>
      <w:bookmarkEnd w:id="9"/>
    </w:p>
    <w:p w14:paraId="6610246F" w14:textId="1452AB97" w:rsidR="00090D39" w:rsidRDefault="005823FE" w:rsidP="003B4F97">
      <w:pPr>
        <w:pStyle w:val="IntroductoryText"/>
      </w:pPr>
      <w:r>
        <w:t>Undetected fetal growth restriction (FGR) is the strongest risk factor for stillbirth and is associated with poor perinatal and long-term outcomes, including low Apgar scores, birth asphyxia and neurodevelopmental delay. These risks are heightened in severe FGR.</w:t>
      </w:r>
    </w:p>
    <w:p w14:paraId="755CB8CA" w14:textId="0085CA89" w:rsidR="005823FE" w:rsidRDefault="005823FE" w:rsidP="003B4F97">
      <w:r>
        <w:t>The timely detection of severe FGR allows appropriate fetal surveillance and timing of birth to optimise short and longer-term outcomes, including reducing the risk of stillbirth. The Safer Baby Collaborative is a key piece of improvement work being undertaken in some Victorian maternity services, aimed at reducing the rate of stillbirths. This work has a strong focus on FGR, with the evidence-based bundle of interventions including consistent, reliable practices to assess the risk of FGR and screen for</w:t>
      </w:r>
      <w:r w:rsidR="00F02D2D">
        <w:t>,</w:t>
      </w:r>
      <w:r>
        <w:t xml:space="preserve"> and diagnose</w:t>
      </w:r>
      <w:r w:rsidR="00F02D2D">
        <w:t>,</w:t>
      </w:r>
      <w:r>
        <w:t xml:space="preserve"> slow or static fetal growth, enabling timely intervention. </w:t>
      </w:r>
    </w:p>
    <w:p w14:paraId="3E2386A2" w14:textId="77777777" w:rsidR="00090D39" w:rsidRDefault="00090D39" w:rsidP="003B4F97">
      <w:pPr>
        <w:pStyle w:val="Heading2"/>
      </w:pPr>
      <w:r>
        <w:t>About this indicator</w:t>
      </w:r>
    </w:p>
    <w:p w14:paraId="491823D5" w14:textId="4BACD217" w:rsidR="00090D39" w:rsidRDefault="00034670" w:rsidP="003B4F97">
      <w:pPr>
        <w:pStyle w:val="Normalfollowingheading"/>
      </w:pPr>
      <w:r w:rsidRPr="000B7C51">
        <w:t xml:space="preserve">This indicator shows the proportion of </w:t>
      </w:r>
      <w:r w:rsidR="00F62B0C" w:rsidRPr="000B7C51">
        <w:t xml:space="preserve">singleton babies with </w:t>
      </w:r>
      <w:r w:rsidRPr="000B7C51">
        <w:t>severe growth</w:t>
      </w:r>
      <w:r w:rsidR="00F62B0C" w:rsidRPr="000B7C51">
        <w:t xml:space="preserve"> restriction </w:t>
      </w:r>
      <w:r w:rsidRPr="000B7C51">
        <w:t>who were born at or after 40 weeks’ gestation.</w:t>
      </w:r>
      <w:r w:rsidR="00530B2C" w:rsidRPr="000B7C51">
        <w:t xml:space="preserve"> </w:t>
      </w:r>
      <w:r w:rsidR="00203CC5" w:rsidRPr="000B7C51">
        <w:t>Birth after 40 weeks</w:t>
      </w:r>
      <w:r w:rsidR="0057104C" w:rsidRPr="000B7C51">
        <w:t>’ gestation</w:t>
      </w:r>
      <w:r w:rsidR="00203CC5" w:rsidRPr="000B7C51">
        <w:t xml:space="preserve"> suggest</w:t>
      </w:r>
      <w:r w:rsidR="0057104C" w:rsidRPr="000B7C51">
        <w:t>s</w:t>
      </w:r>
      <w:r w:rsidR="00203CC5" w:rsidRPr="000B7C51">
        <w:t xml:space="preserve"> that the growth restriction may not have been detected and acted on </w:t>
      </w:r>
      <w:r w:rsidR="0057104C" w:rsidRPr="000B7C51">
        <w:t>in a timely way.</w:t>
      </w:r>
    </w:p>
    <w:p w14:paraId="7869EBA4" w14:textId="690848B6" w:rsidR="00090D39" w:rsidRDefault="00090D39" w:rsidP="003B4F97">
      <w:pPr>
        <w:pStyle w:val="Heading2"/>
      </w:pPr>
      <w:r w:rsidRPr="00A57505">
        <w:t>Observations on the data</w:t>
      </w:r>
    </w:p>
    <w:p w14:paraId="6CDEA491" w14:textId="2F0A976C" w:rsidR="005823FE" w:rsidRDefault="005823FE" w:rsidP="003B4F97">
      <w:pPr>
        <w:pStyle w:val="Normalfollowingheading"/>
      </w:pPr>
      <w:r>
        <w:t>The rate of singleton babies with severe FGR who were born at 40 or more weeks</w:t>
      </w:r>
      <w:r w:rsidR="00F02D2D">
        <w:t>’</w:t>
      </w:r>
      <w:r>
        <w:t xml:space="preserve"> gestation in public and private hospitals in 2019 was 23.0 per cent. This is more than one percentage point lower compared to the rate in 2018 which was 24.3 per cent. It is worth noting that the rate for this indicator in public hospitals has been steadily decreasing over the </w:t>
      </w:r>
      <w:r w:rsidR="00F02D2D">
        <w:t>p</w:t>
      </w:r>
      <w:r>
        <w:t>ast five years. There has also been a considerable decline in the rate in private hospitals over this period.</w:t>
      </w:r>
    </w:p>
    <w:p w14:paraId="345C3554" w14:textId="77777777" w:rsidR="005823FE" w:rsidRDefault="005823FE" w:rsidP="003B4F97">
      <w:r>
        <w:t>The rate was lower in public hospitals (22.1 per cent) compared to private hospitals (26.4 per cent), although the difference was not statistically significant (p-value = 0.069).</w:t>
      </w:r>
    </w:p>
    <w:p w14:paraId="5076ABA9" w14:textId="3B2F048D" w:rsidR="005823FE" w:rsidRDefault="005823FE" w:rsidP="003B4F97">
      <w:r w:rsidRPr="000B7C51">
        <w:rPr>
          <w:b/>
        </w:rPr>
        <w:t>Figure 15</w:t>
      </w:r>
      <w:r>
        <w:t xml:space="preserve"> shows there is significant variation between hospitals, however, this is partly driven by low numbers. The funnel plot in </w:t>
      </w:r>
      <w:r w:rsidRPr="000B7C51">
        <w:rPr>
          <w:b/>
        </w:rPr>
        <w:t>Figure 16</w:t>
      </w:r>
      <w:r>
        <w:t xml:space="preserve"> show</w:t>
      </w:r>
      <w:r w:rsidR="00F02D2D">
        <w:t>s</w:t>
      </w:r>
      <w:r>
        <w:t xml:space="preserve"> only four hospitals with a rate that is statistically significantly different from the median rate.</w:t>
      </w:r>
    </w:p>
    <w:p w14:paraId="7BB9A6D1" w14:textId="77777777" w:rsidR="005823FE" w:rsidRDefault="005823FE" w:rsidP="003B4F97">
      <w:r>
        <w:br w:type="page"/>
      </w:r>
    </w:p>
    <w:p w14:paraId="360FDECD" w14:textId="4536ADD6" w:rsidR="00D15E6B" w:rsidRDefault="00D15E6B" w:rsidP="003B4F97">
      <w:pPr>
        <w:pStyle w:val="Tablechartdiagramheading"/>
      </w:pPr>
      <w:r>
        <w:t>Figure 15. Indicator 3: Rate of severe fetal growth restriction in a singleton pregnancy undelivered by 40 weeks, 2019</w:t>
      </w:r>
    </w:p>
    <w:p w14:paraId="3DE59BDF" w14:textId="43F6C6A8" w:rsidR="00D15E6B" w:rsidRDefault="00865C07" w:rsidP="003B4F97">
      <w:r w:rsidRPr="00FF19C3">
        <mc:AlternateContent>
          <mc:Choice Requires="wps">
            <w:drawing>
              <wp:anchor distT="0" distB="0" distL="114300" distR="114300" simplePos="0" relativeHeight="251658254" behindDoc="0" locked="0" layoutInCell="1" allowOverlap="1" wp14:anchorId="5E520A2D" wp14:editId="1CE2C32F">
                <wp:simplePos x="0" y="0"/>
                <wp:positionH relativeFrom="column">
                  <wp:posOffset>2308225</wp:posOffset>
                </wp:positionH>
                <wp:positionV relativeFrom="paragraph">
                  <wp:posOffset>71755</wp:posOffset>
                </wp:positionV>
                <wp:extent cx="1322070" cy="6224905"/>
                <wp:effectExtent l="0" t="0" r="0" b="4445"/>
                <wp:wrapNone/>
                <wp:docPr id="59" name="Rectangle 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22070" cy="6224905"/>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E610E" id="Rectangle 59" o:spid="_x0000_s1026" style="position:absolute;margin-left:181.75pt;margin-top:5.65pt;width:104.1pt;height:490.1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svPqAIAAKkFAAAOAAAAZHJzL2Uyb0RvYy54bWysVE1v2zAMvQ/YfxB0X/2xpF2COkXQosOA&#10;oi3aDj0rshQbkEVNUuJkv36UZLtd112G5aCIIvlIPpM8vzh0iuyFdS3oihYnOSVCc6hbva3o96fr&#10;T18ocZ7pminQoqJH4ejF6uOH894sRQkNqFpYgiDaLXtT0cZ7s8wyxxvRMXcCRmhUSrAd8yjabVZb&#10;1iN6p7Iyz0+zHmxtLHDhHL5eJSVdRXwpBfd3Ujrhiaoo5ubjaeO5CWe2OmfLrWWmafmQBvuHLDrW&#10;agw6QV0xz8jOtn9AdS234ED6Ew5dBlK2XMQasJoif1PNY8OMiLUgOc5MNLn/B8tv9/eWtHVF5wtK&#10;NOvwGz0ga0xvlSD4hgT1xi3R7tHc20FyeA3VHqTtwj/WQQ6R1ONEqjh4wvGx+FyW+Rlyz1F3Wpaz&#10;RT4PqNmLu7HOfxXQkXCpqMX4kUy2v3E+mY4mIZoD1dbXrVJRsNvNpbJkz/ALL8qrfJ4nX2Uall6L&#10;vFicDiFdMo/hf8NROqBpCLgpZHjJQu2p2njzRyWCndIPQiJtWF8Zw8WGFVMijHOhfZFUDatFymSe&#10;42/MJLR48Ii5RMCALDH+hD0AjJYJZMROWQ72wVXEfp+cEw9/SSw5Tx4xMmg/OXetBvteZQqrGiIn&#10;+5GkRE1gaQP1EZvKQpo2Z/h1ix/2hjl/zyyOFzYDrgx/h4dU0FcUhhslDdif770He+x61FLS47hW&#10;1P3YMSsoUd80zsOimM3CfEdhNj8rUbCvNZvXGr3rLgH7pcDlZHi8Bnuvxqu00D3jZlmHqKhimmPs&#10;inJvR+HSpzWCu4mL9Tqa4Uwb5m/0o+EBPLAaGvfp8MysGbrb42DcwjjabPmmyZNt8NSw3nmQbZyA&#10;F14HvnEfxMYZdldYOK/laPWyYVe/AAAA//8DAFBLAwQUAAYACAAAACEAeeKBQuAAAAAKAQAADwAA&#10;AGRycy9kb3ducmV2LnhtbEyP0U6DQBBF3038h82Y+GYXRKggS2M0kjT6oNUP2LIjUNlZZLct/XvH&#10;J32c3JN7z5Sr2Q7igJPvHSmIFxEIpMaZnloFH+9PV7cgfNBk9OAIFZzQw6o6Pyt1YdyR3vCwCa3g&#10;EvKFVtCFMBZS+qZDq/3CjUicfbrJ6sDn1Eoz6SOX20FeR1Emre6JFzo94kOHzddmbxXcvDzunBzT&#10;XdravH79fl6f6nqt1OXFfH8HIuAc/mD41Wd1qNhp6/ZkvBgUJFmSMspBnIBgIF3GSxBbBXkeZyCr&#10;Uv5/ofoBAAD//wMAUEsBAi0AFAAGAAgAAAAhALaDOJL+AAAA4QEAABMAAAAAAAAAAAAAAAAAAAAA&#10;AFtDb250ZW50X1R5cGVzXS54bWxQSwECLQAUAAYACAAAACEAOP0h/9YAAACUAQAACwAAAAAAAAAA&#10;AAAAAAAvAQAAX3JlbHMvLnJlbHNQSwECLQAUAAYACAAAACEANcLLz6gCAACpBQAADgAAAAAAAAAA&#10;AAAAAAAuAgAAZHJzL2Uyb0RvYy54bWxQSwECLQAUAAYACAAAACEAeeKBQuAAAAAKAQAADwAAAAAA&#10;AAAAAAAAAAACBQAAZHJzL2Rvd25yZXYueG1sUEsFBgAAAAAEAAQA8wAAAA8GAAAAAA==&#10;" fillcolor="#92d050" stroked="f" strokeweight="2pt">
                <v:fill opacity="6682f"/>
              </v:rect>
            </w:pict>
          </mc:Fallback>
        </mc:AlternateContent>
      </w:r>
      <w:r w:rsidR="000A004A" w:rsidRPr="00FF19C3">
        <mc:AlternateContent>
          <mc:Choice Requires="wps">
            <w:drawing>
              <wp:anchor distT="0" distB="0" distL="114300" distR="114300" simplePos="0" relativeHeight="251658255" behindDoc="0" locked="0" layoutInCell="1" allowOverlap="1" wp14:anchorId="714E80EF" wp14:editId="38924425">
                <wp:simplePos x="0" y="0"/>
                <wp:positionH relativeFrom="column">
                  <wp:posOffset>4319905</wp:posOffset>
                </wp:positionH>
                <wp:positionV relativeFrom="paragraph">
                  <wp:posOffset>214630</wp:posOffset>
                </wp:positionV>
                <wp:extent cx="1716258" cy="6224954"/>
                <wp:effectExtent l="0" t="0" r="0" b="4445"/>
                <wp:wrapNone/>
                <wp:docPr id="60" name="Rectangle 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6258" cy="6224954"/>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41E05" id="Rectangle 60" o:spid="_x0000_s1026" style="position:absolute;margin-left:340.15pt;margin-top:16.9pt;width:135.15pt;height:490.1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rZpQIAAKkFAAAOAAAAZHJzL2Uyb0RvYy54bWysVMFu2zAMvQ/YPwi6r46NJF2DOkXQIsOA&#10;oivaDj0rshQbkERNUuJkXz9Kctyu7WlYDoooko/kM8nLq4NWZC+c78DUtDybUCIMh6Yz25r+fFp/&#10;+UqJD8w0TIERNT0KT6+Wnz9d9nYhKmhBNcIRBDF+0duatiHYRVF43grN/BlYYVApwWkWUHTbonGs&#10;R3StimoymRc9uMY64MJ7fL3JSrpM+FIKHn5I6UUgqqaYW0inS+cmnsXyki22jtm240Ma7B+y0Kwz&#10;GHSEumGBkZ3r3kHpjjvwIMMZB12AlB0XqQasppy8qeaxZVakWpAcb0ea/P+D5Xf7e0e6pqZzpMcw&#10;jd/oAVljZqsEwTckqLd+gXaP9t4NksdrrPYgnY7/WAc5JFKPI6niEAjHx/K8nFczbAOOunlVTS9m&#10;04havLhb58M3AZrES00dxk9ksv2tD9n0ZBKjeVBds+6USoLbbq6VI3uGX3i9nuAv+yrbsvxaTsqL&#10;+RDSZ/MU/i8cZSKagYibQ8aXItaeq023cFQi2inzICTShvVVKVxqWDEmwjgXJpRZ1bJG5ExmKb0M&#10;P3qkXBJgRJYYf8QeAOIwvMfOMIN9dBWp30fnzMMYJmdwSiw7jx4pMpgwOuvOgPuoMoVVDZGz/Ymk&#10;TE1kaQPNEZvKQZ42b/m6ww97y3y4Zw7HCzsNV0b4gYdU0NcUhhslLbjfH71He+x61FLS47jW1P/a&#10;MScoUd8NzsNFOZ3G+U7CdHZeoeBeazavNWanrwH7pcTlZHm6RvugTlfpQD/jZlnFqKhihmPsmvLg&#10;TsJ1yGsEdxMXq1Uyw5m2LNyaR8sjeGQ1Nu7T4Zk5O3R3wMG4g9Nos8WbJs+20dPAahdAdmkCXngd&#10;+MZ9kBpn2F1x4byWk9XLhl3+AQAA//8DAFBLAwQUAAYACAAAACEAMRB4bt8AAAALAQAADwAAAGRy&#10;cy9kb3ducmV2LnhtbEyPwU7DMBBE70j8g7VI3KidBqIS4lQIBL3SgiqObrwkgXgdxW6T/D3LqRxX&#10;+zTzplhPrhMnHELrSUOyUCCQKm9bqjV8vL/crECEaMiazhNqmDHAury8KExu/UhbPO1iLTiEQm40&#10;NDH2uZShatCZsPA9Ev++/OBM5HOopR3MyOGuk0ulMulMS9zQmB6fGqx+dkenofoM+7dt3Dx/1zS/&#10;ZuO4HzbzUuvrq+nxAUTEKZ5h+NNndSjZ6eCPZIPoNGQrlTKqIU15AgP3dyoDcWBSJbcJyLKQ/zeU&#10;vwAAAP//AwBQSwECLQAUAAYACAAAACEAtoM4kv4AAADhAQAAEwAAAAAAAAAAAAAAAAAAAAAAW0Nv&#10;bnRlbnRfVHlwZXNdLnhtbFBLAQItABQABgAIAAAAIQA4/SH/1gAAAJQBAAALAAAAAAAAAAAAAAAA&#10;AC8BAABfcmVscy8ucmVsc1BLAQItABQABgAIAAAAIQAMabrZpQIAAKkFAAAOAAAAAAAAAAAAAAAA&#10;AC4CAABkcnMvZTJvRG9jLnhtbFBLAQItABQABgAIAAAAIQAxEHhu3wAAAAsBAAAPAAAAAAAAAAAA&#10;AAAAAP8EAABkcnMvZG93bnJldi54bWxQSwUGAAAAAAQABADzAAAACwYAAAAA&#10;" fillcolor="red" stroked="f" strokeweight="2pt">
                <v:fill opacity="6682f"/>
              </v:rect>
            </w:pict>
          </mc:Fallback>
        </mc:AlternateContent>
      </w:r>
      <w:r w:rsidR="00077EAE" w:rsidRPr="00077EAE">
        <w:t xml:space="preserve"> </w:t>
      </w:r>
      <w:r w:rsidR="0048248C">
        <w:drawing>
          <wp:inline distT="0" distB="0" distL="0" distR="0" wp14:anchorId="076D69D4" wp14:editId="3A98FF82">
            <wp:extent cx="6238240" cy="6625346"/>
            <wp:effectExtent l="0" t="0" r="10160" b="4445"/>
            <wp:docPr id="23" name="Chart 23" descr="This bar graph shows the rates at each hospital and statewide of babies with severe fetal growth restriction who were born at or after 40 weeks' gestation. A larger proportion of private than public hospitals had rates that fell within the least favourable 25% of hospitals.">
              <a:extLst xmlns:a="http://schemas.openxmlformats.org/drawingml/2006/main">
                <a:ext uri="{FF2B5EF4-FFF2-40B4-BE49-F238E27FC236}">
                  <a16:creationId xmlns:a16="http://schemas.microsoft.com/office/drawing/2014/main" id="{DAA6E739-F8D2-49FC-A922-8C49AE6261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91D582" w14:textId="77777777" w:rsidR="00B21844" w:rsidRDefault="00B21844">
      <w:pPr>
        <w:rPr>
          <w:rFonts w:asciiTheme="minorHAnsi" w:hAnsiTheme="minorHAnsi" w:cstheme="minorHAnsi"/>
          <w:b/>
          <w:bCs/>
          <w:color w:val="007586" w:themeColor="text2"/>
          <w:spacing w:val="2"/>
          <w:szCs w:val="18"/>
          <w:lang w:val="en-GB" w:eastAsia="en-AU"/>
        </w:rPr>
      </w:pPr>
      <w:r>
        <w:br w:type="page"/>
      </w:r>
    </w:p>
    <w:p w14:paraId="5395C263" w14:textId="69383CE3" w:rsidR="00D15E6B" w:rsidRPr="005036AA" w:rsidRDefault="00D15E6B" w:rsidP="003B4F97">
      <w:pPr>
        <w:pStyle w:val="Tablechartdiagramheading"/>
      </w:pPr>
      <w:r w:rsidRPr="009C58E7">
        <w:t xml:space="preserve">Figure </w:t>
      </w:r>
      <w:r>
        <w:t>16</w:t>
      </w:r>
      <w:r w:rsidRPr="00994C5C">
        <w:t xml:space="preserve">. Funnel plot </w:t>
      </w:r>
      <w:r>
        <w:t>of the rate of severe fetal growth restriction in a singleton pregnancy undelivered b</w:t>
      </w:r>
      <w:r w:rsidR="00B32266">
        <w:t>y</w:t>
      </w:r>
      <w:r>
        <w:t xml:space="preserve"> 40 weeks</w:t>
      </w:r>
      <w:r w:rsidRPr="00994C5C">
        <w:t>, 201</w:t>
      </w:r>
      <w:r>
        <w:t>9</w:t>
      </w:r>
    </w:p>
    <w:p w14:paraId="24A6F8E3" w14:textId="1894DDB2" w:rsidR="00D15E6B" w:rsidRDefault="00D15E6B" w:rsidP="003B4F97">
      <w:r>
        <w:drawing>
          <wp:inline distT="0" distB="0" distL="0" distR="0" wp14:anchorId="2A757ECE" wp14:editId="5634C360">
            <wp:extent cx="5241380" cy="3780000"/>
            <wp:effectExtent l="0" t="0" r="0" b="0"/>
            <wp:docPr id="35" name="Picture 35" descr="This funnel plot shows. the distribution of rates of babies with severe fetal growth restriction who were born at or after 40 weeks' gestation. A small number of hospitals had rates that were statistically significantly higher or low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unnel plot shows. the distribution of rates of babies with severe fetal growth restriction who were born at or after 40 weeks' gestation. A small number of hospitals had rates that were statistically significantly higher or lower than average."/>
                    <pic:cNvPicPr/>
                  </pic:nvPicPr>
                  <pic:blipFill rotWithShape="1">
                    <a:blip r:embed="rId38">
                      <a:extLst>
                        <a:ext uri="{28A0092B-C50C-407E-A947-70E740481C1C}">
                          <a14:useLocalDpi xmlns:a14="http://schemas.microsoft.com/office/drawing/2010/main" val="0"/>
                        </a:ext>
                      </a:extLst>
                    </a:blip>
                    <a:srcRect t="3666"/>
                    <a:stretch/>
                  </pic:blipFill>
                  <pic:spPr bwMode="auto">
                    <a:xfrm>
                      <a:off x="0" y="0"/>
                      <a:ext cx="5241380" cy="3780000"/>
                    </a:xfrm>
                    <a:prstGeom prst="rect">
                      <a:avLst/>
                    </a:prstGeom>
                    <a:ln>
                      <a:noFill/>
                    </a:ln>
                    <a:extLst>
                      <a:ext uri="{53640926-AAD7-44D8-BBD7-CCE9431645EC}">
                        <a14:shadowObscured xmlns:a14="http://schemas.microsoft.com/office/drawing/2010/main"/>
                      </a:ext>
                    </a:extLst>
                  </pic:spPr>
                </pic:pic>
              </a:graphicData>
            </a:graphic>
          </wp:inline>
        </w:drawing>
      </w:r>
    </w:p>
    <w:p w14:paraId="6C1FC868"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4460B2E5" w14:textId="06EDF976" w:rsidR="00D15E6B" w:rsidRDefault="00D15E6B" w:rsidP="003B4F97">
      <w:pPr>
        <w:pStyle w:val="Tablechartdiagramheading"/>
      </w:pPr>
      <w:r>
        <w:t>Table 5. Rate of severe fetal growth restriction in a singleton pregnancy undelivered by 40 weeks, 2015</w:t>
      </w:r>
      <w:r w:rsidR="00061B4C">
        <w:t>–</w:t>
      </w:r>
      <w:r>
        <w:t>18</w:t>
      </w:r>
    </w:p>
    <w:tbl>
      <w:tblPr>
        <w:tblStyle w:val="TableGrid"/>
        <w:tblW w:w="10206" w:type="dxa"/>
        <w:tblLook w:val="04A0" w:firstRow="1" w:lastRow="0" w:firstColumn="1" w:lastColumn="0" w:noHBand="0" w:noVBand="1"/>
      </w:tblPr>
      <w:tblGrid>
        <w:gridCol w:w="1701"/>
        <w:gridCol w:w="1701"/>
        <w:gridCol w:w="1701"/>
        <w:gridCol w:w="1701"/>
        <w:gridCol w:w="1701"/>
        <w:gridCol w:w="1701"/>
      </w:tblGrid>
      <w:tr w:rsidR="002A3CE9" w14:paraId="51316BF4"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2CEFCF37" w14:textId="77777777" w:rsidR="00D15E6B" w:rsidRDefault="00D15E6B" w:rsidP="003B4F97"/>
        </w:tc>
        <w:tc>
          <w:tcPr>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6ED40C8" w14:textId="6AD024DD" w:rsidR="00D15E6B" w:rsidRDefault="00D15E6B" w:rsidP="003B4F97">
            <w:pPr>
              <w:cnfStyle w:val="100000000000" w:firstRow="1" w:lastRow="0" w:firstColumn="0" w:lastColumn="0" w:oddVBand="0" w:evenVBand="0" w:oddHBand="0" w:evenHBand="0" w:firstRowFirstColumn="0" w:firstRowLastColumn="0" w:lastRowFirstColumn="0" w:lastRowLastColumn="0"/>
            </w:pPr>
            <w:r w:rsidRPr="00FE4E27">
              <w:t>2015</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6DAFD4A" w14:textId="4E2318A3" w:rsidR="00D15E6B" w:rsidRDefault="00D15E6B" w:rsidP="003B4F97">
            <w:pPr>
              <w:cnfStyle w:val="100000000000" w:firstRow="1" w:lastRow="0" w:firstColumn="0" w:lastColumn="0" w:oddVBand="0" w:evenVBand="0" w:oddHBand="0" w:evenHBand="0" w:firstRowFirstColumn="0" w:firstRowLastColumn="0" w:lastRowFirstColumn="0" w:lastRowLastColumn="0"/>
            </w:pPr>
            <w:r w:rsidRPr="00FE4E27">
              <w:t>2016</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A33E869" w14:textId="337503DA" w:rsidR="00D15E6B" w:rsidRDefault="00D15E6B" w:rsidP="003B4F97">
            <w:pPr>
              <w:cnfStyle w:val="100000000000" w:firstRow="1" w:lastRow="0" w:firstColumn="0" w:lastColumn="0" w:oddVBand="0" w:evenVBand="0" w:oddHBand="0" w:evenHBand="0" w:firstRowFirstColumn="0" w:firstRowLastColumn="0" w:lastRowFirstColumn="0" w:lastRowLastColumn="0"/>
            </w:pPr>
            <w:r w:rsidRPr="00FE4E27">
              <w:t>2017</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467C688" w14:textId="2B21857C" w:rsidR="00D15E6B" w:rsidRDefault="00D15E6B" w:rsidP="003B4F97">
            <w:pPr>
              <w:cnfStyle w:val="100000000000" w:firstRow="1" w:lastRow="0" w:firstColumn="0" w:lastColumn="0" w:oddVBand="0" w:evenVBand="0" w:oddHBand="0" w:evenHBand="0" w:firstRowFirstColumn="0" w:firstRowLastColumn="0" w:lastRowFirstColumn="0" w:lastRowLastColumn="0"/>
            </w:pPr>
            <w:r>
              <w:t>2018</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C3826B3" w14:textId="400A9DDE" w:rsidR="00D15E6B" w:rsidRDefault="00D15E6B" w:rsidP="003B4F97">
            <w:pPr>
              <w:cnfStyle w:val="100000000000" w:firstRow="1" w:lastRow="0" w:firstColumn="0" w:lastColumn="0" w:oddVBand="0" w:evenVBand="0" w:oddHBand="0" w:evenHBand="0" w:firstRowFirstColumn="0" w:firstRowLastColumn="0" w:lastRowFirstColumn="0" w:lastRowLastColumn="0"/>
            </w:pPr>
            <w:r>
              <w:t>2019</w:t>
            </w:r>
          </w:p>
        </w:tc>
      </w:tr>
      <w:tr w:rsidR="00D15E6B" w14:paraId="78FC06A7" w14:textId="77777777" w:rsidTr="00FF19C3">
        <w:tc>
          <w:tcPr>
            <w:cnfStyle w:val="001000000000" w:firstRow="0" w:lastRow="0" w:firstColumn="1" w:lastColumn="0" w:oddVBand="0" w:evenVBand="0" w:oddHBand="0" w:evenHBand="0" w:firstRowFirstColumn="0" w:firstRowLastColumn="0" w:lastRowFirstColumn="0" w:lastRowLastColumn="0"/>
            <w:tcW w:w="1700" w:type="dxa"/>
            <w:vAlign w:val="center"/>
          </w:tcPr>
          <w:p w14:paraId="7007620E" w14:textId="202E3FB7" w:rsidR="00D15E6B" w:rsidRDefault="00D15E6B" w:rsidP="003B4F97">
            <w:r w:rsidRPr="00FE4E27">
              <w:t>Public</w:t>
            </w:r>
          </w:p>
        </w:tc>
        <w:tc>
          <w:tcPr>
            <w:tcW w:w="1700" w:type="dxa"/>
            <w:vAlign w:val="center"/>
          </w:tcPr>
          <w:p w14:paraId="66499AEF" w14:textId="294F146B"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34.9%</w:t>
            </w:r>
          </w:p>
        </w:tc>
        <w:tc>
          <w:tcPr>
            <w:tcW w:w="1701" w:type="dxa"/>
            <w:vAlign w:val="center"/>
          </w:tcPr>
          <w:p w14:paraId="30C9B9BD" w14:textId="59CF048B"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30.6%</w:t>
            </w:r>
          </w:p>
        </w:tc>
        <w:tc>
          <w:tcPr>
            <w:tcW w:w="1701" w:type="dxa"/>
            <w:vAlign w:val="center"/>
          </w:tcPr>
          <w:p w14:paraId="45E74540" w14:textId="75EE20C2"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28.0%</w:t>
            </w:r>
          </w:p>
        </w:tc>
        <w:tc>
          <w:tcPr>
            <w:tcW w:w="1701" w:type="dxa"/>
            <w:vAlign w:val="center"/>
          </w:tcPr>
          <w:p w14:paraId="54588DED" w14:textId="4B6BB1A1" w:rsidR="00D15E6B" w:rsidRDefault="00D15E6B" w:rsidP="003B4F97">
            <w:pPr>
              <w:cnfStyle w:val="000000000000" w:firstRow="0" w:lastRow="0" w:firstColumn="0" w:lastColumn="0" w:oddVBand="0" w:evenVBand="0" w:oddHBand="0" w:evenHBand="0" w:firstRowFirstColumn="0" w:firstRowLastColumn="0" w:lastRowFirstColumn="0" w:lastRowLastColumn="0"/>
            </w:pPr>
            <w:r>
              <w:t>23.0%</w:t>
            </w:r>
          </w:p>
        </w:tc>
        <w:tc>
          <w:tcPr>
            <w:tcW w:w="1701" w:type="dxa"/>
            <w:tcBorders>
              <w:top w:val="single" w:sz="24" w:space="0" w:color="CCCCD0" w:themeColor="accent6"/>
            </w:tcBorders>
            <w:shd w:val="clear" w:color="auto" w:fill="D9D9D9" w:themeFill="background1" w:themeFillShade="D9"/>
            <w:vAlign w:val="center"/>
          </w:tcPr>
          <w:p w14:paraId="6449A998" w14:textId="7D8A50C4" w:rsidR="00D15E6B" w:rsidRDefault="00D15E6B" w:rsidP="003B4F97">
            <w:pPr>
              <w:cnfStyle w:val="000000000000" w:firstRow="0" w:lastRow="0" w:firstColumn="0" w:lastColumn="0" w:oddVBand="0" w:evenVBand="0" w:oddHBand="0" w:evenHBand="0" w:firstRowFirstColumn="0" w:firstRowLastColumn="0" w:lastRowFirstColumn="0" w:lastRowLastColumn="0"/>
            </w:pPr>
            <w:r>
              <w:t>22.1%</w:t>
            </w:r>
          </w:p>
        </w:tc>
      </w:tr>
      <w:tr w:rsidR="00D15E6B" w14:paraId="6AE61233" w14:textId="77777777" w:rsidTr="00FF19C3">
        <w:tc>
          <w:tcPr>
            <w:cnfStyle w:val="001000000000" w:firstRow="0" w:lastRow="0" w:firstColumn="1" w:lastColumn="0" w:oddVBand="0" w:evenVBand="0" w:oddHBand="0" w:evenHBand="0" w:firstRowFirstColumn="0" w:firstRowLastColumn="0" w:lastRowFirstColumn="0" w:lastRowLastColumn="0"/>
            <w:tcW w:w="1700" w:type="dxa"/>
            <w:vAlign w:val="center"/>
          </w:tcPr>
          <w:p w14:paraId="77983E15" w14:textId="3E4962E5" w:rsidR="00D15E6B" w:rsidRDefault="00D15E6B" w:rsidP="003B4F97">
            <w:r w:rsidRPr="00FE4E27">
              <w:t>Private</w:t>
            </w:r>
          </w:p>
        </w:tc>
        <w:tc>
          <w:tcPr>
            <w:tcW w:w="1700" w:type="dxa"/>
            <w:vAlign w:val="center"/>
          </w:tcPr>
          <w:p w14:paraId="2692B0EE" w14:textId="2063B00E"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36.3%</w:t>
            </w:r>
          </w:p>
        </w:tc>
        <w:tc>
          <w:tcPr>
            <w:tcW w:w="1701" w:type="dxa"/>
            <w:vAlign w:val="center"/>
          </w:tcPr>
          <w:p w14:paraId="649A5354" w14:textId="2B65B9CA"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31.1%</w:t>
            </w:r>
          </w:p>
        </w:tc>
        <w:tc>
          <w:tcPr>
            <w:tcW w:w="1701" w:type="dxa"/>
            <w:vAlign w:val="center"/>
          </w:tcPr>
          <w:p w14:paraId="0F7BB88D" w14:textId="789556C4"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28.8%</w:t>
            </w:r>
          </w:p>
        </w:tc>
        <w:tc>
          <w:tcPr>
            <w:tcW w:w="1701" w:type="dxa"/>
            <w:vAlign w:val="center"/>
          </w:tcPr>
          <w:p w14:paraId="1863B671" w14:textId="142E9BFC" w:rsidR="00D15E6B" w:rsidRDefault="00D15E6B" w:rsidP="003B4F97">
            <w:pPr>
              <w:cnfStyle w:val="000000000000" w:firstRow="0" w:lastRow="0" w:firstColumn="0" w:lastColumn="0" w:oddVBand="0" w:evenVBand="0" w:oddHBand="0" w:evenHBand="0" w:firstRowFirstColumn="0" w:firstRowLastColumn="0" w:lastRowFirstColumn="0" w:lastRowLastColumn="0"/>
            </w:pPr>
            <w:r>
              <w:t>30.2%</w:t>
            </w:r>
          </w:p>
        </w:tc>
        <w:tc>
          <w:tcPr>
            <w:tcW w:w="1701" w:type="dxa"/>
            <w:shd w:val="clear" w:color="auto" w:fill="D9D9D9" w:themeFill="background1" w:themeFillShade="D9"/>
            <w:vAlign w:val="center"/>
          </w:tcPr>
          <w:p w14:paraId="445ACFE3" w14:textId="5B22D2E9" w:rsidR="00D15E6B" w:rsidRDefault="00D15E6B" w:rsidP="003B4F97">
            <w:pPr>
              <w:cnfStyle w:val="000000000000" w:firstRow="0" w:lastRow="0" w:firstColumn="0" w:lastColumn="0" w:oddVBand="0" w:evenVBand="0" w:oddHBand="0" w:evenHBand="0" w:firstRowFirstColumn="0" w:firstRowLastColumn="0" w:lastRowFirstColumn="0" w:lastRowLastColumn="0"/>
            </w:pPr>
            <w:r>
              <w:t>26.4%</w:t>
            </w:r>
          </w:p>
        </w:tc>
      </w:tr>
      <w:tr w:rsidR="00D15E6B" w14:paraId="58AF4BB1" w14:textId="77777777" w:rsidTr="00FF19C3">
        <w:tc>
          <w:tcPr>
            <w:cnfStyle w:val="001000000000" w:firstRow="0" w:lastRow="0" w:firstColumn="1" w:lastColumn="0" w:oddVBand="0" w:evenVBand="0" w:oddHBand="0" w:evenHBand="0" w:firstRowFirstColumn="0" w:firstRowLastColumn="0" w:lastRowFirstColumn="0" w:lastRowLastColumn="0"/>
            <w:tcW w:w="1700" w:type="dxa"/>
            <w:vAlign w:val="center"/>
          </w:tcPr>
          <w:p w14:paraId="17552D75" w14:textId="62020F9B" w:rsidR="00D15E6B" w:rsidRDefault="00D15E6B" w:rsidP="003B4F97">
            <w:r w:rsidRPr="00FE4E27">
              <w:t>Combined</w:t>
            </w:r>
          </w:p>
        </w:tc>
        <w:tc>
          <w:tcPr>
            <w:tcW w:w="1700" w:type="dxa"/>
            <w:vAlign w:val="center"/>
          </w:tcPr>
          <w:p w14:paraId="39BDAFF4" w14:textId="041D9AC8" w:rsidR="00D15E6B" w:rsidRDefault="00D15E6B" w:rsidP="003B4F97">
            <w:pPr>
              <w:cnfStyle w:val="000000000000" w:firstRow="0" w:lastRow="0" w:firstColumn="0" w:lastColumn="0" w:oddVBand="0" w:evenVBand="0" w:oddHBand="0" w:evenHBand="0" w:firstRowFirstColumn="0" w:firstRowLastColumn="0" w:lastRowFirstColumn="0" w:lastRowLastColumn="0"/>
            </w:pPr>
            <w:r>
              <w:t>NA</w:t>
            </w:r>
          </w:p>
        </w:tc>
        <w:tc>
          <w:tcPr>
            <w:tcW w:w="1701" w:type="dxa"/>
            <w:vAlign w:val="center"/>
          </w:tcPr>
          <w:p w14:paraId="3D14044C" w14:textId="7EC7AC97"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30.8%</w:t>
            </w:r>
          </w:p>
        </w:tc>
        <w:tc>
          <w:tcPr>
            <w:tcW w:w="1701" w:type="dxa"/>
            <w:vAlign w:val="center"/>
          </w:tcPr>
          <w:p w14:paraId="43F5BD96" w14:textId="4D351710" w:rsidR="00D15E6B" w:rsidRDefault="00D15E6B" w:rsidP="003B4F97">
            <w:pPr>
              <w:cnfStyle w:val="000000000000" w:firstRow="0" w:lastRow="0" w:firstColumn="0" w:lastColumn="0" w:oddVBand="0" w:evenVBand="0" w:oddHBand="0" w:evenHBand="0" w:firstRowFirstColumn="0" w:firstRowLastColumn="0" w:lastRowFirstColumn="0" w:lastRowLastColumn="0"/>
            </w:pPr>
            <w:r w:rsidRPr="00FE4E27">
              <w:t>28.1%</w:t>
            </w:r>
          </w:p>
        </w:tc>
        <w:tc>
          <w:tcPr>
            <w:tcW w:w="1701" w:type="dxa"/>
            <w:vAlign w:val="center"/>
          </w:tcPr>
          <w:p w14:paraId="45770580" w14:textId="08C2A48C" w:rsidR="00D15E6B" w:rsidRDefault="00D15E6B" w:rsidP="003B4F97">
            <w:pPr>
              <w:cnfStyle w:val="000000000000" w:firstRow="0" w:lastRow="0" w:firstColumn="0" w:lastColumn="0" w:oddVBand="0" w:evenVBand="0" w:oddHBand="0" w:evenHBand="0" w:firstRowFirstColumn="0" w:firstRowLastColumn="0" w:lastRowFirstColumn="0" w:lastRowLastColumn="0"/>
            </w:pPr>
            <w:r>
              <w:t>24.3%</w:t>
            </w:r>
          </w:p>
        </w:tc>
        <w:tc>
          <w:tcPr>
            <w:tcW w:w="1701" w:type="dxa"/>
            <w:shd w:val="clear" w:color="auto" w:fill="D9D9D9" w:themeFill="background1" w:themeFillShade="D9"/>
            <w:vAlign w:val="center"/>
          </w:tcPr>
          <w:p w14:paraId="021AC975" w14:textId="2E2F3945" w:rsidR="00D15E6B" w:rsidRDefault="00D15E6B" w:rsidP="003B4F97">
            <w:pPr>
              <w:cnfStyle w:val="000000000000" w:firstRow="0" w:lastRow="0" w:firstColumn="0" w:lastColumn="0" w:oddVBand="0" w:evenVBand="0" w:oddHBand="0" w:evenHBand="0" w:firstRowFirstColumn="0" w:firstRowLastColumn="0" w:lastRowFirstColumn="0" w:lastRowLastColumn="0"/>
            </w:pPr>
            <w:r>
              <w:t>23.0%</w:t>
            </w:r>
          </w:p>
        </w:tc>
      </w:tr>
    </w:tbl>
    <w:p w14:paraId="6D3BD902" w14:textId="77777777" w:rsidR="00034670" w:rsidRDefault="00034670" w:rsidP="003B4F97">
      <w:pPr>
        <w:rPr>
          <w:rFonts w:ascii="VIC SemiBold" w:eastAsiaTheme="majorEastAsia" w:hAnsi="VIC SemiBold" w:cstheme="majorBidi"/>
          <w:color w:val="007586" w:themeColor="text2"/>
          <w:sz w:val="24"/>
          <w:szCs w:val="26"/>
        </w:rPr>
      </w:pPr>
      <w:r>
        <w:br w:type="page"/>
      </w:r>
    </w:p>
    <w:p w14:paraId="321E1E1C" w14:textId="1083696A" w:rsidR="005823FE" w:rsidRDefault="005823FE" w:rsidP="003B4F97">
      <w:pPr>
        <w:pStyle w:val="Heading2"/>
      </w:pPr>
      <w:r>
        <w:t>Definition</w:t>
      </w:r>
      <w:r w:rsidR="002E6027">
        <w:t>s and data sources</w:t>
      </w:r>
    </w:p>
    <w:p w14:paraId="570BCA9C" w14:textId="77777777" w:rsidR="00FF19C3" w:rsidRPr="005036AA" w:rsidRDefault="00FF19C3" w:rsidP="003B4F97">
      <w:pPr>
        <w:rPr>
          <w:lang w:val="en-GB"/>
        </w:rPr>
      </w:pPr>
      <w:r w:rsidRPr="005036AA">
        <w:rPr>
          <w:lang w:val="en-GB"/>
        </w:rPr>
        <w:t>Severe FGR is defined as a birthweight less than the third centile for gestation and sex whether liveborn or stillborn.</w:t>
      </w:r>
    </w:p>
    <w:p w14:paraId="7A68A3ED" w14:textId="5917066C" w:rsidR="00FF19C3" w:rsidRPr="005036AA" w:rsidRDefault="00FF19C3" w:rsidP="003B4F97">
      <w:pPr>
        <w:rPr>
          <w:lang w:val="en-GB"/>
        </w:rPr>
      </w:pPr>
      <w:r w:rsidRPr="005036AA">
        <w:rPr>
          <w:lang w:val="en-GB"/>
        </w:rPr>
        <w:t>Excluded are:</w:t>
      </w:r>
    </w:p>
    <w:p w14:paraId="1B65B276" w14:textId="77777777" w:rsidR="00FF19C3" w:rsidRPr="005036AA" w:rsidRDefault="00FF19C3" w:rsidP="003B4F97">
      <w:pPr>
        <w:pStyle w:val="Bullet1"/>
        <w:rPr>
          <w:lang w:val="en-GB"/>
        </w:rPr>
      </w:pPr>
      <w:r w:rsidRPr="005036AA">
        <w:rPr>
          <w:lang w:val="en-GB"/>
        </w:rPr>
        <w:t>babies without severe FGR</w:t>
      </w:r>
    </w:p>
    <w:p w14:paraId="277C19FB" w14:textId="77777777" w:rsidR="00FF19C3" w:rsidRPr="005036AA" w:rsidRDefault="00FF19C3" w:rsidP="003B4F97">
      <w:pPr>
        <w:pStyle w:val="Bullet1"/>
        <w:rPr>
          <w:lang w:val="en-GB"/>
        </w:rPr>
      </w:pPr>
      <w:r w:rsidRPr="005036AA">
        <w:rPr>
          <w:lang w:val="en-GB"/>
        </w:rPr>
        <w:t>multiple births</w:t>
      </w:r>
    </w:p>
    <w:p w14:paraId="5EFD861A" w14:textId="77777777" w:rsidR="00FF19C3" w:rsidRPr="005036AA" w:rsidRDefault="00FF19C3" w:rsidP="003B4F97">
      <w:pPr>
        <w:pStyle w:val="Bullet1"/>
        <w:rPr>
          <w:lang w:val="en-GB"/>
        </w:rPr>
      </w:pPr>
      <w:r w:rsidRPr="005036AA">
        <w:rPr>
          <w:lang w:val="en-GB"/>
        </w:rPr>
        <w:t>births at earlier gestations (less than 32 weeks).</w:t>
      </w:r>
    </w:p>
    <w:p w14:paraId="3F0E7E12" w14:textId="77777777" w:rsidR="00FF19C3" w:rsidRPr="005036AA" w:rsidRDefault="00FF19C3" w:rsidP="00A60C18">
      <w:pPr>
        <w:pStyle w:val="Heading4"/>
      </w:pPr>
      <w:r w:rsidRPr="005036AA">
        <w:t>Data source: Victorian Perinatal Data Collection</w:t>
      </w:r>
    </w:p>
    <w:p w14:paraId="2A073E39" w14:textId="15CE743C" w:rsidR="00FF19C3" w:rsidRPr="005036AA" w:rsidRDefault="00FF19C3" w:rsidP="003B4F97">
      <w:pPr>
        <w:pStyle w:val="Normalfollowingheading"/>
        <w:rPr>
          <w:lang w:val="en-GB"/>
        </w:rPr>
      </w:pPr>
      <w:r w:rsidRPr="005036AA">
        <w:rPr>
          <w:lang w:val="en-GB"/>
        </w:rPr>
        <w:t xml:space="preserve">Data </w:t>
      </w:r>
      <w:r>
        <w:rPr>
          <w:lang w:val="en-GB"/>
        </w:rPr>
        <w:t xml:space="preserve">for this indicator is sourced </w:t>
      </w:r>
      <w:r w:rsidRPr="005036AA">
        <w:rPr>
          <w:lang w:val="en-GB"/>
        </w:rPr>
        <w:t xml:space="preserve">from the VPDC </w:t>
      </w:r>
      <w:r>
        <w:rPr>
          <w:lang w:val="en-GB"/>
        </w:rPr>
        <w:t>for the</w:t>
      </w:r>
      <w:r w:rsidRPr="005036AA">
        <w:rPr>
          <w:lang w:val="en-GB"/>
        </w:rPr>
        <w:t xml:space="preserve"> calendar year from 1 January 201</w:t>
      </w:r>
      <w:r>
        <w:rPr>
          <w:lang w:val="en-GB"/>
        </w:rPr>
        <w:t>9</w:t>
      </w:r>
      <w:r w:rsidRPr="005036AA">
        <w:rPr>
          <w:lang w:val="en-GB"/>
        </w:rPr>
        <w:t xml:space="preserve"> to </w:t>
      </w:r>
      <w:r w:rsidR="00F02D2D">
        <w:rPr>
          <w:lang w:val="en-GB"/>
        </w:rPr>
        <w:br/>
      </w:r>
      <w:r w:rsidRPr="005036AA">
        <w:rPr>
          <w:lang w:val="en-GB"/>
        </w:rPr>
        <w:t>31 December 201</w:t>
      </w:r>
      <w:r>
        <w:rPr>
          <w:lang w:val="en-GB"/>
        </w:rPr>
        <w:t>9</w:t>
      </w:r>
      <w:r w:rsidRPr="005036AA">
        <w:rPr>
          <w:lang w:val="en-GB"/>
        </w:rPr>
        <w:t>.</w:t>
      </w:r>
    </w:p>
    <w:p w14:paraId="72EAE7B2" w14:textId="77777777" w:rsidR="00FF19C3" w:rsidRPr="005036AA" w:rsidRDefault="00FF19C3" w:rsidP="003B4F97">
      <w:pPr>
        <w:rPr>
          <w:lang w:val="en-GB"/>
        </w:rPr>
      </w:pPr>
      <w:r w:rsidRPr="005036AA">
        <w:rPr>
          <w:lang w:val="en-GB"/>
        </w:rPr>
        <w:t>The indicator is derived using the following VPDC variables: ‘baby sex’, ‘gestation’, ‘birth weight’ and ‘plurality’.</w:t>
      </w:r>
    </w:p>
    <w:p w14:paraId="38C79372" w14:textId="7CA71B5A" w:rsidR="00FF19C3" w:rsidRDefault="00FF19C3" w:rsidP="003B4F97">
      <w:pPr>
        <w:pStyle w:val="Tablechartdiagramheading"/>
      </w:pPr>
      <w:r w:rsidRPr="005036AA">
        <w:t>Numerator/denominator</w:t>
      </w:r>
    </w:p>
    <w:tbl>
      <w:tblPr>
        <w:tblStyle w:val="TableGrid"/>
        <w:tblW w:w="0" w:type="auto"/>
        <w:tblLook w:val="04A0" w:firstRow="1" w:lastRow="0" w:firstColumn="1" w:lastColumn="0" w:noHBand="0" w:noVBand="1"/>
      </w:tblPr>
      <w:tblGrid>
        <w:gridCol w:w="3401"/>
        <w:gridCol w:w="3401"/>
        <w:gridCol w:w="3402"/>
      </w:tblGrid>
      <w:tr w:rsidR="00FF19C3" w14:paraId="5E7D6B52" w14:textId="77777777" w:rsidTr="00FF1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04E1363" w14:textId="0FC5599C" w:rsidR="00FF19C3" w:rsidRDefault="00FF19C3" w:rsidP="003B4F97">
            <w:pPr>
              <w:rPr>
                <w:lang w:val="en-GB" w:eastAsia="en-AU"/>
              </w:rPr>
            </w:pPr>
            <w:r w:rsidRPr="005036AA">
              <w:rPr>
                <w:lang w:val="en-GB"/>
              </w:rPr>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E4A874B" w14:textId="210B68DA" w:rsidR="00FF19C3" w:rsidRDefault="00FF19C3"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5036AA">
              <w:rPr>
                <w:lang w:val="en-GB"/>
              </w:rPr>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C352947" w14:textId="4DC228FE" w:rsidR="00FF19C3" w:rsidRDefault="00FF19C3"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5036AA">
              <w:rPr>
                <w:lang w:val="en-GB"/>
              </w:rPr>
              <w:t>Denominator</w:t>
            </w:r>
          </w:p>
        </w:tc>
      </w:tr>
      <w:tr w:rsidR="00FF19C3" w14:paraId="0D8299C3" w14:textId="77777777" w:rsidTr="00FF19C3">
        <w:tc>
          <w:tcPr>
            <w:cnfStyle w:val="001000000000" w:firstRow="0" w:lastRow="0" w:firstColumn="1" w:lastColumn="0" w:oddVBand="0" w:evenVBand="0" w:oddHBand="0" w:evenHBand="0" w:firstRowFirstColumn="0" w:firstRowLastColumn="0" w:lastRowFirstColumn="0" w:lastRowLastColumn="0"/>
            <w:tcW w:w="3401" w:type="dxa"/>
          </w:tcPr>
          <w:p w14:paraId="0C8B2386" w14:textId="4B0DE5CD" w:rsidR="00FF19C3" w:rsidRDefault="00FF19C3" w:rsidP="003B4F97">
            <w:pPr>
              <w:rPr>
                <w:lang w:val="en-GB" w:eastAsia="en-AU"/>
              </w:rPr>
            </w:pPr>
            <w:r w:rsidRPr="008129D8">
              <w:t>Indicator 3: Rate of severe FGR in a</w:t>
            </w:r>
            <w:r w:rsidR="00061B4C">
              <w:rPr>
                <w:rFonts w:ascii="Cambria" w:hAnsi="Cambria" w:cs="Cambria"/>
              </w:rPr>
              <w:t xml:space="preserve"> </w:t>
            </w:r>
            <w:r w:rsidRPr="008129D8">
              <w:t>singleton pregnancy undelivered by</w:t>
            </w:r>
            <w:r w:rsidR="00061B4C">
              <w:rPr>
                <w:rFonts w:ascii="Cambria" w:hAnsi="Cambria" w:cs="Cambria"/>
              </w:rPr>
              <w:t xml:space="preserve"> </w:t>
            </w:r>
            <w:r w:rsidRPr="008129D8">
              <w:t>40</w:t>
            </w:r>
            <w:r w:rsidR="00061B4C">
              <w:rPr>
                <w:rFonts w:ascii="Cambria" w:hAnsi="Cambria" w:cs="Cambria"/>
              </w:rPr>
              <w:t xml:space="preserve"> </w:t>
            </w:r>
            <w:r w:rsidRPr="008129D8">
              <w:t>weeks</w:t>
            </w:r>
          </w:p>
        </w:tc>
        <w:tc>
          <w:tcPr>
            <w:tcW w:w="3401" w:type="dxa"/>
          </w:tcPr>
          <w:p w14:paraId="50DE9363" w14:textId="4A0BFBCF" w:rsidR="00FF19C3" w:rsidRDefault="00FF19C3"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8129D8">
              <w:t>Birth at 40 or more weeks’ gestation of</w:t>
            </w:r>
            <w:r w:rsidR="003B1CF3">
              <w:rPr>
                <w:rFonts w:ascii="Cambria" w:hAnsi="Cambria" w:cs="Cambria"/>
              </w:rPr>
              <w:t xml:space="preserve"> </w:t>
            </w:r>
            <w:r w:rsidRPr="008129D8">
              <w:t>a singleton baby with severe FGR</w:t>
            </w:r>
          </w:p>
        </w:tc>
        <w:tc>
          <w:tcPr>
            <w:tcW w:w="3402" w:type="dxa"/>
          </w:tcPr>
          <w:p w14:paraId="05C9104A" w14:textId="77E12548" w:rsidR="00FF19C3" w:rsidRDefault="00FF19C3"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8129D8">
              <w:t>Singleton births (live and stillborn) with severe FGR born at and beyond 32</w:t>
            </w:r>
            <w:r w:rsidR="003B1CF3">
              <w:rPr>
                <w:rFonts w:ascii="Cambria" w:hAnsi="Cambria" w:cs="Cambria"/>
              </w:rPr>
              <w:t xml:space="preserve"> </w:t>
            </w:r>
            <w:r w:rsidRPr="008129D8">
              <w:t>weeks</w:t>
            </w:r>
            <w:r w:rsidRPr="008129D8">
              <w:rPr>
                <w:rFonts w:cs="VIC"/>
              </w:rPr>
              <w:t>’</w:t>
            </w:r>
            <w:r w:rsidRPr="008129D8">
              <w:t xml:space="preserve"> gestation</w:t>
            </w:r>
          </w:p>
        </w:tc>
      </w:tr>
    </w:tbl>
    <w:p w14:paraId="3AC69963" w14:textId="7D449560" w:rsidR="00FF19C3" w:rsidRDefault="00FF19C3" w:rsidP="003B4F97">
      <w:pPr>
        <w:pStyle w:val="Footer"/>
      </w:pPr>
      <w:r w:rsidRPr="005036AA">
        <w:rPr>
          <w:lang w:val="en-GB"/>
        </w:rPr>
        <w:t>For this indicator, a baby is considered to be severely growth-restricted when their birthweight is below the third centile for gestation, sex and plurality. It is calculated based on the study by Dobbins et al.</w:t>
      </w:r>
      <w:r w:rsidRPr="005036AA">
        <w:rPr>
          <w:vertAlign w:val="superscript"/>
          <w:lang w:val="en-GB"/>
        </w:rPr>
        <w:footnoteReference w:id="2"/>
      </w:r>
      <w:r w:rsidRPr="000262E1">
        <w:t xml:space="preserve">, which gives the tables for birthweight centiles according to the gestational week for live singleton male and female babies in Australia. If a male singleton baby weighing 1,700 grams is born at 35 weeks, it falls below the third centile for gestation, sex and plurality. The baby is then considered severely growth restricted </w:t>
      </w:r>
      <w:r w:rsidR="003B1CF3">
        <w:t>(</w:t>
      </w:r>
      <w:r w:rsidR="003B1CF3">
        <w:rPr>
          <w:rFonts w:ascii="VIC Medium" w:hAnsi="VIC Medium"/>
        </w:rPr>
        <w:t>I</w:t>
      </w:r>
      <w:r w:rsidRPr="00BA0DD5">
        <w:rPr>
          <w:rFonts w:ascii="VIC Medium" w:hAnsi="VIC Medium"/>
        </w:rPr>
        <w:t>ndicator 3</w:t>
      </w:r>
      <w:r w:rsidRPr="000262E1">
        <w:t xml:space="preserve">). </w:t>
      </w:r>
      <w:r w:rsidRPr="00156EE3">
        <w:rPr>
          <w:i/>
        </w:rPr>
        <w:t>The Australian national birthweight percentiles by sex and gestational age, 1998–2007</w:t>
      </w:r>
      <w:r w:rsidRPr="000262E1">
        <w:t xml:space="preserve"> (Dobbins et al. 2012) is used to calculate the birthweight centiles for </w:t>
      </w:r>
      <w:r w:rsidRPr="00F02D2D">
        <w:t xml:space="preserve">this indicator (see </w:t>
      </w:r>
      <w:r w:rsidR="00061B4C" w:rsidRPr="00BA0DD5">
        <w:rPr>
          <w:b/>
          <w:bCs/>
        </w:rPr>
        <w:t>T</w:t>
      </w:r>
      <w:r w:rsidRPr="00BA0DD5">
        <w:rPr>
          <w:b/>
          <w:bCs/>
        </w:rPr>
        <w:t xml:space="preserve">ables </w:t>
      </w:r>
      <w:r w:rsidR="00F02D2D">
        <w:rPr>
          <w:b/>
          <w:bCs/>
        </w:rPr>
        <w:t>6</w:t>
      </w:r>
      <w:r w:rsidRPr="00F02D2D">
        <w:t xml:space="preserve"> and </w:t>
      </w:r>
      <w:r w:rsidR="00F02D2D">
        <w:rPr>
          <w:b/>
          <w:bCs/>
        </w:rPr>
        <w:t>7</w:t>
      </w:r>
      <w:r w:rsidRPr="00F02D2D">
        <w:t>).</w:t>
      </w:r>
    </w:p>
    <w:p w14:paraId="41182973" w14:textId="77777777" w:rsidR="00034670" w:rsidRDefault="00034670" w:rsidP="003B4F97">
      <w:r>
        <w:br w:type="page"/>
      </w:r>
    </w:p>
    <w:p w14:paraId="465FD153" w14:textId="3EF3B5DC" w:rsidR="00AE15F6" w:rsidRPr="00AE15F6" w:rsidRDefault="00AE15F6" w:rsidP="003B4F97">
      <w:pPr>
        <w:pStyle w:val="Tablechartdiagramheading"/>
      </w:pPr>
      <w:r w:rsidRPr="00AE15F6">
        <w:t xml:space="preserve">Table </w:t>
      </w:r>
      <w:r w:rsidR="00061B4C">
        <w:t>6</w:t>
      </w:r>
      <w:r w:rsidRPr="00AE15F6">
        <w:t>. Birthweight centiles for live singleton male infants, Australia, 1998–2007</w:t>
      </w:r>
    </w:p>
    <w:tbl>
      <w:tblPr>
        <w:tblStyle w:val="TableGrid"/>
        <w:tblW w:w="10206" w:type="dxa"/>
        <w:tblLook w:val="04A0" w:firstRow="1" w:lastRow="0" w:firstColumn="1" w:lastColumn="0" w:noHBand="0" w:noVBand="1"/>
      </w:tblPr>
      <w:tblGrid>
        <w:gridCol w:w="1099"/>
        <w:gridCol w:w="927"/>
        <w:gridCol w:w="1246"/>
        <w:gridCol w:w="630"/>
        <w:gridCol w:w="630"/>
        <w:gridCol w:w="631"/>
        <w:gridCol w:w="630"/>
        <w:gridCol w:w="630"/>
        <w:gridCol w:w="631"/>
        <w:gridCol w:w="630"/>
        <w:gridCol w:w="630"/>
        <w:gridCol w:w="631"/>
        <w:gridCol w:w="630"/>
        <w:gridCol w:w="631"/>
      </w:tblGrid>
      <w:tr w:rsidR="00AE15F6" w:rsidRPr="00AE15F6" w14:paraId="764AB83F" w14:textId="0EA7414F" w:rsidTr="00AE15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62A4409" w14:textId="5A88C9C2" w:rsidR="00AE15F6" w:rsidRPr="00AE15F6" w:rsidRDefault="00AE15F6" w:rsidP="003B4F97">
            <w:pPr>
              <w:pStyle w:val="Tabletext"/>
              <w:rPr>
                <w:lang w:val="en-GB" w:eastAsia="en-AU"/>
              </w:rPr>
            </w:pPr>
            <w:r w:rsidRPr="00AE15F6">
              <w:t>Gestational age (weeks)</w:t>
            </w:r>
          </w:p>
        </w:tc>
        <w:tc>
          <w:tcPr>
            <w:tcW w:w="945"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E80EBFA" w14:textId="4CB106BF" w:rsidR="00AE15F6" w:rsidRPr="00AE15F6" w:rsidRDefault="00AE15F6" w:rsidP="003B4F97">
            <w:pPr>
              <w:pStyle w:val="Tabletext"/>
              <w:cnfStyle w:val="100000000000" w:firstRow="1" w:lastRow="0" w:firstColumn="0" w:lastColumn="0" w:oddVBand="0" w:evenVBand="0" w:oddHBand="0" w:evenHBand="0" w:firstRowFirstColumn="0" w:firstRowLastColumn="0" w:lastRowFirstColumn="0" w:lastRowLastColumn="0"/>
              <w:rPr>
                <w:lang w:val="en-GB" w:eastAsia="en-AU"/>
              </w:rPr>
            </w:pPr>
            <w:r w:rsidRPr="00AE15F6">
              <w:t>Number of births</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2E9C671" w14:textId="3E5C9D1C" w:rsidR="00AE15F6" w:rsidRPr="00AE15F6" w:rsidRDefault="00AE15F6" w:rsidP="003B4F97">
            <w:pPr>
              <w:pStyle w:val="Tabletext"/>
              <w:cnfStyle w:val="100000000000" w:firstRow="1" w:lastRow="0" w:firstColumn="0" w:lastColumn="0" w:oddVBand="0" w:evenVBand="0" w:oddHBand="0" w:evenHBand="0" w:firstRowFirstColumn="0" w:firstRowLastColumn="0" w:lastRowFirstColumn="0" w:lastRowLastColumn="0"/>
              <w:rPr>
                <w:lang w:val="en-GB" w:eastAsia="en-AU"/>
              </w:rPr>
            </w:pPr>
            <w:r w:rsidRPr="00AE15F6">
              <w:t>Mean (SD) birthweight (g)</w:t>
            </w:r>
          </w:p>
        </w:tc>
        <w:tc>
          <w:tcPr>
            <w:tcW w:w="6945"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18123CE" w14:textId="06CA9FC0" w:rsidR="00AE15F6" w:rsidRPr="00AE15F6" w:rsidRDefault="00AE15F6" w:rsidP="003B4F97">
            <w:pPr>
              <w:pStyle w:val="Tabletext"/>
              <w:cnfStyle w:val="100000000000" w:firstRow="1" w:lastRow="0" w:firstColumn="0" w:lastColumn="0" w:oddVBand="0" w:evenVBand="0" w:oddHBand="0" w:evenHBand="0" w:firstRowFirstColumn="0" w:firstRowLastColumn="0" w:lastRowFirstColumn="0" w:lastRowLastColumn="0"/>
              <w:rPr>
                <w:lang w:val="en-GB" w:eastAsia="en-AU"/>
              </w:rPr>
            </w:pPr>
            <w:r w:rsidRPr="00AE15F6">
              <w:t>Birthweight percentile (g)</w:t>
            </w:r>
          </w:p>
        </w:tc>
      </w:tr>
      <w:tr w:rsidR="00AE15F6" w:rsidRPr="00AE15F6" w14:paraId="1010C61C" w14:textId="124760D8" w:rsidTr="00AE15F6">
        <w:tc>
          <w:tcPr>
            <w:cnfStyle w:val="001000000000" w:firstRow="0" w:lastRow="0" w:firstColumn="1" w:lastColumn="0" w:oddVBand="0" w:evenVBand="0" w:oddHBand="0" w:evenHBand="0" w:firstRowFirstColumn="0" w:firstRowLastColumn="0" w:lastRowFirstColumn="0" w:lastRowLastColumn="0"/>
            <w:tcW w:w="1040" w:type="dxa"/>
          </w:tcPr>
          <w:p w14:paraId="2B8B42B9" w14:textId="77777777" w:rsidR="00AE15F6" w:rsidRPr="00AE15F6" w:rsidRDefault="00AE15F6" w:rsidP="003B4F97">
            <w:pPr>
              <w:pStyle w:val="Tabletext"/>
              <w:rPr>
                <w:lang w:val="en-GB" w:eastAsia="en-AU"/>
              </w:rPr>
            </w:pPr>
          </w:p>
        </w:tc>
        <w:tc>
          <w:tcPr>
            <w:tcW w:w="945" w:type="dxa"/>
          </w:tcPr>
          <w:p w14:paraId="188B742C"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p>
        </w:tc>
        <w:tc>
          <w:tcPr>
            <w:tcW w:w="1276" w:type="dxa"/>
          </w:tcPr>
          <w:p w14:paraId="38F481F8"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p>
        </w:tc>
        <w:tc>
          <w:tcPr>
            <w:tcW w:w="631" w:type="dxa"/>
          </w:tcPr>
          <w:p w14:paraId="172AD399" w14:textId="4A2A449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1st</w:t>
            </w:r>
          </w:p>
        </w:tc>
        <w:tc>
          <w:tcPr>
            <w:tcW w:w="631" w:type="dxa"/>
          </w:tcPr>
          <w:p w14:paraId="61045984" w14:textId="52975E0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3rd</w:t>
            </w:r>
          </w:p>
        </w:tc>
        <w:tc>
          <w:tcPr>
            <w:tcW w:w="632" w:type="dxa"/>
          </w:tcPr>
          <w:p w14:paraId="7EEAFAFC" w14:textId="13FE28D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5th</w:t>
            </w:r>
          </w:p>
        </w:tc>
        <w:tc>
          <w:tcPr>
            <w:tcW w:w="631" w:type="dxa"/>
          </w:tcPr>
          <w:p w14:paraId="17AB942E" w14:textId="1871060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10th</w:t>
            </w:r>
          </w:p>
        </w:tc>
        <w:tc>
          <w:tcPr>
            <w:tcW w:w="631" w:type="dxa"/>
          </w:tcPr>
          <w:p w14:paraId="2C605B4A" w14:textId="430169E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25th</w:t>
            </w:r>
          </w:p>
        </w:tc>
        <w:tc>
          <w:tcPr>
            <w:tcW w:w="632" w:type="dxa"/>
          </w:tcPr>
          <w:p w14:paraId="079AF0AA" w14:textId="284791B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50th</w:t>
            </w:r>
          </w:p>
        </w:tc>
        <w:tc>
          <w:tcPr>
            <w:tcW w:w="631" w:type="dxa"/>
          </w:tcPr>
          <w:p w14:paraId="5E0F67DF" w14:textId="5CADDD1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75th</w:t>
            </w:r>
          </w:p>
        </w:tc>
        <w:tc>
          <w:tcPr>
            <w:tcW w:w="631" w:type="dxa"/>
          </w:tcPr>
          <w:p w14:paraId="45B7CFC5" w14:textId="1506A8E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90th</w:t>
            </w:r>
          </w:p>
        </w:tc>
        <w:tc>
          <w:tcPr>
            <w:tcW w:w="632" w:type="dxa"/>
          </w:tcPr>
          <w:p w14:paraId="218693E6" w14:textId="3B8948B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95th</w:t>
            </w:r>
          </w:p>
        </w:tc>
        <w:tc>
          <w:tcPr>
            <w:tcW w:w="631" w:type="dxa"/>
          </w:tcPr>
          <w:p w14:paraId="237CDA06" w14:textId="1CB7FFF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97th</w:t>
            </w:r>
          </w:p>
        </w:tc>
        <w:tc>
          <w:tcPr>
            <w:tcW w:w="632" w:type="dxa"/>
          </w:tcPr>
          <w:p w14:paraId="575AEB20" w14:textId="59E4160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99th</w:t>
            </w:r>
          </w:p>
        </w:tc>
      </w:tr>
      <w:tr w:rsidR="00AE15F6" w:rsidRPr="00AE15F6" w14:paraId="5BB571AA" w14:textId="55FB0E5B" w:rsidTr="00AE15F6">
        <w:tc>
          <w:tcPr>
            <w:cnfStyle w:val="001000000000" w:firstRow="0" w:lastRow="0" w:firstColumn="1" w:lastColumn="0" w:oddVBand="0" w:evenVBand="0" w:oddHBand="0" w:evenHBand="0" w:firstRowFirstColumn="0" w:firstRowLastColumn="0" w:lastRowFirstColumn="0" w:lastRowLastColumn="0"/>
            <w:tcW w:w="1040" w:type="dxa"/>
          </w:tcPr>
          <w:p w14:paraId="6E8CC974" w14:textId="5F315F32" w:rsidR="00AE15F6" w:rsidRPr="00AE15F6" w:rsidRDefault="00AE15F6" w:rsidP="003B4F97">
            <w:pPr>
              <w:pStyle w:val="Tabletext"/>
              <w:rPr>
                <w:lang w:val="en-GB" w:eastAsia="en-AU"/>
              </w:rPr>
            </w:pPr>
            <w:r w:rsidRPr="00AE15F6">
              <w:t>20</w:t>
            </w:r>
          </w:p>
        </w:tc>
        <w:tc>
          <w:tcPr>
            <w:tcW w:w="945" w:type="dxa"/>
          </w:tcPr>
          <w:p w14:paraId="2A196A91" w14:textId="041DEA2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230</w:t>
            </w:r>
          </w:p>
        </w:tc>
        <w:tc>
          <w:tcPr>
            <w:tcW w:w="1276" w:type="dxa"/>
          </w:tcPr>
          <w:p w14:paraId="2C1A073B" w14:textId="0AAC2CE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349 (60)</w:t>
            </w:r>
          </w:p>
        </w:tc>
        <w:tc>
          <w:tcPr>
            <w:tcW w:w="631" w:type="dxa"/>
          </w:tcPr>
          <w:p w14:paraId="7D943201" w14:textId="0A43CB9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210</w:t>
            </w:r>
          </w:p>
        </w:tc>
        <w:tc>
          <w:tcPr>
            <w:tcW w:w="631" w:type="dxa"/>
          </w:tcPr>
          <w:p w14:paraId="394F4CD2" w14:textId="65E5939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248</w:t>
            </w:r>
          </w:p>
        </w:tc>
        <w:tc>
          <w:tcPr>
            <w:tcW w:w="632" w:type="dxa"/>
          </w:tcPr>
          <w:p w14:paraId="3242E2E4" w14:textId="335B720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254</w:t>
            </w:r>
          </w:p>
        </w:tc>
        <w:tc>
          <w:tcPr>
            <w:tcW w:w="631" w:type="dxa"/>
          </w:tcPr>
          <w:p w14:paraId="4B070D0F" w14:textId="56333C0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273</w:t>
            </w:r>
          </w:p>
        </w:tc>
        <w:tc>
          <w:tcPr>
            <w:tcW w:w="631" w:type="dxa"/>
          </w:tcPr>
          <w:p w14:paraId="688CD62F" w14:textId="0692DA8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310</w:t>
            </w:r>
          </w:p>
        </w:tc>
        <w:tc>
          <w:tcPr>
            <w:tcW w:w="632" w:type="dxa"/>
          </w:tcPr>
          <w:p w14:paraId="7E01ABD4" w14:textId="4AD6E5F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340</w:t>
            </w:r>
          </w:p>
        </w:tc>
        <w:tc>
          <w:tcPr>
            <w:tcW w:w="631" w:type="dxa"/>
          </w:tcPr>
          <w:p w14:paraId="2129CD4B" w14:textId="3140AB3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390</w:t>
            </w:r>
          </w:p>
        </w:tc>
        <w:tc>
          <w:tcPr>
            <w:tcW w:w="631" w:type="dxa"/>
          </w:tcPr>
          <w:p w14:paraId="2310705D" w14:textId="18F5343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430</w:t>
            </w:r>
          </w:p>
        </w:tc>
        <w:tc>
          <w:tcPr>
            <w:tcW w:w="632" w:type="dxa"/>
          </w:tcPr>
          <w:p w14:paraId="59A2C1F6" w14:textId="11E04C7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450</w:t>
            </w:r>
          </w:p>
        </w:tc>
        <w:tc>
          <w:tcPr>
            <w:tcW w:w="631" w:type="dxa"/>
          </w:tcPr>
          <w:p w14:paraId="27C7EF89" w14:textId="64E3279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470</w:t>
            </w:r>
          </w:p>
        </w:tc>
        <w:tc>
          <w:tcPr>
            <w:tcW w:w="632" w:type="dxa"/>
          </w:tcPr>
          <w:p w14:paraId="1B6289D5" w14:textId="7972669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500</w:t>
            </w:r>
          </w:p>
        </w:tc>
      </w:tr>
      <w:tr w:rsidR="00AE15F6" w:rsidRPr="00AE15F6" w14:paraId="11B91555" w14:textId="2E4E82E0" w:rsidTr="00AE15F6">
        <w:tc>
          <w:tcPr>
            <w:cnfStyle w:val="001000000000" w:firstRow="0" w:lastRow="0" w:firstColumn="1" w:lastColumn="0" w:oddVBand="0" w:evenVBand="0" w:oddHBand="0" w:evenHBand="0" w:firstRowFirstColumn="0" w:firstRowLastColumn="0" w:lastRowFirstColumn="0" w:lastRowLastColumn="0"/>
            <w:tcW w:w="1040" w:type="dxa"/>
          </w:tcPr>
          <w:p w14:paraId="5AD6622B" w14:textId="34D71C3B" w:rsidR="00AE15F6" w:rsidRPr="00AE15F6" w:rsidRDefault="00AE15F6" w:rsidP="003B4F97">
            <w:pPr>
              <w:pStyle w:val="Tabletext"/>
              <w:rPr>
                <w:lang w:val="en-GB" w:eastAsia="en-AU"/>
              </w:rPr>
            </w:pPr>
            <w:r w:rsidRPr="00AE15F6">
              <w:t>21</w:t>
            </w:r>
          </w:p>
        </w:tc>
        <w:tc>
          <w:tcPr>
            <w:tcW w:w="945" w:type="dxa"/>
          </w:tcPr>
          <w:p w14:paraId="6D80FC89" w14:textId="3B62C7B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335</w:t>
            </w:r>
          </w:p>
        </w:tc>
        <w:tc>
          <w:tcPr>
            <w:tcW w:w="1276" w:type="dxa"/>
          </w:tcPr>
          <w:p w14:paraId="086509B6" w14:textId="5793BD5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418 (66)</w:t>
            </w:r>
          </w:p>
        </w:tc>
        <w:tc>
          <w:tcPr>
            <w:tcW w:w="631" w:type="dxa"/>
          </w:tcPr>
          <w:p w14:paraId="27323B00" w14:textId="59D3D65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270</w:t>
            </w:r>
          </w:p>
        </w:tc>
        <w:tc>
          <w:tcPr>
            <w:tcW w:w="631" w:type="dxa"/>
          </w:tcPr>
          <w:p w14:paraId="4D0E2519" w14:textId="2ED203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290</w:t>
            </w:r>
          </w:p>
        </w:tc>
        <w:tc>
          <w:tcPr>
            <w:tcW w:w="632" w:type="dxa"/>
          </w:tcPr>
          <w:p w14:paraId="32B20F78" w14:textId="49DFD49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300</w:t>
            </w:r>
          </w:p>
        </w:tc>
        <w:tc>
          <w:tcPr>
            <w:tcW w:w="631" w:type="dxa"/>
          </w:tcPr>
          <w:p w14:paraId="74082AD5" w14:textId="2AEAF1C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335</w:t>
            </w:r>
          </w:p>
        </w:tc>
        <w:tc>
          <w:tcPr>
            <w:tcW w:w="631" w:type="dxa"/>
          </w:tcPr>
          <w:p w14:paraId="78602F14" w14:textId="1249579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375</w:t>
            </w:r>
          </w:p>
        </w:tc>
        <w:tc>
          <w:tcPr>
            <w:tcW w:w="632" w:type="dxa"/>
          </w:tcPr>
          <w:p w14:paraId="1CFAFC4B" w14:textId="22B2644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420</w:t>
            </w:r>
          </w:p>
        </w:tc>
        <w:tc>
          <w:tcPr>
            <w:tcW w:w="631" w:type="dxa"/>
          </w:tcPr>
          <w:p w14:paraId="63AD7D9E" w14:textId="30BE77A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460</w:t>
            </w:r>
          </w:p>
        </w:tc>
        <w:tc>
          <w:tcPr>
            <w:tcW w:w="631" w:type="dxa"/>
          </w:tcPr>
          <w:p w14:paraId="265C772C" w14:textId="1601E6F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500</w:t>
            </w:r>
          </w:p>
        </w:tc>
        <w:tc>
          <w:tcPr>
            <w:tcW w:w="632" w:type="dxa"/>
          </w:tcPr>
          <w:p w14:paraId="652A6BB5" w14:textId="62055CC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540</w:t>
            </w:r>
          </w:p>
        </w:tc>
        <w:tc>
          <w:tcPr>
            <w:tcW w:w="631" w:type="dxa"/>
          </w:tcPr>
          <w:p w14:paraId="11044E46" w14:textId="02C5251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542</w:t>
            </w:r>
          </w:p>
        </w:tc>
        <w:tc>
          <w:tcPr>
            <w:tcW w:w="632" w:type="dxa"/>
          </w:tcPr>
          <w:p w14:paraId="14FFA4B1" w14:textId="602CEBA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575</w:t>
            </w:r>
          </w:p>
        </w:tc>
      </w:tr>
      <w:tr w:rsidR="00AE15F6" w:rsidRPr="00AE15F6" w14:paraId="56013569" w14:textId="2E5DE18F" w:rsidTr="00AE15F6">
        <w:tc>
          <w:tcPr>
            <w:cnfStyle w:val="001000000000" w:firstRow="0" w:lastRow="0" w:firstColumn="1" w:lastColumn="0" w:oddVBand="0" w:evenVBand="0" w:oddHBand="0" w:evenHBand="0" w:firstRowFirstColumn="0" w:firstRowLastColumn="0" w:lastRowFirstColumn="0" w:lastRowLastColumn="0"/>
            <w:tcW w:w="1040" w:type="dxa"/>
          </w:tcPr>
          <w:p w14:paraId="047405D2" w14:textId="29284B29" w:rsidR="00AE15F6" w:rsidRPr="00AE15F6" w:rsidRDefault="00AE15F6" w:rsidP="003B4F97">
            <w:pPr>
              <w:pStyle w:val="Tabletext"/>
              <w:rPr>
                <w:lang w:val="en-GB" w:eastAsia="en-AU"/>
              </w:rPr>
            </w:pPr>
            <w:r w:rsidRPr="00AE15F6">
              <w:t>22</w:t>
            </w:r>
          </w:p>
        </w:tc>
        <w:tc>
          <w:tcPr>
            <w:tcW w:w="945" w:type="dxa"/>
          </w:tcPr>
          <w:p w14:paraId="720FF5A5" w14:textId="09D81A7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401</w:t>
            </w:r>
          </w:p>
        </w:tc>
        <w:tc>
          <w:tcPr>
            <w:tcW w:w="1276" w:type="dxa"/>
          </w:tcPr>
          <w:p w14:paraId="694FA929" w14:textId="427B43E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505 (76)</w:t>
            </w:r>
          </w:p>
        </w:tc>
        <w:tc>
          <w:tcPr>
            <w:tcW w:w="631" w:type="dxa"/>
          </w:tcPr>
          <w:p w14:paraId="30196B3A" w14:textId="0DE7FEF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350</w:t>
            </w:r>
          </w:p>
        </w:tc>
        <w:tc>
          <w:tcPr>
            <w:tcW w:w="631" w:type="dxa"/>
          </w:tcPr>
          <w:p w14:paraId="5A336809" w14:textId="182DC0C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370</w:t>
            </w:r>
          </w:p>
        </w:tc>
        <w:tc>
          <w:tcPr>
            <w:tcW w:w="632" w:type="dxa"/>
          </w:tcPr>
          <w:p w14:paraId="012B048E" w14:textId="2E491A6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390</w:t>
            </w:r>
          </w:p>
        </w:tc>
        <w:tc>
          <w:tcPr>
            <w:tcW w:w="631" w:type="dxa"/>
          </w:tcPr>
          <w:p w14:paraId="6A5A628C" w14:textId="458613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410</w:t>
            </w:r>
          </w:p>
        </w:tc>
        <w:tc>
          <w:tcPr>
            <w:tcW w:w="631" w:type="dxa"/>
          </w:tcPr>
          <w:p w14:paraId="28838016" w14:textId="439846D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460</w:t>
            </w:r>
          </w:p>
        </w:tc>
        <w:tc>
          <w:tcPr>
            <w:tcW w:w="632" w:type="dxa"/>
          </w:tcPr>
          <w:p w14:paraId="57D58829" w14:textId="43E31B0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500</w:t>
            </w:r>
          </w:p>
        </w:tc>
        <w:tc>
          <w:tcPr>
            <w:tcW w:w="631" w:type="dxa"/>
          </w:tcPr>
          <w:p w14:paraId="35D56144" w14:textId="7A916CE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554</w:t>
            </w:r>
          </w:p>
        </w:tc>
        <w:tc>
          <w:tcPr>
            <w:tcW w:w="631" w:type="dxa"/>
          </w:tcPr>
          <w:p w14:paraId="7D0168A5" w14:textId="380AE58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600</w:t>
            </w:r>
          </w:p>
        </w:tc>
        <w:tc>
          <w:tcPr>
            <w:tcW w:w="632" w:type="dxa"/>
          </w:tcPr>
          <w:p w14:paraId="01753123" w14:textId="15154F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630</w:t>
            </w:r>
          </w:p>
        </w:tc>
        <w:tc>
          <w:tcPr>
            <w:tcW w:w="631" w:type="dxa"/>
          </w:tcPr>
          <w:p w14:paraId="1EE72D23" w14:textId="6D8976F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650</w:t>
            </w:r>
          </w:p>
        </w:tc>
        <w:tc>
          <w:tcPr>
            <w:tcW w:w="632" w:type="dxa"/>
          </w:tcPr>
          <w:p w14:paraId="62A2FAD2" w14:textId="4DA58A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690</w:t>
            </w:r>
          </w:p>
        </w:tc>
      </w:tr>
      <w:tr w:rsidR="00AE15F6" w:rsidRPr="00AE15F6" w14:paraId="6021444B"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4A9AB4EC" w14:textId="62B636E1" w:rsidR="00AE15F6" w:rsidRPr="00AE15F6" w:rsidRDefault="00AE15F6" w:rsidP="003B4F97">
            <w:pPr>
              <w:pStyle w:val="Tabletext"/>
              <w:rPr>
                <w:lang w:val="en-GB" w:eastAsia="en-AU"/>
              </w:rPr>
            </w:pPr>
            <w:r w:rsidRPr="00AE15F6">
              <w:t>23</w:t>
            </w:r>
          </w:p>
        </w:tc>
        <w:tc>
          <w:tcPr>
            <w:tcW w:w="945" w:type="dxa"/>
          </w:tcPr>
          <w:p w14:paraId="2C1B9043" w14:textId="0364505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395</w:t>
            </w:r>
          </w:p>
        </w:tc>
        <w:tc>
          <w:tcPr>
            <w:tcW w:w="1276" w:type="dxa"/>
          </w:tcPr>
          <w:p w14:paraId="387A1B9A" w14:textId="3A6A39E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595 (82)</w:t>
            </w:r>
          </w:p>
        </w:tc>
        <w:tc>
          <w:tcPr>
            <w:tcW w:w="631" w:type="dxa"/>
          </w:tcPr>
          <w:p w14:paraId="3F81C4CD" w14:textId="183CEE4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390</w:t>
            </w:r>
          </w:p>
        </w:tc>
        <w:tc>
          <w:tcPr>
            <w:tcW w:w="631" w:type="dxa"/>
          </w:tcPr>
          <w:p w14:paraId="7067CEDA" w14:textId="748EB21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450</w:t>
            </w:r>
          </w:p>
        </w:tc>
        <w:tc>
          <w:tcPr>
            <w:tcW w:w="632" w:type="dxa"/>
          </w:tcPr>
          <w:p w14:paraId="59776DFD" w14:textId="215356C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470</w:t>
            </w:r>
          </w:p>
        </w:tc>
        <w:tc>
          <w:tcPr>
            <w:tcW w:w="631" w:type="dxa"/>
          </w:tcPr>
          <w:p w14:paraId="55C37939" w14:textId="1534E72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500</w:t>
            </w:r>
          </w:p>
        </w:tc>
        <w:tc>
          <w:tcPr>
            <w:tcW w:w="631" w:type="dxa"/>
          </w:tcPr>
          <w:p w14:paraId="470E5247" w14:textId="2993F13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540</w:t>
            </w:r>
          </w:p>
        </w:tc>
        <w:tc>
          <w:tcPr>
            <w:tcW w:w="632" w:type="dxa"/>
          </w:tcPr>
          <w:p w14:paraId="0B774E14" w14:textId="2B98EFF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588</w:t>
            </w:r>
          </w:p>
        </w:tc>
        <w:tc>
          <w:tcPr>
            <w:tcW w:w="631" w:type="dxa"/>
          </w:tcPr>
          <w:p w14:paraId="7AFB1866" w14:textId="2539D62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650</w:t>
            </w:r>
          </w:p>
        </w:tc>
        <w:tc>
          <w:tcPr>
            <w:tcW w:w="631" w:type="dxa"/>
          </w:tcPr>
          <w:p w14:paraId="0DE3F7AB" w14:textId="36D97BB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700</w:t>
            </w:r>
          </w:p>
        </w:tc>
        <w:tc>
          <w:tcPr>
            <w:tcW w:w="632" w:type="dxa"/>
          </w:tcPr>
          <w:p w14:paraId="7DA12346" w14:textId="506B3A3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730</w:t>
            </w:r>
          </w:p>
        </w:tc>
        <w:tc>
          <w:tcPr>
            <w:tcW w:w="631" w:type="dxa"/>
          </w:tcPr>
          <w:p w14:paraId="29D33190" w14:textId="3CA57F6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756</w:t>
            </w:r>
          </w:p>
        </w:tc>
        <w:tc>
          <w:tcPr>
            <w:tcW w:w="632" w:type="dxa"/>
          </w:tcPr>
          <w:p w14:paraId="262121FA" w14:textId="3414DB4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800</w:t>
            </w:r>
          </w:p>
        </w:tc>
      </w:tr>
      <w:tr w:rsidR="00AE15F6" w:rsidRPr="00AE15F6" w14:paraId="2D9006C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FF16F66" w14:textId="1F2CCBE5" w:rsidR="00AE15F6" w:rsidRPr="00AE15F6" w:rsidRDefault="00AE15F6" w:rsidP="003B4F97">
            <w:pPr>
              <w:pStyle w:val="Tabletext"/>
              <w:rPr>
                <w:lang w:val="en-GB" w:eastAsia="en-AU"/>
              </w:rPr>
            </w:pPr>
            <w:r w:rsidRPr="00AE15F6">
              <w:t>24</w:t>
            </w:r>
          </w:p>
        </w:tc>
        <w:tc>
          <w:tcPr>
            <w:tcW w:w="945" w:type="dxa"/>
          </w:tcPr>
          <w:p w14:paraId="0C4B7213" w14:textId="1496E4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640</w:t>
            </w:r>
          </w:p>
        </w:tc>
        <w:tc>
          <w:tcPr>
            <w:tcW w:w="1276" w:type="dxa"/>
          </w:tcPr>
          <w:p w14:paraId="45640A75" w14:textId="7BBFB08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681 (105)</w:t>
            </w:r>
          </w:p>
        </w:tc>
        <w:tc>
          <w:tcPr>
            <w:tcW w:w="631" w:type="dxa"/>
          </w:tcPr>
          <w:p w14:paraId="29F21641" w14:textId="03E45B9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426</w:t>
            </w:r>
          </w:p>
        </w:tc>
        <w:tc>
          <w:tcPr>
            <w:tcW w:w="631" w:type="dxa"/>
          </w:tcPr>
          <w:p w14:paraId="474C76BB" w14:textId="6A99EE2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470</w:t>
            </w:r>
          </w:p>
        </w:tc>
        <w:tc>
          <w:tcPr>
            <w:tcW w:w="632" w:type="dxa"/>
          </w:tcPr>
          <w:p w14:paraId="5B73C9D6" w14:textId="2E51CFD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500</w:t>
            </w:r>
          </w:p>
        </w:tc>
        <w:tc>
          <w:tcPr>
            <w:tcW w:w="631" w:type="dxa"/>
          </w:tcPr>
          <w:p w14:paraId="0412F1C9" w14:textId="139E5E9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550</w:t>
            </w:r>
          </w:p>
        </w:tc>
        <w:tc>
          <w:tcPr>
            <w:tcW w:w="631" w:type="dxa"/>
          </w:tcPr>
          <w:p w14:paraId="65D253BB" w14:textId="3DA097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618</w:t>
            </w:r>
          </w:p>
        </w:tc>
        <w:tc>
          <w:tcPr>
            <w:tcW w:w="632" w:type="dxa"/>
          </w:tcPr>
          <w:p w14:paraId="50E3111D" w14:textId="54D2D4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684</w:t>
            </w:r>
          </w:p>
        </w:tc>
        <w:tc>
          <w:tcPr>
            <w:tcW w:w="631" w:type="dxa"/>
          </w:tcPr>
          <w:p w14:paraId="321459C1" w14:textId="3741950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750</w:t>
            </w:r>
          </w:p>
        </w:tc>
        <w:tc>
          <w:tcPr>
            <w:tcW w:w="631" w:type="dxa"/>
          </w:tcPr>
          <w:p w14:paraId="51C4213F" w14:textId="69FED9F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810</w:t>
            </w:r>
          </w:p>
        </w:tc>
        <w:tc>
          <w:tcPr>
            <w:tcW w:w="632" w:type="dxa"/>
          </w:tcPr>
          <w:p w14:paraId="6C3C4972" w14:textId="70FD1AA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850</w:t>
            </w:r>
          </w:p>
        </w:tc>
        <w:tc>
          <w:tcPr>
            <w:tcW w:w="631" w:type="dxa"/>
          </w:tcPr>
          <w:p w14:paraId="5FDA9944" w14:textId="38F4091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875</w:t>
            </w:r>
          </w:p>
        </w:tc>
        <w:tc>
          <w:tcPr>
            <w:tcW w:w="632" w:type="dxa"/>
          </w:tcPr>
          <w:p w14:paraId="6036B379" w14:textId="050D15B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rPr>
                <w:lang w:val="en-GB" w:eastAsia="en-AU"/>
              </w:rPr>
            </w:pPr>
            <w:r w:rsidRPr="00AE15F6">
              <w:t>970</w:t>
            </w:r>
          </w:p>
        </w:tc>
      </w:tr>
      <w:tr w:rsidR="00AE15F6" w:rsidRPr="00AE15F6" w14:paraId="7269EB8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49FA380E" w14:textId="0B0B34EE" w:rsidR="00AE15F6" w:rsidRPr="00AE15F6" w:rsidRDefault="00AE15F6" w:rsidP="003B4F97">
            <w:pPr>
              <w:pStyle w:val="Tabletext"/>
            </w:pPr>
            <w:r w:rsidRPr="00AE15F6">
              <w:t>25</w:t>
            </w:r>
          </w:p>
        </w:tc>
        <w:tc>
          <w:tcPr>
            <w:tcW w:w="945" w:type="dxa"/>
          </w:tcPr>
          <w:p w14:paraId="1F45581D" w14:textId="47FA52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715</w:t>
            </w:r>
          </w:p>
        </w:tc>
        <w:tc>
          <w:tcPr>
            <w:tcW w:w="1276" w:type="dxa"/>
          </w:tcPr>
          <w:p w14:paraId="42522102" w14:textId="693E892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783 (131)</w:t>
            </w:r>
          </w:p>
        </w:tc>
        <w:tc>
          <w:tcPr>
            <w:tcW w:w="631" w:type="dxa"/>
          </w:tcPr>
          <w:p w14:paraId="63C926B6" w14:textId="1F20560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440</w:t>
            </w:r>
          </w:p>
        </w:tc>
        <w:tc>
          <w:tcPr>
            <w:tcW w:w="631" w:type="dxa"/>
          </w:tcPr>
          <w:p w14:paraId="36DEFDEB" w14:textId="3691924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505</w:t>
            </w:r>
          </w:p>
        </w:tc>
        <w:tc>
          <w:tcPr>
            <w:tcW w:w="632" w:type="dxa"/>
          </w:tcPr>
          <w:p w14:paraId="23BFE622" w14:textId="09A6778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530</w:t>
            </w:r>
          </w:p>
        </w:tc>
        <w:tc>
          <w:tcPr>
            <w:tcW w:w="631" w:type="dxa"/>
          </w:tcPr>
          <w:p w14:paraId="13EC5DF4" w14:textId="5245456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620</w:t>
            </w:r>
          </w:p>
        </w:tc>
        <w:tc>
          <w:tcPr>
            <w:tcW w:w="631" w:type="dxa"/>
          </w:tcPr>
          <w:p w14:paraId="6DDD0492" w14:textId="46851AF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700</w:t>
            </w:r>
          </w:p>
        </w:tc>
        <w:tc>
          <w:tcPr>
            <w:tcW w:w="632" w:type="dxa"/>
          </w:tcPr>
          <w:p w14:paraId="53055850" w14:textId="7B689B0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785</w:t>
            </w:r>
          </w:p>
        </w:tc>
        <w:tc>
          <w:tcPr>
            <w:tcW w:w="631" w:type="dxa"/>
          </w:tcPr>
          <w:p w14:paraId="0F19D7E5" w14:textId="7710037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865</w:t>
            </w:r>
          </w:p>
        </w:tc>
        <w:tc>
          <w:tcPr>
            <w:tcW w:w="631" w:type="dxa"/>
          </w:tcPr>
          <w:p w14:paraId="6D7C3611" w14:textId="3C62587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944</w:t>
            </w:r>
          </w:p>
        </w:tc>
        <w:tc>
          <w:tcPr>
            <w:tcW w:w="632" w:type="dxa"/>
          </w:tcPr>
          <w:p w14:paraId="51332E20" w14:textId="23E9359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995</w:t>
            </w:r>
          </w:p>
        </w:tc>
        <w:tc>
          <w:tcPr>
            <w:tcW w:w="631" w:type="dxa"/>
          </w:tcPr>
          <w:p w14:paraId="337D5685" w14:textId="36796A7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030</w:t>
            </w:r>
          </w:p>
        </w:tc>
        <w:tc>
          <w:tcPr>
            <w:tcW w:w="632" w:type="dxa"/>
          </w:tcPr>
          <w:p w14:paraId="6A6CFE70" w14:textId="535BF59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100</w:t>
            </w:r>
          </w:p>
        </w:tc>
      </w:tr>
      <w:tr w:rsidR="00AE15F6" w:rsidRPr="00AE15F6" w14:paraId="47B2269D"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FDE572D" w14:textId="5910709D" w:rsidR="00AE15F6" w:rsidRPr="00AE15F6" w:rsidRDefault="00AE15F6" w:rsidP="003B4F97">
            <w:pPr>
              <w:pStyle w:val="Tabletext"/>
            </w:pPr>
            <w:r w:rsidRPr="00AE15F6">
              <w:t>26</w:t>
            </w:r>
          </w:p>
        </w:tc>
        <w:tc>
          <w:tcPr>
            <w:tcW w:w="945" w:type="dxa"/>
          </w:tcPr>
          <w:p w14:paraId="2FC32746" w14:textId="66BD123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937</w:t>
            </w:r>
          </w:p>
        </w:tc>
        <w:tc>
          <w:tcPr>
            <w:tcW w:w="1276" w:type="dxa"/>
          </w:tcPr>
          <w:p w14:paraId="6CC67EAB" w14:textId="7E70F0B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894 (152)</w:t>
            </w:r>
          </w:p>
        </w:tc>
        <w:tc>
          <w:tcPr>
            <w:tcW w:w="631" w:type="dxa"/>
          </w:tcPr>
          <w:p w14:paraId="15F668F3" w14:textId="4DCF9EC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500</w:t>
            </w:r>
          </w:p>
        </w:tc>
        <w:tc>
          <w:tcPr>
            <w:tcW w:w="631" w:type="dxa"/>
          </w:tcPr>
          <w:p w14:paraId="2924EB73" w14:textId="310B33B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576</w:t>
            </w:r>
          </w:p>
        </w:tc>
        <w:tc>
          <w:tcPr>
            <w:tcW w:w="632" w:type="dxa"/>
          </w:tcPr>
          <w:p w14:paraId="086964F6" w14:textId="15CB3A1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621</w:t>
            </w:r>
          </w:p>
        </w:tc>
        <w:tc>
          <w:tcPr>
            <w:tcW w:w="631" w:type="dxa"/>
          </w:tcPr>
          <w:p w14:paraId="4E52DE19" w14:textId="3080329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680</w:t>
            </w:r>
          </w:p>
        </w:tc>
        <w:tc>
          <w:tcPr>
            <w:tcW w:w="631" w:type="dxa"/>
          </w:tcPr>
          <w:p w14:paraId="5C1F4FC7" w14:textId="4121811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802</w:t>
            </w:r>
          </w:p>
        </w:tc>
        <w:tc>
          <w:tcPr>
            <w:tcW w:w="632" w:type="dxa"/>
          </w:tcPr>
          <w:p w14:paraId="3844784F" w14:textId="3D62AFC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900</w:t>
            </w:r>
          </w:p>
        </w:tc>
        <w:tc>
          <w:tcPr>
            <w:tcW w:w="631" w:type="dxa"/>
          </w:tcPr>
          <w:p w14:paraId="35C84192" w14:textId="0DFDCC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996</w:t>
            </w:r>
          </w:p>
        </w:tc>
        <w:tc>
          <w:tcPr>
            <w:tcW w:w="631" w:type="dxa"/>
          </w:tcPr>
          <w:p w14:paraId="5E8853D5" w14:textId="0CCCF96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078</w:t>
            </w:r>
          </w:p>
        </w:tc>
        <w:tc>
          <w:tcPr>
            <w:tcW w:w="632" w:type="dxa"/>
          </w:tcPr>
          <w:p w14:paraId="2F04EB65" w14:textId="02E06C5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130</w:t>
            </w:r>
          </w:p>
        </w:tc>
        <w:tc>
          <w:tcPr>
            <w:tcW w:w="631" w:type="dxa"/>
          </w:tcPr>
          <w:p w14:paraId="6AC75370" w14:textId="6AF63CA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155</w:t>
            </w:r>
          </w:p>
        </w:tc>
        <w:tc>
          <w:tcPr>
            <w:tcW w:w="632" w:type="dxa"/>
          </w:tcPr>
          <w:p w14:paraId="7BD8D00B" w14:textId="30D4FB8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210</w:t>
            </w:r>
          </w:p>
        </w:tc>
      </w:tr>
      <w:tr w:rsidR="00AE15F6" w:rsidRPr="00AE15F6" w14:paraId="52B27733"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269E133" w14:textId="286FC389" w:rsidR="00AE15F6" w:rsidRPr="00AE15F6" w:rsidRDefault="00AE15F6" w:rsidP="003B4F97">
            <w:pPr>
              <w:pStyle w:val="Tabletext"/>
            </w:pPr>
            <w:r w:rsidRPr="00AE15F6">
              <w:t>27</w:t>
            </w:r>
          </w:p>
        </w:tc>
        <w:tc>
          <w:tcPr>
            <w:tcW w:w="945" w:type="dxa"/>
          </w:tcPr>
          <w:p w14:paraId="32F12650" w14:textId="25434F3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069</w:t>
            </w:r>
          </w:p>
        </w:tc>
        <w:tc>
          <w:tcPr>
            <w:tcW w:w="1276" w:type="dxa"/>
          </w:tcPr>
          <w:p w14:paraId="68579B29" w14:textId="71C0FD4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016 (194)</w:t>
            </w:r>
          </w:p>
        </w:tc>
        <w:tc>
          <w:tcPr>
            <w:tcW w:w="631" w:type="dxa"/>
          </w:tcPr>
          <w:p w14:paraId="03E86B69" w14:textId="4E2EA7E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510</w:t>
            </w:r>
          </w:p>
        </w:tc>
        <w:tc>
          <w:tcPr>
            <w:tcW w:w="631" w:type="dxa"/>
          </w:tcPr>
          <w:p w14:paraId="066D43C2" w14:textId="6EED155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605</w:t>
            </w:r>
          </w:p>
        </w:tc>
        <w:tc>
          <w:tcPr>
            <w:tcW w:w="632" w:type="dxa"/>
          </w:tcPr>
          <w:p w14:paraId="28CD2E30" w14:textId="1859DB6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660</w:t>
            </w:r>
          </w:p>
        </w:tc>
        <w:tc>
          <w:tcPr>
            <w:tcW w:w="631" w:type="dxa"/>
          </w:tcPr>
          <w:p w14:paraId="6271B091" w14:textId="4A426B2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752</w:t>
            </w:r>
          </w:p>
        </w:tc>
        <w:tc>
          <w:tcPr>
            <w:tcW w:w="631" w:type="dxa"/>
          </w:tcPr>
          <w:p w14:paraId="3E8F8F4E" w14:textId="7115E9F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904</w:t>
            </w:r>
          </w:p>
        </w:tc>
        <w:tc>
          <w:tcPr>
            <w:tcW w:w="632" w:type="dxa"/>
          </w:tcPr>
          <w:p w14:paraId="24797B01" w14:textId="6BB99FB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030</w:t>
            </w:r>
          </w:p>
        </w:tc>
        <w:tc>
          <w:tcPr>
            <w:tcW w:w="631" w:type="dxa"/>
          </w:tcPr>
          <w:p w14:paraId="63709CC5" w14:textId="3962366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138</w:t>
            </w:r>
          </w:p>
        </w:tc>
        <w:tc>
          <w:tcPr>
            <w:tcW w:w="631" w:type="dxa"/>
          </w:tcPr>
          <w:p w14:paraId="723B0F60" w14:textId="2E89589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250</w:t>
            </w:r>
          </w:p>
        </w:tc>
        <w:tc>
          <w:tcPr>
            <w:tcW w:w="632" w:type="dxa"/>
          </w:tcPr>
          <w:p w14:paraId="5EC9BF99" w14:textId="76A888D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320</w:t>
            </w:r>
          </w:p>
        </w:tc>
        <w:tc>
          <w:tcPr>
            <w:tcW w:w="631" w:type="dxa"/>
          </w:tcPr>
          <w:p w14:paraId="7CC835CF" w14:textId="0382DD2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352</w:t>
            </w:r>
          </w:p>
        </w:tc>
        <w:tc>
          <w:tcPr>
            <w:tcW w:w="632" w:type="dxa"/>
          </w:tcPr>
          <w:p w14:paraId="27C52F40" w14:textId="75C3232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440</w:t>
            </w:r>
          </w:p>
        </w:tc>
      </w:tr>
      <w:tr w:rsidR="00AE15F6" w:rsidRPr="00AE15F6" w14:paraId="51A59914"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298A785F" w14:textId="742A9691" w:rsidR="00AE15F6" w:rsidRPr="00AE15F6" w:rsidRDefault="00AE15F6" w:rsidP="003B4F97">
            <w:pPr>
              <w:pStyle w:val="Tabletext"/>
            </w:pPr>
            <w:r w:rsidRPr="00AE15F6">
              <w:t>28</w:t>
            </w:r>
          </w:p>
        </w:tc>
        <w:tc>
          <w:tcPr>
            <w:tcW w:w="945" w:type="dxa"/>
          </w:tcPr>
          <w:p w14:paraId="4038A25D" w14:textId="2241F34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345</w:t>
            </w:r>
          </w:p>
        </w:tc>
        <w:tc>
          <w:tcPr>
            <w:tcW w:w="1276" w:type="dxa"/>
          </w:tcPr>
          <w:p w14:paraId="57B9990F" w14:textId="13C16FE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146 (217)</w:t>
            </w:r>
          </w:p>
        </w:tc>
        <w:tc>
          <w:tcPr>
            <w:tcW w:w="631" w:type="dxa"/>
          </w:tcPr>
          <w:p w14:paraId="0631B509" w14:textId="64D2EFA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591</w:t>
            </w:r>
          </w:p>
        </w:tc>
        <w:tc>
          <w:tcPr>
            <w:tcW w:w="631" w:type="dxa"/>
          </w:tcPr>
          <w:p w14:paraId="3BFAD2EA" w14:textId="0B414C8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680</w:t>
            </w:r>
          </w:p>
        </w:tc>
        <w:tc>
          <w:tcPr>
            <w:tcW w:w="632" w:type="dxa"/>
          </w:tcPr>
          <w:p w14:paraId="207A4123" w14:textId="63210BD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735</w:t>
            </w:r>
          </w:p>
        </w:tc>
        <w:tc>
          <w:tcPr>
            <w:tcW w:w="631" w:type="dxa"/>
          </w:tcPr>
          <w:p w14:paraId="0D21A54C" w14:textId="05CF1CA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844</w:t>
            </w:r>
          </w:p>
        </w:tc>
        <w:tc>
          <w:tcPr>
            <w:tcW w:w="631" w:type="dxa"/>
          </w:tcPr>
          <w:p w14:paraId="5ECF1652" w14:textId="0F3311D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030</w:t>
            </w:r>
          </w:p>
        </w:tc>
        <w:tc>
          <w:tcPr>
            <w:tcW w:w="632" w:type="dxa"/>
          </w:tcPr>
          <w:p w14:paraId="49982D18" w14:textId="4B30FA0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165</w:t>
            </w:r>
          </w:p>
        </w:tc>
        <w:tc>
          <w:tcPr>
            <w:tcW w:w="631" w:type="dxa"/>
          </w:tcPr>
          <w:p w14:paraId="6E06BB5F" w14:textId="07CD590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295</w:t>
            </w:r>
          </w:p>
        </w:tc>
        <w:tc>
          <w:tcPr>
            <w:tcW w:w="631" w:type="dxa"/>
          </w:tcPr>
          <w:p w14:paraId="134F1A8F" w14:textId="661931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395</w:t>
            </w:r>
          </w:p>
        </w:tc>
        <w:tc>
          <w:tcPr>
            <w:tcW w:w="632" w:type="dxa"/>
          </w:tcPr>
          <w:p w14:paraId="5CBA9AEB" w14:textId="3A966E0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470</w:t>
            </w:r>
          </w:p>
        </w:tc>
        <w:tc>
          <w:tcPr>
            <w:tcW w:w="631" w:type="dxa"/>
          </w:tcPr>
          <w:p w14:paraId="7DD60155" w14:textId="4E6B7B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522</w:t>
            </w:r>
          </w:p>
        </w:tc>
        <w:tc>
          <w:tcPr>
            <w:tcW w:w="632" w:type="dxa"/>
          </w:tcPr>
          <w:p w14:paraId="15FE2386" w14:textId="5A29056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640</w:t>
            </w:r>
          </w:p>
        </w:tc>
      </w:tr>
      <w:tr w:rsidR="00AE15F6" w:rsidRPr="00AE15F6" w14:paraId="63D11924"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49B4ED4" w14:textId="09AB4F3C" w:rsidR="00AE15F6" w:rsidRPr="00AE15F6" w:rsidRDefault="00AE15F6" w:rsidP="003B4F97">
            <w:pPr>
              <w:pStyle w:val="Tabletext"/>
            </w:pPr>
            <w:r w:rsidRPr="00AE15F6">
              <w:t>29</w:t>
            </w:r>
          </w:p>
        </w:tc>
        <w:tc>
          <w:tcPr>
            <w:tcW w:w="945" w:type="dxa"/>
          </w:tcPr>
          <w:p w14:paraId="452BF59B" w14:textId="571DC00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524</w:t>
            </w:r>
          </w:p>
        </w:tc>
        <w:tc>
          <w:tcPr>
            <w:tcW w:w="1276" w:type="dxa"/>
          </w:tcPr>
          <w:p w14:paraId="427A05F0" w14:textId="7EEF968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301 (252)</w:t>
            </w:r>
          </w:p>
        </w:tc>
        <w:tc>
          <w:tcPr>
            <w:tcW w:w="631" w:type="dxa"/>
          </w:tcPr>
          <w:p w14:paraId="5E429EBA" w14:textId="2F0051C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662</w:t>
            </w:r>
          </w:p>
        </w:tc>
        <w:tc>
          <w:tcPr>
            <w:tcW w:w="631" w:type="dxa"/>
          </w:tcPr>
          <w:p w14:paraId="3CD03DE8" w14:textId="3A4E5E8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782</w:t>
            </w:r>
          </w:p>
        </w:tc>
        <w:tc>
          <w:tcPr>
            <w:tcW w:w="632" w:type="dxa"/>
          </w:tcPr>
          <w:p w14:paraId="1BE3BC2F" w14:textId="6B8CC7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860</w:t>
            </w:r>
          </w:p>
        </w:tc>
        <w:tc>
          <w:tcPr>
            <w:tcW w:w="631" w:type="dxa"/>
          </w:tcPr>
          <w:p w14:paraId="0AB714D2" w14:textId="12C5695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964</w:t>
            </w:r>
          </w:p>
        </w:tc>
        <w:tc>
          <w:tcPr>
            <w:tcW w:w="631" w:type="dxa"/>
          </w:tcPr>
          <w:p w14:paraId="2CA6632E" w14:textId="1C701D0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150</w:t>
            </w:r>
          </w:p>
        </w:tc>
        <w:tc>
          <w:tcPr>
            <w:tcW w:w="632" w:type="dxa"/>
          </w:tcPr>
          <w:p w14:paraId="0637999B" w14:textId="30F4FAE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311</w:t>
            </w:r>
          </w:p>
        </w:tc>
        <w:tc>
          <w:tcPr>
            <w:tcW w:w="631" w:type="dxa"/>
          </w:tcPr>
          <w:p w14:paraId="1E0C8423" w14:textId="6BDDD61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463</w:t>
            </w:r>
          </w:p>
        </w:tc>
        <w:tc>
          <w:tcPr>
            <w:tcW w:w="631" w:type="dxa"/>
          </w:tcPr>
          <w:p w14:paraId="6135E85D" w14:textId="6F82BF7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620</w:t>
            </w:r>
          </w:p>
        </w:tc>
        <w:tc>
          <w:tcPr>
            <w:tcW w:w="632" w:type="dxa"/>
          </w:tcPr>
          <w:p w14:paraId="6C2013B8" w14:textId="3808163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700</w:t>
            </w:r>
          </w:p>
        </w:tc>
        <w:tc>
          <w:tcPr>
            <w:tcW w:w="631" w:type="dxa"/>
          </w:tcPr>
          <w:p w14:paraId="25A1752D" w14:textId="0C5FB04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757</w:t>
            </w:r>
          </w:p>
        </w:tc>
        <w:tc>
          <w:tcPr>
            <w:tcW w:w="632" w:type="dxa"/>
          </w:tcPr>
          <w:p w14:paraId="3E191896" w14:textId="72C055A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860</w:t>
            </w:r>
          </w:p>
        </w:tc>
      </w:tr>
      <w:tr w:rsidR="00AE15F6" w:rsidRPr="00AE15F6" w14:paraId="6E4F315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2EAD945A" w14:textId="39828065" w:rsidR="00AE15F6" w:rsidRPr="00AE15F6" w:rsidRDefault="00AE15F6" w:rsidP="003B4F97">
            <w:pPr>
              <w:pStyle w:val="Tabletext"/>
            </w:pPr>
            <w:r w:rsidRPr="00AE15F6">
              <w:t>30</w:t>
            </w:r>
          </w:p>
        </w:tc>
        <w:tc>
          <w:tcPr>
            <w:tcW w:w="945" w:type="dxa"/>
          </w:tcPr>
          <w:p w14:paraId="54210029" w14:textId="2B5CCE5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105</w:t>
            </w:r>
          </w:p>
        </w:tc>
        <w:tc>
          <w:tcPr>
            <w:tcW w:w="1276" w:type="dxa"/>
          </w:tcPr>
          <w:p w14:paraId="110FF8F8" w14:textId="486FE66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474 (283)</w:t>
            </w:r>
          </w:p>
        </w:tc>
        <w:tc>
          <w:tcPr>
            <w:tcW w:w="631" w:type="dxa"/>
          </w:tcPr>
          <w:p w14:paraId="2CCEEDEE" w14:textId="4E58063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774</w:t>
            </w:r>
          </w:p>
        </w:tc>
        <w:tc>
          <w:tcPr>
            <w:tcW w:w="631" w:type="dxa"/>
          </w:tcPr>
          <w:p w14:paraId="198A80E8" w14:textId="21F2EA2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900</w:t>
            </w:r>
          </w:p>
        </w:tc>
        <w:tc>
          <w:tcPr>
            <w:tcW w:w="632" w:type="dxa"/>
          </w:tcPr>
          <w:p w14:paraId="717FF5A8" w14:textId="7F0ED91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984</w:t>
            </w:r>
          </w:p>
        </w:tc>
        <w:tc>
          <w:tcPr>
            <w:tcW w:w="631" w:type="dxa"/>
          </w:tcPr>
          <w:p w14:paraId="550022C5" w14:textId="557DD93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091</w:t>
            </w:r>
          </w:p>
        </w:tc>
        <w:tc>
          <w:tcPr>
            <w:tcW w:w="631" w:type="dxa"/>
          </w:tcPr>
          <w:p w14:paraId="0142B969" w14:textId="14156A0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300</w:t>
            </w:r>
          </w:p>
        </w:tc>
        <w:tc>
          <w:tcPr>
            <w:tcW w:w="632" w:type="dxa"/>
          </w:tcPr>
          <w:p w14:paraId="77CF9C73" w14:textId="414AE66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498</w:t>
            </w:r>
          </w:p>
        </w:tc>
        <w:tc>
          <w:tcPr>
            <w:tcW w:w="631" w:type="dxa"/>
          </w:tcPr>
          <w:p w14:paraId="72B1E787" w14:textId="386BC53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650</w:t>
            </w:r>
          </w:p>
        </w:tc>
        <w:tc>
          <w:tcPr>
            <w:tcW w:w="631" w:type="dxa"/>
          </w:tcPr>
          <w:p w14:paraId="2E0C263F" w14:textId="05F7E49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800</w:t>
            </w:r>
          </w:p>
        </w:tc>
        <w:tc>
          <w:tcPr>
            <w:tcW w:w="632" w:type="dxa"/>
          </w:tcPr>
          <w:p w14:paraId="232410A3" w14:textId="2949896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920</w:t>
            </w:r>
          </w:p>
        </w:tc>
        <w:tc>
          <w:tcPr>
            <w:tcW w:w="631" w:type="dxa"/>
          </w:tcPr>
          <w:p w14:paraId="399EF736" w14:textId="0847A2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980</w:t>
            </w:r>
          </w:p>
        </w:tc>
        <w:tc>
          <w:tcPr>
            <w:tcW w:w="632" w:type="dxa"/>
          </w:tcPr>
          <w:p w14:paraId="227E9CB9" w14:textId="57A27B0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182</w:t>
            </w:r>
          </w:p>
        </w:tc>
      </w:tr>
      <w:tr w:rsidR="00AE15F6" w:rsidRPr="00AE15F6" w14:paraId="48B0A02A"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76D402CC" w14:textId="6A68D5CD" w:rsidR="00AE15F6" w:rsidRPr="00AE15F6" w:rsidRDefault="00AE15F6" w:rsidP="003B4F97">
            <w:pPr>
              <w:pStyle w:val="Tabletext"/>
            </w:pPr>
            <w:r w:rsidRPr="00AE15F6">
              <w:t>31</w:t>
            </w:r>
          </w:p>
        </w:tc>
        <w:tc>
          <w:tcPr>
            <w:tcW w:w="945" w:type="dxa"/>
          </w:tcPr>
          <w:p w14:paraId="3E7C3529" w14:textId="2263EA5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576</w:t>
            </w:r>
          </w:p>
        </w:tc>
        <w:tc>
          <w:tcPr>
            <w:tcW w:w="1276" w:type="dxa"/>
          </w:tcPr>
          <w:p w14:paraId="3E1032D9" w14:textId="07E60FF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666 (304)</w:t>
            </w:r>
          </w:p>
        </w:tc>
        <w:tc>
          <w:tcPr>
            <w:tcW w:w="631" w:type="dxa"/>
          </w:tcPr>
          <w:p w14:paraId="0E7B7737" w14:textId="2664C60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915</w:t>
            </w:r>
          </w:p>
        </w:tc>
        <w:tc>
          <w:tcPr>
            <w:tcW w:w="631" w:type="dxa"/>
          </w:tcPr>
          <w:p w14:paraId="31993E4A" w14:textId="5360F71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055</w:t>
            </w:r>
          </w:p>
        </w:tc>
        <w:tc>
          <w:tcPr>
            <w:tcW w:w="632" w:type="dxa"/>
          </w:tcPr>
          <w:p w14:paraId="5EF77765" w14:textId="05D7A4C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126</w:t>
            </w:r>
          </w:p>
        </w:tc>
        <w:tc>
          <w:tcPr>
            <w:tcW w:w="631" w:type="dxa"/>
          </w:tcPr>
          <w:p w14:paraId="56AC47B7" w14:textId="58035C5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270</w:t>
            </w:r>
          </w:p>
        </w:tc>
        <w:tc>
          <w:tcPr>
            <w:tcW w:w="631" w:type="dxa"/>
          </w:tcPr>
          <w:p w14:paraId="2A481225" w14:textId="1491975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480</w:t>
            </w:r>
          </w:p>
        </w:tc>
        <w:tc>
          <w:tcPr>
            <w:tcW w:w="632" w:type="dxa"/>
          </w:tcPr>
          <w:p w14:paraId="29ECE70A" w14:textId="7176FAB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680</w:t>
            </w:r>
          </w:p>
        </w:tc>
        <w:tc>
          <w:tcPr>
            <w:tcW w:w="631" w:type="dxa"/>
          </w:tcPr>
          <w:p w14:paraId="00683D0F" w14:textId="1979AF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855</w:t>
            </w:r>
          </w:p>
        </w:tc>
        <w:tc>
          <w:tcPr>
            <w:tcW w:w="631" w:type="dxa"/>
          </w:tcPr>
          <w:p w14:paraId="39FB146F" w14:textId="12093CB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028</w:t>
            </w:r>
          </w:p>
        </w:tc>
        <w:tc>
          <w:tcPr>
            <w:tcW w:w="632" w:type="dxa"/>
          </w:tcPr>
          <w:p w14:paraId="704BB1B3" w14:textId="052A436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142</w:t>
            </w:r>
          </w:p>
        </w:tc>
        <w:tc>
          <w:tcPr>
            <w:tcW w:w="631" w:type="dxa"/>
          </w:tcPr>
          <w:p w14:paraId="22ED2447" w14:textId="3F2AB7F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230</w:t>
            </w:r>
          </w:p>
        </w:tc>
        <w:tc>
          <w:tcPr>
            <w:tcW w:w="632" w:type="dxa"/>
          </w:tcPr>
          <w:p w14:paraId="7E958231" w14:textId="0F5583B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435</w:t>
            </w:r>
          </w:p>
        </w:tc>
      </w:tr>
      <w:tr w:rsidR="00AE15F6" w:rsidRPr="00AE15F6" w14:paraId="1407BF9D"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B6F2732" w14:textId="2EA1F1DA" w:rsidR="00AE15F6" w:rsidRPr="00AE15F6" w:rsidRDefault="00AE15F6" w:rsidP="003B4F97">
            <w:pPr>
              <w:pStyle w:val="Tabletext"/>
            </w:pPr>
            <w:r w:rsidRPr="00AE15F6">
              <w:t>32</w:t>
            </w:r>
          </w:p>
        </w:tc>
        <w:tc>
          <w:tcPr>
            <w:tcW w:w="945" w:type="dxa"/>
          </w:tcPr>
          <w:p w14:paraId="423F5C31" w14:textId="6E22018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895</w:t>
            </w:r>
          </w:p>
        </w:tc>
        <w:tc>
          <w:tcPr>
            <w:tcW w:w="1276" w:type="dxa"/>
          </w:tcPr>
          <w:p w14:paraId="13C09207" w14:textId="1FFEA8A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867 (331)</w:t>
            </w:r>
          </w:p>
        </w:tc>
        <w:tc>
          <w:tcPr>
            <w:tcW w:w="631" w:type="dxa"/>
          </w:tcPr>
          <w:p w14:paraId="5DAEE24B" w14:textId="33471C7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075</w:t>
            </w:r>
          </w:p>
        </w:tc>
        <w:tc>
          <w:tcPr>
            <w:tcW w:w="631" w:type="dxa"/>
          </w:tcPr>
          <w:p w14:paraId="192C4997" w14:textId="49F304C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214</w:t>
            </w:r>
          </w:p>
        </w:tc>
        <w:tc>
          <w:tcPr>
            <w:tcW w:w="632" w:type="dxa"/>
          </w:tcPr>
          <w:p w14:paraId="530FE060" w14:textId="3CD8D92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294</w:t>
            </w:r>
          </w:p>
        </w:tc>
        <w:tc>
          <w:tcPr>
            <w:tcW w:w="631" w:type="dxa"/>
          </w:tcPr>
          <w:p w14:paraId="231F9765" w14:textId="13F9458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430</w:t>
            </w:r>
          </w:p>
        </w:tc>
        <w:tc>
          <w:tcPr>
            <w:tcW w:w="631" w:type="dxa"/>
          </w:tcPr>
          <w:p w14:paraId="0DFFD356" w14:textId="3068983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659</w:t>
            </w:r>
          </w:p>
        </w:tc>
        <w:tc>
          <w:tcPr>
            <w:tcW w:w="632" w:type="dxa"/>
          </w:tcPr>
          <w:p w14:paraId="2A5B5552" w14:textId="7C7D999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880</w:t>
            </w:r>
          </w:p>
        </w:tc>
        <w:tc>
          <w:tcPr>
            <w:tcW w:w="631" w:type="dxa"/>
          </w:tcPr>
          <w:p w14:paraId="0CE504C8" w14:textId="6C3FC71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080</w:t>
            </w:r>
          </w:p>
        </w:tc>
        <w:tc>
          <w:tcPr>
            <w:tcW w:w="631" w:type="dxa"/>
          </w:tcPr>
          <w:p w14:paraId="48F525E7" w14:textId="076AF36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270</w:t>
            </w:r>
          </w:p>
        </w:tc>
        <w:tc>
          <w:tcPr>
            <w:tcW w:w="632" w:type="dxa"/>
          </w:tcPr>
          <w:p w14:paraId="7FBBE010" w14:textId="0378B78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405</w:t>
            </w:r>
          </w:p>
        </w:tc>
        <w:tc>
          <w:tcPr>
            <w:tcW w:w="631" w:type="dxa"/>
          </w:tcPr>
          <w:p w14:paraId="658FBB26" w14:textId="64DF936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503</w:t>
            </w:r>
          </w:p>
        </w:tc>
        <w:tc>
          <w:tcPr>
            <w:tcW w:w="632" w:type="dxa"/>
          </w:tcPr>
          <w:p w14:paraId="560B8C07" w14:textId="5EABFA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710</w:t>
            </w:r>
          </w:p>
        </w:tc>
      </w:tr>
      <w:tr w:rsidR="00AE15F6" w:rsidRPr="00AE15F6" w14:paraId="18BC107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5A26D870" w14:textId="615A5072" w:rsidR="00AE15F6" w:rsidRPr="00AE15F6" w:rsidRDefault="00AE15F6" w:rsidP="003B4F97">
            <w:pPr>
              <w:pStyle w:val="Tabletext"/>
            </w:pPr>
            <w:r w:rsidRPr="00AE15F6">
              <w:t>33</w:t>
            </w:r>
          </w:p>
        </w:tc>
        <w:tc>
          <w:tcPr>
            <w:tcW w:w="945" w:type="dxa"/>
          </w:tcPr>
          <w:p w14:paraId="1F4A1BA7" w14:textId="29A2079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w:t>
            </w:r>
            <w:r w:rsidR="00F02D2D">
              <w:t>,</w:t>
            </w:r>
            <w:r w:rsidRPr="00AE15F6">
              <w:t>599</w:t>
            </w:r>
          </w:p>
        </w:tc>
        <w:tc>
          <w:tcPr>
            <w:tcW w:w="1276" w:type="dxa"/>
          </w:tcPr>
          <w:p w14:paraId="79139CC6" w14:textId="0799048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106 (371)</w:t>
            </w:r>
          </w:p>
        </w:tc>
        <w:tc>
          <w:tcPr>
            <w:tcW w:w="631" w:type="dxa"/>
          </w:tcPr>
          <w:p w14:paraId="0072403C" w14:textId="4A1BE88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200</w:t>
            </w:r>
          </w:p>
        </w:tc>
        <w:tc>
          <w:tcPr>
            <w:tcW w:w="631" w:type="dxa"/>
          </w:tcPr>
          <w:p w14:paraId="3A16EB47" w14:textId="0B0AB8E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381</w:t>
            </w:r>
          </w:p>
        </w:tc>
        <w:tc>
          <w:tcPr>
            <w:tcW w:w="632" w:type="dxa"/>
          </w:tcPr>
          <w:p w14:paraId="1C4CE674" w14:textId="66109BB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473</w:t>
            </w:r>
          </w:p>
        </w:tc>
        <w:tc>
          <w:tcPr>
            <w:tcW w:w="631" w:type="dxa"/>
          </w:tcPr>
          <w:p w14:paraId="4D319F0C" w14:textId="5CED051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638</w:t>
            </w:r>
          </w:p>
        </w:tc>
        <w:tc>
          <w:tcPr>
            <w:tcW w:w="631" w:type="dxa"/>
          </w:tcPr>
          <w:p w14:paraId="03AF5DF7" w14:textId="37A335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880</w:t>
            </w:r>
          </w:p>
        </w:tc>
        <w:tc>
          <w:tcPr>
            <w:tcW w:w="632" w:type="dxa"/>
          </w:tcPr>
          <w:p w14:paraId="79B46E98" w14:textId="7979545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106</w:t>
            </w:r>
          </w:p>
        </w:tc>
        <w:tc>
          <w:tcPr>
            <w:tcW w:w="631" w:type="dxa"/>
          </w:tcPr>
          <w:p w14:paraId="1A03C152" w14:textId="65C5E2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340</w:t>
            </w:r>
          </w:p>
        </w:tc>
        <w:tc>
          <w:tcPr>
            <w:tcW w:w="631" w:type="dxa"/>
          </w:tcPr>
          <w:p w14:paraId="1D1C2342" w14:textId="2D077AE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560</w:t>
            </w:r>
          </w:p>
        </w:tc>
        <w:tc>
          <w:tcPr>
            <w:tcW w:w="632" w:type="dxa"/>
          </w:tcPr>
          <w:p w14:paraId="5B8164DB" w14:textId="4924A53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710</w:t>
            </w:r>
          </w:p>
        </w:tc>
        <w:tc>
          <w:tcPr>
            <w:tcW w:w="631" w:type="dxa"/>
          </w:tcPr>
          <w:p w14:paraId="0E070326" w14:textId="7027DEF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845</w:t>
            </w:r>
          </w:p>
        </w:tc>
        <w:tc>
          <w:tcPr>
            <w:tcW w:w="632" w:type="dxa"/>
          </w:tcPr>
          <w:p w14:paraId="3E107743" w14:textId="06B8981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070</w:t>
            </w:r>
          </w:p>
        </w:tc>
      </w:tr>
      <w:tr w:rsidR="00AE15F6" w:rsidRPr="00AE15F6" w14:paraId="6994EFA3"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60EAF490" w14:textId="381E8AAF" w:rsidR="00AE15F6" w:rsidRPr="00AE15F6" w:rsidRDefault="00AE15F6" w:rsidP="003B4F97">
            <w:pPr>
              <w:pStyle w:val="Tabletext"/>
            </w:pPr>
            <w:r w:rsidRPr="00AE15F6">
              <w:t>34</w:t>
            </w:r>
          </w:p>
        </w:tc>
        <w:tc>
          <w:tcPr>
            <w:tcW w:w="945" w:type="dxa"/>
          </w:tcPr>
          <w:p w14:paraId="30B52855" w14:textId="4809FA7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w:t>
            </w:r>
            <w:r w:rsidR="00F02D2D">
              <w:t>,</w:t>
            </w:r>
            <w:r w:rsidRPr="00AE15F6">
              <w:t>824</w:t>
            </w:r>
          </w:p>
        </w:tc>
        <w:tc>
          <w:tcPr>
            <w:tcW w:w="1276" w:type="dxa"/>
          </w:tcPr>
          <w:p w14:paraId="30D90D90" w14:textId="144FA48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340 (385)</w:t>
            </w:r>
          </w:p>
        </w:tc>
        <w:tc>
          <w:tcPr>
            <w:tcW w:w="631" w:type="dxa"/>
          </w:tcPr>
          <w:p w14:paraId="11EA0822" w14:textId="2BB57BE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400</w:t>
            </w:r>
          </w:p>
        </w:tc>
        <w:tc>
          <w:tcPr>
            <w:tcW w:w="631" w:type="dxa"/>
          </w:tcPr>
          <w:p w14:paraId="5A46CA61" w14:textId="35637C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580</w:t>
            </w:r>
          </w:p>
        </w:tc>
        <w:tc>
          <w:tcPr>
            <w:tcW w:w="632" w:type="dxa"/>
          </w:tcPr>
          <w:p w14:paraId="68CED6C2" w14:textId="2632ABC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690</w:t>
            </w:r>
          </w:p>
        </w:tc>
        <w:tc>
          <w:tcPr>
            <w:tcW w:w="631" w:type="dxa"/>
          </w:tcPr>
          <w:p w14:paraId="6211C36A" w14:textId="0BE8196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860</w:t>
            </w:r>
          </w:p>
        </w:tc>
        <w:tc>
          <w:tcPr>
            <w:tcW w:w="631" w:type="dxa"/>
          </w:tcPr>
          <w:p w14:paraId="5E82ABC6" w14:textId="0B3F44A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100</w:t>
            </w:r>
          </w:p>
        </w:tc>
        <w:tc>
          <w:tcPr>
            <w:tcW w:w="632" w:type="dxa"/>
          </w:tcPr>
          <w:p w14:paraId="5604A4D8" w14:textId="3EA6B4B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340</w:t>
            </w:r>
          </w:p>
        </w:tc>
        <w:tc>
          <w:tcPr>
            <w:tcW w:w="631" w:type="dxa"/>
          </w:tcPr>
          <w:p w14:paraId="0B34CB1D" w14:textId="7391E8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580</w:t>
            </w:r>
          </w:p>
        </w:tc>
        <w:tc>
          <w:tcPr>
            <w:tcW w:w="631" w:type="dxa"/>
          </w:tcPr>
          <w:p w14:paraId="0360C672" w14:textId="1301A46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810</w:t>
            </w:r>
          </w:p>
        </w:tc>
        <w:tc>
          <w:tcPr>
            <w:tcW w:w="632" w:type="dxa"/>
          </w:tcPr>
          <w:p w14:paraId="32A9ABA7" w14:textId="1DE2B7D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990</w:t>
            </w:r>
          </w:p>
        </w:tc>
        <w:tc>
          <w:tcPr>
            <w:tcW w:w="631" w:type="dxa"/>
          </w:tcPr>
          <w:p w14:paraId="322AEDE6" w14:textId="44A19B2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120</w:t>
            </w:r>
          </w:p>
        </w:tc>
        <w:tc>
          <w:tcPr>
            <w:tcW w:w="632" w:type="dxa"/>
          </w:tcPr>
          <w:p w14:paraId="33F56E4B" w14:textId="72B0920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343</w:t>
            </w:r>
          </w:p>
        </w:tc>
      </w:tr>
      <w:tr w:rsidR="00AE15F6" w:rsidRPr="00AE15F6" w14:paraId="340BF6BD"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7CA6BD00" w14:textId="25013275" w:rsidR="00AE15F6" w:rsidRPr="00AE15F6" w:rsidRDefault="00AE15F6" w:rsidP="003B4F97">
            <w:pPr>
              <w:pStyle w:val="Tabletext"/>
            </w:pPr>
            <w:r w:rsidRPr="00AE15F6">
              <w:t>35</w:t>
            </w:r>
          </w:p>
        </w:tc>
        <w:tc>
          <w:tcPr>
            <w:tcW w:w="945" w:type="dxa"/>
          </w:tcPr>
          <w:p w14:paraId="23ADA7EE" w14:textId="41DA22B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16</w:t>
            </w:r>
            <w:r w:rsidR="00F02D2D">
              <w:t>,</w:t>
            </w:r>
            <w:r w:rsidRPr="00AE15F6">
              <w:t>054</w:t>
            </w:r>
          </w:p>
        </w:tc>
        <w:tc>
          <w:tcPr>
            <w:tcW w:w="1276" w:type="dxa"/>
          </w:tcPr>
          <w:p w14:paraId="581023E9" w14:textId="4E67C80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585 (408)</w:t>
            </w:r>
          </w:p>
        </w:tc>
        <w:tc>
          <w:tcPr>
            <w:tcW w:w="631" w:type="dxa"/>
          </w:tcPr>
          <w:p w14:paraId="7E3E824C" w14:textId="6C604C5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600</w:t>
            </w:r>
          </w:p>
        </w:tc>
        <w:tc>
          <w:tcPr>
            <w:tcW w:w="631" w:type="dxa"/>
          </w:tcPr>
          <w:p w14:paraId="3F19A9F3" w14:textId="44A1E4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795</w:t>
            </w:r>
          </w:p>
        </w:tc>
        <w:tc>
          <w:tcPr>
            <w:tcW w:w="632" w:type="dxa"/>
          </w:tcPr>
          <w:p w14:paraId="5699B15C" w14:textId="00F595A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920</w:t>
            </w:r>
          </w:p>
        </w:tc>
        <w:tc>
          <w:tcPr>
            <w:tcW w:w="631" w:type="dxa"/>
          </w:tcPr>
          <w:p w14:paraId="6135E758" w14:textId="6223F93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080</w:t>
            </w:r>
          </w:p>
        </w:tc>
        <w:tc>
          <w:tcPr>
            <w:tcW w:w="631" w:type="dxa"/>
          </w:tcPr>
          <w:p w14:paraId="6BF8FB66" w14:textId="1539711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330</w:t>
            </w:r>
          </w:p>
        </w:tc>
        <w:tc>
          <w:tcPr>
            <w:tcW w:w="632" w:type="dxa"/>
          </w:tcPr>
          <w:p w14:paraId="49D16F7D" w14:textId="1C7012E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578</w:t>
            </w:r>
          </w:p>
        </w:tc>
        <w:tc>
          <w:tcPr>
            <w:tcW w:w="631" w:type="dxa"/>
          </w:tcPr>
          <w:p w14:paraId="02AEFCEF" w14:textId="3F9D2B0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835</w:t>
            </w:r>
          </w:p>
        </w:tc>
        <w:tc>
          <w:tcPr>
            <w:tcW w:w="631" w:type="dxa"/>
          </w:tcPr>
          <w:p w14:paraId="0E2A0D3B" w14:textId="410D437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095</w:t>
            </w:r>
          </w:p>
        </w:tc>
        <w:tc>
          <w:tcPr>
            <w:tcW w:w="632" w:type="dxa"/>
          </w:tcPr>
          <w:p w14:paraId="7E4A50F2" w14:textId="1DB2DDC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275</w:t>
            </w:r>
          </w:p>
        </w:tc>
        <w:tc>
          <w:tcPr>
            <w:tcW w:w="631" w:type="dxa"/>
          </w:tcPr>
          <w:p w14:paraId="041053D2" w14:textId="06CAC12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410</w:t>
            </w:r>
          </w:p>
        </w:tc>
        <w:tc>
          <w:tcPr>
            <w:tcW w:w="632" w:type="dxa"/>
          </w:tcPr>
          <w:p w14:paraId="016C552B" w14:textId="7ADE522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665</w:t>
            </w:r>
          </w:p>
        </w:tc>
      </w:tr>
      <w:tr w:rsidR="00AE15F6" w:rsidRPr="00AE15F6" w14:paraId="7ED98743"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7AD0090" w14:textId="1ACC076B" w:rsidR="00AE15F6" w:rsidRPr="00AE15F6" w:rsidRDefault="00AE15F6" w:rsidP="003B4F97">
            <w:pPr>
              <w:pStyle w:val="Tabletext"/>
            </w:pPr>
            <w:r w:rsidRPr="00AE15F6">
              <w:t>36</w:t>
            </w:r>
          </w:p>
        </w:tc>
        <w:tc>
          <w:tcPr>
            <w:tcW w:w="945" w:type="dxa"/>
          </w:tcPr>
          <w:p w14:paraId="02FB60E5" w14:textId="6873640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32</w:t>
            </w:r>
            <w:r w:rsidR="00F02D2D">
              <w:t>,</w:t>
            </w:r>
            <w:r w:rsidRPr="00AE15F6">
              <w:t>747</w:t>
            </w:r>
          </w:p>
        </w:tc>
        <w:tc>
          <w:tcPr>
            <w:tcW w:w="1276" w:type="dxa"/>
          </w:tcPr>
          <w:p w14:paraId="00C0D6BC" w14:textId="7E7281F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826 (428)</w:t>
            </w:r>
          </w:p>
        </w:tc>
        <w:tc>
          <w:tcPr>
            <w:tcW w:w="631" w:type="dxa"/>
          </w:tcPr>
          <w:p w14:paraId="00FA9DDB" w14:textId="455CF77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F02D2D">
              <w:t>,</w:t>
            </w:r>
            <w:r w:rsidRPr="00AE15F6">
              <w:t>805</w:t>
            </w:r>
          </w:p>
        </w:tc>
        <w:tc>
          <w:tcPr>
            <w:tcW w:w="631" w:type="dxa"/>
          </w:tcPr>
          <w:p w14:paraId="29867D79" w14:textId="11BDB4D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015</w:t>
            </w:r>
          </w:p>
        </w:tc>
        <w:tc>
          <w:tcPr>
            <w:tcW w:w="632" w:type="dxa"/>
          </w:tcPr>
          <w:p w14:paraId="27884409" w14:textId="687B6B7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120</w:t>
            </w:r>
          </w:p>
        </w:tc>
        <w:tc>
          <w:tcPr>
            <w:tcW w:w="631" w:type="dxa"/>
          </w:tcPr>
          <w:p w14:paraId="31A6D859" w14:textId="191C503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295</w:t>
            </w:r>
          </w:p>
        </w:tc>
        <w:tc>
          <w:tcPr>
            <w:tcW w:w="631" w:type="dxa"/>
          </w:tcPr>
          <w:p w14:paraId="68C6A852" w14:textId="57B36E1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550</w:t>
            </w:r>
          </w:p>
        </w:tc>
        <w:tc>
          <w:tcPr>
            <w:tcW w:w="632" w:type="dxa"/>
          </w:tcPr>
          <w:p w14:paraId="28343166" w14:textId="1292A8E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820</w:t>
            </w:r>
          </w:p>
        </w:tc>
        <w:tc>
          <w:tcPr>
            <w:tcW w:w="631" w:type="dxa"/>
          </w:tcPr>
          <w:p w14:paraId="7557E733" w14:textId="0B87D57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095</w:t>
            </w:r>
          </w:p>
        </w:tc>
        <w:tc>
          <w:tcPr>
            <w:tcW w:w="631" w:type="dxa"/>
          </w:tcPr>
          <w:p w14:paraId="484D84DD" w14:textId="34E1CE4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360</w:t>
            </w:r>
          </w:p>
        </w:tc>
        <w:tc>
          <w:tcPr>
            <w:tcW w:w="632" w:type="dxa"/>
          </w:tcPr>
          <w:p w14:paraId="60EEFD81" w14:textId="71F25FF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550</w:t>
            </w:r>
          </w:p>
        </w:tc>
        <w:tc>
          <w:tcPr>
            <w:tcW w:w="631" w:type="dxa"/>
          </w:tcPr>
          <w:p w14:paraId="4B803B4B" w14:textId="2B5FAFC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690</w:t>
            </w:r>
          </w:p>
        </w:tc>
        <w:tc>
          <w:tcPr>
            <w:tcW w:w="632" w:type="dxa"/>
          </w:tcPr>
          <w:p w14:paraId="116F88A3" w14:textId="3E01C27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930</w:t>
            </w:r>
          </w:p>
        </w:tc>
      </w:tr>
      <w:tr w:rsidR="00AE15F6" w:rsidRPr="00AE15F6" w14:paraId="3E6BBE6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FCD6458" w14:textId="6970485D" w:rsidR="00AE15F6" w:rsidRPr="00AE15F6" w:rsidRDefault="00AE15F6" w:rsidP="003B4F97">
            <w:pPr>
              <w:pStyle w:val="Tabletext"/>
            </w:pPr>
            <w:r w:rsidRPr="00AE15F6">
              <w:t>37</w:t>
            </w:r>
          </w:p>
        </w:tc>
        <w:tc>
          <w:tcPr>
            <w:tcW w:w="945" w:type="dxa"/>
          </w:tcPr>
          <w:p w14:paraId="258F4A67" w14:textId="2DD169A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73</w:t>
            </w:r>
            <w:r w:rsidR="00F02D2D">
              <w:t>,</w:t>
            </w:r>
            <w:r w:rsidRPr="00AE15F6">
              <w:t>986</w:t>
            </w:r>
          </w:p>
        </w:tc>
        <w:tc>
          <w:tcPr>
            <w:tcW w:w="1276" w:type="dxa"/>
          </w:tcPr>
          <w:p w14:paraId="0526215F" w14:textId="09F112D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093 (449)</w:t>
            </w:r>
          </w:p>
        </w:tc>
        <w:tc>
          <w:tcPr>
            <w:tcW w:w="631" w:type="dxa"/>
          </w:tcPr>
          <w:p w14:paraId="22DAE5B9" w14:textId="1A8DD4D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050</w:t>
            </w:r>
          </w:p>
        </w:tc>
        <w:tc>
          <w:tcPr>
            <w:tcW w:w="631" w:type="dxa"/>
          </w:tcPr>
          <w:p w14:paraId="42ABA420" w14:textId="35CFED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265</w:t>
            </w:r>
          </w:p>
        </w:tc>
        <w:tc>
          <w:tcPr>
            <w:tcW w:w="632" w:type="dxa"/>
          </w:tcPr>
          <w:p w14:paraId="4DC44920" w14:textId="61D6330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372</w:t>
            </w:r>
          </w:p>
        </w:tc>
        <w:tc>
          <w:tcPr>
            <w:tcW w:w="631" w:type="dxa"/>
          </w:tcPr>
          <w:p w14:paraId="7E3620DF" w14:textId="6E3DAE9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540</w:t>
            </w:r>
          </w:p>
        </w:tc>
        <w:tc>
          <w:tcPr>
            <w:tcW w:w="631" w:type="dxa"/>
          </w:tcPr>
          <w:p w14:paraId="7D97F974" w14:textId="19927AA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800</w:t>
            </w:r>
          </w:p>
        </w:tc>
        <w:tc>
          <w:tcPr>
            <w:tcW w:w="632" w:type="dxa"/>
          </w:tcPr>
          <w:p w14:paraId="4A49CD74" w14:textId="1F6740A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080</w:t>
            </w:r>
          </w:p>
        </w:tc>
        <w:tc>
          <w:tcPr>
            <w:tcW w:w="631" w:type="dxa"/>
          </w:tcPr>
          <w:p w14:paraId="0C5BADCA" w14:textId="751481E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378</w:t>
            </w:r>
          </w:p>
        </w:tc>
        <w:tc>
          <w:tcPr>
            <w:tcW w:w="631" w:type="dxa"/>
          </w:tcPr>
          <w:p w14:paraId="3426DF46" w14:textId="55B2328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670</w:t>
            </w:r>
          </w:p>
        </w:tc>
        <w:tc>
          <w:tcPr>
            <w:tcW w:w="632" w:type="dxa"/>
          </w:tcPr>
          <w:p w14:paraId="52503F72" w14:textId="7A57CC8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865</w:t>
            </w:r>
          </w:p>
        </w:tc>
        <w:tc>
          <w:tcPr>
            <w:tcW w:w="631" w:type="dxa"/>
          </w:tcPr>
          <w:p w14:paraId="6B9EC909" w14:textId="10E8611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990</w:t>
            </w:r>
          </w:p>
        </w:tc>
        <w:tc>
          <w:tcPr>
            <w:tcW w:w="632" w:type="dxa"/>
          </w:tcPr>
          <w:p w14:paraId="45934931" w14:textId="648EEAA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235</w:t>
            </w:r>
          </w:p>
        </w:tc>
      </w:tr>
      <w:tr w:rsidR="00AE15F6" w:rsidRPr="00AE15F6" w14:paraId="5952D950"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95667CD" w14:textId="0C63D53C" w:rsidR="00AE15F6" w:rsidRPr="00AE15F6" w:rsidRDefault="00AE15F6" w:rsidP="003B4F97">
            <w:pPr>
              <w:pStyle w:val="Tabletext"/>
            </w:pPr>
            <w:r w:rsidRPr="00AE15F6">
              <w:t>38</w:t>
            </w:r>
          </w:p>
        </w:tc>
        <w:tc>
          <w:tcPr>
            <w:tcW w:w="945" w:type="dxa"/>
          </w:tcPr>
          <w:p w14:paraId="22D8F4FF" w14:textId="55CF61A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230</w:t>
            </w:r>
            <w:r w:rsidR="00F02D2D">
              <w:t>,</w:t>
            </w:r>
            <w:r w:rsidRPr="00AE15F6">
              <w:t>003</w:t>
            </w:r>
          </w:p>
        </w:tc>
        <w:tc>
          <w:tcPr>
            <w:tcW w:w="1276" w:type="dxa"/>
          </w:tcPr>
          <w:p w14:paraId="783BA616" w14:textId="006C6C7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344 (439)</w:t>
            </w:r>
          </w:p>
        </w:tc>
        <w:tc>
          <w:tcPr>
            <w:tcW w:w="631" w:type="dxa"/>
          </w:tcPr>
          <w:p w14:paraId="235F96D3" w14:textId="4E2A07D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340</w:t>
            </w:r>
          </w:p>
        </w:tc>
        <w:tc>
          <w:tcPr>
            <w:tcW w:w="631" w:type="dxa"/>
          </w:tcPr>
          <w:p w14:paraId="2529E7CF" w14:textId="04E9876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540</w:t>
            </w:r>
          </w:p>
        </w:tc>
        <w:tc>
          <w:tcPr>
            <w:tcW w:w="632" w:type="dxa"/>
          </w:tcPr>
          <w:p w14:paraId="53AEAACB" w14:textId="7170A2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640</w:t>
            </w:r>
          </w:p>
        </w:tc>
        <w:tc>
          <w:tcPr>
            <w:tcW w:w="631" w:type="dxa"/>
          </w:tcPr>
          <w:p w14:paraId="6EDB093B" w14:textId="4F5F863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800</w:t>
            </w:r>
          </w:p>
        </w:tc>
        <w:tc>
          <w:tcPr>
            <w:tcW w:w="631" w:type="dxa"/>
          </w:tcPr>
          <w:p w14:paraId="63FE1451" w14:textId="237882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050</w:t>
            </w:r>
          </w:p>
        </w:tc>
        <w:tc>
          <w:tcPr>
            <w:tcW w:w="632" w:type="dxa"/>
          </w:tcPr>
          <w:p w14:paraId="255E593E" w14:textId="5726FA4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330</w:t>
            </w:r>
          </w:p>
        </w:tc>
        <w:tc>
          <w:tcPr>
            <w:tcW w:w="631" w:type="dxa"/>
          </w:tcPr>
          <w:p w14:paraId="2F9275FE" w14:textId="2EC9698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625</w:t>
            </w:r>
          </w:p>
        </w:tc>
        <w:tc>
          <w:tcPr>
            <w:tcW w:w="631" w:type="dxa"/>
          </w:tcPr>
          <w:p w14:paraId="20C55C47" w14:textId="304A72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910</w:t>
            </w:r>
          </w:p>
        </w:tc>
        <w:tc>
          <w:tcPr>
            <w:tcW w:w="632" w:type="dxa"/>
          </w:tcPr>
          <w:p w14:paraId="4E71E2D0" w14:textId="154D925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090</w:t>
            </w:r>
          </w:p>
        </w:tc>
        <w:tc>
          <w:tcPr>
            <w:tcW w:w="631" w:type="dxa"/>
          </w:tcPr>
          <w:p w14:paraId="0217294C" w14:textId="3DE2188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215</w:t>
            </w:r>
          </w:p>
        </w:tc>
        <w:tc>
          <w:tcPr>
            <w:tcW w:w="632" w:type="dxa"/>
          </w:tcPr>
          <w:p w14:paraId="4D97F305" w14:textId="59CE1B0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445</w:t>
            </w:r>
          </w:p>
        </w:tc>
      </w:tr>
      <w:tr w:rsidR="00AE15F6" w:rsidRPr="00AE15F6" w14:paraId="7DE1C7A9"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616CEB3" w14:textId="681EED6E" w:rsidR="00AE15F6" w:rsidRPr="00AE15F6" w:rsidRDefault="00AE15F6" w:rsidP="003B4F97">
            <w:pPr>
              <w:pStyle w:val="Tabletext"/>
            </w:pPr>
            <w:r w:rsidRPr="00AE15F6">
              <w:t>39</w:t>
            </w:r>
          </w:p>
        </w:tc>
        <w:tc>
          <w:tcPr>
            <w:tcW w:w="945" w:type="dxa"/>
          </w:tcPr>
          <w:p w14:paraId="040474DC" w14:textId="0FE2BED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293</w:t>
            </w:r>
            <w:r w:rsidR="00F02D2D">
              <w:t>,</w:t>
            </w:r>
            <w:r w:rsidRPr="00AE15F6">
              <w:t>109</w:t>
            </w:r>
          </w:p>
        </w:tc>
        <w:tc>
          <w:tcPr>
            <w:tcW w:w="1276" w:type="dxa"/>
          </w:tcPr>
          <w:p w14:paraId="3A03C881" w14:textId="5A88F69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486 (430)</w:t>
            </w:r>
          </w:p>
        </w:tc>
        <w:tc>
          <w:tcPr>
            <w:tcW w:w="631" w:type="dxa"/>
          </w:tcPr>
          <w:p w14:paraId="3E2FD9A0" w14:textId="3D7B28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510</w:t>
            </w:r>
          </w:p>
        </w:tc>
        <w:tc>
          <w:tcPr>
            <w:tcW w:w="631" w:type="dxa"/>
          </w:tcPr>
          <w:p w14:paraId="4CBCA405" w14:textId="0DFC76B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700</w:t>
            </w:r>
          </w:p>
        </w:tc>
        <w:tc>
          <w:tcPr>
            <w:tcW w:w="632" w:type="dxa"/>
          </w:tcPr>
          <w:p w14:paraId="7BED25EF" w14:textId="09229E1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800</w:t>
            </w:r>
          </w:p>
        </w:tc>
        <w:tc>
          <w:tcPr>
            <w:tcW w:w="631" w:type="dxa"/>
          </w:tcPr>
          <w:p w14:paraId="53D54506" w14:textId="1EAC97A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950</w:t>
            </w:r>
          </w:p>
        </w:tc>
        <w:tc>
          <w:tcPr>
            <w:tcW w:w="631" w:type="dxa"/>
          </w:tcPr>
          <w:p w14:paraId="37C5D31E" w14:textId="5D4F1FE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195</w:t>
            </w:r>
          </w:p>
        </w:tc>
        <w:tc>
          <w:tcPr>
            <w:tcW w:w="632" w:type="dxa"/>
          </w:tcPr>
          <w:p w14:paraId="3B40FADE" w14:textId="0D5BC8C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470</w:t>
            </w:r>
          </w:p>
        </w:tc>
        <w:tc>
          <w:tcPr>
            <w:tcW w:w="631" w:type="dxa"/>
          </w:tcPr>
          <w:p w14:paraId="46E4EFBD" w14:textId="7FE2CA7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765</w:t>
            </w:r>
          </w:p>
        </w:tc>
        <w:tc>
          <w:tcPr>
            <w:tcW w:w="631" w:type="dxa"/>
          </w:tcPr>
          <w:p w14:paraId="57CDFE60" w14:textId="6ABEDF0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040</w:t>
            </w:r>
          </w:p>
        </w:tc>
        <w:tc>
          <w:tcPr>
            <w:tcW w:w="632" w:type="dxa"/>
          </w:tcPr>
          <w:p w14:paraId="14A4851D" w14:textId="5BF3B18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220</w:t>
            </w:r>
          </w:p>
        </w:tc>
        <w:tc>
          <w:tcPr>
            <w:tcW w:w="631" w:type="dxa"/>
          </w:tcPr>
          <w:p w14:paraId="06937405" w14:textId="25D3FD7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335</w:t>
            </w:r>
          </w:p>
        </w:tc>
        <w:tc>
          <w:tcPr>
            <w:tcW w:w="632" w:type="dxa"/>
          </w:tcPr>
          <w:p w14:paraId="61D6860F" w14:textId="52EFEB7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560</w:t>
            </w:r>
          </w:p>
        </w:tc>
      </w:tr>
      <w:tr w:rsidR="00AE15F6" w:rsidRPr="00AE15F6" w14:paraId="6FB6B9BA"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41FB82B9" w14:textId="26416C95" w:rsidR="00AE15F6" w:rsidRPr="00AE15F6" w:rsidRDefault="00AE15F6" w:rsidP="003B4F97">
            <w:pPr>
              <w:pStyle w:val="Tabletext"/>
            </w:pPr>
            <w:r w:rsidRPr="00AE15F6">
              <w:t>40</w:t>
            </w:r>
          </w:p>
        </w:tc>
        <w:tc>
          <w:tcPr>
            <w:tcW w:w="945" w:type="dxa"/>
          </w:tcPr>
          <w:p w14:paraId="68D2C554" w14:textId="08BF9F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409</w:t>
            </w:r>
            <w:r w:rsidR="00F02D2D">
              <w:t>,</w:t>
            </w:r>
            <w:r w:rsidRPr="00AE15F6">
              <w:t>976</w:t>
            </w:r>
          </w:p>
        </w:tc>
        <w:tc>
          <w:tcPr>
            <w:tcW w:w="1276" w:type="dxa"/>
          </w:tcPr>
          <w:p w14:paraId="78E90459" w14:textId="5368693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632 (434)</w:t>
            </w:r>
          </w:p>
        </w:tc>
        <w:tc>
          <w:tcPr>
            <w:tcW w:w="631" w:type="dxa"/>
          </w:tcPr>
          <w:p w14:paraId="1E58CC8F" w14:textId="38D94A0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650</w:t>
            </w:r>
          </w:p>
        </w:tc>
        <w:tc>
          <w:tcPr>
            <w:tcW w:w="631" w:type="dxa"/>
          </w:tcPr>
          <w:p w14:paraId="4FAC5819" w14:textId="29637E2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840</w:t>
            </w:r>
          </w:p>
        </w:tc>
        <w:tc>
          <w:tcPr>
            <w:tcW w:w="632" w:type="dxa"/>
          </w:tcPr>
          <w:p w14:paraId="21BCA23B" w14:textId="1016B4F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940</w:t>
            </w:r>
          </w:p>
        </w:tc>
        <w:tc>
          <w:tcPr>
            <w:tcW w:w="631" w:type="dxa"/>
          </w:tcPr>
          <w:p w14:paraId="5CA88188" w14:textId="5E432AA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090</w:t>
            </w:r>
          </w:p>
        </w:tc>
        <w:tc>
          <w:tcPr>
            <w:tcW w:w="631" w:type="dxa"/>
          </w:tcPr>
          <w:p w14:paraId="477E1EEA" w14:textId="3F86F97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340</w:t>
            </w:r>
          </w:p>
        </w:tc>
        <w:tc>
          <w:tcPr>
            <w:tcW w:w="632" w:type="dxa"/>
          </w:tcPr>
          <w:p w14:paraId="4C74CF0C" w14:textId="1531B45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620</w:t>
            </w:r>
          </w:p>
        </w:tc>
        <w:tc>
          <w:tcPr>
            <w:tcW w:w="631" w:type="dxa"/>
          </w:tcPr>
          <w:p w14:paraId="3837E99C" w14:textId="3A7F2B2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915</w:t>
            </w:r>
          </w:p>
        </w:tc>
        <w:tc>
          <w:tcPr>
            <w:tcW w:w="631" w:type="dxa"/>
          </w:tcPr>
          <w:p w14:paraId="5409CEE0" w14:textId="377F704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195</w:t>
            </w:r>
          </w:p>
        </w:tc>
        <w:tc>
          <w:tcPr>
            <w:tcW w:w="632" w:type="dxa"/>
          </w:tcPr>
          <w:p w14:paraId="175252FA" w14:textId="2EED678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370</w:t>
            </w:r>
          </w:p>
        </w:tc>
        <w:tc>
          <w:tcPr>
            <w:tcW w:w="631" w:type="dxa"/>
          </w:tcPr>
          <w:p w14:paraId="4C45EE00" w14:textId="50AE77F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490</w:t>
            </w:r>
          </w:p>
        </w:tc>
        <w:tc>
          <w:tcPr>
            <w:tcW w:w="632" w:type="dxa"/>
          </w:tcPr>
          <w:p w14:paraId="31C86425" w14:textId="5929A4E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708</w:t>
            </w:r>
          </w:p>
        </w:tc>
      </w:tr>
      <w:tr w:rsidR="00AE15F6" w:rsidRPr="00AE15F6" w14:paraId="17F7B43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52705CD8" w14:textId="092E29B1" w:rsidR="00AE15F6" w:rsidRPr="00AE15F6" w:rsidRDefault="00AE15F6" w:rsidP="003B4F97">
            <w:pPr>
              <w:pStyle w:val="Tabletext"/>
            </w:pPr>
            <w:r w:rsidRPr="00AE15F6">
              <w:t>41</w:t>
            </w:r>
          </w:p>
        </w:tc>
        <w:tc>
          <w:tcPr>
            <w:tcW w:w="945" w:type="dxa"/>
          </w:tcPr>
          <w:p w14:paraId="3BA6A475" w14:textId="3A55408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192</w:t>
            </w:r>
            <w:r w:rsidR="00F02D2D">
              <w:t>,</w:t>
            </w:r>
            <w:r w:rsidRPr="00AE15F6">
              <w:t>154</w:t>
            </w:r>
          </w:p>
        </w:tc>
        <w:tc>
          <w:tcPr>
            <w:tcW w:w="1276" w:type="dxa"/>
          </w:tcPr>
          <w:p w14:paraId="02FFFC1E" w14:textId="6798C2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769 (438)</w:t>
            </w:r>
          </w:p>
        </w:tc>
        <w:tc>
          <w:tcPr>
            <w:tcW w:w="631" w:type="dxa"/>
          </w:tcPr>
          <w:p w14:paraId="3177B5AF" w14:textId="02FA4E5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780</w:t>
            </w:r>
          </w:p>
        </w:tc>
        <w:tc>
          <w:tcPr>
            <w:tcW w:w="631" w:type="dxa"/>
          </w:tcPr>
          <w:p w14:paraId="5881C98D" w14:textId="68EBB46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970</w:t>
            </w:r>
          </w:p>
        </w:tc>
        <w:tc>
          <w:tcPr>
            <w:tcW w:w="632" w:type="dxa"/>
          </w:tcPr>
          <w:p w14:paraId="061E01F0" w14:textId="52282EF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070</w:t>
            </w:r>
          </w:p>
        </w:tc>
        <w:tc>
          <w:tcPr>
            <w:tcW w:w="631" w:type="dxa"/>
          </w:tcPr>
          <w:p w14:paraId="483D1440" w14:textId="51C71C1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220</w:t>
            </w:r>
          </w:p>
        </w:tc>
        <w:tc>
          <w:tcPr>
            <w:tcW w:w="631" w:type="dxa"/>
          </w:tcPr>
          <w:p w14:paraId="6A3EC0B3" w14:textId="381C43C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470</w:t>
            </w:r>
          </w:p>
        </w:tc>
        <w:tc>
          <w:tcPr>
            <w:tcW w:w="632" w:type="dxa"/>
          </w:tcPr>
          <w:p w14:paraId="047390FC" w14:textId="2EDF21E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755</w:t>
            </w:r>
          </w:p>
        </w:tc>
        <w:tc>
          <w:tcPr>
            <w:tcW w:w="631" w:type="dxa"/>
          </w:tcPr>
          <w:p w14:paraId="608DD3FC" w14:textId="3BA82A4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060</w:t>
            </w:r>
          </w:p>
        </w:tc>
        <w:tc>
          <w:tcPr>
            <w:tcW w:w="631" w:type="dxa"/>
          </w:tcPr>
          <w:p w14:paraId="3C0A4C7B" w14:textId="2F023D7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340</w:t>
            </w:r>
          </w:p>
        </w:tc>
        <w:tc>
          <w:tcPr>
            <w:tcW w:w="632" w:type="dxa"/>
          </w:tcPr>
          <w:p w14:paraId="7224CDAB" w14:textId="64AA3CD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515</w:t>
            </w:r>
          </w:p>
        </w:tc>
        <w:tc>
          <w:tcPr>
            <w:tcW w:w="631" w:type="dxa"/>
          </w:tcPr>
          <w:p w14:paraId="08F301CD" w14:textId="503D4D7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630</w:t>
            </w:r>
          </w:p>
        </w:tc>
        <w:tc>
          <w:tcPr>
            <w:tcW w:w="632" w:type="dxa"/>
          </w:tcPr>
          <w:p w14:paraId="6D98BF81" w14:textId="2DA7F5E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850</w:t>
            </w:r>
          </w:p>
        </w:tc>
      </w:tr>
      <w:tr w:rsidR="00AE15F6" w:rsidRPr="00AE15F6" w14:paraId="5A9A5C6E"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2D8D6E3" w14:textId="6340F434" w:rsidR="00AE15F6" w:rsidRPr="00AE15F6" w:rsidRDefault="00AE15F6" w:rsidP="003B4F97">
            <w:pPr>
              <w:pStyle w:val="Tabletext"/>
            </w:pPr>
            <w:r w:rsidRPr="00AE15F6">
              <w:t>42</w:t>
            </w:r>
          </w:p>
        </w:tc>
        <w:tc>
          <w:tcPr>
            <w:tcW w:w="945" w:type="dxa"/>
          </w:tcPr>
          <w:p w14:paraId="23B88C0C" w14:textId="7399E3B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19</w:t>
            </w:r>
            <w:r w:rsidR="00F02D2D">
              <w:t>,</w:t>
            </w:r>
            <w:r w:rsidRPr="00AE15F6">
              <w:t>804</w:t>
            </w:r>
          </w:p>
        </w:tc>
        <w:tc>
          <w:tcPr>
            <w:tcW w:w="1276" w:type="dxa"/>
          </w:tcPr>
          <w:p w14:paraId="79E16A11" w14:textId="6A60698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832 (462)</w:t>
            </w:r>
          </w:p>
        </w:tc>
        <w:tc>
          <w:tcPr>
            <w:tcW w:w="631" w:type="dxa"/>
          </w:tcPr>
          <w:p w14:paraId="57AF19D7" w14:textId="579CC20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760</w:t>
            </w:r>
          </w:p>
        </w:tc>
        <w:tc>
          <w:tcPr>
            <w:tcW w:w="631" w:type="dxa"/>
          </w:tcPr>
          <w:p w14:paraId="737F3D1F" w14:textId="35748E2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980</w:t>
            </w:r>
          </w:p>
        </w:tc>
        <w:tc>
          <w:tcPr>
            <w:tcW w:w="632" w:type="dxa"/>
          </w:tcPr>
          <w:p w14:paraId="7358BD4D" w14:textId="6A9E49B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095</w:t>
            </w:r>
          </w:p>
        </w:tc>
        <w:tc>
          <w:tcPr>
            <w:tcW w:w="631" w:type="dxa"/>
          </w:tcPr>
          <w:p w14:paraId="2E633AAB" w14:textId="5E8E2BC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250</w:t>
            </w:r>
          </w:p>
        </w:tc>
        <w:tc>
          <w:tcPr>
            <w:tcW w:w="631" w:type="dxa"/>
          </w:tcPr>
          <w:p w14:paraId="2FCE8A2A" w14:textId="2F623B4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520</w:t>
            </w:r>
          </w:p>
        </w:tc>
        <w:tc>
          <w:tcPr>
            <w:tcW w:w="632" w:type="dxa"/>
          </w:tcPr>
          <w:p w14:paraId="21973125" w14:textId="41236CC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820</w:t>
            </w:r>
          </w:p>
        </w:tc>
        <w:tc>
          <w:tcPr>
            <w:tcW w:w="631" w:type="dxa"/>
          </w:tcPr>
          <w:p w14:paraId="404521A6" w14:textId="3D6B945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130</w:t>
            </w:r>
          </w:p>
        </w:tc>
        <w:tc>
          <w:tcPr>
            <w:tcW w:w="631" w:type="dxa"/>
          </w:tcPr>
          <w:p w14:paraId="3728A28A" w14:textId="03FDB00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430</w:t>
            </w:r>
          </w:p>
        </w:tc>
        <w:tc>
          <w:tcPr>
            <w:tcW w:w="632" w:type="dxa"/>
          </w:tcPr>
          <w:p w14:paraId="2CF05BAE" w14:textId="71ED4C9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615</w:t>
            </w:r>
          </w:p>
        </w:tc>
        <w:tc>
          <w:tcPr>
            <w:tcW w:w="631" w:type="dxa"/>
          </w:tcPr>
          <w:p w14:paraId="1BF9E9FF" w14:textId="5AD1CF6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740</w:t>
            </w:r>
          </w:p>
        </w:tc>
        <w:tc>
          <w:tcPr>
            <w:tcW w:w="632" w:type="dxa"/>
          </w:tcPr>
          <w:p w14:paraId="5D928F90" w14:textId="1F9088E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970</w:t>
            </w:r>
          </w:p>
        </w:tc>
      </w:tr>
      <w:tr w:rsidR="00AE15F6" w:rsidRPr="00AE15F6" w14:paraId="7F31F93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437295A" w14:textId="17E57836" w:rsidR="00AE15F6" w:rsidRPr="00AE15F6" w:rsidRDefault="00AE15F6" w:rsidP="003B4F97">
            <w:pPr>
              <w:pStyle w:val="Tabletext"/>
            </w:pPr>
            <w:r w:rsidRPr="00AE15F6">
              <w:t>43</w:t>
            </w:r>
          </w:p>
        </w:tc>
        <w:tc>
          <w:tcPr>
            <w:tcW w:w="945" w:type="dxa"/>
          </w:tcPr>
          <w:p w14:paraId="433A250E" w14:textId="5941697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797</w:t>
            </w:r>
          </w:p>
        </w:tc>
        <w:tc>
          <w:tcPr>
            <w:tcW w:w="1276" w:type="dxa"/>
          </w:tcPr>
          <w:p w14:paraId="28AC6F3E" w14:textId="0FBDA2A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761 (540)</w:t>
            </w:r>
          </w:p>
        </w:tc>
        <w:tc>
          <w:tcPr>
            <w:tcW w:w="631" w:type="dxa"/>
          </w:tcPr>
          <w:p w14:paraId="7A34593D" w14:textId="33CCD05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615</w:t>
            </w:r>
          </w:p>
        </w:tc>
        <w:tc>
          <w:tcPr>
            <w:tcW w:w="631" w:type="dxa"/>
          </w:tcPr>
          <w:p w14:paraId="45507072" w14:textId="537EA4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F02D2D">
              <w:t>,</w:t>
            </w:r>
            <w:r w:rsidRPr="00AE15F6">
              <w:t>785</w:t>
            </w:r>
          </w:p>
        </w:tc>
        <w:tc>
          <w:tcPr>
            <w:tcW w:w="632" w:type="dxa"/>
          </w:tcPr>
          <w:p w14:paraId="39F6A5D9" w14:textId="2FFC5FA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2935</w:t>
            </w:r>
          </w:p>
        </w:tc>
        <w:tc>
          <w:tcPr>
            <w:tcW w:w="631" w:type="dxa"/>
          </w:tcPr>
          <w:p w14:paraId="464546E8" w14:textId="7FEE89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3085</w:t>
            </w:r>
          </w:p>
        </w:tc>
        <w:tc>
          <w:tcPr>
            <w:tcW w:w="631" w:type="dxa"/>
          </w:tcPr>
          <w:p w14:paraId="6ABDFA49" w14:textId="6689264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380</w:t>
            </w:r>
          </w:p>
        </w:tc>
        <w:tc>
          <w:tcPr>
            <w:tcW w:w="632" w:type="dxa"/>
          </w:tcPr>
          <w:p w14:paraId="1537B1B7" w14:textId="07112FC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750</w:t>
            </w:r>
          </w:p>
        </w:tc>
        <w:tc>
          <w:tcPr>
            <w:tcW w:w="631" w:type="dxa"/>
          </w:tcPr>
          <w:p w14:paraId="14A9823D" w14:textId="63272C5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100</w:t>
            </w:r>
          </w:p>
        </w:tc>
        <w:tc>
          <w:tcPr>
            <w:tcW w:w="631" w:type="dxa"/>
          </w:tcPr>
          <w:p w14:paraId="45F61FF2" w14:textId="3656477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470</w:t>
            </w:r>
          </w:p>
        </w:tc>
        <w:tc>
          <w:tcPr>
            <w:tcW w:w="632" w:type="dxa"/>
          </w:tcPr>
          <w:p w14:paraId="0E347330" w14:textId="37A0FF9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670</w:t>
            </w:r>
          </w:p>
        </w:tc>
        <w:tc>
          <w:tcPr>
            <w:tcW w:w="631" w:type="dxa"/>
          </w:tcPr>
          <w:p w14:paraId="0D33BDF9" w14:textId="3E0EA8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825</w:t>
            </w:r>
          </w:p>
        </w:tc>
        <w:tc>
          <w:tcPr>
            <w:tcW w:w="632" w:type="dxa"/>
          </w:tcPr>
          <w:p w14:paraId="150BC284" w14:textId="06E13A2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w:t>
            </w:r>
            <w:r w:rsidR="00E92FF5">
              <w:t>,</w:t>
            </w:r>
            <w:r w:rsidRPr="00AE15F6">
              <w:t>180</w:t>
            </w:r>
          </w:p>
        </w:tc>
      </w:tr>
      <w:tr w:rsidR="00AE15F6" w:rsidRPr="00AE15F6" w14:paraId="48D72F7D"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6AD4F2FC" w14:textId="12934202" w:rsidR="00AE15F6" w:rsidRPr="00AE15F6" w:rsidRDefault="00AE15F6" w:rsidP="003B4F97">
            <w:pPr>
              <w:pStyle w:val="Tabletext"/>
            </w:pPr>
            <w:r w:rsidRPr="00AE15F6">
              <w:t>44</w:t>
            </w:r>
          </w:p>
        </w:tc>
        <w:tc>
          <w:tcPr>
            <w:tcW w:w="945" w:type="dxa"/>
          </w:tcPr>
          <w:p w14:paraId="067A9015" w14:textId="365800D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53</w:t>
            </w:r>
          </w:p>
        </w:tc>
        <w:tc>
          <w:tcPr>
            <w:tcW w:w="1276" w:type="dxa"/>
          </w:tcPr>
          <w:p w14:paraId="26F623B6" w14:textId="7914EFF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F02D2D">
              <w:t>,</w:t>
            </w:r>
            <w:r w:rsidRPr="00AE15F6">
              <w:t>715 (563)</w:t>
            </w:r>
          </w:p>
        </w:tc>
        <w:tc>
          <w:tcPr>
            <w:tcW w:w="631" w:type="dxa"/>
          </w:tcPr>
          <w:p w14:paraId="4BC4CBCB" w14:textId="7BE733F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1" w:type="dxa"/>
          </w:tcPr>
          <w:p w14:paraId="57CAF9F2" w14:textId="6FC1A0A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2" w:type="dxa"/>
          </w:tcPr>
          <w:p w14:paraId="20E39288" w14:textId="723D5F1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1" w:type="dxa"/>
          </w:tcPr>
          <w:p w14:paraId="5579282C" w14:textId="666C07F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110</w:t>
            </w:r>
          </w:p>
        </w:tc>
        <w:tc>
          <w:tcPr>
            <w:tcW w:w="631" w:type="dxa"/>
          </w:tcPr>
          <w:p w14:paraId="240705BD" w14:textId="368D511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300</w:t>
            </w:r>
          </w:p>
        </w:tc>
        <w:tc>
          <w:tcPr>
            <w:tcW w:w="632" w:type="dxa"/>
          </w:tcPr>
          <w:p w14:paraId="3C73F0C3" w14:textId="597B56B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620</w:t>
            </w:r>
          </w:p>
        </w:tc>
        <w:tc>
          <w:tcPr>
            <w:tcW w:w="631" w:type="dxa"/>
          </w:tcPr>
          <w:p w14:paraId="46E83F28" w14:textId="70DDECA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070</w:t>
            </w:r>
          </w:p>
        </w:tc>
        <w:tc>
          <w:tcPr>
            <w:tcW w:w="631" w:type="dxa"/>
          </w:tcPr>
          <w:p w14:paraId="56CBC4F6" w14:textId="270195E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415</w:t>
            </w:r>
          </w:p>
        </w:tc>
        <w:tc>
          <w:tcPr>
            <w:tcW w:w="632" w:type="dxa"/>
          </w:tcPr>
          <w:p w14:paraId="624FECA1" w14:textId="4F10F20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1" w:type="dxa"/>
          </w:tcPr>
          <w:p w14:paraId="2F35BF78" w14:textId="582137F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2" w:type="dxa"/>
          </w:tcPr>
          <w:p w14:paraId="3BFF3669" w14:textId="0D6D585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r>
    </w:tbl>
    <w:p w14:paraId="26C99091" w14:textId="77777777" w:rsidR="00AE15F6" w:rsidRDefault="00AE15F6" w:rsidP="003B4F97">
      <w:pPr>
        <w:rPr>
          <w:lang w:val="en-GB" w:eastAsia="en-AU"/>
        </w:rPr>
      </w:pPr>
      <w:r>
        <w:rPr>
          <w:lang w:val="en-GB" w:eastAsia="en-AU"/>
        </w:rPr>
        <w:br w:type="page"/>
      </w:r>
    </w:p>
    <w:p w14:paraId="69D55F93" w14:textId="16666B83" w:rsidR="00AE15F6" w:rsidRDefault="00AE15F6" w:rsidP="003B4F97">
      <w:pPr>
        <w:pStyle w:val="Tablechartdiagramheading"/>
      </w:pPr>
      <w:r w:rsidRPr="00AE15F6">
        <w:t xml:space="preserve">Table </w:t>
      </w:r>
      <w:r w:rsidR="00061B4C">
        <w:t>7</w:t>
      </w:r>
      <w:r w:rsidRPr="00AE15F6">
        <w:t>. Birthweight centiles for live singleton female infants, Australia, 1998–2007</w:t>
      </w:r>
    </w:p>
    <w:tbl>
      <w:tblPr>
        <w:tblStyle w:val="TableGrid"/>
        <w:tblW w:w="10206" w:type="dxa"/>
        <w:tblLook w:val="04A0" w:firstRow="1" w:lastRow="0" w:firstColumn="1" w:lastColumn="0" w:noHBand="0" w:noVBand="1"/>
      </w:tblPr>
      <w:tblGrid>
        <w:gridCol w:w="1098"/>
        <w:gridCol w:w="891"/>
        <w:gridCol w:w="1188"/>
        <w:gridCol w:w="629"/>
        <w:gridCol w:w="629"/>
        <w:gridCol w:w="630"/>
        <w:gridCol w:w="629"/>
        <w:gridCol w:w="629"/>
        <w:gridCol w:w="630"/>
        <w:gridCol w:w="629"/>
        <w:gridCol w:w="629"/>
        <w:gridCol w:w="630"/>
        <w:gridCol w:w="629"/>
        <w:gridCol w:w="584"/>
        <w:gridCol w:w="152"/>
      </w:tblGrid>
      <w:tr w:rsidR="00AE15F6" w:rsidRPr="00AE15F6" w14:paraId="77275AA1" w14:textId="77777777" w:rsidTr="00AE15F6">
        <w:trPr>
          <w:gridAfter w:val="1"/>
          <w:cnfStyle w:val="100000000000" w:firstRow="1" w:lastRow="0" w:firstColumn="0" w:lastColumn="0" w:oddVBand="0" w:evenVBand="0" w:oddHBand="0" w:evenHBand="0" w:firstRowFirstColumn="0" w:firstRowLastColumn="0" w:lastRowFirstColumn="0" w:lastRowLastColumn="0"/>
          <w:wAfter w:w="202" w:type="dxa"/>
        </w:trPr>
        <w:tc>
          <w:tcPr>
            <w:cnfStyle w:val="001000000000" w:firstRow="0" w:lastRow="0" w:firstColumn="1" w:lastColumn="0" w:oddVBand="0" w:evenVBand="0" w:oddHBand="0" w:evenHBand="0" w:firstRowFirstColumn="0" w:firstRowLastColumn="0" w:lastRowFirstColumn="0" w:lastRowLastColumn="0"/>
            <w:tcW w:w="10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E735580" w14:textId="77777777" w:rsidR="00AE15F6" w:rsidRPr="00AE15F6" w:rsidRDefault="00AE15F6" w:rsidP="003B4F97">
            <w:pPr>
              <w:pStyle w:val="Tabletext"/>
            </w:pPr>
            <w:r w:rsidRPr="00AE15F6">
              <w:t>Gestational age (weeks)</w:t>
            </w:r>
          </w:p>
        </w:tc>
        <w:tc>
          <w:tcPr>
            <w:tcW w:w="945"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39A3F255" w14:textId="77777777" w:rsidR="00AE15F6" w:rsidRPr="00AE15F6" w:rsidRDefault="00AE15F6" w:rsidP="003B4F97">
            <w:pPr>
              <w:pStyle w:val="Tabletext"/>
              <w:cnfStyle w:val="100000000000" w:firstRow="1" w:lastRow="0" w:firstColumn="0" w:lastColumn="0" w:oddVBand="0" w:evenVBand="0" w:oddHBand="0" w:evenHBand="0" w:firstRowFirstColumn="0" w:firstRowLastColumn="0" w:lastRowFirstColumn="0" w:lastRowLastColumn="0"/>
            </w:pPr>
            <w:r w:rsidRPr="00AE15F6">
              <w:t>Number of births</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619470C2" w14:textId="77777777" w:rsidR="00AE15F6" w:rsidRPr="00AE15F6" w:rsidRDefault="00AE15F6" w:rsidP="003B4F97">
            <w:pPr>
              <w:pStyle w:val="Tabletext"/>
              <w:cnfStyle w:val="100000000000" w:firstRow="1" w:lastRow="0" w:firstColumn="0" w:lastColumn="0" w:oddVBand="0" w:evenVBand="0" w:oddHBand="0" w:evenHBand="0" w:firstRowFirstColumn="0" w:firstRowLastColumn="0" w:lastRowFirstColumn="0" w:lastRowLastColumn="0"/>
            </w:pPr>
            <w:r w:rsidRPr="00AE15F6">
              <w:t>Mean (SD) birthweight (g)</w:t>
            </w:r>
          </w:p>
        </w:tc>
        <w:tc>
          <w:tcPr>
            <w:tcW w:w="6945" w:type="dxa"/>
            <w:gridSpan w:val="11"/>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6B6A011" w14:textId="77777777" w:rsidR="00AE15F6" w:rsidRPr="00AE15F6" w:rsidRDefault="00AE15F6" w:rsidP="003B4F97">
            <w:pPr>
              <w:pStyle w:val="Tabletext"/>
              <w:cnfStyle w:val="100000000000" w:firstRow="1" w:lastRow="0" w:firstColumn="0" w:lastColumn="0" w:oddVBand="0" w:evenVBand="0" w:oddHBand="0" w:evenHBand="0" w:firstRowFirstColumn="0" w:firstRowLastColumn="0" w:lastRowFirstColumn="0" w:lastRowLastColumn="0"/>
            </w:pPr>
            <w:r w:rsidRPr="00AE15F6">
              <w:t>Birthweight percentile (g)</w:t>
            </w:r>
          </w:p>
        </w:tc>
      </w:tr>
      <w:tr w:rsidR="00E92FF5" w:rsidRPr="00AE15F6" w14:paraId="21417E78"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BCCC401" w14:textId="77777777" w:rsidR="00AE15F6" w:rsidRPr="00AE15F6" w:rsidRDefault="00AE15F6" w:rsidP="003B4F97">
            <w:pPr>
              <w:pStyle w:val="Tabletext"/>
            </w:pPr>
          </w:p>
        </w:tc>
        <w:tc>
          <w:tcPr>
            <w:tcW w:w="945" w:type="dxa"/>
          </w:tcPr>
          <w:p w14:paraId="39883B65"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p>
        </w:tc>
        <w:tc>
          <w:tcPr>
            <w:tcW w:w="1276" w:type="dxa"/>
          </w:tcPr>
          <w:p w14:paraId="3A5B7426"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p>
        </w:tc>
        <w:tc>
          <w:tcPr>
            <w:tcW w:w="631" w:type="dxa"/>
          </w:tcPr>
          <w:p w14:paraId="6183A334"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1st</w:t>
            </w:r>
          </w:p>
        </w:tc>
        <w:tc>
          <w:tcPr>
            <w:tcW w:w="631" w:type="dxa"/>
          </w:tcPr>
          <w:p w14:paraId="1218F416"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3rd</w:t>
            </w:r>
          </w:p>
        </w:tc>
        <w:tc>
          <w:tcPr>
            <w:tcW w:w="632" w:type="dxa"/>
          </w:tcPr>
          <w:p w14:paraId="62589C93"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5th</w:t>
            </w:r>
          </w:p>
        </w:tc>
        <w:tc>
          <w:tcPr>
            <w:tcW w:w="631" w:type="dxa"/>
          </w:tcPr>
          <w:p w14:paraId="7C7B9029"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10th</w:t>
            </w:r>
          </w:p>
        </w:tc>
        <w:tc>
          <w:tcPr>
            <w:tcW w:w="631" w:type="dxa"/>
          </w:tcPr>
          <w:p w14:paraId="2B567027"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25th</w:t>
            </w:r>
          </w:p>
        </w:tc>
        <w:tc>
          <w:tcPr>
            <w:tcW w:w="632" w:type="dxa"/>
          </w:tcPr>
          <w:p w14:paraId="2E195A5E"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50th</w:t>
            </w:r>
          </w:p>
        </w:tc>
        <w:tc>
          <w:tcPr>
            <w:tcW w:w="631" w:type="dxa"/>
          </w:tcPr>
          <w:p w14:paraId="1DAC8598"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75th</w:t>
            </w:r>
          </w:p>
        </w:tc>
        <w:tc>
          <w:tcPr>
            <w:tcW w:w="631" w:type="dxa"/>
          </w:tcPr>
          <w:p w14:paraId="7E8DC998"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90th</w:t>
            </w:r>
          </w:p>
        </w:tc>
        <w:tc>
          <w:tcPr>
            <w:tcW w:w="632" w:type="dxa"/>
          </w:tcPr>
          <w:p w14:paraId="207BC0F6"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95th</w:t>
            </w:r>
          </w:p>
        </w:tc>
        <w:tc>
          <w:tcPr>
            <w:tcW w:w="631" w:type="dxa"/>
          </w:tcPr>
          <w:p w14:paraId="46A650D8"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97th</w:t>
            </w:r>
          </w:p>
        </w:tc>
        <w:tc>
          <w:tcPr>
            <w:tcW w:w="632" w:type="dxa"/>
            <w:gridSpan w:val="2"/>
          </w:tcPr>
          <w:p w14:paraId="75784023" w14:textId="777777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99th</w:t>
            </w:r>
          </w:p>
        </w:tc>
      </w:tr>
      <w:tr w:rsidR="00E92FF5" w:rsidRPr="00AE15F6" w14:paraId="0251C073"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25C19991" w14:textId="7E295649" w:rsidR="00AE15F6" w:rsidRPr="00AE15F6" w:rsidRDefault="00AE15F6" w:rsidP="003B4F97">
            <w:pPr>
              <w:pStyle w:val="Tabletext"/>
            </w:pPr>
            <w:r w:rsidRPr="00AE15F6">
              <w:t>20</w:t>
            </w:r>
          </w:p>
        </w:tc>
        <w:tc>
          <w:tcPr>
            <w:tcW w:w="945" w:type="dxa"/>
          </w:tcPr>
          <w:p w14:paraId="0F2D1A3C" w14:textId="12E027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197</w:t>
            </w:r>
          </w:p>
        </w:tc>
        <w:tc>
          <w:tcPr>
            <w:tcW w:w="1276" w:type="dxa"/>
          </w:tcPr>
          <w:p w14:paraId="50541902" w14:textId="3C6A8C9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333 (65)</w:t>
            </w:r>
          </w:p>
        </w:tc>
        <w:tc>
          <w:tcPr>
            <w:tcW w:w="631" w:type="dxa"/>
          </w:tcPr>
          <w:p w14:paraId="455037D2" w14:textId="5EA076D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190</w:t>
            </w:r>
          </w:p>
        </w:tc>
        <w:tc>
          <w:tcPr>
            <w:tcW w:w="631" w:type="dxa"/>
          </w:tcPr>
          <w:p w14:paraId="317A41D1" w14:textId="4CFBE4D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210</w:t>
            </w:r>
          </w:p>
        </w:tc>
        <w:tc>
          <w:tcPr>
            <w:tcW w:w="632" w:type="dxa"/>
          </w:tcPr>
          <w:p w14:paraId="3A3BB030" w14:textId="76877BB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230</w:t>
            </w:r>
          </w:p>
        </w:tc>
        <w:tc>
          <w:tcPr>
            <w:tcW w:w="631" w:type="dxa"/>
          </w:tcPr>
          <w:p w14:paraId="1EE3034C" w14:textId="46A2641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265</w:t>
            </w:r>
          </w:p>
        </w:tc>
        <w:tc>
          <w:tcPr>
            <w:tcW w:w="631" w:type="dxa"/>
          </w:tcPr>
          <w:p w14:paraId="060236A1" w14:textId="5EE59D6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290</w:t>
            </w:r>
          </w:p>
        </w:tc>
        <w:tc>
          <w:tcPr>
            <w:tcW w:w="632" w:type="dxa"/>
          </w:tcPr>
          <w:p w14:paraId="1DF684EC" w14:textId="29D3EE8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320</w:t>
            </w:r>
          </w:p>
        </w:tc>
        <w:tc>
          <w:tcPr>
            <w:tcW w:w="631" w:type="dxa"/>
          </w:tcPr>
          <w:p w14:paraId="155621B0" w14:textId="42728BC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374</w:t>
            </w:r>
          </w:p>
        </w:tc>
        <w:tc>
          <w:tcPr>
            <w:tcW w:w="631" w:type="dxa"/>
          </w:tcPr>
          <w:p w14:paraId="24570926" w14:textId="3F69503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410</w:t>
            </w:r>
          </w:p>
        </w:tc>
        <w:tc>
          <w:tcPr>
            <w:tcW w:w="632" w:type="dxa"/>
          </w:tcPr>
          <w:p w14:paraId="3A06B0BA" w14:textId="4637690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450</w:t>
            </w:r>
          </w:p>
        </w:tc>
        <w:tc>
          <w:tcPr>
            <w:tcW w:w="631" w:type="dxa"/>
          </w:tcPr>
          <w:p w14:paraId="2DB692B5" w14:textId="56C4447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490</w:t>
            </w:r>
          </w:p>
        </w:tc>
        <w:tc>
          <w:tcPr>
            <w:tcW w:w="632" w:type="dxa"/>
            <w:gridSpan w:val="2"/>
          </w:tcPr>
          <w:p w14:paraId="5026FA00" w14:textId="4282B7A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525</w:t>
            </w:r>
          </w:p>
        </w:tc>
      </w:tr>
      <w:tr w:rsidR="00E92FF5" w:rsidRPr="00AE15F6" w14:paraId="47B55E58"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B4B0FCF" w14:textId="2BCBA31C" w:rsidR="00AE15F6" w:rsidRPr="00AE15F6" w:rsidRDefault="00AE15F6" w:rsidP="003B4F97">
            <w:pPr>
              <w:pStyle w:val="Tabletext"/>
            </w:pPr>
            <w:r w:rsidRPr="00AE15F6">
              <w:t>21</w:t>
            </w:r>
          </w:p>
        </w:tc>
        <w:tc>
          <w:tcPr>
            <w:tcW w:w="945" w:type="dxa"/>
          </w:tcPr>
          <w:p w14:paraId="59AA24EE" w14:textId="3E3D3A2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256</w:t>
            </w:r>
          </w:p>
        </w:tc>
        <w:tc>
          <w:tcPr>
            <w:tcW w:w="1276" w:type="dxa"/>
          </w:tcPr>
          <w:p w14:paraId="6F57A928" w14:textId="4DED6B0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386 (69)</w:t>
            </w:r>
          </w:p>
        </w:tc>
        <w:tc>
          <w:tcPr>
            <w:tcW w:w="631" w:type="dxa"/>
          </w:tcPr>
          <w:p w14:paraId="1101568D" w14:textId="282F92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210</w:t>
            </w:r>
          </w:p>
        </w:tc>
        <w:tc>
          <w:tcPr>
            <w:tcW w:w="631" w:type="dxa"/>
          </w:tcPr>
          <w:p w14:paraId="7B620BCD" w14:textId="4405EAB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250</w:t>
            </w:r>
          </w:p>
        </w:tc>
        <w:tc>
          <w:tcPr>
            <w:tcW w:w="632" w:type="dxa"/>
          </w:tcPr>
          <w:p w14:paraId="7B6BBA98" w14:textId="320AF39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270</w:t>
            </w:r>
          </w:p>
        </w:tc>
        <w:tc>
          <w:tcPr>
            <w:tcW w:w="631" w:type="dxa"/>
          </w:tcPr>
          <w:p w14:paraId="6EE254A0" w14:textId="69305BD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300</w:t>
            </w:r>
          </w:p>
        </w:tc>
        <w:tc>
          <w:tcPr>
            <w:tcW w:w="631" w:type="dxa"/>
          </w:tcPr>
          <w:p w14:paraId="7BD55E41" w14:textId="7F3F714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340</w:t>
            </w:r>
          </w:p>
        </w:tc>
        <w:tc>
          <w:tcPr>
            <w:tcW w:w="632" w:type="dxa"/>
          </w:tcPr>
          <w:p w14:paraId="438DE59D" w14:textId="3FEAE4B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390</w:t>
            </w:r>
          </w:p>
        </w:tc>
        <w:tc>
          <w:tcPr>
            <w:tcW w:w="631" w:type="dxa"/>
          </w:tcPr>
          <w:p w14:paraId="35AE9792" w14:textId="315585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433</w:t>
            </w:r>
          </w:p>
        </w:tc>
        <w:tc>
          <w:tcPr>
            <w:tcW w:w="631" w:type="dxa"/>
          </w:tcPr>
          <w:p w14:paraId="05F98639" w14:textId="38E854C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470</w:t>
            </w:r>
          </w:p>
        </w:tc>
        <w:tc>
          <w:tcPr>
            <w:tcW w:w="632" w:type="dxa"/>
          </w:tcPr>
          <w:p w14:paraId="509EE570" w14:textId="44096D2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510</w:t>
            </w:r>
          </w:p>
        </w:tc>
        <w:tc>
          <w:tcPr>
            <w:tcW w:w="631" w:type="dxa"/>
          </w:tcPr>
          <w:p w14:paraId="7AD4E462" w14:textId="38AC30C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515</w:t>
            </w:r>
          </w:p>
        </w:tc>
        <w:tc>
          <w:tcPr>
            <w:tcW w:w="632" w:type="dxa"/>
            <w:gridSpan w:val="2"/>
          </w:tcPr>
          <w:p w14:paraId="544A769E" w14:textId="40D724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530</w:t>
            </w:r>
          </w:p>
        </w:tc>
      </w:tr>
      <w:tr w:rsidR="00E92FF5" w:rsidRPr="00AE15F6" w14:paraId="6663DAC2"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42A3E5C" w14:textId="18A2C152" w:rsidR="00AE15F6" w:rsidRPr="00AE15F6" w:rsidRDefault="00AE15F6" w:rsidP="003B4F97">
            <w:pPr>
              <w:pStyle w:val="Tabletext"/>
            </w:pPr>
            <w:r w:rsidRPr="00AE15F6">
              <w:t>22</w:t>
            </w:r>
          </w:p>
        </w:tc>
        <w:tc>
          <w:tcPr>
            <w:tcW w:w="945" w:type="dxa"/>
          </w:tcPr>
          <w:p w14:paraId="53A72FC7" w14:textId="36DF16D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333</w:t>
            </w:r>
          </w:p>
        </w:tc>
        <w:tc>
          <w:tcPr>
            <w:tcW w:w="1276" w:type="dxa"/>
          </w:tcPr>
          <w:p w14:paraId="4FE0D5C2" w14:textId="277B3A5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474 (72)</w:t>
            </w:r>
          </w:p>
        </w:tc>
        <w:tc>
          <w:tcPr>
            <w:tcW w:w="631" w:type="dxa"/>
          </w:tcPr>
          <w:p w14:paraId="7F7565F7" w14:textId="3D79594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260</w:t>
            </w:r>
          </w:p>
        </w:tc>
        <w:tc>
          <w:tcPr>
            <w:tcW w:w="631" w:type="dxa"/>
          </w:tcPr>
          <w:p w14:paraId="55D5A38C" w14:textId="7363759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325</w:t>
            </w:r>
          </w:p>
        </w:tc>
        <w:tc>
          <w:tcPr>
            <w:tcW w:w="632" w:type="dxa"/>
          </w:tcPr>
          <w:p w14:paraId="7FF02492" w14:textId="49A3693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355</w:t>
            </w:r>
          </w:p>
        </w:tc>
        <w:tc>
          <w:tcPr>
            <w:tcW w:w="631" w:type="dxa"/>
          </w:tcPr>
          <w:p w14:paraId="3AB7F8C3" w14:textId="1D09305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400</w:t>
            </w:r>
          </w:p>
        </w:tc>
        <w:tc>
          <w:tcPr>
            <w:tcW w:w="631" w:type="dxa"/>
          </w:tcPr>
          <w:p w14:paraId="3ECF3744" w14:textId="049031A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425</w:t>
            </w:r>
          </w:p>
        </w:tc>
        <w:tc>
          <w:tcPr>
            <w:tcW w:w="632" w:type="dxa"/>
          </w:tcPr>
          <w:p w14:paraId="2E881128" w14:textId="2ACDA86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480</w:t>
            </w:r>
          </w:p>
        </w:tc>
        <w:tc>
          <w:tcPr>
            <w:tcW w:w="631" w:type="dxa"/>
          </w:tcPr>
          <w:p w14:paraId="35070320" w14:textId="2EC2AEB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520</w:t>
            </w:r>
          </w:p>
        </w:tc>
        <w:tc>
          <w:tcPr>
            <w:tcW w:w="631" w:type="dxa"/>
          </w:tcPr>
          <w:p w14:paraId="690FA310" w14:textId="7DB4A16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560</w:t>
            </w:r>
          </w:p>
        </w:tc>
        <w:tc>
          <w:tcPr>
            <w:tcW w:w="632" w:type="dxa"/>
          </w:tcPr>
          <w:p w14:paraId="17EF7EBF" w14:textId="159FE15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589</w:t>
            </w:r>
          </w:p>
        </w:tc>
        <w:tc>
          <w:tcPr>
            <w:tcW w:w="631" w:type="dxa"/>
          </w:tcPr>
          <w:p w14:paraId="59DE285F" w14:textId="31950EB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610</w:t>
            </w:r>
          </w:p>
        </w:tc>
        <w:tc>
          <w:tcPr>
            <w:tcW w:w="632" w:type="dxa"/>
            <w:gridSpan w:val="2"/>
          </w:tcPr>
          <w:p w14:paraId="3ABFAD30" w14:textId="3E6348B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620</w:t>
            </w:r>
          </w:p>
        </w:tc>
      </w:tr>
      <w:tr w:rsidR="00E92FF5" w:rsidRPr="00AE15F6" w14:paraId="5AB9EAE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E8D3619" w14:textId="3B792967" w:rsidR="00AE15F6" w:rsidRPr="00AE15F6" w:rsidRDefault="00AE15F6" w:rsidP="003B4F97">
            <w:pPr>
              <w:pStyle w:val="Tabletext"/>
            </w:pPr>
            <w:r w:rsidRPr="00AE15F6">
              <w:t>23</w:t>
            </w:r>
          </w:p>
        </w:tc>
        <w:tc>
          <w:tcPr>
            <w:tcW w:w="945" w:type="dxa"/>
          </w:tcPr>
          <w:p w14:paraId="2A611714" w14:textId="323637E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376</w:t>
            </w:r>
          </w:p>
        </w:tc>
        <w:tc>
          <w:tcPr>
            <w:tcW w:w="1276" w:type="dxa"/>
          </w:tcPr>
          <w:p w14:paraId="69BF245E" w14:textId="650C3AF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558 (89)</w:t>
            </w:r>
          </w:p>
        </w:tc>
        <w:tc>
          <w:tcPr>
            <w:tcW w:w="631" w:type="dxa"/>
          </w:tcPr>
          <w:p w14:paraId="64E31CA3" w14:textId="213EF49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320</w:t>
            </w:r>
          </w:p>
        </w:tc>
        <w:tc>
          <w:tcPr>
            <w:tcW w:w="631" w:type="dxa"/>
          </w:tcPr>
          <w:p w14:paraId="77CE8808" w14:textId="073A1D0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375</w:t>
            </w:r>
          </w:p>
        </w:tc>
        <w:tc>
          <w:tcPr>
            <w:tcW w:w="632" w:type="dxa"/>
          </w:tcPr>
          <w:p w14:paraId="49458D8C" w14:textId="5B79272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400</w:t>
            </w:r>
          </w:p>
        </w:tc>
        <w:tc>
          <w:tcPr>
            <w:tcW w:w="631" w:type="dxa"/>
          </w:tcPr>
          <w:p w14:paraId="0C540A68" w14:textId="51E0F70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445</w:t>
            </w:r>
          </w:p>
        </w:tc>
        <w:tc>
          <w:tcPr>
            <w:tcW w:w="631" w:type="dxa"/>
          </w:tcPr>
          <w:p w14:paraId="0F1FE365" w14:textId="3E72009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506</w:t>
            </w:r>
          </w:p>
        </w:tc>
        <w:tc>
          <w:tcPr>
            <w:tcW w:w="632" w:type="dxa"/>
          </w:tcPr>
          <w:p w14:paraId="5563423A" w14:textId="368E79E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560</w:t>
            </w:r>
          </w:p>
        </w:tc>
        <w:tc>
          <w:tcPr>
            <w:tcW w:w="631" w:type="dxa"/>
          </w:tcPr>
          <w:p w14:paraId="5BF08F2C" w14:textId="12E757D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615</w:t>
            </w:r>
          </w:p>
        </w:tc>
        <w:tc>
          <w:tcPr>
            <w:tcW w:w="631" w:type="dxa"/>
          </w:tcPr>
          <w:p w14:paraId="36B17E9A" w14:textId="5022243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660</w:t>
            </w:r>
          </w:p>
        </w:tc>
        <w:tc>
          <w:tcPr>
            <w:tcW w:w="632" w:type="dxa"/>
          </w:tcPr>
          <w:p w14:paraId="525297D6" w14:textId="48D4C3B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700</w:t>
            </w:r>
          </w:p>
        </w:tc>
        <w:tc>
          <w:tcPr>
            <w:tcW w:w="631" w:type="dxa"/>
          </w:tcPr>
          <w:p w14:paraId="4597C7EE" w14:textId="256482D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725</w:t>
            </w:r>
          </w:p>
        </w:tc>
        <w:tc>
          <w:tcPr>
            <w:tcW w:w="632" w:type="dxa"/>
            <w:gridSpan w:val="2"/>
          </w:tcPr>
          <w:p w14:paraId="6ADDD178" w14:textId="1BFB6F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800</w:t>
            </w:r>
          </w:p>
        </w:tc>
      </w:tr>
      <w:tr w:rsidR="00E92FF5" w:rsidRPr="00AE15F6" w14:paraId="039A9A49"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7F17410" w14:textId="17E331B6" w:rsidR="00AE15F6" w:rsidRPr="00AE15F6" w:rsidRDefault="00AE15F6" w:rsidP="003B4F97">
            <w:pPr>
              <w:pStyle w:val="Tabletext"/>
            </w:pPr>
            <w:r w:rsidRPr="00AE15F6">
              <w:t>24</w:t>
            </w:r>
          </w:p>
        </w:tc>
        <w:tc>
          <w:tcPr>
            <w:tcW w:w="945" w:type="dxa"/>
          </w:tcPr>
          <w:p w14:paraId="54FE5065" w14:textId="01F6DC1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528</w:t>
            </w:r>
          </w:p>
        </w:tc>
        <w:tc>
          <w:tcPr>
            <w:tcW w:w="1276" w:type="dxa"/>
          </w:tcPr>
          <w:p w14:paraId="3B5F1094" w14:textId="766681C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637 (95)</w:t>
            </w:r>
          </w:p>
        </w:tc>
        <w:tc>
          <w:tcPr>
            <w:tcW w:w="631" w:type="dxa"/>
          </w:tcPr>
          <w:p w14:paraId="490BC818" w14:textId="558D68D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380</w:t>
            </w:r>
          </w:p>
        </w:tc>
        <w:tc>
          <w:tcPr>
            <w:tcW w:w="631" w:type="dxa"/>
          </w:tcPr>
          <w:p w14:paraId="640821C0" w14:textId="2CFBDDD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430</w:t>
            </w:r>
          </w:p>
        </w:tc>
        <w:tc>
          <w:tcPr>
            <w:tcW w:w="632" w:type="dxa"/>
          </w:tcPr>
          <w:p w14:paraId="2703A535" w14:textId="557A63D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480</w:t>
            </w:r>
          </w:p>
        </w:tc>
        <w:tc>
          <w:tcPr>
            <w:tcW w:w="631" w:type="dxa"/>
          </w:tcPr>
          <w:p w14:paraId="51E5AFA7" w14:textId="5355D83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520</w:t>
            </w:r>
          </w:p>
        </w:tc>
        <w:tc>
          <w:tcPr>
            <w:tcW w:w="631" w:type="dxa"/>
          </w:tcPr>
          <w:p w14:paraId="73908BDB" w14:textId="1F53D7D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580</w:t>
            </w:r>
          </w:p>
        </w:tc>
        <w:tc>
          <w:tcPr>
            <w:tcW w:w="632" w:type="dxa"/>
          </w:tcPr>
          <w:p w14:paraId="0B5249DF" w14:textId="6E8D5A7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641</w:t>
            </w:r>
          </w:p>
        </w:tc>
        <w:tc>
          <w:tcPr>
            <w:tcW w:w="631" w:type="dxa"/>
          </w:tcPr>
          <w:p w14:paraId="6EE8A67B" w14:textId="3FD4092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700</w:t>
            </w:r>
          </w:p>
        </w:tc>
        <w:tc>
          <w:tcPr>
            <w:tcW w:w="631" w:type="dxa"/>
          </w:tcPr>
          <w:p w14:paraId="6E47BEE8" w14:textId="4470F90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754</w:t>
            </w:r>
          </w:p>
        </w:tc>
        <w:tc>
          <w:tcPr>
            <w:tcW w:w="632" w:type="dxa"/>
          </w:tcPr>
          <w:p w14:paraId="5173BECB" w14:textId="3D0F9C0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793</w:t>
            </w:r>
          </w:p>
        </w:tc>
        <w:tc>
          <w:tcPr>
            <w:tcW w:w="631" w:type="dxa"/>
          </w:tcPr>
          <w:p w14:paraId="606B5CF8" w14:textId="1AE086E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815</w:t>
            </w:r>
          </w:p>
        </w:tc>
        <w:tc>
          <w:tcPr>
            <w:tcW w:w="632" w:type="dxa"/>
            <w:gridSpan w:val="2"/>
          </w:tcPr>
          <w:p w14:paraId="11DA6D2A" w14:textId="32A398F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860</w:t>
            </w:r>
          </w:p>
        </w:tc>
      </w:tr>
      <w:tr w:rsidR="00E92FF5" w:rsidRPr="00AE15F6" w14:paraId="496E46FD"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5F8AEC13" w14:textId="49302827" w:rsidR="00AE15F6" w:rsidRPr="00AE15F6" w:rsidRDefault="00AE15F6" w:rsidP="003B4F97">
            <w:pPr>
              <w:pStyle w:val="Tabletext"/>
            </w:pPr>
            <w:r w:rsidRPr="00AE15F6">
              <w:t>25</w:t>
            </w:r>
          </w:p>
        </w:tc>
        <w:tc>
          <w:tcPr>
            <w:tcW w:w="945" w:type="dxa"/>
          </w:tcPr>
          <w:p w14:paraId="6F8F8631" w14:textId="578133A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599</w:t>
            </w:r>
          </w:p>
        </w:tc>
        <w:tc>
          <w:tcPr>
            <w:tcW w:w="1276" w:type="dxa"/>
          </w:tcPr>
          <w:p w14:paraId="701BF837" w14:textId="12A6DB6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730 (128)</w:t>
            </w:r>
          </w:p>
        </w:tc>
        <w:tc>
          <w:tcPr>
            <w:tcW w:w="631" w:type="dxa"/>
          </w:tcPr>
          <w:p w14:paraId="7C0E3DE7" w14:textId="263B69B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410</w:t>
            </w:r>
          </w:p>
        </w:tc>
        <w:tc>
          <w:tcPr>
            <w:tcW w:w="631" w:type="dxa"/>
          </w:tcPr>
          <w:p w14:paraId="4969C4B9" w14:textId="50544C6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470</w:t>
            </w:r>
          </w:p>
        </w:tc>
        <w:tc>
          <w:tcPr>
            <w:tcW w:w="632" w:type="dxa"/>
          </w:tcPr>
          <w:p w14:paraId="79ACC625" w14:textId="4D03F5F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498</w:t>
            </w:r>
          </w:p>
        </w:tc>
        <w:tc>
          <w:tcPr>
            <w:tcW w:w="631" w:type="dxa"/>
          </w:tcPr>
          <w:p w14:paraId="743A6A95" w14:textId="2BFFE9C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559</w:t>
            </w:r>
          </w:p>
        </w:tc>
        <w:tc>
          <w:tcPr>
            <w:tcW w:w="631" w:type="dxa"/>
          </w:tcPr>
          <w:p w14:paraId="0017BAC3" w14:textId="13B985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645</w:t>
            </w:r>
          </w:p>
        </w:tc>
        <w:tc>
          <w:tcPr>
            <w:tcW w:w="632" w:type="dxa"/>
          </w:tcPr>
          <w:p w14:paraId="29647C38" w14:textId="4F3C231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740</w:t>
            </w:r>
          </w:p>
        </w:tc>
        <w:tc>
          <w:tcPr>
            <w:tcW w:w="631" w:type="dxa"/>
          </w:tcPr>
          <w:p w14:paraId="0EFE3EB9" w14:textId="511BA2D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817</w:t>
            </w:r>
          </w:p>
        </w:tc>
        <w:tc>
          <w:tcPr>
            <w:tcW w:w="631" w:type="dxa"/>
          </w:tcPr>
          <w:p w14:paraId="4AB9002B" w14:textId="2C43F33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884</w:t>
            </w:r>
          </w:p>
        </w:tc>
        <w:tc>
          <w:tcPr>
            <w:tcW w:w="632" w:type="dxa"/>
          </w:tcPr>
          <w:p w14:paraId="36485DF8" w14:textId="45D76E2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940</w:t>
            </w:r>
          </w:p>
        </w:tc>
        <w:tc>
          <w:tcPr>
            <w:tcW w:w="631" w:type="dxa"/>
          </w:tcPr>
          <w:p w14:paraId="1149BF99" w14:textId="74A8FBA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975</w:t>
            </w:r>
          </w:p>
        </w:tc>
        <w:tc>
          <w:tcPr>
            <w:tcW w:w="632" w:type="dxa"/>
            <w:gridSpan w:val="2"/>
          </w:tcPr>
          <w:p w14:paraId="55481584" w14:textId="11CBCFD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992</w:t>
            </w:r>
          </w:p>
        </w:tc>
      </w:tr>
      <w:tr w:rsidR="00E92FF5" w:rsidRPr="00AE15F6" w14:paraId="5F2BE908"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928EA95" w14:textId="4CB4AED9" w:rsidR="00AE15F6" w:rsidRPr="00AE15F6" w:rsidRDefault="00AE15F6" w:rsidP="003B4F97">
            <w:pPr>
              <w:pStyle w:val="Tabletext"/>
            </w:pPr>
            <w:r w:rsidRPr="00AE15F6">
              <w:t>26</w:t>
            </w:r>
          </w:p>
        </w:tc>
        <w:tc>
          <w:tcPr>
            <w:tcW w:w="945" w:type="dxa"/>
          </w:tcPr>
          <w:p w14:paraId="51BC07E1" w14:textId="4AA48C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809</w:t>
            </w:r>
          </w:p>
        </w:tc>
        <w:tc>
          <w:tcPr>
            <w:tcW w:w="1276" w:type="dxa"/>
          </w:tcPr>
          <w:p w14:paraId="358733F5" w14:textId="25BA89B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825 (166)</w:t>
            </w:r>
          </w:p>
        </w:tc>
        <w:tc>
          <w:tcPr>
            <w:tcW w:w="631" w:type="dxa"/>
          </w:tcPr>
          <w:p w14:paraId="1EE10317" w14:textId="0042D56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428</w:t>
            </w:r>
          </w:p>
        </w:tc>
        <w:tc>
          <w:tcPr>
            <w:tcW w:w="631" w:type="dxa"/>
          </w:tcPr>
          <w:p w14:paraId="39404EF7" w14:textId="1F019DA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490</w:t>
            </w:r>
          </w:p>
        </w:tc>
        <w:tc>
          <w:tcPr>
            <w:tcW w:w="632" w:type="dxa"/>
          </w:tcPr>
          <w:p w14:paraId="732229C0" w14:textId="1C0A8D6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520</w:t>
            </w:r>
          </w:p>
        </w:tc>
        <w:tc>
          <w:tcPr>
            <w:tcW w:w="631" w:type="dxa"/>
          </w:tcPr>
          <w:p w14:paraId="00A8AAA8" w14:textId="5BDE857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594</w:t>
            </w:r>
          </w:p>
        </w:tc>
        <w:tc>
          <w:tcPr>
            <w:tcW w:w="631" w:type="dxa"/>
          </w:tcPr>
          <w:p w14:paraId="61A7A4E7" w14:textId="02B263F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717</w:t>
            </w:r>
          </w:p>
        </w:tc>
        <w:tc>
          <w:tcPr>
            <w:tcW w:w="632" w:type="dxa"/>
          </w:tcPr>
          <w:p w14:paraId="776E22C2" w14:textId="10B2F19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840</w:t>
            </w:r>
          </w:p>
        </w:tc>
        <w:tc>
          <w:tcPr>
            <w:tcW w:w="631" w:type="dxa"/>
          </w:tcPr>
          <w:p w14:paraId="573866E9" w14:textId="3BEB4AC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940</w:t>
            </w:r>
          </w:p>
        </w:tc>
        <w:tc>
          <w:tcPr>
            <w:tcW w:w="631" w:type="dxa"/>
          </w:tcPr>
          <w:p w14:paraId="29D0CAFE" w14:textId="3516F5D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026</w:t>
            </w:r>
          </w:p>
        </w:tc>
        <w:tc>
          <w:tcPr>
            <w:tcW w:w="632" w:type="dxa"/>
          </w:tcPr>
          <w:p w14:paraId="4A083DA7" w14:textId="02618FF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072</w:t>
            </w:r>
          </w:p>
        </w:tc>
        <w:tc>
          <w:tcPr>
            <w:tcW w:w="631" w:type="dxa"/>
          </w:tcPr>
          <w:p w14:paraId="3931FF2B" w14:textId="7590438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106</w:t>
            </w:r>
          </w:p>
        </w:tc>
        <w:tc>
          <w:tcPr>
            <w:tcW w:w="632" w:type="dxa"/>
            <w:gridSpan w:val="2"/>
          </w:tcPr>
          <w:p w14:paraId="4E16E3BF" w14:textId="4026A9E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186</w:t>
            </w:r>
          </w:p>
        </w:tc>
      </w:tr>
      <w:tr w:rsidR="00E92FF5" w:rsidRPr="00AE15F6" w14:paraId="3FD13DE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7E50C97F" w14:textId="6CFAFC56" w:rsidR="00AE15F6" w:rsidRPr="00AE15F6" w:rsidRDefault="00AE15F6" w:rsidP="003B4F97">
            <w:pPr>
              <w:pStyle w:val="Tabletext"/>
            </w:pPr>
            <w:r w:rsidRPr="00AE15F6">
              <w:t>27</w:t>
            </w:r>
          </w:p>
        </w:tc>
        <w:tc>
          <w:tcPr>
            <w:tcW w:w="945" w:type="dxa"/>
          </w:tcPr>
          <w:p w14:paraId="7C4F01B9" w14:textId="73AF6F2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879</w:t>
            </w:r>
          </w:p>
        </w:tc>
        <w:tc>
          <w:tcPr>
            <w:tcW w:w="1276" w:type="dxa"/>
          </w:tcPr>
          <w:p w14:paraId="7E020852" w14:textId="2C47BAA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949 (188)</w:t>
            </w:r>
          </w:p>
        </w:tc>
        <w:tc>
          <w:tcPr>
            <w:tcW w:w="631" w:type="dxa"/>
          </w:tcPr>
          <w:p w14:paraId="2F062435" w14:textId="56D16FC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500</w:t>
            </w:r>
          </w:p>
        </w:tc>
        <w:tc>
          <w:tcPr>
            <w:tcW w:w="631" w:type="dxa"/>
          </w:tcPr>
          <w:p w14:paraId="19A7C6D2" w14:textId="3BB981C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568</w:t>
            </w:r>
          </w:p>
        </w:tc>
        <w:tc>
          <w:tcPr>
            <w:tcW w:w="632" w:type="dxa"/>
          </w:tcPr>
          <w:p w14:paraId="5483174B" w14:textId="56B4856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598</w:t>
            </w:r>
          </w:p>
        </w:tc>
        <w:tc>
          <w:tcPr>
            <w:tcW w:w="631" w:type="dxa"/>
          </w:tcPr>
          <w:p w14:paraId="44216A25" w14:textId="666DF57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675</w:t>
            </w:r>
          </w:p>
        </w:tc>
        <w:tc>
          <w:tcPr>
            <w:tcW w:w="631" w:type="dxa"/>
          </w:tcPr>
          <w:p w14:paraId="50F1D55F" w14:textId="236FA40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840</w:t>
            </w:r>
          </w:p>
        </w:tc>
        <w:tc>
          <w:tcPr>
            <w:tcW w:w="632" w:type="dxa"/>
          </w:tcPr>
          <w:p w14:paraId="689385BC" w14:textId="0CF4CF2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965</w:t>
            </w:r>
          </w:p>
        </w:tc>
        <w:tc>
          <w:tcPr>
            <w:tcW w:w="631" w:type="dxa"/>
          </w:tcPr>
          <w:p w14:paraId="7E7E7088" w14:textId="23257F9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077</w:t>
            </w:r>
          </w:p>
        </w:tc>
        <w:tc>
          <w:tcPr>
            <w:tcW w:w="631" w:type="dxa"/>
          </w:tcPr>
          <w:p w14:paraId="53B01F8B" w14:textId="4CE142C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175</w:t>
            </w:r>
          </w:p>
        </w:tc>
        <w:tc>
          <w:tcPr>
            <w:tcW w:w="632" w:type="dxa"/>
          </w:tcPr>
          <w:p w14:paraId="26B7075E" w14:textId="73DBA05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240</w:t>
            </w:r>
          </w:p>
        </w:tc>
        <w:tc>
          <w:tcPr>
            <w:tcW w:w="631" w:type="dxa"/>
          </w:tcPr>
          <w:p w14:paraId="56A25BE4" w14:textId="3A7C7D5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280</w:t>
            </w:r>
          </w:p>
        </w:tc>
        <w:tc>
          <w:tcPr>
            <w:tcW w:w="632" w:type="dxa"/>
            <w:gridSpan w:val="2"/>
          </w:tcPr>
          <w:p w14:paraId="2DAC2341" w14:textId="265176E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390</w:t>
            </w:r>
          </w:p>
        </w:tc>
      </w:tr>
      <w:tr w:rsidR="00E92FF5" w:rsidRPr="00AE15F6" w14:paraId="1BC25B0C"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53B0A1F5" w14:textId="04B98A83" w:rsidR="00AE15F6" w:rsidRPr="00AE15F6" w:rsidRDefault="00AE15F6" w:rsidP="003B4F97">
            <w:pPr>
              <w:pStyle w:val="Tabletext"/>
            </w:pPr>
            <w:r w:rsidRPr="00AE15F6">
              <w:t>28</w:t>
            </w:r>
          </w:p>
        </w:tc>
        <w:tc>
          <w:tcPr>
            <w:tcW w:w="945" w:type="dxa"/>
          </w:tcPr>
          <w:p w14:paraId="3A421CC2" w14:textId="73FA942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136</w:t>
            </w:r>
          </w:p>
        </w:tc>
        <w:tc>
          <w:tcPr>
            <w:tcW w:w="1276" w:type="dxa"/>
          </w:tcPr>
          <w:p w14:paraId="15560669" w14:textId="4E191C6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073 (230)</w:t>
            </w:r>
          </w:p>
        </w:tc>
        <w:tc>
          <w:tcPr>
            <w:tcW w:w="631" w:type="dxa"/>
          </w:tcPr>
          <w:p w14:paraId="2040AC02" w14:textId="73EEA43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495</w:t>
            </w:r>
          </w:p>
        </w:tc>
        <w:tc>
          <w:tcPr>
            <w:tcW w:w="631" w:type="dxa"/>
          </w:tcPr>
          <w:p w14:paraId="6C13959A" w14:textId="251EBC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622</w:t>
            </w:r>
          </w:p>
        </w:tc>
        <w:tc>
          <w:tcPr>
            <w:tcW w:w="632" w:type="dxa"/>
          </w:tcPr>
          <w:p w14:paraId="465F1CB9" w14:textId="2744AB5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675</w:t>
            </w:r>
          </w:p>
        </w:tc>
        <w:tc>
          <w:tcPr>
            <w:tcW w:w="631" w:type="dxa"/>
          </w:tcPr>
          <w:p w14:paraId="49DDAEB6" w14:textId="106E37B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764</w:t>
            </w:r>
          </w:p>
        </w:tc>
        <w:tc>
          <w:tcPr>
            <w:tcW w:w="631" w:type="dxa"/>
          </w:tcPr>
          <w:p w14:paraId="58845D39" w14:textId="6F5C65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928</w:t>
            </w:r>
          </w:p>
        </w:tc>
        <w:tc>
          <w:tcPr>
            <w:tcW w:w="632" w:type="dxa"/>
          </w:tcPr>
          <w:p w14:paraId="68F93D21" w14:textId="5A54020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090</w:t>
            </w:r>
          </w:p>
        </w:tc>
        <w:tc>
          <w:tcPr>
            <w:tcW w:w="631" w:type="dxa"/>
          </w:tcPr>
          <w:p w14:paraId="3CAB0AA2" w14:textId="709D89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230</w:t>
            </w:r>
          </w:p>
        </w:tc>
        <w:tc>
          <w:tcPr>
            <w:tcW w:w="631" w:type="dxa"/>
          </w:tcPr>
          <w:p w14:paraId="08C3B50F" w14:textId="78CC46D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347</w:t>
            </w:r>
          </w:p>
        </w:tc>
        <w:tc>
          <w:tcPr>
            <w:tcW w:w="632" w:type="dxa"/>
          </w:tcPr>
          <w:p w14:paraId="5705A982" w14:textId="4BA3CFC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410</w:t>
            </w:r>
          </w:p>
        </w:tc>
        <w:tc>
          <w:tcPr>
            <w:tcW w:w="631" w:type="dxa"/>
          </w:tcPr>
          <w:p w14:paraId="0F44CEC0" w14:textId="54E276C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470</w:t>
            </w:r>
          </w:p>
        </w:tc>
        <w:tc>
          <w:tcPr>
            <w:tcW w:w="632" w:type="dxa"/>
            <w:gridSpan w:val="2"/>
          </w:tcPr>
          <w:p w14:paraId="5DBC4C27" w14:textId="1E4AA62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610</w:t>
            </w:r>
          </w:p>
        </w:tc>
      </w:tr>
      <w:tr w:rsidR="00E92FF5" w:rsidRPr="00AE15F6" w14:paraId="484A2948"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7E59D69" w14:textId="30EAEE87" w:rsidR="00AE15F6" w:rsidRPr="00AE15F6" w:rsidRDefault="00AE15F6" w:rsidP="003B4F97">
            <w:pPr>
              <w:pStyle w:val="Tabletext"/>
            </w:pPr>
            <w:r w:rsidRPr="00AE15F6">
              <w:t>29</w:t>
            </w:r>
          </w:p>
        </w:tc>
        <w:tc>
          <w:tcPr>
            <w:tcW w:w="945" w:type="dxa"/>
          </w:tcPr>
          <w:p w14:paraId="0ED48237" w14:textId="3C78070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188</w:t>
            </w:r>
          </w:p>
        </w:tc>
        <w:tc>
          <w:tcPr>
            <w:tcW w:w="1276" w:type="dxa"/>
          </w:tcPr>
          <w:p w14:paraId="09942CE2" w14:textId="346469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215 (252)</w:t>
            </w:r>
          </w:p>
        </w:tc>
        <w:tc>
          <w:tcPr>
            <w:tcW w:w="631" w:type="dxa"/>
          </w:tcPr>
          <w:p w14:paraId="148A96B9" w14:textId="10E444E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572</w:t>
            </w:r>
          </w:p>
        </w:tc>
        <w:tc>
          <w:tcPr>
            <w:tcW w:w="631" w:type="dxa"/>
          </w:tcPr>
          <w:p w14:paraId="23C4E8A9" w14:textId="2035384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712</w:t>
            </w:r>
          </w:p>
        </w:tc>
        <w:tc>
          <w:tcPr>
            <w:tcW w:w="632" w:type="dxa"/>
          </w:tcPr>
          <w:p w14:paraId="541E70BD" w14:textId="34BDB3A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790</w:t>
            </w:r>
          </w:p>
        </w:tc>
        <w:tc>
          <w:tcPr>
            <w:tcW w:w="631" w:type="dxa"/>
          </w:tcPr>
          <w:p w14:paraId="2ED7D83B" w14:textId="6CA19A5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870</w:t>
            </w:r>
          </w:p>
        </w:tc>
        <w:tc>
          <w:tcPr>
            <w:tcW w:w="631" w:type="dxa"/>
          </w:tcPr>
          <w:p w14:paraId="298F138C" w14:textId="7884590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055</w:t>
            </w:r>
          </w:p>
        </w:tc>
        <w:tc>
          <w:tcPr>
            <w:tcW w:w="632" w:type="dxa"/>
          </w:tcPr>
          <w:p w14:paraId="70ED999A" w14:textId="63DFA48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240</w:t>
            </w:r>
          </w:p>
        </w:tc>
        <w:tc>
          <w:tcPr>
            <w:tcW w:w="631" w:type="dxa"/>
          </w:tcPr>
          <w:p w14:paraId="662AAE8A" w14:textId="66A247F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380</w:t>
            </w:r>
          </w:p>
        </w:tc>
        <w:tc>
          <w:tcPr>
            <w:tcW w:w="631" w:type="dxa"/>
          </w:tcPr>
          <w:p w14:paraId="0E76DF3E" w14:textId="4FC7029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494</w:t>
            </w:r>
          </w:p>
        </w:tc>
        <w:tc>
          <w:tcPr>
            <w:tcW w:w="632" w:type="dxa"/>
          </w:tcPr>
          <w:p w14:paraId="015F11B6" w14:textId="6666D47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595</w:t>
            </w:r>
          </w:p>
        </w:tc>
        <w:tc>
          <w:tcPr>
            <w:tcW w:w="631" w:type="dxa"/>
          </w:tcPr>
          <w:p w14:paraId="373731D5" w14:textId="0EF4C01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680</w:t>
            </w:r>
          </w:p>
        </w:tc>
        <w:tc>
          <w:tcPr>
            <w:tcW w:w="632" w:type="dxa"/>
            <w:gridSpan w:val="2"/>
          </w:tcPr>
          <w:p w14:paraId="5B7F937E" w14:textId="30D3F44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840</w:t>
            </w:r>
          </w:p>
        </w:tc>
      </w:tr>
      <w:tr w:rsidR="00E92FF5" w:rsidRPr="00AE15F6" w14:paraId="48E87F6B"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706E035" w14:textId="0FA07992" w:rsidR="00AE15F6" w:rsidRPr="00AE15F6" w:rsidRDefault="00AE15F6" w:rsidP="003B4F97">
            <w:pPr>
              <w:pStyle w:val="Tabletext"/>
            </w:pPr>
            <w:r w:rsidRPr="00AE15F6">
              <w:t>30</w:t>
            </w:r>
          </w:p>
        </w:tc>
        <w:tc>
          <w:tcPr>
            <w:tcW w:w="945" w:type="dxa"/>
          </w:tcPr>
          <w:p w14:paraId="1DD41691" w14:textId="4C1B237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656</w:t>
            </w:r>
          </w:p>
        </w:tc>
        <w:tc>
          <w:tcPr>
            <w:tcW w:w="1276" w:type="dxa"/>
          </w:tcPr>
          <w:p w14:paraId="6C726CD3" w14:textId="0B3BD89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394 (277)</w:t>
            </w:r>
          </w:p>
        </w:tc>
        <w:tc>
          <w:tcPr>
            <w:tcW w:w="631" w:type="dxa"/>
          </w:tcPr>
          <w:p w14:paraId="7CC5C4AC" w14:textId="401DC2C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725</w:t>
            </w:r>
          </w:p>
        </w:tc>
        <w:tc>
          <w:tcPr>
            <w:tcW w:w="631" w:type="dxa"/>
          </w:tcPr>
          <w:p w14:paraId="4A16FB96" w14:textId="50C5708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870</w:t>
            </w:r>
          </w:p>
        </w:tc>
        <w:tc>
          <w:tcPr>
            <w:tcW w:w="632" w:type="dxa"/>
          </w:tcPr>
          <w:p w14:paraId="6EBE8221" w14:textId="4179F18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918</w:t>
            </w:r>
          </w:p>
        </w:tc>
        <w:tc>
          <w:tcPr>
            <w:tcW w:w="631" w:type="dxa"/>
          </w:tcPr>
          <w:p w14:paraId="1D93279F" w14:textId="707DEED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030</w:t>
            </w:r>
          </w:p>
        </w:tc>
        <w:tc>
          <w:tcPr>
            <w:tcW w:w="631" w:type="dxa"/>
          </w:tcPr>
          <w:p w14:paraId="3163CD83" w14:textId="085968D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220</w:t>
            </w:r>
          </w:p>
        </w:tc>
        <w:tc>
          <w:tcPr>
            <w:tcW w:w="632" w:type="dxa"/>
          </w:tcPr>
          <w:p w14:paraId="5CCFF0C2" w14:textId="15B7E04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400</w:t>
            </w:r>
          </w:p>
        </w:tc>
        <w:tc>
          <w:tcPr>
            <w:tcW w:w="631" w:type="dxa"/>
          </w:tcPr>
          <w:p w14:paraId="305417F9" w14:textId="7AB0E4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571</w:t>
            </w:r>
          </w:p>
        </w:tc>
        <w:tc>
          <w:tcPr>
            <w:tcW w:w="631" w:type="dxa"/>
          </w:tcPr>
          <w:p w14:paraId="2528689A" w14:textId="20BC57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715</w:t>
            </w:r>
          </w:p>
        </w:tc>
        <w:tc>
          <w:tcPr>
            <w:tcW w:w="632" w:type="dxa"/>
          </w:tcPr>
          <w:p w14:paraId="1A4197D1" w14:textId="11F2BF6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840</w:t>
            </w:r>
          </w:p>
        </w:tc>
        <w:tc>
          <w:tcPr>
            <w:tcW w:w="631" w:type="dxa"/>
          </w:tcPr>
          <w:p w14:paraId="6169E56C" w14:textId="5E7AD50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920</w:t>
            </w:r>
          </w:p>
        </w:tc>
        <w:tc>
          <w:tcPr>
            <w:tcW w:w="632" w:type="dxa"/>
            <w:gridSpan w:val="2"/>
          </w:tcPr>
          <w:p w14:paraId="3693386D" w14:textId="4E4F8C7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130</w:t>
            </w:r>
          </w:p>
        </w:tc>
      </w:tr>
      <w:tr w:rsidR="00E92FF5" w:rsidRPr="00AE15F6" w14:paraId="260BB46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4CDC1C17" w14:textId="4AFAB42D" w:rsidR="00AE15F6" w:rsidRPr="00AE15F6" w:rsidRDefault="00AE15F6" w:rsidP="003B4F97">
            <w:pPr>
              <w:pStyle w:val="Tabletext"/>
            </w:pPr>
            <w:r w:rsidRPr="00AE15F6">
              <w:t>31</w:t>
            </w:r>
          </w:p>
        </w:tc>
        <w:tc>
          <w:tcPr>
            <w:tcW w:w="945" w:type="dxa"/>
          </w:tcPr>
          <w:p w14:paraId="332E71C0" w14:textId="482CD4F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052</w:t>
            </w:r>
          </w:p>
        </w:tc>
        <w:tc>
          <w:tcPr>
            <w:tcW w:w="1276" w:type="dxa"/>
          </w:tcPr>
          <w:p w14:paraId="17CEB2F6" w14:textId="11F090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582 (302)</w:t>
            </w:r>
          </w:p>
        </w:tc>
        <w:tc>
          <w:tcPr>
            <w:tcW w:w="631" w:type="dxa"/>
          </w:tcPr>
          <w:p w14:paraId="6FB44388" w14:textId="2F0231C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880</w:t>
            </w:r>
          </w:p>
        </w:tc>
        <w:tc>
          <w:tcPr>
            <w:tcW w:w="631" w:type="dxa"/>
          </w:tcPr>
          <w:p w14:paraId="718FB323" w14:textId="1341E5D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000</w:t>
            </w:r>
          </w:p>
        </w:tc>
        <w:tc>
          <w:tcPr>
            <w:tcW w:w="632" w:type="dxa"/>
          </w:tcPr>
          <w:p w14:paraId="30D833F0" w14:textId="552BB2B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060</w:t>
            </w:r>
          </w:p>
        </w:tc>
        <w:tc>
          <w:tcPr>
            <w:tcW w:w="631" w:type="dxa"/>
          </w:tcPr>
          <w:p w14:paraId="714D3927" w14:textId="2A40F73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190</w:t>
            </w:r>
          </w:p>
        </w:tc>
        <w:tc>
          <w:tcPr>
            <w:tcW w:w="631" w:type="dxa"/>
          </w:tcPr>
          <w:p w14:paraId="3A968B7F" w14:textId="6917082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385</w:t>
            </w:r>
          </w:p>
        </w:tc>
        <w:tc>
          <w:tcPr>
            <w:tcW w:w="632" w:type="dxa"/>
          </w:tcPr>
          <w:p w14:paraId="3C726A91" w14:textId="4A22F83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590</w:t>
            </w:r>
          </w:p>
        </w:tc>
        <w:tc>
          <w:tcPr>
            <w:tcW w:w="631" w:type="dxa"/>
          </w:tcPr>
          <w:p w14:paraId="0C6F17F1" w14:textId="6F39997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780</w:t>
            </w:r>
          </w:p>
        </w:tc>
        <w:tc>
          <w:tcPr>
            <w:tcW w:w="631" w:type="dxa"/>
          </w:tcPr>
          <w:p w14:paraId="1CF6352C" w14:textId="7466ED1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948</w:t>
            </w:r>
          </w:p>
        </w:tc>
        <w:tc>
          <w:tcPr>
            <w:tcW w:w="632" w:type="dxa"/>
          </w:tcPr>
          <w:p w14:paraId="2C628A70" w14:textId="28A51C1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065</w:t>
            </w:r>
          </w:p>
        </w:tc>
        <w:tc>
          <w:tcPr>
            <w:tcW w:w="631" w:type="dxa"/>
          </w:tcPr>
          <w:p w14:paraId="5B65C008" w14:textId="294A513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146</w:t>
            </w:r>
          </w:p>
        </w:tc>
        <w:tc>
          <w:tcPr>
            <w:tcW w:w="632" w:type="dxa"/>
            <w:gridSpan w:val="2"/>
          </w:tcPr>
          <w:p w14:paraId="6984C879" w14:textId="5CCD1D1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338</w:t>
            </w:r>
          </w:p>
        </w:tc>
      </w:tr>
      <w:tr w:rsidR="00E92FF5" w:rsidRPr="00AE15F6" w14:paraId="247AADB4"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4BEB8372" w14:textId="0521ABAA" w:rsidR="00AE15F6" w:rsidRPr="00AE15F6" w:rsidRDefault="00AE15F6" w:rsidP="003B4F97">
            <w:pPr>
              <w:pStyle w:val="Tabletext"/>
            </w:pPr>
            <w:r w:rsidRPr="00AE15F6">
              <w:t>32</w:t>
            </w:r>
          </w:p>
        </w:tc>
        <w:tc>
          <w:tcPr>
            <w:tcW w:w="945" w:type="dxa"/>
          </w:tcPr>
          <w:p w14:paraId="251E7F10" w14:textId="7AF2D2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119</w:t>
            </w:r>
          </w:p>
        </w:tc>
        <w:tc>
          <w:tcPr>
            <w:tcW w:w="1276" w:type="dxa"/>
          </w:tcPr>
          <w:p w14:paraId="1DFD49B4" w14:textId="54DD322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772 (322)</w:t>
            </w:r>
          </w:p>
        </w:tc>
        <w:tc>
          <w:tcPr>
            <w:tcW w:w="631" w:type="dxa"/>
          </w:tcPr>
          <w:p w14:paraId="19013D68" w14:textId="478AABE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970</w:t>
            </w:r>
          </w:p>
        </w:tc>
        <w:tc>
          <w:tcPr>
            <w:tcW w:w="631" w:type="dxa"/>
          </w:tcPr>
          <w:p w14:paraId="5F9D8F67" w14:textId="621C0EA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140</w:t>
            </w:r>
          </w:p>
        </w:tc>
        <w:tc>
          <w:tcPr>
            <w:tcW w:w="632" w:type="dxa"/>
          </w:tcPr>
          <w:p w14:paraId="3A934D57" w14:textId="087506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230</w:t>
            </w:r>
          </w:p>
        </w:tc>
        <w:tc>
          <w:tcPr>
            <w:tcW w:w="631" w:type="dxa"/>
          </w:tcPr>
          <w:p w14:paraId="400AE42A" w14:textId="1958C08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348</w:t>
            </w:r>
          </w:p>
        </w:tc>
        <w:tc>
          <w:tcPr>
            <w:tcW w:w="631" w:type="dxa"/>
          </w:tcPr>
          <w:p w14:paraId="7CDFE5C3" w14:textId="33A054B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570</w:t>
            </w:r>
          </w:p>
        </w:tc>
        <w:tc>
          <w:tcPr>
            <w:tcW w:w="632" w:type="dxa"/>
          </w:tcPr>
          <w:p w14:paraId="347E671F" w14:textId="3A98AD8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780</w:t>
            </w:r>
          </w:p>
        </w:tc>
        <w:tc>
          <w:tcPr>
            <w:tcW w:w="631" w:type="dxa"/>
          </w:tcPr>
          <w:p w14:paraId="7046DEB6" w14:textId="0FC194B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970</w:t>
            </w:r>
          </w:p>
        </w:tc>
        <w:tc>
          <w:tcPr>
            <w:tcW w:w="631" w:type="dxa"/>
          </w:tcPr>
          <w:p w14:paraId="69DACCC6" w14:textId="2BA196D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170</w:t>
            </w:r>
          </w:p>
        </w:tc>
        <w:tc>
          <w:tcPr>
            <w:tcW w:w="632" w:type="dxa"/>
          </w:tcPr>
          <w:p w14:paraId="09EEAE10" w14:textId="6133AA7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290</w:t>
            </w:r>
          </w:p>
        </w:tc>
        <w:tc>
          <w:tcPr>
            <w:tcW w:w="631" w:type="dxa"/>
          </w:tcPr>
          <w:p w14:paraId="24983F08" w14:textId="0FEF066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400</w:t>
            </w:r>
          </w:p>
        </w:tc>
        <w:tc>
          <w:tcPr>
            <w:tcW w:w="632" w:type="dxa"/>
            <w:gridSpan w:val="2"/>
          </w:tcPr>
          <w:p w14:paraId="7FB6D79D" w14:textId="43E2672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620</w:t>
            </w:r>
          </w:p>
        </w:tc>
      </w:tr>
      <w:tr w:rsidR="00E92FF5" w:rsidRPr="00AE15F6" w14:paraId="77F43B9D"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BD3287E" w14:textId="56F12574" w:rsidR="00AE15F6" w:rsidRPr="00AE15F6" w:rsidRDefault="00AE15F6" w:rsidP="003B4F97">
            <w:pPr>
              <w:pStyle w:val="Tabletext"/>
            </w:pPr>
            <w:r w:rsidRPr="00AE15F6">
              <w:t>33</w:t>
            </w:r>
          </w:p>
        </w:tc>
        <w:tc>
          <w:tcPr>
            <w:tcW w:w="945" w:type="dxa"/>
          </w:tcPr>
          <w:p w14:paraId="2EC52B7D" w14:textId="508E293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421</w:t>
            </w:r>
          </w:p>
        </w:tc>
        <w:tc>
          <w:tcPr>
            <w:tcW w:w="1276" w:type="dxa"/>
          </w:tcPr>
          <w:p w14:paraId="5D221959" w14:textId="44D96A3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014 (356)</w:t>
            </w:r>
          </w:p>
        </w:tc>
        <w:tc>
          <w:tcPr>
            <w:tcW w:w="631" w:type="dxa"/>
          </w:tcPr>
          <w:p w14:paraId="00335B5B" w14:textId="5E4B39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180</w:t>
            </w:r>
          </w:p>
        </w:tc>
        <w:tc>
          <w:tcPr>
            <w:tcW w:w="631" w:type="dxa"/>
          </w:tcPr>
          <w:p w14:paraId="4D445460" w14:textId="696BCFF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330</w:t>
            </w:r>
          </w:p>
        </w:tc>
        <w:tc>
          <w:tcPr>
            <w:tcW w:w="632" w:type="dxa"/>
          </w:tcPr>
          <w:p w14:paraId="5165C80F" w14:textId="0C998A8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424</w:t>
            </w:r>
          </w:p>
        </w:tc>
        <w:tc>
          <w:tcPr>
            <w:tcW w:w="631" w:type="dxa"/>
          </w:tcPr>
          <w:p w14:paraId="48B8BFDD" w14:textId="7CDF338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560</w:t>
            </w:r>
          </w:p>
        </w:tc>
        <w:tc>
          <w:tcPr>
            <w:tcW w:w="631" w:type="dxa"/>
          </w:tcPr>
          <w:p w14:paraId="72A56802" w14:textId="28DE280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790</w:t>
            </w:r>
          </w:p>
        </w:tc>
        <w:tc>
          <w:tcPr>
            <w:tcW w:w="632" w:type="dxa"/>
          </w:tcPr>
          <w:p w14:paraId="4E94160D" w14:textId="0E459DD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011</w:t>
            </w:r>
          </w:p>
        </w:tc>
        <w:tc>
          <w:tcPr>
            <w:tcW w:w="631" w:type="dxa"/>
          </w:tcPr>
          <w:p w14:paraId="221EDE58" w14:textId="10722D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235</w:t>
            </w:r>
          </w:p>
        </w:tc>
        <w:tc>
          <w:tcPr>
            <w:tcW w:w="631" w:type="dxa"/>
          </w:tcPr>
          <w:p w14:paraId="1544A5D8" w14:textId="7124A51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450</w:t>
            </w:r>
          </w:p>
        </w:tc>
        <w:tc>
          <w:tcPr>
            <w:tcW w:w="632" w:type="dxa"/>
          </w:tcPr>
          <w:p w14:paraId="059B1B13" w14:textId="161FB11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616</w:t>
            </w:r>
          </w:p>
        </w:tc>
        <w:tc>
          <w:tcPr>
            <w:tcW w:w="631" w:type="dxa"/>
          </w:tcPr>
          <w:p w14:paraId="2A6A65F2" w14:textId="5FD664A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746</w:t>
            </w:r>
          </w:p>
        </w:tc>
        <w:tc>
          <w:tcPr>
            <w:tcW w:w="632" w:type="dxa"/>
            <w:gridSpan w:val="2"/>
          </w:tcPr>
          <w:p w14:paraId="4ED5B7AD" w14:textId="5F9C34E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970</w:t>
            </w:r>
          </w:p>
        </w:tc>
      </w:tr>
      <w:tr w:rsidR="00E92FF5" w:rsidRPr="00AE15F6" w14:paraId="79C4198E"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763BE52D" w14:textId="5AA27EE2" w:rsidR="00AE15F6" w:rsidRPr="00AE15F6" w:rsidRDefault="00AE15F6" w:rsidP="003B4F97">
            <w:pPr>
              <w:pStyle w:val="Tabletext"/>
            </w:pPr>
            <w:r w:rsidRPr="00AE15F6">
              <w:t>34</w:t>
            </w:r>
          </w:p>
        </w:tc>
        <w:tc>
          <w:tcPr>
            <w:tcW w:w="945" w:type="dxa"/>
          </w:tcPr>
          <w:p w14:paraId="72D3DADE" w14:textId="78CEF6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w:t>
            </w:r>
            <w:r w:rsidR="00E92FF5">
              <w:t>,</w:t>
            </w:r>
            <w:r w:rsidRPr="00AE15F6">
              <w:t>108</w:t>
            </w:r>
          </w:p>
        </w:tc>
        <w:tc>
          <w:tcPr>
            <w:tcW w:w="1276" w:type="dxa"/>
          </w:tcPr>
          <w:p w14:paraId="448069AA" w14:textId="63CBAED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242 (375)</w:t>
            </w:r>
          </w:p>
        </w:tc>
        <w:tc>
          <w:tcPr>
            <w:tcW w:w="631" w:type="dxa"/>
          </w:tcPr>
          <w:p w14:paraId="0D6271B5" w14:textId="06DB120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331</w:t>
            </w:r>
          </w:p>
        </w:tc>
        <w:tc>
          <w:tcPr>
            <w:tcW w:w="631" w:type="dxa"/>
          </w:tcPr>
          <w:p w14:paraId="14B0E328" w14:textId="6815739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525</w:t>
            </w:r>
          </w:p>
        </w:tc>
        <w:tc>
          <w:tcPr>
            <w:tcW w:w="632" w:type="dxa"/>
          </w:tcPr>
          <w:p w14:paraId="6107240F" w14:textId="796316A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615</w:t>
            </w:r>
          </w:p>
        </w:tc>
        <w:tc>
          <w:tcPr>
            <w:tcW w:w="631" w:type="dxa"/>
          </w:tcPr>
          <w:p w14:paraId="69FF4BEF" w14:textId="19C8307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764</w:t>
            </w:r>
          </w:p>
        </w:tc>
        <w:tc>
          <w:tcPr>
            <w:tcW w:w="631" w:type="dxa"/>
          </w:tcPr>
          <w:p w14:paraId="0210ECAA" w14:textId="6DB2559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005</w:t>
            </w:r>
          </w:p>
        </w:tc>
        <w:tc>
          <w:tcPr>
            <w:tcW w:w="632" w:type="dxa"/>
          </w:tcPr>
          <w:p w14:paraId="5E53EB41" w14:textId="1FC5D2E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240</w:t>
            </w:r>
          </w:p>
        </w:tc>
        <w:tc>
          <w:tcPr>
            <w:tcW w:w="631" w:type="dxa"/>
          </w:tcPr>
          <w:p w14:paraId="547510FA" w14:textId="073A3B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470</w:t>
            </w:r>
          </w:p>
        </w:tc>
        <w:tc>
          <w:tcPr>
            <w:tcW w:w="631" w:type="dxa"/>
          </w:tcPr>
          <w:p w14:paraId="2A193B09" w14:textId="25DDA41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705</w:t>
            </w:r>
          </w:p>
        </w:tc>
        <w:tc>
          <w:tcPr>
            <w:tcW w:w="632" w:type="dxa"/>
          </w:tcPr>
          <w:p w14:paraId="24FA978C" w14:textId="58D862C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870</w:t>
            </w:r>
          </w:p>
        </w:tc>
        <w:tc>
          <w:tcPr>
            <w:tcW w:w="631" w:type="dxa"/>
          </w:tcPr>
          <w:p w14:paraId="3C949014" w14:textId="3EDF56F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995</w:t>
            </w:r>
          </w:p>
        </w:tc>
        <w:tc>
          <w:tcPr>
            <w:tcW w:w="632" w:type="dxa"/>
            <w:gridSpan w:val="2"/>
          </w:tcPr>
          <w:p w14:paraId="2A682E47" w14:textId="06A69E2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220</w:t>
            </w:r>
          </w:p>
        </w:tc>
      </w:tr>
      <w:tr w:rsidR="00E92FF5" w:rsidRPr="00AE15F6" w14:paraId="03D6963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B82F1C4" w14:textId="15098801" w:rsidR="00AE15F6" w:rsidRPr="00AE15F6" w:rsidRDefault="00AE15F6" w:rsidP="003B4F97">
            <w:pPr>
              <w:pStyle w:val="Tabletext"/>
            </w:pPr>
            <w:r w:rsidRPr="00AE15F6">
              <w:t>35</w:t>
            </w:r>
          </w:p>
        </w:tc>
        <w:tc>
          <w:tcPr>
            <w:tcW w:w="945" w:type="dxa"/>
          </w:tcPr>
          <w:p w14:paraId="2981B26A" w14:textId="36C4DB6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13</w:t>
            </w:r>
            <w:r w:rsidR="00E92FF5">
              <w:t>,</w:t>
            </w:r>
            <w:r w:rsidRPr="00AE15F6">
              <w:t>104</w:t>
            </w:r>
          </w:p>
        </w:tc>
        <w:tc>
          <w:tcPr>
            <w:tcW w:w="1276" w:type="dxa"/>
          </w:tcPr>
          <w:p w14:paraId="6FA6478C" w14:textId="17FF748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486 (403)</w:t>
            </w:r>
          </w:p>
        </w:tc>
        <w:tc>
          <w:tcPr>
            <w:tcW w:w="631" w:type="dxa"/>
          </w:tcPr>
          <w:p w14:paraId="5913CB28" w14:textId="1D4EB5F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525</w:t>
            </w:r>
          </w:p>
        </w:tc>
        <w:tc>
          <w:tcPr>
            <w:tcW w:w="631" w:type="dxa"/>
          </w:tcPr>
          <w:p w14:paraId="67659CC3" w14:textId="1A0071A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710</w:t>
            </w:r>
          </w:p>
        </w:tc>
        <w:tc>
          <w:tcPr>
            <w:tcW w:w="632" w:type="dxa"/>
          </w:tcPr>
          <w:p w14:paraId="403BDFDF" w14:textId="69681F4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820</w:t>
            </w:r>
          </w:p>
        </w:tc>
        <w:tc>
          <w:tcPr>
            <w:tcW w:w="631" w:type="dxa"/>
          </w:tcPr>
          <w:p w14:paraId="54085197" w14:textId="2FF6F84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980</w:t>
            </w:r>
          </w:p>
        </w:tc>
        <w:tc>
          <w:tcPr>
            <w:tcW w:w="631" w:type="dxa"/>
          </w:tcPr>
          <w:p w14:paraId="5E2EF70E" w14:textId="6D8A021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230</w:t>
            </w:r>
          </w:p>
        </w:tc>
        <w:tc>
          <w:tcPr>
            <w:tcW w:w="632" w:type="dxa"/>
          </w:tcPr>
          <w:p w14:paraId="4AC8AED3" w14:textId="03386A1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480</w:t>
            </w:r>
          </w:p>
        </w:tc>
        <w:tc>
          <w:tcPr>
            <w:tcW w:w="631" w:type="dxa"/>
          </w:tcPr>
          <w:p w14:paraId="0FE7AD39" w14:textId="5FFF240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735</w:t>
            </w:r>
          </w:p>
        </w:tc>
        <w:tc>
          <w:tcPr>
            <w:tcW w:w="631" w:type="dxa"/>
          </w:tcPr>
          <w:p w14:paraId="45ED0BA5" w14:textId="42EDE10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995</w:t>
            </w:r>
          </w:p>
        </w:tc>
        <w:tc>
          <w:tcPr>
            <w:tcW w:w="632" w:type="dxa"/>
          </w:tcPr>
          <w:p w14:paraId="31E48BAA" w14:textId="0051DCA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175</w:t>
            </w:r>
          </w:p>
        </w:tc>
        <w:tc>
          <w:tcPr>
            <w:tcW w:w="631" w:type="dxa"/>
          </w:tcPr>
          <w:p w14:paraId="27CEC09E" w14:textId="19174F5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300</w:t>
            </w:r>
          </w:p>
        </w:tc>
        <w:tc>
          <w:tcPr>
            <w:tcW w:w="632" w:type="dxa"/>
            <w:gridSpan w:val="2"/>
          </w:tcPr>
          <w:p w14:paraId="41C0284B" w14:textId="410DC09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516</w:t>
            </w:r>
          </w:p>
        </w:tc>
      </w:tr>
      <w:tr w:rsidR="00E92FF5" w:rsidRPr="00AE15F6" w14:paraId="1F93FBFA"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C05CF20" w14:textId="76AA22A1" w:rsidR="00AE15F6" w:rsidRPr="00AE15F6" w:rsidRDefault="00AE15F6" w:rsidP="003B4F97">
            <w:pPr>
              <w:pStyle w:val="Tabletext"/>
            </w:pPr>
            <w:r w:rsidRPr="00AE15F6">
              <w:t>36</w:t>
            </w:r>
          </w:p>
        </w:tc>
        <w:tc>
          <w:tcPr>
            <w:tcW w:w="945" w:type="dxa"/>
          </w:tcPr>
          <w:p w14:paraId="55E7B120" w14:textId="3920E31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28</w:t>
            </w:r>
            <w:r w:rsidR="00E92FF5">
              <w:t>,</w:t>
            </w:r>
            <w:r w:rsidRPr="00AE15F6">
              <w:t>386</w:t>
            </w:r>
          </w:p>
        </w:tc>
        <w:tc>
          <w:tcPr>
            <w:tcW w:w="1276" w:type="dxa"/>
          </w:tcPr>
          <w:p w14:paraId="348302CD" w14:textId="3E2633A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720 (420)</w:t>
            </w:r>
          </w:p>
        </w:tc>
        <w:tc>
          <w:tcPr>
            <w:tcW w:w="631" w:type="dxa"/>
          </w:tcPr>
          <w:p w14:paraId="210F34B6" w14:textId="6FA7730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750</w:t>
            </w:r>
          </w:p>
        </w:tc>
        <w:tc>
          <w:tcPr>
            <w:tcW w:w="631" w:type="dxa"/>
          </w:tcPr>
          <w:p w14:paraId="5F65F378" w14:textId="1E14C8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940</w:t>
            </w:r>
          </w:p>
        </w:tc>
        <w:tc>
          <w:tcPr>
            <w:tcW w:w="632" w:type="dxa"/>
          </w:tcPr>
          <w:p w14:paraId="653A3C20" w14:textId="5A853D0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040</w:t>
            </w:r>
          </w:p>
        </w:tc>
        <w:tc>
          <w:tcPr>
            <w:tcW w:w="631" w:type="dxa"/>
          </w:tcPr>
          <w:p w14:paraId="0621894C" w14:textId="30A083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198</w:t>
            </w:r>
          </w:p>
        </w:tc>
        <w:tc>
          <w:tcPr>
            <w:tcW w:w="631" w:type="dxa"/>
          </w:tcPr>
          <w:p w14:paraId="4F9CCAC7" w14:textId="627EA81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445</w:t>
            </w:r>
          </w:p>
        </w:tc>
        <w:tc>
          <w:tcPr>
            <w:tcW w:w="632" w:type="dxa"/>
          </w:tcPr>
          <w:p w14:paraId="4D1C078A" w14:textId="264AD87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710</w:t>
            </w:r>
          </w:p>
        </w:tc>
        <w:tc>
          <w:tcPr>
            <w:tcW w:w="631" w:type="dxa"/>
          </w:tcPr>
          <w:p w14:paraId="475A0B67" w14:textId="5A15A8A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980</w:t>
            </w:r>
          </w:p>
        </w:tc>
        <w:tc>
          <w:tcPr>
            <w:tcW w:w="631" w:type="dxa"/>
          </w:tcPr>
          <w:p w14:paraId="64745930" w14:textId="3ADF748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250</w:t>
            </w:r>
          </w:p>
        </w:tc>
        <w:tc>
          <w:tcPr>
            <w:tcW w:w="632" w:type="dxa"/>
          </w:tcPr>
          <w:p w14:paraId="5E8E806B" w14:textId="5F8A0E1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450</w:t>
            </w:r>
          </w:p>
        </w:tc>
        <w:tc>
          <w:tcPr>
            <w:tcW w:w="631" w:type="dxa"/>
          </w:tcPr>
          <w:p w14:paraId="1BE17DFD" w14:textId="2E4AA24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575</w:t>
            </w:r>
          </w:p>
        </w:tc>
        <w:tc>
          <w:tcPr>
            <w:tcW w:w="632" w:type="dxa"/>
            <w:gridSpan w:val="2"/>
          </w:tcPr>
          <w:p w14:paraId="34AB02B7" w14:textId="47A14D5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810</w:t>
            </w:r>
          </w:p>
        </w:tc>
      </w:tr>
      <w:tr w:rsidR="00E92FF5" w:rsidRPr="00AE15F6" w14:paraId="59851A3B"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3B5733FC" w14:textId="3B48A4F5" w:rsidR="00AE15F6" w:rsidRPr="00AE15F6" w:rsidRDefault="00AE15F6" w:rsidP="003B4F97">
            <w:pPr>
              <w:pStyle w:val="Tabletext"/>
            </w:pPr>
            <w:r w:rsidRPr="00AE15F6">
              <w:t>37</w:t>
            </w:r>
          </w:p>
        </w:tc>
        <w:tc>
          <w:tcPr>
            <w:tcW w:w="945" w:type="dxa"/>
          </w:tcPr>
          <w:p w14:paraId="1B722536" w14:textId="3DB4D4C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66</w:t>
            </w:r>
            <w:r w:rsidR="00E92FF5">
              <w:t>,</w:t>
            </w:r>
            <w:r w:rsidRPr="00AE15F6">
              <w:t>928</w:t>
            </w:r>
          </w:p>
        </w:tc>
        <w:tc>
          <w:tcPr>
            <w:tcW w:w="1276" w:type="dxa"/>
          </w:tcPr>
          <w:p w14:paraId="050A5A38" w14:textId="5A97D0D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979 (439)</w:t>
            </w:r>
          </w:p>
        </w:tc>
        <w:tc>
          <w:tcPr>
            <w:tcW w:w="631" w:type="dxa"/>
          </w:tcPr>
          <w:p w14:paraId="7933C266" w14:textId="05F503D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w:t>
            </w:r>
            <w:r w:rsidR="00E92FF5">
              <w:t>,</w:t>
            </w:r>
            <w:r w:rsidRPr="00AE15F6">
              <w:t>970</w:t>
            </w:r>
          </w:p>
        </w:tc>
        <w:tc>
          <w:tcPr>
            <w:tcW w:w="631" w:type="dxa"/>
          </w:tcPr>
          <w:p w14:paraId="51B5BBC3" w14:textId="1E5F45A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175</w:t>
            </w:r>
          </w:p>
        </w:tc>
        <w:tc>
          <w:tcPr>
            <w:tcW w:w="632" w:type="dxa"/>
          </w:tcPr>
          <w:p w14:paraId="43F119A8" w14:textId="448281D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275</w:t>
            </w:r>
          </w:p>
        </w:tc>
        <w:tc>
          <w:tcPr>
            <w:tcW w:w="631" w:type="dxa"/>
          </w:tcPr>
          <w:p w14:paraId="13721880" w14:textId="18F3FE2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430</w:t>
            </w:r>
          </w:p>
        </w:tc>
        <w:tc>
          <w:tcPr>
            <w:tcW w:w="631" w:type="dxa"/>
          </w:tcPr>
          <w:p w14:paraId="1B22B181" w14:textId="3003205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690</w:t>
            </w:r>
          </w:p>
        </w:tc>
        <w:tc>
          <w:tcPr>
            <w:tcW w:w="632" w:type="dxa"/>
          </w:tcPr>
          <w:p w14:paraId="1D0074E3" w14:textId="205EF41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965</w:t>
            </w:r>
          </w:p>
        </w:tc>
        <w:tc>
          <w:tcPr>
            <w:tcW w:w="631" w:type="dxa"/>
          </w:tcPr>
          <w:p w14:paraId="3590E5D5" w14:textId="0BF3405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255</w:t>
            </w:r>
          </w:p>
        </w:tc>
        <w:tc>
          <w:tcPr>
            <w:tcW w:w="631" w:type="dxa"/>
          </w:tcPr>
          <w:p w14:paraId="12CDED28" w14:textId="29856F5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545</w:t>
            </w:r>
          </w:p>
        </w:tc>
        <w:tc>
          <w:tcPr>
            <w:tcW w:w="632" w:type="dxa"/>
          </w:tcPr>
          <w:p w14:paraId="010FC3AB" w14:textId="4E4C518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735</w:t>
            </w:r>
          </w:p>
        </w:tc>
        <w:tc>
          <w:tcPr>
            <w:tcW w:w="631" w:type="dxa"/>
          </w:tcPr>
          <w:p w14:paraId="54D22A12" w14:textId="003F6A9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865</w:t>
            </w:r>
          </w:p>
        </w:tc>
        <w:tc>
          <w:tcPr>
            <w:tcW w:w="632" w:type="dxa"/>
            <w:gridSpan w:val="2"/>
          </w:tcPr>
          <w:p w14:paraId="1DA4E22A" w14:textId="12202A0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100</w:t>
            </w:r>
          </w:p>
        </w:tc>
      </w:tr>
      <w:tr w:rsidR="00E92FF5" w:rsidRPr="00AE15F6" w14:paraId="4168FC7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65BE3052" w14:textId="248BE18D" w:rsidR="00AE15F6" w:rsidRPr="00AE15F6" w:rsidRDefault="00AE15F6" w:rsidP="003B4F97">
            <w:pPr>
              <w:pStyle w:val="Tabletext"/>
            </w:pPr>
            <w:r w:rsidRPr="00AE15F6">
              <w:t>38</w:t>
            </w:r>
          </w:p>
        </w:tc>
        <w:tc>
          <w:tcPr>
            <w:tcW w:w="945" w:type="dxa"/>
          </w:tcPr>
          <w:p w14:paraId="4C50AA55" w14:textId="5D54A87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214</w:t>
            </w:r>
            <w:r w:rsidR="00E92FF5">
              <w:t>,</w:t>
            </w:r>
            <w:r w:rsidRPr="00AE15F6">
              <w:t>002</w:t>
            </w:r>
          </w:p>
        </w:tc>
        <w:tc>
          <w:tcPr>
            <w:tcW w:w="1276" w:type="dxa"/>
          </w:tcPr>
          <w:p w14:paraId="4DA351F9" w14:textId="0D331BF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215 (425)</w:t>
            </w:r>
          </w:p>
        </w:tc>
        <w:tc>
          <w:tcPr>
            <w:tcW w:w="631" w:type="dxa"/>
          </w:tcPr>
          <w:p w14:paraId="0D8CA829" w14:textId="23A1851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256</w:t>
            </w:r>
          </w:p>
        </w:tc>
        <w:tc>
          <w:tcPr>
            <w:tcW w:w="631" w:type="dxa"/>
          </w:tcPr>
          <w:p w14:paraId="681BD32E" w14:textId="480015D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440</w:t>
            </w:r>
          </w:p>
        </w:tc>
        <w:tc>
          <w:tcPr>
            <w:tcW w:w="632" w:type="dxa"/>
          </w:tcPr>
          <w:p w14:paraId="0E8184F3" w14:textId="5DBC089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540</w:t>
            </w:r>
          </w:p>
        </w:tc>
        <w:tc>
          <w:tcPr>
            <w:tcW w:w="631" w:type="dxa"/>
          </w:tcPr>
          <w:p w14:paraId="19D60DB6" w14:textId="636969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690</w:t>
            </w:r>
          </w:p>
        </w:tc>
        <w:tc>
          <w:tcPr>
            <w:tcW w:w="631" w:type="dxa"/>
          </w:tcPr>
          <w:p w14:paraId="43D8B1C5" w14:textId="02FCAD5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930</w:t>
            </w:r>
          </w:p>
        </w:tc>
        <w:tc>
          <w:tcPr>
            <w:tcW w:w="632" w:type="dxa"/>
          </w:tcPr>
          <w:p w14:paraId="6B28A450" w14:textId="75C81E2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200</w:t>
            </w:r>
          </w:p>
        </w:tc>
        <w:tc>
          <w:tcPr>
            <w:tcW w:w="631" w:type="dxa"/>
          </w:tcPr>
          <w:p w14:paraId="1134716C" w14:textId="0DF9371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490</w:t>
            </w:r>
          </w:p>
        </w:tc>
        <w:tc>
          <w:tcPr>
            <w:tcW w:w="631" w:type="dxa"/>
          </w:tcPr>
          <w:p w14:paraId="23F0067E" w14:textId="7F0CA3A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770</w:t>
            </w:r>
          </w:p>
        </w:tc>
        <w:tc>
          <w:tcPr>
            <w:tcW w:w="632" w:type="dxa"/>
          </w:tcPr>
          <w:p w14:paraId="4A35C379" w14:textId="60E01B2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945</w:t>
            </w:r>
          </w:p>
        </w:tc>
        <w:tc>
          <w:tcPr>
            <w:tcW w:w="631" w:type="dxa"/>
          </w:tcPr>
          <w:p w14:paraId="0B98DF8A" w14:textId="1BE7CCB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062</w:t>
            </w:r>
          </w:p>
        </w:tc>
        <w:tc>
          <w:tcPr>
            <w:tcW w:w="632" w:type="dxa"/>
            <w:gridSpan w:val="2"/>
          </w:tcPr>
          <w:p w14:paraId="02C457CD" w14:textId="76F9A70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290</w:t>
            </w:r>
          </w:p>
        </w:tc>
      </w:tr>
      <w:tr w:rsidR="00E92FF5" w:rsidRPr="00AE15F6" w14:paraId="21391C30"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282C17A1" w14:textId="4F277839" w:rsidR="00AE15F6" w:rsidRPr="00AE15F6" w:rsidRDefault="00AE15F6" w:rsidP="003B4F97">
            <w:pPr>
              <w:pStyle w:val="Tabletext"/>
            </w:pPr>
            <w:r w:rsidRPr="00AE15F6">
              <w:t>39</w:t>
            </w:r>
          </w:p>
        </w:tc>
        <w:tc>
          <w:tcPr>
            <w:tcW w:w="945" w:type="dxa"/>
          </w:tcPr>
          <w:p w14:paraId="3E934093" w14:textId="13CEED7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282</w:t>
            </w:r>
            <w:r w:rsidR="00E92FF5">
              <w:t>,</w:t>
            </w:r>
            <w:r w:rsidRPr="00AE15F6">
              <w:t>046</w:t>
            </w:r>
          </w:p>
        </w:tc>
        <w:tc>
          <w:tcPr>
            <w:tcW w:w="1276" w:type="dxa"/>
          </w:tcPr>
          <w:p w14:paraId="32210D03" w14:textId="7CC4F9D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351 (415)</w:t>
            </w:r>
          </w:p>
        </w:tc>
        <w:tc>
          <w:tcPr>
            <w:tcW w:w="631" w:type="dxa"/>
          </w:tcPr>
          <w:p w14:paraId="38FCFC1D" w14:textId="067C3E8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420</w:t>
            </w:r>
          </w:p>
        </w:tc>
        <w:tc>
          <w:tcPr>
            <w:tcW w:w="631" w:type="dxa"/>
          </w:tcPr>
          <w:p w14:paraId="5C60BE13" w14:textId="4652FB2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600</w:t>
            </w:r>
          </w:p>
        </w:tc>
        <w:tc>
          <w:tcPr>
            <w:tcW w:w="632" w:type="dxa"/>
          </w:tcPr>
          <w:p w14:paraId="0668BB11" w14:textId="11A19F5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690</w:t>
            </w:r>
          </w:p>
        </w:tc>
        <w:tc>
          <w:tcPr>
            <w:tcW w:w="631" w:type="dxa"/>
          </w:tcPr>
          <w:p w14:paraId="7ADD3EAF" w14:textId="5DF84CC3"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830</w:t>
            </w:r>
          </w:p>
        </w:tc>
        <w:tc>
          <w:tcPr>
            <w:tcW w:w="631" w:type="dxa"/>
          </w:tcPr>
          <w:p w14:paraId="14BAB2AB" w14:textId="329255C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070</w:t>
            </w:r>
          </w:p>
        </w:tc>
        <w:tc>
          <w:tcPr>
            <w:tcW w:w="632" w:type="dxa"/>
          </w:tcPr>
          <w:p w14:paraId="5964FD98" w14:textId="1939B6A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340</w:t>
            </w:r>
          </w:p>
        </w:tc>
        <w:tc>
          <w:tcPr>
            <w:tcW w:w="631" w:type="dxa"/>
          </w:tcPr>
          <w:p w14:paraId="1261A842" w14:textId="2CC3E24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620</w:t>
            </w:r>
          </w:p>
        </w:tc>
        <w:tc>
          <w:tcPr>
            <w:tcW w:w="631" w:type="dxa"/>
          </w:tcPr>
          <w:p w14:paraId="47809F01" w14:textId="22EF627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890</w:t>
            </w:r>
          </w:p>
        </w:tc>
        <w:tc>
          <w:tcPr>
            <w:tcW w:w="632" w:type="dxa"/>
          </w:tcPr>
          <w:p w14:paraId="2C60B797" w14:textId="107E9E1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060</w:t>
            </w:r>
          </w:p>
        </w:tc>
        <w:tc>
          <w:tcPr>
            <w:tcW w:w="631" w:type="dxa"/>
          </w:tcPr>
          <w:p w14:paraId="156FE79C" w14:textId="26A5370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175</w:t>
            </w:r>
          </w:p>
        </w:tc>
        <w:tc>
          <w:tcPr>
            <w:tcW w:w="632" w:type="dxa"/>
            <w:gridSpan w:val="2"/>
          </w:tcPr>
          <w:p w14:paraId="011517A7" w14:textId="6288EEB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390</w:t>
            </w:r>
          </w:p>
        </w:tc>
      </w:tr>
      <w:tr w:rsidR="00E92FF5" w:rsidRPr="00AE15F6" w14:paraId="2805166F"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5DAA9C8C" w14:textId="07114B2D" w:rsidR="00AE15F6" w:rsidRPr="00AE15F6" w:rsidRDefault="00AE15F6" w:rsidP="003B4F97">
            <w:pPr>
              <w:pStyle w:val="Tabletext"/>
            </w:pPr>
            <w:r w:rsidRPr="00AE15F6">
              <w:t>40</w:t>
            </w:r>
          </w:p>
        </w:tc>
        <w:tc>
          <w:tcPr>
            <w:tcW w:w="945" w:type="dxa"/>
          </w:tcPr>
          <w:p w14:paraId="75448916" w14:textId="0477BB3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398</w:t>
            </w:r>
            <w:r w:rsidR="00E92FF5">
              <w:t>,</w:t>
            </w:r>
            <w:r w:rsidRPr="00AE15F6">
              <w:t>257</w:t>
            </w:r>
          </w:p>
        </w:tc>
        <w:tc>
          <w:tcPr>
            <w:tcW w:w="1276" w:type="dxa"/>
          </w:tcPr>
          <w:p w14:paraId="614C1637" w14:textId="2BB0C96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493 (416)</w:t>
            </w:r>
          </w:p>
        </w:tc>
        <w:tc>
          <w:tcPr>
            <w:tcW w:w="631" w:type="dxa"/>
          </w:tcPr>
          <w:p w14:paraId="3EFD1452" w14:textId="6777226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566</w:t>
            </w:r>
          </w:p>
        </w:tc>
        <w:tc>
          <w:tcPr>
            <w:tcW w:w="631" w:type="dxa"/>
          </w:tcPr>
          <w:p w14:paraId="0E016D8D" w14:textId="787AC2E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740</w:t>
            </w:r>
          </w:p>
        </w:tc>
        <w:tc>
          <w:tcPr>
            <w:tcW w:w="632" w:type="dxa"/>
          </w:tcPr>
          <w:p w14:paraId="67D472F1" w14:textId="006B497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830</w:t>
            </w:r>
          </w:p>
        </w:tc>
        <w:tc>
          <w:tcPr>
            <w:tcW w:w="631" w:type="dxa"/>
          </w:tcPr>
          <w:p w14:paraId="5C4A74A5" w14:textId="19A5C6B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975</w:t>
            </w:r>
          </w:p>
        </w:tc>
        <w:tc>
          <w:tcPr>
            <w:tcW w:w="631" w:type="dxa"/>
          </w:tcPr>
          <w:p w14:paraId="2F69C9C4" w14:textId="32F2244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210</w:t>
            </w:r>
          </w:p>
        </w:tc>
        <w:tc>
          <w:tcPr>
            <w:tcW w:w="632" w:type="dxa"/>
          </w:tcPr>
          <w:p w14:paraId="086E264B" w14:textId="5621018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480</w:t>
            </w:r>
          </w:p>
        </w:tc>
        <w:tc>
          <w:tcPr>
            <w:tcW w:w="631" w:type="dxa"/>
          </w:tcPr>
          <w:p w14:paraId="04BFC6AB" w14:textId="71CD4F2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765</w:t>
            </w:r>
          </w:p>
        </w:tc>
        <w:tc>
          <w:tcPr>
            <w:tcW w:w="631" w:type="dxa"/>
          </w:tcPr>
          <w:p w14:paraId="4C35432B" w14:textId="54A026A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030</w:t>
            </w:r>
          </w:p>
        </w:tc>
        <w:tc>
          <w:tcPr>
            <w:tcW w:w="632" w:type="dxa"/>
          </w:tcPr>
          <w:p w14:paraId="325EB98A" w14:textId="6483493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200</w:t>
            </w:r>
          </w:p>
        </w:tc>
        <w:tc>
          <w:tcPr>
            <w:tcW w:w="631" w:type="dxa"/>
          </w:tcPr>
          <w:p w14:paraId="7700B2B4" w14:textId="2B3C4E9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316</w:t>
            </w:r>
          </w:p>
        </w:tc>
        <w:tc>
          <w:tcPr>
            <w:tcW w:w="632" w:type="dxa"/>
            <w:gridSpan w:val="2"/>
          </w:tcPr>
          <w:p w14:paraId="70D49FD8" w14:textId="3A3AA70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525</w:t>
            </w:r>
          </w:p>
        </w:tc>
      </w:tr>
      <w:tr w:rsidR="00E92FF5" w:rsidRPr="00AE15F6" w14:paraId="449268A5"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2080331C" w14:textId="156076DF" w:rsidR="00AE15F6" w:rsidRPr="00AE15F6" w:rsidRDefault="00AE15F6" w:rsidP="003B4F97">
            <w:pPr>
              <w:pStyle w:val="Tabletext"/>
            </w:pPr>
            <w:r w:rsidRPr="00AE15F6">
              <w:t>41</w:t>
            </w:r>
          </w:p>
        </w:tc>
        <w:tc>
          <w:tcPr>
            <w:tcW w:w="945" w:type="dxa"/>
          </w:tcPr>
          <w:p w14:paraId="71358658" w14:textId="00567C3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181</w:t>
            </w:r>
            <w:r w:rsidR="00E92FF5">
              <w:t>,</w:t>
            </w:r>
            <w:r w:rsidRPr="00AE15F6">
              <w:t>434</w:t>
            </w:r>
          </w:p>
        </w:tc>
        <w:tc>
          <w:tcPr>
            <w:tcW w:w="1276" w:type="dxa"/>
          </w:tcPr>
          <w:p w14:paraId="2D6FE19F" w14:textId="382A4AD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619 (424)</w:t>
            </w:r>
          </w:p>
        </w:tc>
        <w:tc>
          <w:tcPr>
            <w:tcW w:w="631" w:type="dxa"/>
          </w:tcPr>
          <w:p w14:paraId="382F49C8" w14:textId="606F71B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680</w:t>
            </w:r>
          </w:p>
        </w:tc>
        <w:tc>
          <w:tcPr>
            <w:tcW w:w="631" w:type="dxa"/>
          </w:tcPr>
          <w:p w14:paraId="092E6044" w14:textId="1894757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855</w:t>
            </w:r>
          </w:p>
        </w:tc>
        <w:tc>
          <w:tcPr>
            <w:tcW w:w="632" w:type="dxa"/>
          </w:tcPr>
          <w:p w14:paraId="532FC5AD" w14:textId="2EEF1BA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945</w:t>
            </w:r>
          </w:p>
        </w:tc>
        <w:tc>
          <w:tcPr>
            <w:tcW w:w="631" w:type="dxa"/>
          </w:tcPr>
          <w:p w14:paraId="6ABF67CB" w14:textId="07C5D15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090</w:t>
            </w:r>
          </w:p>
        </w:tc>
        <w:tc>
          <w:tcPr>
            <w:tcW w:w="631" w:type="dxa"/>
          </w:tcPr>
          <w:p w14:paraId="4BFDD0CE" w14:textId="0E66152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330</w:t>
            </w:r>
          </w:p>
        </w:tc>
        <w:tc>
          <w:tcPr>
            <w:tcW w:w="632" w:type="dxa"/>
          </w:tcPr>
          <w:p w14:paraId="6340448D" w14:textId="4B438DB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605</w:t>
            </w:r>
          </w:p>
        </w:tc>
        <w:tc>
          <w:tcPr>
            <w:tcW w:w="631" w:type="dxa"/>
          </w:tcPr>
          <w:p w14:paraId="3392CDA2" w14:textId="6C6196CD"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900</w:t>
            </w:r>
          </w:p>
        </w:tc>
        <w:tc>
          <w:tcPr>
            <w:tcW w:w="631" w:type="dxa"/>
          </w:tcPr>
          <w:p w14:paraId="21E795B9" w14:textId="20D1670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170</w:t>
            </w:r>
          </w:p>
        </w:tc>
        <w:tc>
          <w:tcPr>
            <w:tcW w:w="632" w:type="dxa"/>
          </w:tcPr>
          <w:p w14:paraId="4C6793D4" w14:textId="1B9CCF0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340</w:t>
            </w:r>
          </w:p>
        </w:tc>
        <w:tc>
          <w:tcPr>
            <w:tcW w:w="631" w:type="dxa"/>
          </w:tcPr>
          <w:p w14:paraId="3C9EF9A4" w14:textId="43A01B9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455</w:t>
            </w:r>
          </w:p>
        </w:tc>
        <w:tc>
          <w:tcPr>
            <w:tcW w:w="632" w:type="dxa"/>
            <w:gridSpan w:val="2"/>
          </w:tcPr>
          <w:p w14:paraId="39DBE950" w14:textId="77270C3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670</w:t>
            </w:r>
          </w:p>
        </w:tc>
      </w:tr>
      <w:tr w:rsidR="00E92FF5" w:rsidRPr="00AE15F6" w14:paraId="515BA977"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10693B4D" w14:textId="3DAC8660" w:rsidR="00AE15F6" w:rsidRPr="00AE15F6" w:rsidRDefault="00AE15F6" w:rsidP="003B4F97">
            <w:pPr>
              <w:pStyle w:val="Tabletext"/>
            </w:pPr>
            <w:r w:rsidRPr="00AE15F6">
              <w:t>42</w:t>
            </w:r>
          </w:p>
        </w:tc>
        <w:tc>
          <w:tcPr>
            <w:tcW w:w="945" w:type="dxa"/>
          </w:tcPr>
          <w:p w14:paraId="3014C46D" w14:textId="10E8CD4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17</w:t>
            </w:r>
            <w:r w:rsidR="00E92FF5">
              <w:t>,</w:t>
            </w:r>
            <w:r w:rsidRPr="00AE15F6">
              <w:t>701</w:t>
            </w:r>
          </w:p>
        </w:tc>
        <w:tc>
          <w:tcPr>
            <w:tcW w:w="1276" w:type="dxa"/>
          </w:tcPr>
          <w:p w14:paraId="27C06011" w14:textId="49868B6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665 (445)</w:t>
            </w:r>
          </w:p>
        </w:tc>
        <w:tc>
          <w:tcPr>
            <w:tcW w:w="631" w:type="dxa"/>
          </w:tcPr>
          <w:p w14:paraId="1A32372E" w14:textId="2E6AE22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670</w:t>
            </w:r>
          </w:p>
        </w:tc>
        <w:tc>
          <w:tcPr>
            <w:tcW w:w="631" w:type="dxa"/>
          </w:tcPr>
          <w:p w14:paraId="137BB2BC" w14:textId="126BCDD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850</w:t>
            </w:r>
          </w:p>
        </w:tc>
        <w:tc>
          <w:tcPr>
            <w:tcW w:w="632" w:type="dxa"/>
          </w:tcPr>
          <w:p w14:paraId="0B8493AB" w14:textId="2605787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950</w:t>
            </w:r>
          </w:p>
        </w:tc>
        <w:tc>
          <w:tcPr>
            <w:tcW w:w="631" w:type="dxa"/>
          </w:tcPr>
          <w:p w14:paraId="7821B187" w14:textId="4AFDF06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110</w:t>
            </w:r>
          </w:p>
        </w:tc>
        <w:tc>
          <w:tcPr>
            <w:tcW w:w="631" w:type="dxa"/>
          </w:tcPr>
          <w:p w14:paraId="3FA480E7" w14:textId="7D473C55"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360</w:t>
            </w:r>
          </w:p>
        </w:tc>
        <w:tc>
          <w:tcPr>
            <w:tcW w:w="632" w:type="dxa"/>
          </w:tcPr>
          <w:p w14:paraId="24F1F74F" w14:textId="79A0E69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650</w:t>
            </w:r>
          </w:p>
        </w:tc>
        <w:tc>
          <w:tcPr>
            <w:tcW w:w="631" w:type="dxa"/>
          </w:tcPr>
          <w:p w14:paraId="71A95FEC" w14:textId="76E3336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955</w:t>
            </w:r>
          </w:p>
        </w:tc>
        <w:tc>
          <w:tcPr>
            <w:tcW w:w="631" w:type="dxa"/>
          </w:tcPr>
          <w:p w14:paraId="09D1D2DB" w14:textId="1C6A622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240</w:t>
            </w:r>
          </w:p>
        </w:tc>
        <w:tc>
          <w:tcPr>
            <w:tcW w:w="632" w:type="dxa"/>
          </w:tcPr>
          <w:p w14:paraId="5192C13F" w14:textId="69BEDF4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420</w:t>
            </w:r>
          </w:p>
        </w:tc>
        <w:tc>
          <w:tcPr>
            <w:tcW w:w="631" w:type="dxa"/>
          </w:tcPr>
          <w:p w14:paraId="060C75BE" w14:textId="70508D0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545</w:t>
            </w:r>
          </w:p>
        </w:tc>
        <w:tc>
          <w:tcPr>
            <w:tcW w:w="632" w:type="dxa"/>
            <w:gridSpan w:val="2"/>
          </w:tcPr>
          <w:p w14:paraId="270DA40F" w14:textId="300B7A4F"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760</w:t>
            </w:r>
          </w:p>
        </w:tc>
      </w:tr>
      <w:tr w:rsidR="00E92FF5" w:rsidRPr="00AE15F6" w14:paraId="6221D9B3"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0DC9A0B6" w14:textId="0A8D1E4A" w:rsidR="00AE15F6" w:rsidRPr="00AE15F6" w:rsidRDefault="00AE15F6" w:rsidP="003B4F97">
            <w:pPr>
              <w:pStyle w:val="Tabletext"/>
            </w:pPr>
            <w:r w:rsidRPr="00AE15F6">
              <w:t>43</w:t>
            </w:r>
          </w:p>
        </w:tc>
        <w:tc>
          <w:tcPr>
            <w:tcW w:w="945" w:type="dxa"/>
          </w:tcPr>
          <w:p w14:paraId="0B272D14" w14:textId="62CFB6A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801</w:t>
            </w:r>
          </w:p>
        </w:tc>
        <w:tc>
          <w:tcPr>
            <w:tcW w:w="1276" w:type="dxa"/>
          </w:tcPr>
          <w:p w14:paraId="78F90C43" w14:textId="499DB73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579 (463)</w:t>
            </w:r>
          </w:p>
        </w:tc>
        <w:tc>
          <w:tcPr>
            <w:tcW w:w="631" w:type="dxa"/>
          </w:tcPr>
          <w:p w14:paraId="055868CB" w14:textId="55720BF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660</w:t>
            </w:r>
          </w:p>
        </w:tc>
        <w:tc>
          <w:tcPr>
            <w:tcW w:w="631" w:type="dxa"/>
          </w:tcPr>
          <w:p w14:paraId="2BB8F05D" w14:textId="4CC5A3D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800</w:t>
            </w:r>
          </w:p>
        </w:tc>
        <w:tc>
          <w:tcPr>
            <w:tcW w:w="632" w:type="dxa"/>
          </w:tcPr>
          <w:p w14:paraId="70E9F799" w14:textId="3AEB508C"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2</w:t>
            </w:r>
            <w:r w:rsidR="00E92FF5">
              <w:t>,</w:t>
            </w:r>
            <w:r w:rsidRPr="00AE15F6">
              <w:t>865</w:t>
            </w:r>
          </w:p>
        </w:tc>
        <w:tc>
          <w:tcPr>
            <w:tcW w:w="631" w:type="dxa"/>
          </w:tcPr>
          <w:p w14:paraId="5ACCA44A" w14:textId="0AFC261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010</w:t>
            </w:r>
          </w:p>
        </w:tc>
        <w:tc>
          <w:tcPr>
            <w:tcW w:w="631" w:type="dxa"/>
          </w:tcPr>
          <w:p w14:paraId="77C78086" w14:textId="30E272A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240</w:t>
            </w:r>
          </w:p>
        </w:tc>
        <w:tc>
          <w:tcPr>
            <w:tcW w:w="632" w:type="dxa"/>
          </w:tcPr>
          <w:p w14:paraId="3B9A861F" w14:textId="2CBA4C4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560</w:t>
            </w:r>
          </w:p>
        </w:tc>
        <w:tc>
          <w:tcPr>
            <w:tcW w:w="631" w:type="dxa"/>
          </w:tcPr>
          <w:p w14:paraId="32182D67" w14:textId="0536E24A"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880</w:t>
            </w:r>
          </w:p>
        </w:tc>
        <w:tc>
          <w:tcPr>
            <w:tcW w:w="631" w:type="dxa"/>
          </w:tcPr>
          <w:p w14:paraId="64928F99" w14:textId="3844D14E"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210</w:t>
            </w:r>
          </w:p>
        </w:tc>
        <w:tc>
          <w:tcPr>
            <w:tcW w:w="632" w:type="dxa"/>
          </w:tcPr>
          <w:p w14:paraId="659BCFD9" w14:textId="5A89DA8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385</w:t>
            </w:r>
          </w:p>
        </w:tc>
        <w:tc>
          <w:tcPr>
            <w:tcW w:w="631" w:type="dxa"/>
          </w:tcPr>
          <w:p w14:paraId="2581ADEC" w14:textId="5D3E754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560</w:t>
            </w:r>
          </w:p>
        </w:tc>
        <w:tc>
          <w:tcPr>
            <w:tcW w:w="632" w:type="dxa"/>
            <w:gridSpan w:val="2"/>
          </w:tcPr>
          <w:p w14:paraId="7AF9F466" w14:textId="435FFFB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760</w:t>
            </w:r>
          </w:p>
        </w:tc>
      </w:tr>
      <w:tr w:rsidR="00E92FF5" w:rsidRPr="00AE15F6" w14:paraId="10ED1499" w14:textId="77777777" w:rsidTr="00AE15F6">
        <w:tc>
          <w:tcPr>
            <w:cnfStyle w:val="001000000000" w:firstRow="0" w:lastRow="0" w:firstColumn="1" w:lastColumn="0" w:oddVBand="0" w:evenVBand="0" w:oddHBand="0" w:evenHBand="0" w:firstRowFirstColumn="0" w:firstRowLastColumn="0" w:lastRowFirstColumn="0" w:lastRowLastColumn="0"/>
            <w:tcW w:w="1040" w:type="dxa"/>
          </w:tcPr>
          <w:p w14:paraId="4800542D" w14:textId="086FF9B3" w:rsidR="00AE15F6" w:rsidRPr="00AE15F6" w:rsidRDefault="00AE15F6" w:rsidP="003B4F97">
            <w:pPr>
              <w:pStyle w:val="Tabletext"/>
            </w:pPr>
            <w:r w:rsidRPr="00AE15F6">
              <w:t>44</w:t>
            </w:r>
          </w:p>
        </w:tc>
        <w:tc>
          <w:tcPr>
            <w:tcW w:w="945" w:type="dxa"/>
          </w:tcPr>
          <w:p w14:paraId="4FAA2C12" w14:textId="4ACAF416"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52</w:t>
            </w:r>
          </w:p>
        </w:tc>
        <w:tc>
          <w:tcPr>
            <w:tcW w:w="1276" w:type="dxa"/>
          </w:tcPr>
          <w:p w14:paraId="4E6993B1" w14:textId="428AB4E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705 (523)</w:t>
            </w:r>
          </w:p>
        </w:tc>
        <w:tc>
          <w:tcPr>
            <w:tcW w:w="631" w:type="dxa"/>
          </w:tcPr>
          <w:p w14:paraId="4353CF62" w14:textId="6FE64EF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1" w:type="dxa"/>
          </w:tcPr>
          <w:p w14:paraId="0147B387" w14:textId="7170E90B"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2" w:type="dxa"/>
          </w:tcPr>
          <w:p w14:paraId="36BEFC1D" w14:textId="13A94090"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1" w:type="dxa"/>
          </w:tcPr>
          <w:p w14:paraId="57DAB59C" w14:textId="064DFA3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070</w:t>
            </w:r>
          </w:p>
        </w:tc>
        <w:tc>
          <w:tcPr>
            <w:tcW w:w="631" w:type="dxa"/>
          </w:tcPr>
          <w:p w14:paraId="7C75F523" w14:textId="7A5642F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403</w:t>
            </w:r>
          </w:p>
        </w:tc>
        <w:tc>
          <w:tcPr>
            <w:tcW w:w="632" w:type="dxa"/>
          </w:tcPr>
          <w:p w14:paraId="544A4D41" w14:textId="020C0B98"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695</w:t>
            </w:r>
          </w:p>
        </w:tc>
        <w:tc>
          <w:tcPr>
            <w:tcW w:w="631" w:type="dxa"/>
          </w:tcPr>
          <w:p w14:paraId="41829519" w14:textId="2593E077"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3</w:t>
            </w:r>
            <w:r w:rsidR="00E92FF5">
              <w:t>,</w:t>
            </w:r>
            <w:r w:rsidRPr="00AE15F6">
              <w:t>965</w:t>
            </w:r>
          </w:p>
        </w:tc>
        <w:tc>
          <w:tcPr>
            <w:tcW w:w="631" w:type="dxa"/>
          </w:tcPr>
          <w:p w14:paraId="499EBBCB" w14:textId="431E7454"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4</w:t>
            </w:r>
            <w:r w:rsidR="00E92FF5">
              <w:t>,</w:t>
            </w:r>
            <w:r w:rsidRPr="00AE15F6">
              <w:t>230</w:t>
            </w:r>
          </w:p>
        </w:tc>
        <w:tc>
          <w:tcPr>
            <w:tcW w:w="632" w:type="dxa"/>
          </w:tcPr>
          <w:p w14:paraId="6997412C" w14:textId="5CDD3CF1"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1" w:type="dxa"/>
          </w:tcPr>
          <w:p w14:paraId="6AAC1A6F" w14:textId="2E77BE72"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c>
          <w:tcPr>
            <w:tcW w:w="632" w:type="dxa"/>
            <w:gridSpan w:val="2"/>
          </w:tcPr>
          <w:p w14:paraId="677F1247" w14:textId="42D1ED89" w:rsidR="00AE15F6" w:rsidRPr="00AE15F6" w:rsidRDefault="00AE15F6" w:rsidP="003B4F97">
            <w:pPr>
              <w:pStyle w:val="Tabletext"/>
              <w:cnfStyle w:val="000000000000" w:firstRow="0" w:lastRow="0" w:firstColumn="0" w:lastColumn="0" w:oddVBand="0" w:evenVBand="0" w:oddHBand="0" w:evenHBand="0" w:firstRowFirstColumn="0" w:firstRowLastColumn="0" w:lastRowFirstColumn="0" w:lastRowLastColumn="0"/>
            </w:pPr>
            <w:r w:rsidRPr="00AE15F6">
              <w:t>—</w:t>
            </w:r>
          </w:p>
        </w:tc>
      </w:tr>
    </w:tbl>
    <w:p w14:paraId="30F43A5F" w14:textId="351B2CBE" w:rsidR="00D15E6B" w:rsidRDefault="00D15E6B" w:rsidP="003B4F97">
      <w:r>
        <w:br w:type="page"/>
      </w:r>
    </w:p>
    <w:p w14:paraId="1A2F3966" w14:textId="12DA5650" w:rsidR="00D15E6B" w:rsidRDefault="00D15E6B" w:rsidP="00A60C18">
      <w:pPr>
        <w:pStyle w:val="Heading1"/>
        <w:framePr w:wrap="around"/>
      </w:pPr>
      <w:bookmarkStart w:id="10" w:name="_Toc71710120"/>
      <w:r>
        <w:t>5: Five-year gestation standardised perinatal mortality ratio</w:t>
      </w:r>
      <w:bookmarkEnd w:id="10"/>
    </w:p>
    <w:p w14:paraId="0F8BD831" w14:textId="77777777" w:rsidR="00D15E6B" w:rsidRDefault="00D15E6B" w:rsidP="003B4F97">
      <w:pPr>
        <w:pStyle w:val="IntroductoryText"/>
      </w:pPr>
      <w:r>
        <w:t>Gestation standardised perinatal mortality ratio (GSPMR) is a measure of perinatal mortality that compares the observed perinatal mortality rate for babies born at individual hospitals with what would be expected, accounting for the gestation at birth. It is a partially risk-adjusted calculation, enabling hospitals with higher proportions of births at lower gestations (and therefore higher likelihood of perinatal mortality) to be validly compared with hospitals that have a different case mix.</w:t>
      </w:r>
    </w:p>
    <w:p w14:paraId="647599E0" w14:textId="77777777" w:rsidR="00732496" w:rsidRDefault="00732496" w:rsidP="003B4F97">
      <w:pPr>
        <w:pStyle w:val="Heading2"/>
      </w:pPr>
      <w:r>
        <w:t>About this indicator</w:t>
      </w:r>
    </w:p>
    <w:p w14:paraId="02F193FD" w14:textId="2AE313A6" w:rsidR="00D15E6B" w:rsidRDefault="00D15E6B" w:rsidP="003B4F97">
      <w:pPr>
        <w:pStyle w:val="Normalfollowingheading"/>
      </w:pPr>
      <w:r>
        <w:t xml:space="preserve">Perinatal mortality includes stillbirths (death before birth) and deaths in the first 28 days of babies born alive. </w:t>
      </w:r>
    </w:p>
    <w:p w14:paraId="39154488" w14:textId="77777777" w:rsidR="00732496" w:rsidRDefault="00D15E6B" w:rsidP="003B4F97">
      <w:r>
        <w:t>Pooling the data over five-year periods adds stability to the data and reduces the risk of over-interpretation of chance fluctuations.</w:t>
      </w:r>
      <w:r w:rsidR="00FF19C3">
        <w:t xml:space="preserve"> </w:t>
      </w:r>
    </w:p>
    <w:p w14:paraId="57AF483D" w14:textId="0E9D06A9" w:rsidR="00D15E6B" w:rsidRDefault="00D15E6B" w:rsidP="003B4F97">
      <w:r>
        <w:t>The indicator provides a visual representation of the variation in perinatal mortality occurring across Victorian public and private hospitals compared with the statewide rate.</w:t>
      </w:r>
    </w:p>
    <w:p w14:paraId="7A733832" w14:textId="77777777" w:rsidR="00D15E6B" w:rsidRDefault="00D15E6B" w:rsidP="003B4F97">
      <w:pPr>
        <w:pStyle w:val="Heading3"/>
      </w:pPr>
      <w:r>
        <w:t>How to interpret the ratio</w:t>
      </w:r>
    </w:p>
    <w:p w14:paraId="313FC43C" w14:textId="77777777" w:rsidR="00D15E6B" w:rsidRDefault="00D15E6B" w:rsidP="003B4F97">
      <w:pPr>
        <w:pStyle w:val="Normalfollowingheading"/>
      </w:pPr>
      <w:r>
        <w:t xml:space="preserve">The statewide ratio (the reference population) is set at ‘1’. A GSPMR of 1 indicates that the observed </w:t>
      </w:r>
      <w:r w:rsidRPr="00732496">
        <w:t>number</w:t>
      </w:r>
      <w:r>
        <w:t xml:space="preserve"> of perinatal deaths at that hospital is exactly what would be expected, considering the gestation of babies born there.</w:t>
      </w:r>
    </w:p>
    <w:p w14:paraId="76580530" w14:textId="77777777" w:rsidR="00D15E6B" w:rsidRDefault="00D15E6B" w:rsidP="003B4F97">
      <w:r>
        <w:t>An individual hospital with a ratio of:</w:t>
      </w:r>
    </w:p>
    <w:p w14:paraId="29CC0903" w14:textId="7A3C7F3B" w:rsidR="00D15E6B" w:rsidRDefault="00D15E6B" w:rsidP="003B4F97">
      <w:pPr>
        <w:pStyle w:val="Bullet1"/>
      </w:pPr>
      <w:r w:rsidRPr="00876059">
        <w:rPr>
          <w:b/>
        </w:rPr>
        <w:t>0.5</w:t>
      </w:r>
      <w:r>
        <w:t xml:space="preserve"> has a perinatal mortality that is half the statewide rate</w:t>
      </w:r>
    </w:p>
    <w:p w14:paraId="13827443" w14:textId="13DF555D" w:rsidR="00D15E6B" w:rsidRDefault="00D15E6B" w:rsidP="003B4F97">
      <w:pPr>
        <w:pStyle w:val="Bullet1"/>
      </w:pPr>
      <w:r w:rsidRPr="00876059">
        <w:rPr>
          <w:b/>
        </w:rPr>
        <w:t xml:space="preserve">1 </w:t>
      </w:r>
      <w:r>
        <w:t>has a perinatal mortality that is equal to the statewide rate</w:t>
      </w:r>
    </w:p>
    <w:p w14:paraId="0EB2DC59" w14:textId="4E0E1BA7" w:rsidR="00D15E6B" w:rsidRDefault="00D15E6B" w:rsidP="003B4F97">
      <w:pPr>
        <w:pStyle w:val="Bullet1"/>
      </w:pPr>
      <w:r w:rsidRPr="00876059">
        <w:rPr>
          <w:b/>
        </w:rPr>
        <w:t>1.5</w:t>
      </w:r>
      <w:r>
        <w:t xml:space="preserve"> has a perinatal mortality that is 50 per cent above the statewide rate</w:t>
      </w:r>
    </w:p>
    <w:p w14:paraId="7EBC0A09" w14:textId="6D2AF6A8" w:rsidR="00D15E6B" w:rsidRDefault="00D15E6B" w:rsidP="003B4F97">
      <w:pPr>
        <w:pStyle w:val="Bullet1"/>
      </w:pPr>
      <w:r w:rsidRPr="00876059">
        <w:rPr>
          <w:b/>
        </w:rPr>
        <w:t>2</w:t>
      </w:r>
      <w:r>
        <w:t xml:space="preserve"> represents perinatal mortality that is double the statewide rate.</w:t>
      </w:r>
    </w:p>
    <w:p w14:paraId="0ED9F4F5" w14:textId="77777777" w:rsidR="00D15E6B" w:rsidRDefault="00D15E6B" w:rsidP="003B4F97">
      <w:r>
        <w:t>These rates include only babies who were born at 32 or more weeks’ gestation.</w:t>
      </w:r>
    </w:p>
    <w:p w14:paraId="22739432" w14:textId="77777777" w:rsidR="00076D41" w:rsidRDefault="00076D41" w:rsidP="003B4F97">
      <w:pPr>
        <w:pStyle w:val="Bullet1"/>
        <w:numPr>
          <w:ilvl w:val="0"/>
          <w:numId w:val="0"/>
        </w:numPr>
      </w:pPr>
      <w:r>
        <w:t>The statewide rate (1) does not necessarily represent the optimal or clinically appropriate rate for perinatal mortality. A rate greater than 1 indicates more deaths occurred than were expected, and a rate less than 1 indicates fewer deaths occurred than were expected.</w:t>
      </w:r>
    </w:p>
    <w:p w14:paraId="5A970DE1" w14:textId="77777777" w:rsidR="00D15E6B" w:rsidRDefault="00D15E6B" w:rsidP="003B4F97">
      <w:pPr>
        <w:pStyle w:val="Heading3"/>
      </w:pPr>
      <w:r>
        <w:t>What does the GSPMR tell us?</w:t>
      </w:r>
    </w:p>
    <w:p w14:paraId="6FFC5763" w14:textId="77777777" w:rsidR="00D15E6B" w:rsidRDefault="00D15E6B" w:rsidP="003B4F97">
      <w:pPr>
        <w:pStyle w:val="Normalfollowingheading"/>
      </w:pPr>
      <w:r>
        <w:t>It shows where there is variation in perinatal mortality rates for hospitals of similar capability or size.</w:t>
      </w:r>
    </w:p>
    <w:p w14:paraId="3EB16B53" w14:textId="77777777" w:rsidR="00D15E6B" w:rsidRDefault="00D15E6B" w:rsidP="003B4F97">
      <w:r>
        <w:t>It adjusts for gestation, the most important risk factor for perinatal death.</w:t>
      </w:r>
    </w:p>
    <w:p w14:paraId="2461261D" w14:textId="77777777" w:rsidR="00732496" w:rsidRDefault="00732496" w:rsidP="003B4F97">
      <w:pPr>
        <w:rPr>
          <w:rFonts w:ascii="VIC SemiBold" w:eastAsiaTheme="majorEastAsia" w:hAnsi="VIC SemiBold" w:cstheme="majorBidi"/>
          <w:color w:val="000000" w:themeColor="text1"/>
          <w:sz w:val="24"/>
          <w:szCs w:val="22"/>
          <w:lang w:val="en-GB"/>
        </w:rPr>
      </w:pPr>
      <w:r>
        <w:br w:type="page"/>
      </w:r>
    </w:p>
    <w:p w14:paraId="376F1A75" w14:textId="7FF2E5A7" w:rsidR="00D15E6B" w:rsidRDefault="00D15E6B" w:rsidP="003B4F97">
      <w:pPr>
        <w:pStyle w:val="Heading3"/>
      </w:pPr>
      <w:r>
        <w:t>What can’t the GSPMR tell us?</w:t>
      </w:r>
    </w:p>
    <w:p w14:paraId="3C56C309" w14:textId="77777777" w:rsidR="00D15E6B" w:rsidRDefault="00D15E6B" w:rsidP="003B4F97">
      <w:pPr>
        <w:pStyle w:val="Normalfollowingheading"/>
      </w:pPr>
      <w:r>
        <w:t>The GSPMR does not indicate:</w:t>
      </w:r>
    </w:p>
    <w:p w14:paraId="67850383" w14:textId="1A601588" w:rsidR="00D15E6B" w:rsidRDefault="00D15E6B" w:rsidP="003B4F97">
      <w:pPr>
        <w:pStyle w:val="Bullet1"/>
      </w:pPr>
      <w:r>
        <w:t>statewide or individual hospital perinatal mortality rates</w:t>
      </w:r>
    </w:p>
    <w:p w14:paraId="74E4B139" w14:textId="2EF152B7" w:rsidR="00D15E6B" w:rsidRDefault="00D15E6B" w:rsidP="003B4F97">
      <w:pPr>
        <w:pStyle w:val="Bullet1"/>
      </w:pPr>
      <w:r>
        <w:t>whether the results for a given hospital are improving over the five-year period</w:t>
      </w:r>
    </w:p>
    <w:p w14:paraId="046FC27C" w14:textId="23D785D8" w:rsidR="00D15E6B" w:rsidRDefault="00D15E6B" w:rsidP="003B4F97">
      <w:pPr>
        <w:pStyle w:val="Bullet1"/>
      </w:pPr>
      <w:r>
        <w:t>the reasons for the deaths or how the babies died (a baby may have died before arriving at the birth hospital, while in the hospital or following discharge from hospital, for example, due to SIDS, a car accident or injury)</w:t>
      </w:r>
    </w:p>
    <w:p w14:paraId="4E84BC61" w14:textId="32348BA2" w:rsidR="00D15E6B" w:rsidRDefault="00D15E6B" w:rsidP="003B4F97">
      <w:pPr>
        <w:pStyle w:val="Bullet1"/>
      </w:pPr>
      <w:r>
        <w:t>whether the death could have been avoided</w:t>
      </w:r>
    </w:p>
    <w:p w14:paraId="553BAAF5" w14:textId="64586593" w:rsidR="00D15E6B" w:rsidRDefault="00D15E6B" w:rsidP="003B4F97">
      <w:pPr>
        <w:pStyle w:val="Bullet1"/>
      </w:pPr>
      <w:r>
        <w:t>whether the care around the time of death was provided by a different hospital (transfer) or health professional than the birth hospital</w:t>
      </w:r>
    </w:p>
    <w:p w14:paraId="6D1A4B0C" w14:textId="0FB4F16F" w:rsidR="00D15E6B" w:rsidRDefault="00D15E6B" w:rsidP="003B4F97">
      <w:pPr>
        <w:pStyle w:val="Bullet1"/>
      </w:pPr>
      <w:r>
        <w:t>where the baby died – it only tells us where the baby was born</w:t>
      </w:r>
    </w:p>
    <w:p w14:paraId="24BE0798" w14:textId="0A5B598B" w:rsidR="00D15E6B" w:rsidRDefault="00D15E6B" w:rsidP="003B4F97">
      <w:pPr>
        <w:pStyle w:val="Bullet1"/>
      </w:pPr>
      <w:r>
        <w:t>the safety of a maternity service</w:t>
      </w:r>
    </w:p>
    <w:p w14:paraId="282997F1" w14:textId="051BC6E9" w:rsidR="00A119DE" w:rsidRDefault="00D15E6B" w:rsidP="003B4F97">
      <w:pPr>
        <w:pStyle w:val="Bullet1"/>
      </w:pPr>
      <w:r>
        <w:t>the contribution of important risk factors associated with perinatal mortality such as obesity, smoking, pre-existing illness of the mother, low socioeconomic status and ethnicity.</w:t>
      </w:r>
    </w:p>
    <w:p w14:paraId="531FA6EF" w14:textId="3D23FC9F" w:rsidR="00D15E6B" w:rsidRDefault="00D15E6B" w:rsidP="003B4F97">
      <w:pPr>
        <w:pStyle w:val="Tablechartdiagramheading"/>
      </w:pPr>
      <w:r>
        <w:t>Figure 17. Funnel plot of five-year GSPMR compared to statewide public rate 2015–19</w:t>
      </w:r>
    </w:p>
    <w:p w14:paraId="3024AFF2" w14:textId="77777777" w:rsidR="00F80FA2" w:rsidRDefault="00F80FA2" w:rsidP="003B4F97">
      <w:r>
        <w:drawing>
          <wp:inline distT="0" distB="0" distL="0" distR="0" wp14:anchorId="3EBF6F4F" wp14:editId="0425BA2C">
            <wp:extent cx="5471291" cy="3852000"/>
            <wp:effectExtent l="0" t="0" r="0" b="0"/>
            <wp:docPr id="8" name="Picture 8" descr="This funnel plot shows the distribution of five-year gestation standardised perinatal mortality ratio across hospitals. A small number of hospitals had rates that were statistically significantly higher or low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funnel plot shows the distribution of five-year gestation standardised perinatal mortality ratio across hospitals. A small number of hospitals had rates that were statistically significantly higher or lower than average."/>
                    <pic:cNvPicPr/>
                  </pic:nvPicPr>
                  <pic:blipFill rotWithShape="1">
                    <a:blip r:embed="rId39"/>
                    <a:srcRect t="7708"/>
                    <a:stretch/>
                  </pic:blipFill>
                  <pic:spPr bwMode="auto">
                    <a:xfrm>
                      <a:off x="0" y="0"/>
                      <a:ext cx="5471291" cy="3852000"/>
                    </a:xfrm>
                    <a:prstGeom prst="rect">
                      <a:avLst/>
                    </a:prstGeom>
                    <a:ln>
                      <a:noFill/>
                    </a:ln>
                    <a:extLst>
                      <a:ext uri="{53640926-AAD7-44D8-BBD7-CCE9431645EC}">
                        <a14:shadowObscured xmlns:a14="http://schemas.microsoft.com/office/drawing/2010/main"/>
                      </a:ext>
                    </a:extLst>
                  </pic:spPr>
                </pic:pic>
              </a:graphicData>
            </a:graphic>
          </wp:inline>
        </w:drawing>
      </w:r>
    </w:p>
    <w:p w14:paraId="7FEF224D" w14:textId="63175AFB" w:rsidR="00F80FA2" w:rsidRDefault="00F80FA2" w:rsidP="003B4F97">
      <w:pPr>
        <w:pStyle w:val="Footer"/>
      </w:pPr>
      <w:r>
        <w:t xml:space="preserve">Only health services with at least five deaths during the </w:t>
      </w:r>
      <w:r w:rsidR="00B946E0">
        <w:t>five</w:t>
      </w:r>
      <w:r>
        <w:t xml:space="preserve">-year reference period are included in the funnel plot. The GSPMRs for individual health services are given </w:t>
      </w:r>
      <w:r w:rsidRPr="00B946E0">
        <w:t xml:space="preserve">in </w:t>
      </w:r>
      <w:r w:rsidRPr="00876059">
        <w:rPr>
          <w:b/>
        </w:rPr>
        <w:t xml:space="preserve">Appendix </w:t>
      </w:r>
      <w:r w:rsidR="003B1CF3" w:rsidRPr="00F64970">
        <w:rPr>
          <w:b/>
          <w:bCs/>
        </w:rPr>
        <w:t>3</w:t>
      </w:r>
      <w:r w:rsidRPr="00B946E0">
        <w:t>.</w:t>
      </w:r>
    </w:p>
    <w:p w14:paraId="7504BC21" w14:textId="77777777" w:rsidR="00F80FA2" w:rsidRDefault="00F80FA2" w:rsidP="003B4F97">
      <w:pPr>
        <w:pStyle w:val="Heading3"/>
      </w:pPr>
      <w:r>
        <w:t>How to read this plot</w:t>
      </w:r>
    </w:p>
    <w:p w14:paraId="3AC9F500" w14:textId="60DDEE18" w:rsidR="00F80FA2" w:rsidRDefault="00F80FA2" w:rsidP="003B4F97">
      <w:pPr>
        <w:pStyle w:val="Normalfollowingheading"/>
      </w:pPr>
      <w:r>
        <w:t>Note that the GSPMR is risk-adjusted, hence, interpretation of the funnel plot is slightly different. As with the other funnel plots, each dot represents one hospital. The solid horizontal line represents a GSPMR where the observed count of deaths is equal to the expected count of deaths (i.e. GSMPR=1). Hospitals (dots) that are above this line (i.e. above 1) have a GSPMR that suggests the observed count of deaths are higher than the expected count of deaths. Hospitals that are below this line have a GSPMR that suggests the observed count of deaths is lower than the expected count. It is desirable to have a GSPMR less than 1, however due to the nature of this indicator, around half of all hospitals will always have a GSPMR greater than 1 and around half will have a GSPMR less than 1.</w:t>
      </w:r>
    </w:p>
    <w:p w14:paraId="610803BD" w14:textId="6D2C8B03" w:rsidR="00F80FA2" w:rsidRDefault="00F80FA2" w:rsidP="003B4F97">
      <w:r>
        <w:t>The dashed and solid blue lines represent control limits based on one standard deviation (1SD) and two standard deviations (2SD) from the solid horizontal line, respectively. Control limits can be used to test how different a hospital’s GSPMR is from 1, taking the size of the hospital into consideration. If a hospital falls outside the 2SD control limits of the plot, its GSPMR is considered to be significantly different from 1. In the above funnel plot, hospitals that fall above the upper 2SD control limit have significantly higher than expected perinatal mortality. Hospitals that fall below the lower 2SD control limit have significantly lower than expected perinatal mortality.</w:t>
      </w:r>
    </w:p>
    <w:p w14:paraId="31C9C402" w14:textId="77777777" w:rsidR="00AE15F6" w:rsidRDefault="00F80FA2" w:rsidP="003B4F97">
      <w:r>
        <w:t>It is important to note that the GSPMR is adjusted only for the gestation at birth. Many other factors also put babies at higher and lower risk of perinatal death, including the socio-economic situation of the woman. This may explain some of these results that are lower than average.</w:t>
      </w:r>
    </w:p>
    <w:p w14:paraId="7B73659E" w14:textId="00F2B21F" w:rsidR="00AE15F6" w:rsidRDefault="00AE15F6" w:rsidP="003B4F97">
      <w:pPr>
        <w:pStyle w:val="Heading2"/>
      </w:pPr>
      <w:r>
        <w:t>Definition</w:t>
      </w:r>
      <w:r w:rsidR="00DC6415">
        <w:t>s and data sources</w:t>
      </w:r>
    </w:p>
    <w:p w14:paraId="6A17EE50" w14:textId="4F3A2D02" w:rsidR="00AE15F6" w:rsidRDefault="00AE15F6" w:rsidP="003B4F97">
      <w:pPr>
        <w:pStyle w:val="Normalfollowingheading"/>
      </w:pPr>
      <w:r>
        <w:t>The GSPMR is standardised according to the gestational age-specific perinatal mortality rates of the total population in Victorian hospitals. The standardisation does not adjust for inter-hospital transfers, and deaths are ascribed to the birth hospital regardless of the timing of the death in relation to the transfer.</w:t>
      </w:r>
      <w:r w:rsidR="0017547C" w:rsidRPr="005036AA">
        <w:rPr>
          <w:rFonts w:cs="VIC"/>
          <w:color w:val="0F151F"/>
          <w:vertAlign w:val="superscript"/>
          <w:lang w:val="en-GB"/>
        </w:rPr>
        <w:footnoteReference w:id="3"/>
      </w:r>
    </w:p>
    <w:p w14:paraId="331E5BD0" w14:textId="77777777" w:rsidR="00AE15F6" w:rsidRDefault="00AE15F6" w:rsidP="003B4F97">
      <w:r>
        <w:t>The data in this report:</w:t>
      </w:r>
    </w:p>
    <w:p w14:paraId="2EB511DB" w14:textId="53116F04" w:rsidR="00AE15F6" w:rsidRDefault="00AE15F6" w:rsidP="003B4F97">
      <w:pPr>
        <w:pStyle w:val="Bullet1"/>
      </w:pPr>
      <w:r>
        <w:t>is calculated from five years of pooled data between 2015 and 2019</w:t>
      </w:r>
    </w:p>
    <w:p w14:paraId="737AC97C" w14:textId="563D0217" w:rsidR="00AE15F6" w:rsidRDefault="00AE15F6" w:rsidP="003B4F97">
      <w:pPr>
        <w:pStyle w:val="Bullet1"/>
      </w:pPr>
      <w:r>
        <w:t>is standardised using gestational age</w:t>
      </w:r>
    </w:p>
    <w:p w14:paraId="48908C76" w14:textId="1B4C2AF5" w:rsidR="00AE15F6" w:rsidRDefault="00AE15F6" w:rsidP="003B4F97">
      <w:pPr>
        <w:pStyle w:val="Bullet1"/>
      </w:pPr>
      <w:r>
        <w:t>excludes births earlier than 32 weeks 0 days</w:t>
      </w:r>
    </w:p>
    <w:p w14:paraId="6C6972CA" w14:textId="535E282E" w:rsidR="00AE15F6" w:rsidRDefault="00AE15F6" w:rsidP="003B4F97">
      <w:pPr>
        <w:pStyle w:val="Bullet1"/>
      </w:pPr>
      <w:r>
        <w:t>excludes birthweights less than 150 grams regardless of gestation</w:t>
      </w:r>
    </w:p>
    <w:p w14:paraId="2465AD1D" w14:textId="314A91A3" w:rsidR="00AE15F6" w:rsidRDefault="00AE15F6" w:rsidP="003B4F97">
      <w:pPr>
        <w:pStyle w:val="Bullet1"/>
      </w:pPr>
      <w:r>
        <w:t>excludes all deaths due to congenital anomalies and all terminations of pregnancy.</w:t>
      </w:r>
    </w:p>
    <w:p w14:paraId="6BAF0394" w14:textId="77777777" w:rsidR="00AE15F6" w:rsidRDefault="00AE15F6" w:rsidP="003B4F97">
      <w:r>
        <w:t>These exclusions provide a more sensitive indicator to reflect the quality of care.</w:t>
      </w:r>
    </w:p>
    <w:p w14:paraId="7F12FBA3" w14:textId="77777777" w:rsidR="005C0995" w:rsidRDefault="005C0995" w:rsidP="003B4F97">
      <w:r>
        <w:br w:type="page"/>
      </w:r>
    </w:p>
    <w:p w14:paraId="555398CA" w14:textId="3CA622DF" w:rsidR="00AE15F6" w:rsidRDefault="00AE15F6" w:rsidP="003B4F97">
      <w:r>
        <w:t>The GSPMR is presented with data for individual public and private hospitals being shown in relation to the statewide hospital perinatal mortality rate for each week of gestation as the standard or reference population. The GSPMR of the individual health service is published in this report only if there are five or more perinatal deaths (stillbirths and neonatal deaths) in the five pooled years (2015–2019).</w:t>
      </w:r>
    </w:p>
    <w:p w14:paraId="4D145195" w14:textId="77777777" w:rsidR="00AE15F6" w:rsidRDefault="00AE15F6" w:rsidP="00A60C18">
      <w:pPr>
        <w:pStyle w:val="Heading4"/>
      </w:pPr>
      <w:r>
        <w:t>Data source: Victorian Perinatal Data Collection</w:t>
      </w:r>
    </w:p>
    <w:p w14:paraId="1F8A9FB1" w14:textId="77777777" w:rsidR="00AE15F6" w:rsidRDefault="00AE15F6" w:rsidP="003B4F97">
      <w:pPr>
        <w:pStyle w:val="Normalfollowingheading"/>
      </w:pPr>
      <w:r>
        <w:t>Data for this indicator is sourced from the VPDC for the calendar year from 1 January 2015 to 31 December 2019.</w:t>
      </w:r>
    </w:p>
    <w:p w14:paraId="4B38F432" w14:textId="77777777" w:rsidR="00AE15F6" w:rsidRDefault="00AE15F6" w:rsidP="003B4F97">
      <w:pPr>
        <w:pStyle w:val="Tablechartdiagramheading"/>
      </w:pPr>
      <w:r>
        <w:t>Observed/expected</w:t>
      </w:r>
    </w:p>
    <w:tbl>
      <w:tblPr>
        <w:tblStyle w:val="TableGrid"/>
        <w:tblW w:w="0" w:type="auto"/>
        <w:tblLook w:val="04A0" w:firstRow="1" w:lastRow="0" w:firstColumn="1" w:lastColumn="0" w:noHBand="0" w:noVBand="1"/>
      </w:tblPr>
      <w:tblGrid>
        <w:gridCol w:w="3401"/>
        <w:gridCol w:w="3401"/>
        <w:gridCol w:w="3402"/>
      </w:tblGrid>
      <w:tr w:rsidR="004A691F" w14:paraId="60F856C9" w14:textId="77777777" w:rsidTr="007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4DF5AA1C" w14:textId="3D1B2888" w:rsidR="004A691F" w:rsidRDefault="004A691F" w:rsidP="003B4F97">
            <w:r w:rsidRPr="00F60695">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48BE0D1" w14:textId="55EECE09" w:rsidR="004A691F" w:rsidRDefault="004A691F" w:rsidP="003B4F97">
            <w:pPr>
              <w:cnfStyle w:val="100000000000" w:firstRow="1" w:lastRow="0" w:firstColumn="0" w:lastColumn="0" w:oddVBand="0" w:evenVBand="0" w:oddHBand="0" w:evenHBand="0" w:firstRowFirstColumn="0" w:firstRowLastColumn="0" w:lastRowFirstColumn="0" w:lastRowLastColumn="0"/>
            </w:pPr>
            <w:r w:rsidRPr="00F60695">
              <w:t>Observed</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53C9A4D" w14:textId="456306F0" w:rsidR="004A691F" w:rsidRDefault="004A691F" w:rsidP="003B4F97">
            <w:pPr>
              <w:cnfStyle w:val="100000000000" w:firstRow="1" w:lastRow="0" w:firstColumn="0" w:lastColumn="0" w:oddVBand="0" w:evenVBand="0" w:oddHBand="0" w:evenHBand="0" w:firstRowFirstColumn="0" w:firstRowLastColumn="0" w:lastRowFirstColumn="0" w:lastRowLastColumn="0"/>
            </w:pPr>
            <w:r w:rsidRPr="00F60695">
              <w:t>Expected</w:t>
            </w:r>
          </w:p>
        </w:tc>
      </w:tr>
      <w:tr w:rsidR="004A691F" w14:paraId="2DC3FD62" w14:textId="77777777" w:rsidTr="004A691F">
        <w:tc>
          <w:tcPr>
            <w:cnfStyle w:val="001000000000" w:firstRow="0" w:lastRow="0" w:firstColumn="1" w:lastColumn="0" w:oddVBand="0" w:evenVBand="0" w:oddHBand="0" w:evenHBand="0" w:firstRowFirstColumn="0" w:firstRowLastColumn="0" w:lastRowFirstColumn="0" w:lastRowLastColumn="0"/>
            <w:tcW w:w="3401" w:type="dxa"/>
          </w:tcPr>
          <w:p w14:paraId="32263C8E" w14:textId="496C3D4E" w:rsidR="004A691F" w:rsidRDefault="004A691F" w:rsidP="003B4F97">
            <w:r w:rsidRPr="00F60695">
              <w:t>Indicator 5: Perinatal mortality ratio for babies born at 32 or more weeks (gestation standardised, excluding all terminations of pregnancy and deaths due to congenital anomalies) using five</w:t>
            </w:r>
            <w:r w:rsidR="00B946E0">
              <w:rPr>
                <w:rFonts w:ascii="Cambria" w:hAnsi="Cambria" w:cs="Cambria"/>
              </w:rPr>
              <w:t xml:space="preserve"> </w:t>
            </w:r>
            <w:r w:rsidRPr="00F60695">
              <w:t>years</w:t>
            </w:r>
            <w:r w:rsidRPr="00F60695">
              <w:rPr>
                <w:rFonts w:cs="VIC"/>
              </w:rPr>
              <w:t>’</w:t>
            </w:r>
            <w:r w:rsidRPr="00F60695">
              <w:t xml:space="preserve"> pooled data in Victorian public and private hospitals (32 weeks or more GSMPR)</w:t>
            </w:r>
          </w:p>
        </w:tc>
        <w:tc>
          <w:tcPr>
            <w:tcW w:w="3401" w:type="dxa"/>
          </w:tcPr>
          <w:p w14:paraId="7FEDDDC3" w14:textId="1342525F" w:rsidR="004A691F" w:rsidRDefault="004A691F" w:rsidP="003B4F97">
            <w:pPr>
              <w:cnfStyle w:val="000000000000" w:firstRow="0" w:lastRow="0" w:firstColumn="0" w:lastColumn="0" w:oddVBand="0" w:evenVBand="0" w:oddHBand="0" w:evenHBand="0" w:firstRowFirstColumn="0" w:firstRowLastColumn="0" w:lastRowFirstColumn="0" w:lastRowLastColumn="0"/>
            </w:pPr>
            <w:r w:rsidRPr="00F60695">
              <w:t>Observed perinatal deaths from 32</w:t>
            </w:r>
            <w:r w:rsidR="00A266BA">
              <w:rPr>
                <w:rFonts w:ascii="Cambria" w:hAnsi="Cambria" w:cs="Cambria"/>
              </w:rPr>
              <w:t xml:space="preserve"> </w:t>
            </w:r>
            <w:r w:rsidRPr="00F60695">
              <w:t>weeks 0 days (by weeks</w:t>
            </w:r>
            <w:r w:rsidRPr="00F60695">
              <w:rPr>
                <w:rFonts w:cs="VIC"/>
              </w:rPr>
              <w:t>’</w:t>
            </w:r>
            <w:r w:rsidRPr="00F60695">
              <w:t xml:space="preserve"> gestation at birth)</w:t>
            </w:r>
          </w:p>
        </w:tc>
        <w:tc>
          <w:tcPr>
            <w:tcW w:w="3402" w:type="dxa"/>
          </w:tcPr>
          <w:p w14:paraId="63617B4C" w14:textId="64DD6EF4" w:rsidR="004A691F" w:rsidRDefault="004A691F" w:rsidP="003B4F97">
            <w:pPr>
              <w:cnfStyle w:val="000000000000" w:firstRow="0" w:lastRow="0" w:firstColumn="0" w:lastColumn="0" w:oddVBand="0" w:evenVBand="0" w:oddHBand="0" w:evenHBand="0" w:firstRowFirstColumn="0" w:firstRowLastColumn="0" w:lastRowFirstColumn="0" w:lastRowLastColumn="0"/>
            </w:pPr>
            <w:r w:rsidRPr="00F60695">
              <w:t>Expected perinatal deaths from 32</w:t>
            </w:r>
            <w:r w:rsidR="00A266BA">
              <w:rPr>
                <w:rFonts w:ascii="Cambria" w:hAnsi="Cambria" w:cs="Cambria"/>
              </w:rPr>
              <w:t xml:space="preserve"> </w:t>
            </w:r>
            <w:r w:rsidRPr="00F60695">
              <w:t>weeks 0 days (by weeks</w:t>
            </w:r>
            <w:r w:rsidRPr="00F60695">
              <w:rPr>
                <w:rFonts w:cs="VIC"/>
              </w:rPr>
              <w:t>’</w:t>
            </w:r>
            <w:r w:rsidRPr="00F60695">
              <w:t xml:space="preserve"> gestation at</w:t>
            </w:r>
            <w:r w:rsidR="00A266BA">
              <w:rPr>
                <w:rFonts w:ascii="Cambria" w:hAnsi="Cambria" w:cs="Cambria"/>
              </w:rPr>
              <w:t xml:space="preserve"> </w:t>
            </w:r>
            <w:r w:rsidRPr="00F60695">
              <w:t>birth)</w:t>
            </w:r>
          </w:p>
        </w:tc>
      </w:tr>
    </w:tbl>
    <w:p w14:paraId="09007E79" w14:textId="2DBAC2A4" w:rsidR="00F80FA2" w:rsidRDefault="00F80FA2" w:rsidP="003B4F97">
      <w:r>
        <w:br w:type="page"/>
      </w:r>
    </w:p>
    <w:p w14:paraId="193928BB" w14:textId="423395F1" w:rsidR="00F80FA2" w:rsidRDefault="00F80FA2" w:rsidP="00A60C18">
      <w:pPr>
        <w:pStyle w:val="Heading1"/>
        <w:framePr w:wrap="around"/>
      </w:pPr>
      <w:bookmarkStart w:id="11" w:name="_Toc71710121"/>
      <w:r>
        <w:t>6a and 6b: Readmissions during the postnatal period</w:t>
      </w:r>
      <w:bookmarkEnd w:id="11"/>
    </w:p>
    <w:p w14:paraId="32A69869" w14:textId="77777777" w:rsidR="000272A1" w:rsidRDefault="000272A1" w:rsidP="003B4F97">
      <w:pPr>
        <w:pStyle w:val="IntroductoryText"/>
      </w:pPr>
      <w:r>
        <w:t>Postnatal care supports women following birth, including establish breastfeeding and develop early parenting skills. Providing high quality and timely care following birth can have a positive effect on the long-term health and wellbeing of women and their families.</w:t>
      </w:r>
    </w:p>
    <w:p w14:paraId="5121E4FF" w14:textId="77777777" w:rsidR="00732496" w:rsidRDefault="00732496" w:rsidP="003B4F97">
      <w:r>
        <w:t xml:space="preserve">Higher readmission rates can be associated with inconsistent discharge practices, the care provided during the days following birth and/or limited support in the community. Ensuring that there is a successful transition from hospital to community-based care is important for the ongoing support of women, babies and families. For most women and babies admitted as public patients, this transition usually occurs after at least one home visit by a hospital midwife. This visit should occur between 24 to 48 hours after discharge from the hospital. </w:t>
      </w:r>
    </w:p>
    <w:p w14:paraId="60E73E55" w14:textId="77777777" w:rsidR="00732496" w:rsidRDefault="00732496" w:rsidP="003B4F97">
      <w:pPr>
        <w:pStyle w:val="Heading2"/>
      </w:pPr>
      <w:r>
        <w:t>About this indicator</w:t>
      </w:r>
    </w:p>
    <w:p w14:paraId="573F73E9" w14:textId="77777777" w:rsidR="00732496" w:rsidRDefault="00732496" w:rsidP="003B4F97">
      <w:pPr>
        <w:pStyle w:val="Normalfollowingheading"/>
      </w:pPr>
      <w:r>
        <w:t>These indicators measure the rate of unplanned and potentially preventable readmissions of pregnant women (</w:t>
      </w:r>
      <w:r w:rsidRPr="00A9463A">
        <w:rPr>
          <w:rFonts w:ascii="VIC Medium" w:hAnsi="VIC Medium"/>
        </w:rPr>
        <w:t>6a</w:t>
      </w:r>
      <w:r>
        <w:t>) and newborns (</w:t>
      </w:r>
      <w:r w:rsidRPr="00A9463A">
        <w:rPr>
          <w:rFonts w:ascii="VIC Medium" w:hAnsi="VIC Medium"/>
        </w:rPr>
        <w:t>6b</w:t>
      </w:r>
      <w:r>
        <w:t>) to any hospital within 28 days of discharge from birth hospital.</w:t>
      </w:r>
    </w:p>
    <w:p w14:paraId="096F0E0B" w14:textId="0F2B57CA" w:rsidR="00732496" w:rsidRDefault="00732496" w:rsidP="003B4F97">
      <w:r>
        <w:t>High</w:t>
      </w:r>
      <w:r w:rsidR="00873353">
        <w:t>-</w:t>
      </w:r>
      <w:r>
        <w:t>quality care means most women and their babies should not return to hospital during the postnatal period. Unplanned and preventable hospital stays during this period reflects a deviation from the normal course of postnatal recovery. This results in increased healthcare costs and possible impacts on health and wellbeing for women and their babies.</w:t>
      </w:r>
    </w:p>
    <w:p w14:paraId="5A870891" w14:textId="10BEA9C3" w:rsidR="00732496" w:rsidRDefault="00732496" w:rsidP="003B4F97">
      <w:pPr>
        <w:pStyle w:val="Heading2"/>
      </w:pPr>
      <w:r>
        <w:t>Observations on the data</w:t>
      </w:r>
    </w:p>
    <w:p w14:paraId="756DE72C" w14:textId="77777777" w:rsidR="00873353" w:rsidRDefault="000272A1" w:rsidP="003B4F97">
      <w:pPr>
        <w:pStyle w:val="Normalfollowingheading"/>
      </w:pPr>
      <w:r>
        <w:t>In 2019–20 the statewide rate of unplanned maternal readmissions within 28 days of discharge (</w:t>
      </w:r>
      <w:r w:rsidRPr="00A9463A">
        <w:rPr>
          <w:rFonts w:ascii="VIC Medium" w:hAnsi="VIC Medium"/>
        </w:rPr>
        <w:t>Indicator 6a</w:t>
      </w:r>
      <w:r>
        <w:t xml:space="preserve">) was 2.3 per cent, a slight improvement from the previous year’s rate of 2.6 per cent. </w:t>
      </w:r>
    </w:p>
    <w:p w14:paraId="2D9E2FAA" w14:textId="61E3A641" w:rsidR="000272A1" w:rsidRDefault="000272A1" w:rsidP="003B4F97">
      <w:pPr>
        <w:pStyle w:val="Normalfollowingheading"/>
      </w:pPr>
      <w:r>
        <w:t xml:space="preserve">As in previous years, the rate was higher in public hospitals at 2.4 per cent compared to private hospitals at 1.7 per cent (p&lt;0.001). </w:t>
      </w:r>
    </w:p>
    <w:p w14:paraId="2897573D" w14:textId="0C555A85" w:rsidR="000272A1" w:rsidRDefault="000272A1" w:rsidP="003B4F97">
      <w:r>
        <w:t>The public hospital statewide average rate of unplanned newborn readmissions within 28 days of discharge (</w:t>
      </w:r>
      <w:r w:rsidRPr="00A9463A">
        <w:rPr>
          <w:rFonts w:ascii="VIC Medium" w:hAnsi="VIC Medium"/>
        </w:rPr>
        <w:t>Indicator 6b</w:t>
      </w:r>
      <w:r>
        <w:t>) was the same as the previous year’s rate 4.1 per cent.</w:t>
      </w:r>
    </w:p>
    <w:p w14:paraId="292B4243" w14:textId="77777777" w:rsidR="000272A1" w:rsidRDefault="000272A1" w:rsidP="003B4F97">
      <w:pPr>
        <w:rPr>
          <w:rFonts w:ascii="VIC SemiBold" w:hAnsi="VIC SemiBold"/>
          <w:color w:val="007586" w:themeColor="text2"/>
          <w:spacing w:val="2"/>
          <w:szCs w:val="18"/>
          <w:lang w:val="en-GB" w:eastAsia="en-AU"/>
        </w:rPr>
      </w:pPr>
      <w:r>
        <w:br w:type="page"/>
      </w:r>
    </w:p>
    <w:p w14:paraId="04C4DAF9" w14:textId="365D1F48" w:rsidR="00F80FA2" w:rsidRDefault="00F80FA2" w:rsidP="003B4F97">
      <w:pPr>
        <w:pStyle w:val="Tablechartdiagramheading"/>
      </w:pPr>
      <w:r>
        <w:t>Figure 18. Indicator 6a: Rate of maternal readmissions during the postnatal period, 2019–20</w:t>
      </w:r>
    </w:p>
    <w:p w14:paraId="5BACAC69" w14:textId="042F48F9" w:rsidR="00F80FA2" w:rsidRDefault="009D7733" w:rsidP="003B4F97">
      <w:r w:rsidRPr="004B6B46">
        <mc:AlternateContent>
          <mc:Choice Requires="wps">
            <w:drawing>
              <wp:anchor distT="0" distB="0" distL="114300" distR="114300" simplePos="0" relativeHeight="251658257" behindDoc="0" locked="0" layoutInCell="1" allowOverlap="1" wp14:anchorId="3C881A04" wp14:editId="6138FF7D">
                <wp:simplePos x="0" y="0"/>
                <wp:positionH relativeFrom="column">
                  <wp:posOffset>3187554</wp:posOffset>
                </wp:positionH>
                <wp:positionV relativeFrom="paragraph">
                  <wp:posOffset>154647</wp:posOffset>
                </wp:positionV>
                <wp:extent cx="3038622" cy="7164000"/>
                <wp:effectExtent l="0" t="0" r="9525" b="0"/>
                <wp:wrapNone/>
                <wp:docPr id="64" name="Rectangle 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38622" cy="7164000"/>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B2A59" id="Rectangle 64" o:spid="_x0000_s1026" style="position:absolute;margin-left:251pt;margin-top:12.2pt;width:239.25pt;height:564.1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7UyqAIAAKkFAAAOAAAAZHJzL2Uyb0RvYy54bWysVFFP2zAQfp+0/2D5fSQppUBFiipQp0kI&#10;EDDx7Dp2E8nxebbbtPv1O9tJqIC9THtxfL677+6+3N3V9b5VZCesa0CXtDjJKRGaQ9XoTUl/vqy+&#10;XVDiPNMVU6BFSQ/C0evF1y9XnZmLCdSgKmEJgmg370xJa+/NPMscr0XL3AkYoVEpwbbMo2g3WWVZ&#10;h+ityiZ5Pss6sJWxwIVz+HqblHQR8aUU3D9I6YQnqqSYm4+njec6nNniis03lpm64X0a7B+yaFmj&#10;MegIdcs8I1vbfIBqG27BgfQnHNoMpGy4iDVgNUX+rprnmhkRa0FynBlpcv8Plt/vHi1pqpLOppRo&#10;1uI/ekLWmN4oQfANCeqMm6Pds3m0veTwGqrdS9uGL9ZB9pHUw0iq2HvC8fE0P72YTSaUcNSdF7Np&#10;nkfaszd3Y53/LqAl4VJSi/EjmWx35zyGRNPBJERzoJpq1SgVBbtZ3yhLdgz/8GqF4HnyVaZm6bXI&#10;i8tZKARxXDJP92McpQOahoCbTMNLFmpP1cabPygR7JR+EhJpw/omMVxsWDEmwjgX2hdJVbNKpEzO&#10;Ynp9JqHFg0fMJQIGZInxR+weYLBMIAN2guntg6uI/T46Jx7+klhyHj1iZNB+dG4bDfazyhRW1UdO&#10;9gNJiZrA0hqqAzaVhTRtzvBVgz/2jjn/yCyOFw4irgz/gIdU0JUU+hslNdjfn70He+x61FLS4biW&#10;1P3aMisoUT80zsNlMZ2G+Y7C9Ox8goI91qyPNXrb3gD2S4HLyfB4DfZeDVdpoX3FzbIMUVHFNMfY&#10;JeXeDsKNT2sEdxMXy2U0w5k2zN/pZ8MDeGA1NO7L/pVZ03e3x8G4h2G02fxdkyfb4KlhufUgmzgB&#10;b7z2fOM+iI3T766wcI7laPW2YRd/AAAA//8DAFBLAwQUAAYACAAAACEAiwxvHd8AAAALAQAADwAA&#10;AGRycy9kb3ducmV2LnhtbEyPwU7DMBBE70j8g7VI3Khdq4lKiFMhEPRKC6o4uvGSBOJ1ZLtN8veY&#10;Ez2u9mnmTbmZbM/O6EPnSMFyIYAh1c501Cj4eH+5WwMLUZPRvSNUMGOATXV9VerCuJF2eN7HhqUQ&#10;CoVW0MY4FJyHukWrw8INSOn35bzVMZ2+4cbrMYXbnkshcm51R6mh1QM+tVj/7E9WQf0ZDm+7uH3+&#10;bmh+zcfx4LezVOr2Znp8ABZxiv8w/OkndaiS09GdyATWK8iETFuiArlaAUvA/VpkwI6JXGYyB16V&#10;/HJD9QsAAP//AwBQSwECLQAUAAYACAAAACEAtoM4kv4AAADhAQAAEwAAAAAAAAAAAAAAAAAAAAAA&#10;W0NvbnRlbnRfVHlwZXNdLnhtbFBLAQItABQABgAIAAAAIQA4/SH/1gAAAJQBAAALAAAAAAAAAAAA&#10;AAAAAC8BAABfcmVscy8ucmVsc1BLAQItABQABgAIAAAAIQCmn7UyqAIAAKkFAAAOAAAAAAAAAAAA&#10;AAAAAC4CAABkcnMvZTJvRG9jLnhtbFBLAQItABQABgAIAAAAIQCLDG8d3wAAAAsBAAAPAAAAAAAA&#10;AAAAAAAAAAIFAABkcnMvZG93bnJldi54bWxQSwUGAAAAAAQABADzAAAADgYAAAAA&#10;" fillcolor="red" stroked="f" strokeweight="2pt">
                <v:fill opacity="6682f"/>
              </v:rect>
            </w:pict>
          </mc:Fallback>
        </mc:AlternateContent>
      </w:r>
      <w:r w:rsidRPr="004B6B46">
        <mc:AlternateContent>
          <mc:Choice Requires="wps">
            <w:drawing>
              <wp:anchor distT="0" distB="0" distL="114300" distR="114300" simplePos="0" relativeHeight="251658256" behindDoc="0" locked="0" layoutInCell="1" allowOverlap="1" wp14:anchorId="0C528773" wp14:editId="1517427A">
                <wp:simplePos x="0" y="0"/>
                <wp:positionH relativeFrom="column">
                  <wp:posOffset>2048510</wp:posOffset>
                </wp:positionH>
                <wp:positionV relativeFrom="paragraph">
                  <wp:posOffset>152400</wp:posOffset>
                </wp:positionV>
                <wp:extent cx="543208" cy="7164000"/>
                <wp:effectExtent l="0" t="0" r="9525" b="0"/>
                <wp:wrapNone/>
                <wp:docPr id="63" name="Rectangle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3208" cy="7164000"/>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E387" id="Rectangle 63" o:spid="_x0000_s1026" style="position:absolute;margin-left:161.3pt;margin-top:12pt;width:42.75pt;height:564.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GDqAIAAKgFAAAOAAAAZHJzL2Uyb0RvYy54bWysVMFu2zAMvQ/YPwi6r7bTJF2DOkXQosOA&#10;og3aDj0rshQbkEVNUuJkXz9Kst2g7WnYRRZF8pF8Jnl1fWgV2QvrGtAlLc5ySoTmUDV6W9JfL3ff&#10;vlPiPNMVU6BFSY/C0evl1y9XnVmICdSgKmEJgmi36ExJa+/NIsscr0XL3BkYoVEpwbbMo2i3WWVZ&#10;h+ityiZ5Ps86sJWxwIVz+HqblHQZ8aUU3D9K6YQnqqSYm4+njecmnNnyii22lpm64X0a7B+yaFmj&#10;MegIdcs8IzvbfIBqG27BgfRnHNoMpGy4iDVgNUX+rprnmhkRa0FynBlpcv8Plj/s15Y0VUnn55Ro&#10;1uI/ekLWmN4qQfANCeqMW6Dds1nbXnJ4DdUepG3DF+sgh0jqcSRVHDzh+Dibnk9y7AKOqotiPs3z&#10;yHr25m2s8z8EtCRcSmoxfOSS7e+dx4hoOpiEYA5UU901SkXBbjc3ypI9wx98ObnNZ3nyVaZm6bXI&#10;i8t5qANxXDJP91McpQOahoCbTMNLFkpPxcabPyoR7JR+EhJZw/ImMVzsVzEmwjgX2hdJVbNKpExm&#10;WPtQ/OgRc4mAAVli/BG7Bwiz8BE7ZdnbB1cR2310TjyMYVIGQ2LJefSIkUH70bltNNjPKlNYVR85&#10;2Q8kJWoCSxuojthTFtKwOcPvGvyx98z5NbM4XTiHuDH8Ix5SQVdS6G+U1GD/fPYe7LHpUUtJh9Na&#10;Uvd7x6ygRP3UOA6XxXQaxjsK09nFBAV7qtmcavSuvQHslwJ3k+HxGuy9Gq7SQvuKi2UVoqKKaY6x&#10;S8q9HYQbn7YIriYuVqtohiNtmL/Xz4YH8MBqaNyXwyuzpu9uj3PxAMNks8W7Jk+2wVPDaudBNnEC&#10;3njt+cZ1EBunX11h35zK0eptwS7/AgAA//8DAFBLAwQUAAYACAAAACEAwwPoO+EAAAALAQAADwAA&#10;AGRycy9kb3ducmV2LnhtbEyPQU7DMBBF90jcwRokdtSJSao2xKkQiEgVXUDpAdxkSFLicYjdNr09&#10;wwqWo3n6//18NdlenHD0nSMN8SwCgVS5uqNGw+7j5W4BwgdDtekdoYYLelgV11e5yWp3pnc8bUMj&#10;OIR8ZjS0IQyZlL5q0Ro/cwMS/z7daE3gc2xkPZozh9teqiiaS2s64obWDPjUYvW1PVoNyeb54OSQ&#10;HtLGLsu379f1pSzXWt/eTI8PIAJO4Q+GX31Wh4Kd9u5ItRe9hnul5oxqUAlvYiCJFjGIPZNxqhTI&#10;Ipf/NxQ/AAAA//8DAFBLAQItABQABgAIAAAAIQC2gziS/gAAAOEBAAATAAAAAAAAAAAAAAAAAAAA&#10;AABbQ29udGVudF9UeXBlc10ueG1sUEsBAi0AFAAGAAgAAAAhADj9If/WAAAAlAEAAAsAAAAAAAAA&#10;AAAAAAAALwEAAF9yZWxzLy5yZWxzUEsBAi0AFAAGAAgAAAAhAJUJ8YOoAgAAqAUAAA4AAAAAAAAA&#10;AAAAAAAALgIAAGRycy9lMm9Eb2MueG1sUEsBAi0AFAAGAAgAAAAhAMMD6DvhAAAACwEAAA8AAAAA&#10;AAAAAAAAAAAAAgUAAGRycy9kb3ducmV2LnhtbFBLBQYAAAAABAAEAPMAAAAQBgAAAAA=&#10;" fillcolor="#92d050" stroked="f" strokeweight="2pt">
                <v:fill opacity="6682f"/>
              </v:rect>
            </w:pict>
          </mc:Fallback>
        </mc:AlternateContent>
      </w:r>
      <w:r w:rsidR="00F80FA2">
        <w:drawing>
          <wp:inline distT="0" distB="0" distL="0" distR="0" wp14:anchorId="04776355" wp14:editId="751033DD">
            <wp:extent cx="6480000" cy="7524000"/>
            <wp:effectExtent l="0" t="0" r="0" b="1270"/>
            <wp:docPr id="25" name="Chart 25" descr="This bar graph shows the rates at each hospital and statewide of maternal readmission during the postnatal period. A larger proportion of public than private hospitals had rates that fell within the least favourable 25% of hospitals.">
              <a:extLst xmlns:a="http://schemas.openxmlformats.org/drawingml/2006/main">
                <a:ext uri="{FF2B5EF4-FFF2-40B4-BE49-F238E27FC236}">
                  <a16:creationId xmlns:a16="http://schemas.microsoft.com/office/drawing/2014/main" id="{3BBE39E8-FDD3-4570-826D-09B9B2BE59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A5F2F49" w14:textId="77777777" w:rsidR="00F80FA2" w:rsidRPr="005036AA" w:rsidRDefault="00F80FA2" w:rsidP="003B4F97">
      <w:pPr>
        <w:pStyle w:val="Tablechartdiagramheading"/>
      </w:pPr>
      <w:r w:rsidRPr="009C58E7">
        <w:t xml:space="preserve">Figure </w:t>
      </w:r>
      <w:r>
        <w:t>19</w:t>
      </w:r>
      <w:r w:rsidRPr="00994C5C">
        <w:t>. Funnel plot of maternal readmissions during the postnatal period, 201</w:t>
      </w:r>
      <w:r>
        <w:t>9</w:t>
      </w:r>
      <w:r w:rsidRPr="00994C5C">
        <w:t>–</w:t>
      </w:r>
      <w:r>
        <w:t>20</w:t>
      </w:r>
    </w:p>
    <w:p w14:paraId="55575E53" w14:textId="4DAC6A7C" w:rsidR="00F80FA2" w:rsidRDefault="00F80FA2" w:rsidP="003B4F97">
      <w:r>
        <w:drawing>
          <wp:inline distT="0" distB="0" distL="0" distR="0" wp14:anchorId="314C64A0" wp14:editId="752E1B75">
            <wp:extent cx="5248509" cy="3780000"/>
            <wp:effectExtent l="0" t="0" r="0" b="0"/>
            <wp:docPr id="39" name="Picture 39" descr="This funnel plot shows the distribution of rates of maternal readmission during the postnatal period. More public than private hospitals had rates that were statistically significantly higher than average. More private than public hospitals had rates that were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funnel plot shows the distribution of rates of maternal readmission during the postnatal period. More public than private hospitals had rates that were statistically significantly higher than average. More private than public hospitals had rates that were significantly lower."/>
                    <pic:cNvPicPr/>
                  </pic:nvPicPr>
                  <pic:blipFill rotWithShape="1">
                    <a:blip r:embed="rId41">
                      <a:extLst>
                        <a:ext uri="{28A0092B-C50C-407E-A947-70E740481C1C}">
                          <a14:useLocalDpi xmlns:a14="http://schemas.microsoft.com/office/drawing/2010/main" val="0"/>
                        </a:ext>
                      </a:extLst>
                    </a:blip>
                    <a:srcRect t="3797"/>
                    <a:stretch/>
                  </pic:blipFill>
                  <pic:spPr bwMode="auto">
                    <a:xfrm>
                      <a:off x="0" y="0"/>
                      <a:ext cx="5248509" cy="3780000"/>
                    </a:xfrm>
                    <a:prstGeom prst="rect">
                      <a:avLst/>
                    </a:prstGeom>
                    <a:ln>
                      <a:noFill/>
                    </a:ln>
                    <a:extLst>
                      <a:ext uri="{53640926-AAD7-44D8-BBD7-CCE9431645EC}">
                        <a14:shadowObscured xmlns:a14="http://schemas.microsoft.com/office/drawing/2010/main"/>
                      </a:ext>
                    </a:extLst>
                  </pic:spPr>
                </pic:pic>
              </a:graphicData>
            </a:graphic>
          </wp:inline>
        </w:drawing>
      </w:r>
    </w:p>
    <w:p w14:paraId="7F35679D"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487944A0" w14:textId="328D6022" w:rsidR="00F80FA2" w:rsidRDefault="00F80FA2" w:rsidP="003B4F97">
      <w:pPr>
        <w:pStyle w:val="Tablechartdiagramheading"/>
      </w:pPr>
      <w:r>
        <w:t xml:space="preserve">Table </w:t>
      </w:r>
      <w:r w:rsidR="00061B4C">
        <w:t>8</w:t>
      </w:r>
      <w:r w:rsidRPr="005036AA">
        <w:t>. Rate of maternal readmissions during the postnatal period</w:t>
      </w:r>
      <w:r>
        <w:t>, by financial year 2015</w:t>
      </w:r>
      <w:r w:rsidR="00061B4C">
        <w:t>–</w:t>
      </w:r>
      <w:r>
        <w:t>19</w:t>
      </w:r>
    </w:p>
    <w:tbl>
      <w:tblPr>
        <w:tblStyle w:val="TableGrid"/>
        <w:tblW w:w="0" w:type="auto"/>
        <w:tblLook w:val="04A0" w:firstRow="1" w:lastRow="0" w:firstColumn="1" w:lastColumn="0" w:noHBand="0" w:noVBand="1"/>
      </w:tblPr>
      <w:tblGrid>
        <w:gridCol w:w="1700"/>
        <w:gridCol w:w="1700"/>
        <w:gridCol w:w="1701"/>
        <w:gridCol w:w="1701"/>
        <w:gridCol w:w="1701"/>
        <w:gridCol w:w="1701"/>
      </w:tblGrid>
      <w:tr w:rsidR="002A3CE9" w14:paraId="735D5FFF" w14:textId="77777777" w:rsidTr="009D7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CD72A5A" w14:textId="77777777" w:rsidR="00F80FA2" w:rsidRDefault="00F80FA2" w:rsidP="003B4F97">
            <w:pPr>
              <w:rPr>
                <w:lang w:val="en-GB" w:eastAsia="en-AU"/>
              </w:rPr>
            </w:pPr>
          </w:p>
        </w:tc>
        <w:tc>
          <w:tcPr>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4580A054" w14:textId="4F04685D"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BD3409">
              <w:t>2015–16</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29383FD" w14:textId="7724A747"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BD3409">
              <w:t>2016–17</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03B7A12" w14:textId="5432336C"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BD3409">
              <w:t>2017–18</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4C6D371" w14:textId="65AB4114"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t>2018</w:t>
            </w:r>
            <w:r w:rsidR="00B946E0">
              <w:t>–</w:t>
            </w:r>
            <w:r>
              <w:t>19</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AAA53CA" w14:textId="0C92F5D8"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t>2019</w:t>
            </w:r>
            <w:r w:rsidR="00B946E0">
              <w:t>–</w:t>
            </w:r>
            <w:r>
              <w:t>20</w:t>
            </w:r>
          </w:p>
        </w:tc>
      </w:tr>
      <w:tr w:rsidR="00F80FA2" w14:paraId="7DEC47D5" w14:textId="77777777" w:rsidTr="009D7733">
        <w:tc>
          <w:tcPr>
            <w:cnfStyle w:val="001000000000" w:firstRow="0" w:lastRow="0" w:firstColumn="1" w:lastColumn="0" w:oddVBand="0" w:evenVBand="0" w:oddHBand="0" w:evenHBand="0" w:firstRowFirstColumn="0" w:firstRowLastColumn="0" w:lastRowFirstColumn="0" w:lastRowLastColumn="0"/>
            <w:tcW w:w="1700" w:type="dxa"/>
            <w:vAlign w:val="center"/>
          </w:tcPr>
          <w:p w14:paraId="60389DF7" w14:textId="0F6043A1" w:rsidR="00F80FA2" w:rsidRDefault="00F80FA2" w:rsidP="003B4F97">
            <w:pPr>
              <w:rPr>
                <w:lang w:val="en-GB" w:eastAsia="en-AU"/>
              </w:rPr>
            </w:pPr>
            <w:r w:rsidRPr="00BD3409">
              <w:t>Public</w:t>
            </w:r>
          </w:p>
        </w:tc>
        <w:tc>
          <w:tcPr>
            <w:tcW w:w="1700" w:type="dxa"/>
            <w:vAlign w:val="center"/>
          </w:tcPr>
          <w:p w14:paraId="7710EEF5" w14:textId="7B0F20C5"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2.4%</w:t>
            </w:r>
          </w:p>
        </w:tc>
        <w:tc>
          <w:tcPr>
            <w:tcW w:w="1701" w:type="dxa"/>
            <w:vAlign w:val="center"/>
          </w:tcPr>
          <w:p w14:paraId="5FAC323A" w14:textId="0E6928FE"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2.5%</w:t>
            </w:r>
          </w:p>
        </w:tc>
        <w:tc>
          <w:tcPr>
            <w:tcW w:w="1701" w:type="dxa"/>
            <w:vAlign w:val="center"/>
          </w:tcPr>
          <w:p w14:paraId="6C0FB369" w14:textId="735662D3"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2.5%</w:t>
            </w:r>
          </w:p>
        </w:tc>
        <w:tc>
          <w:tcPr>
            <w:tcW w:w="1701" w:type="dxa"/>
            <w:vAlign w:val="center"/>
          </w:tcPr>
          <w:p w14:paraId="3162A2E7" w14:textId="541A2E97"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2.7%</w:t>
            </w:r>
          </w:p>
        </w:tc>
        <w:tc>
          <w:tcPr>
            <w:tcW w:w="1701" w:type="dxa"/>
            <w:tcBorders>
              <w:top w:val="single" w:sz="24" w:space="0" w:color="CCCCD0" w:themeColor="accent6"/>
            </w:tcBorders>
            <w:shd w:val="clear" w:color="auto" w:fill="D9D9D9" w:themeFill="background1" w:themeFillShade="D9"/>
            <w:vAlign w:val="center"/>
          </w:tcPr>
          <w:p w14:paraId="30105727" w14:textId="0B7A2D1A"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2.4%</w:t>
            </w:r>
          </w:p>
        </w:tc>
      </w:tr>
      <w:tr w:rsidR="00F80FA2" w14:paraId="042FEB5C" w14:textId="77777777" w:rsidTr="009D7733">
        <w:tc>
          <w:tcPr>
            <w:cnfStyle w:val="001000000000" w:firstRow="0" w:lastRow="0" w:firstColumn="1" w:lastColumn="0" w:oddVBand="0" w:evenVBand="0" w:oddHBand="0" w:evenHBand="0" w:firstRowFirstColumn="0" w:firstRowLastColumn="0" w:lastRowFirstColumn="0" w:lastRowLastColumn="0"/>
            <w:tcW w:w="1700" w:type="dxa"/>
            <w:vAlign w:val="center"/>
          </w:tcPr>
          <w:p w14:paraId="6C8CC052" w14:textId="6920F48B" w:rsidR="00F80FA2" w:rsidRDefault="00F80FA2" w:rsidP="003B4F97">
            <w:pPr>
              <w:rPr>
                <w:lang w:val="en-GB" w:eastAsia="en-AU"/>
              </w:rPr>
            </w:pPr>
            <w:r w:rsidRPr="00BD3409">
              <w:t>Private</w:t>
            </w:r>
          </w:p>
        </w:tc>
        <w:tc>
          <w:tcPr>
            <w:tcW w:w="1700" w:type="dxa"/>
            <w:vAlign w:val="center"/>
          </w:tcPr>
          <w:p w14:paraId="6EBAF310" w14:textId="305257E2"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NA</w:t>
            </w:r>
          </w:p>
        </w:tc>
        <w:tc>
          <w:tcPr>
            <w:tcW w:w="1701" w:type="dxa"/>
            <w:vAlign w:val="center"/>
          </w:tcPr>
          <w:p w14:paraId="150B8E99" w14:textId="62023558"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2.5%</w:t>
            </w:r>
          </w:p>
        </w:tc>
        <w:tc>
          <w:tcPr>
            <w:tcW w:w="1701" w:type="dxa"/>
            <w:vAlign w:val="center"/>
          </w:tcPr>
          <w:p w14:paraId="776A38B4" w14:textId="09C54C4F"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2.5%</w:t>
            </w:r>
          </w:p>
        </w:tc>
        <w:tc>
          <w:tcPr>
            <w:tcW w:w="1701" w:type="dxa"/>
            <w:vAlign w:val="center"/>
          </w:tcPr>
          <w:p w14:paraId="410E4947" w14:textId="710D3648"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2.0%</w:t>
            </w:r>
          </w:p>
        </w:tc>
        <w:tc>
          <w:tcPr>
            <w:tcW w:w="1701" w:type="dxa"/>
            <w:shd w:val="clear" w:color="auto" w:fill="D9D9D9" w:themeFill="background1" w:themeFillShade="D9"/>
            <w:vAlign w:val="center"/>
          </w:tcPr>
          <w:p w14:paraId="5C1DF43F" w14:textId="22E86237"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1.7%</w:t>
            </w:r>
          </w:p>
        </w:tc>
      </w:tr>
      <w:tr w:rsidR="00F80FA2" w14:paraId="71C8C31F" w14:textId="77777777" w:rsidTr="009D7733">
        <w:tc>
          <w:tcPr>
            <w:cnfStyle w:val="001000000000" w:firstRow="0" w:lastRow="0" w:firstColumn="1" w:lastColumn="0" w:oddVBand="0" w:evenVBand="0" w:oddHBand="0" w:evenHBand="0" w:firstRowFirstColumn="0" w:firstRowLastColumn="0" w:lastRowFirstColumn="0" w:lastRowLastColumn="0"/>
            <w:tcW w:w="1700" w:type="dxa"/>
            <w:vAlign w:val="center"/>
          </w:tcPr>
          <w:p w14:paraId="3D64CD10" w14:textId="480CADC6" w:rsidR="00F80FA2" w:rsidRDefault="00F80FA2" w:rsidP="003B4F97">
            <w:pPr>
              <w:rPr>
                <w:lang w:val="en-GB" w:eastAsia="en-AU"/>
              </w:rPr>
            </w:pPr>
            <w:r w:rsidRPr="00BD3409">
              <w:t>Combined</w:t>
            </w:r>
          </w:p>
        </w:tc>
        <w:tc>
          <w:tcPr>
            <w:tcW w:w="1700" w:type="dxa"/>
            <w:vAlign w:val="center"/>
          </w:tcPr>
          <w:p w14:paraId="5F1BB1D5" w14:textId="29735DF2"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NA</w:t>
            </w:r>
          </w:p>
        </w:tc>
        <w:tc>
          <w:tcPr>
            <w:tcW w:w="1701" w:type="dxa"/>
            <w:vAlign w:val="center"/>
          </w:tcPr>
          <w:p w14:paraId="44821C1C" w14:textId="49E7DEA9"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2.5%</w:t>
            </w:r>
          </w:p>
        </w:tc>
        <w:tc>
          <w:tcPr>
            <w:tcW w:w="1701" w:type="dxa"/>
            <w:vAlign w:val="center"/>
          </w:tcPr>
          <w:p w14:paraId="4E7D2EF2" w14:textId="5F55D9C0"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BD3409">
              <w:t>2.5%</w:t>
            </w:r>
          </w:p>
        </w:tc>
        <w:tc>
          <w:tcPr>
            <w:tcW w:w="1701" w:type="dxa"/>
            <w:vAlign w:val="center"/>
          </w:tcPr>
          <w:p w14:paraId="337ECC69" w14:textId="7B8F8B37"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2.6%</w:t>
            </w:r>
          </w:p>
        </w:tc>
        <w:tc>
          <w:tcPr>
            <w:tcW w:w="1701" w:type="dxa"/>
            <w:shd w:val="clear" w:color="auto" w:fill="D9D9D9" w:themeFill="background1" w:themeFillShade="D9"/>
            <w:vAlign w:val="center"/>
          </w:tcPr>
          <w:p w14:paraId="2274B176" w14:textId="4CDCAF78"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2.3%</w:t>
            </w:r>
          </w:p>
        </w:tc>
      </w:tr>
    </w:tbl>
    <w:p w14:paraId="373EC595" w14:textId="7C57F4CD" w:rsidR="00F80FA2" w:rsidRDefault="00F80FA2" w:rsidP="003B4F97">
      <w:r>
        <w:br w:type="page"/>
      </w:r>
    </w:p>
    <w:p w14:paraId="638C17C8" w14:textId="43FA27FA" w:rsidR="00F80FA2" w:rsidRPr="005036AA" w:rsidRDefault="00F80FA2" w:rsidP="003B4F97">
      <w:pPr>
        <w:pStyle w:val="Tablechartdiagramheading"/>
      </w:pPr>
      <w:r w:rsidRPr="005036AA">
        <w:t>Figure 2</w:t>
      </w:r>
      <w:r>
        <w:t>0</w:t>
      </w:r>
      <w:r w:rsidRPr="005036AA">
        <w:t xml:space="preserve">. Indicator 6b: </w:t>
      </w:r>
      <w:r>
        <w:t>R</w:t>
      </w:r>
      <w:r w:rsidRPr="005036AA">
        <w:t>ate of newborn readmissions during the postnatal period</w:t>
      </w:r>
      <w:r>
        <w:t>,</w:t>
      </w:r>
      <w:r w:rsidRPr="005036AA">
        <w:t xml:space="preserve"> 201</w:t>
      </w:r>
      <w:r>
        <w:t>9</w:t>
      </w:r>
      <w:r w:rsidRPr="005036AA">
        <w:t>–</w:t>
      </w:r>
      <w:r>
        <w:t>20</w:t>
      </w:r>
    </w:p>
    <w:p w14:paraId="3FC811F1" w14:textId="550EF6E4" w:rsidR="00F80FA2" w:rsidRDefault="009D7733" w:rsidP="003B4F97">
      <w:r w:rsidRPr="009D7733">
        <mc:AlternateContent>
          <mc:Choice Requires="wps">
            <w:drawing>
              <wp:anchor distT="0" distB="0" distL="114300" distR="114300" simplePos="0" relativeHeight="251658258" behindDoc="0" locked="0" layoutInCell="1" allowOverlap="1" wp14:anchorId="368DBB30" wp14:editId="042EF555">
                <wp:simplePos x="0" y="0"/>
                <wp:positionH relativeFrom="column">
                  <wp:posOffset>2067013</wp:posOffset>
                </wp:positionH>
                <wp:positionV relativeFrom="paragraph">
                  <wp:posOffset>153004</wp:posOffset>
                </wp:positionV>
                <wp:extent cx="1285592" cy="6708617"/>
                <wp:effectExtent l="0" t="0" r="0" b="0"/>
                <wp:wrapNone/>
                <wp:docPr id="65" name="Rectangle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85592" cy="6708617"/>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005BD7" id="Rectangle 65" o:spid="_x0000_s1026" style="position:absolute;margin-left:162.75pt;margin-top:12.05pt;width:101.25pt;height:528.2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Y1CqQIAAKkFAAAOAAAAZHJzL2Uyb0RvYy54bWysVE1v2zAMvQ/YfxB0X/2BJm2COkXQosOA&#10;oi3aDj0rshQbkEVNUuJkv36UZLtd112G5aCIIvlIPpO8uDx0iuyFdS3oihYnOSVCc6hbva3o9+eb&#10;L+eUOM90zRRoUdGjcPRy9fnTRW+WooQGVC0sQRDtlr2paOO9WWaZ443omDsBIzQqJdiOeRTtNqst&#10;6xG9U1mZ5/OsB1sbC1w4h6/XSUlXEV9Kwf29lE54oiqKufl42nhuwpmtLthya5lpWj6kwf4hi461&#10;GoNOUNfMM7Kz7R9QXcstOJD+hEOXgZQtF7EGrKbI31Xz1DAjYi1IjjMTTe7/wfK7/YMlbV3R+YwS&#10;zTr8Ro/IGtNbJQi+IUG9cUu0ezIPdpAcXkO1B2m78I91kEMk9TiRKg6ecHwsyvPZbFFSwlE3P8vP&#10;58VZQM1e3Y11/quAjoRLRS3Gj2Sy/a3zyXQ0CdEcqLa+aZWKgt1urpQle4ZfeFFe57M8+SrTsPRa&#10;5MViPoR0yTyG/w1H6YCmIeCmkOElC7WnauPNH5UIdko/Com0YX1lDBcbVkyJMM6F9kVSNawWKZNZ&#10;jr8xk9DiwSPmEgEDssT4E/YAMFomkBE7ZTnYB1cR+31yTjz8JbHkPHnEyKD95Ny1GuxHlSmsaoic&#10;7EeSEjWBpQ3UR2wqC2nanOE3LX7YW+b8A7M4XjiIuDL8PR5SQV9RGG6UNGB/fvQe7LHrUUtJj+Na&#10;Ufdjx6ygRH3TOA+L4vQ0zHcUTmdnJQr2rWbzVqN33RVgvxS4nAyP12Dv1XiVFroX3CzrEBVVTHOM&#10;XVHu7Shc+bRGcDdxsV5HM5xpw/ytfjI8gAdWQ+M+H16YNUN3exyMOxhHmy3fNXmyDZ4a1jsPso0T&#10;8MrrwDfug9g4w+4KC+etHK1eN+zqFwAAAP//AwBQSwMEFAAGAAgAAAAhAD/4aeDhAAAACwEAAA8A&#10;AABkcnMvZG93bnJldi54bWxMj0FOwzAQRfdI3MEaJHbUbmiqEOJUCESkii6gcAA3HpKUeBxit01v&#10;z7CC5Wie/n+/WE2uF0ccQ+dJw3ymQCDV3nbUaPh4f77JQIRoyJreE2o4Y4BVeXlRmNz6E73hcRsb&#10;wSEUcqOhjXHIpQx1i86EmR+Q+PfpR2cin2Mj7WhOHO56mSi1lM50xA2tGfCxxfpre3AaFpunvZdD&#10;uk8bd1e9fr+sz1W11vr6anq4BxFxin8w/OqzOpTstPMHskH0Gm6TNGVUQ7KYg2AgTTIet2NSZWoJ&#10;sizk/w3lDwAAAP//AwBQSwECLQAUAAYACAAAACEAtoM4kv4AAADhAQAAEwAAAAAAAAAAAAAAAAAA&#10;AAAAW0NvbnRlbnRfVHlwZXNdLnhtbFBLAQItABQABgAIAAAAIQA4/SH/1gAAAJQBAAALAAAAAAAA&#10;AAAAAAAAAC8BAABfcmVscy8ucmVsc1BLAQItABQABgAIAAAAIQBT3Y1CqQIAAKkFAAAOAAAAAAAA&#10;AAAAAAAAAC4CAABkcnMvZTJvRG9jLnhtbFBLAQItABQABgAIAAAAIQA/+Gng4QAAAAsBAAAPAAAA&#10;AAAAAAAAAAAAAAMFAABkcnMvZG93bnJldi54bWxQSwUGAAAAAAQABADzAAAAEQYAAAAA&#10;" fillcolor="#92d050" stroked="f" strokeweight="2pt">
                <v:fill opacity="6682f"/>
              </v:rect>
            </w:pict>
          </mc:Fallback>
        </mc:AlternateContent>
      </w:r>
      <w:r w:rsidRPr="009D7733">
        <mc:AlternateContent>
          <mc:Choice Requires="wps">
            <w:drawing>
              <wp:anchor distT="0" distB="0" distL="114300" distR="114300" simplePos="0" relativeHeight="251658259" behindDoc="0" locked="0" layoutInCell="1" allowOverlap="1" wp14:anchorId="67C88DEE" wp14:editId="475E3548">
                <wp:simplePos x="0" y="0"/>
                <wp:positionH relativeFrom="column">
                  <wp:posOffset>4647251</wp:posOffset>
                </wp:positionH>
                <wp:positionV relativeFrom="paragraph">
                  <wp:posOffset>153004</wp:posOffset>
                </wp:positionV>
                <wp:extent cx="1834867" cy="6708617"/>
                <wp:effectExtent l="0" t="0" r="0" b="0"/>
                <wp:wrapNone/>
                <wp:docPr id="66" name="Rectangle 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34867" cy="6708617"/>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FE31E" id="Rectangle 66" o:spid="_x0000_s1026" style="position:absolute;margin-left:365.95pt;margin-top:12.05pt;width:144.5pt;height:528.2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nM1pwIAAKkFAAAOAAAAZHJzL2Uyb0RvYy54bWysVE1v2zAMvQ/YfxB0X21naZIGdYqgRYYB&#10;RRu0HXpWZCk2IIuapMTJfv0oyXE/T8NyUESRfCSfSV5eHVpF9sK6BnRJi7OcEqE5VI3elvTX0+rb&#10;jBLnma6YAi1KehSOXi2+frnszFyMoAZVCUsQRLt5Z0pae2/mWeZ4LVrmzsAIjUoJtmUeRbvNKss6&#10;RG9VNsrzSdaBrYwFLpzD15ukpIuIL6Xg/l5KJzxRJcXcfDxtPDfhzBaXbL61zNQN79Ng/5BFyxqN&#10;QQeoG+YZ2dnmA1TbcAsOpD/j0GYgZcNFrAGrKfJ31TzWzIhYC5LjzECT+3+w/G6/tqSpSjqZUKJZ&#10;i9/oAVljeqsEwTckqDNujnaPZm17yeE1VHuQtg3/WAc5RFKPA6ni4AnHx2L2fTybTCnhqJtM89mk&#10;mAbU7MXdWOd/CGhJuJTUYvxIJtvfOp9MTyYhmgPVVKtGqSjY7eZaWbJn+IVXqxx/yVeZmqXXIi8u&#10;YiEY0iXzGP4NjtIBTUPATSHDSxZqT9XGmz8qEeyUfhASacP6RjFcbFgxJMI4F9oXSVWzSqRMzmN6&#10;CX7wiLlEwIAsMf6A3QOEYfiInWB6++AqYr8PzomHIUzK4JRYch48YmTQfnBuGw32s8oUVtVHTvYn&#10;khI1gaUNVEdsKgtp2pzhqwY/7C1zfs0sjhcOIq4Mf4+HVNCVFPobJTXYP5+9B3vsetRS0uG4ltT9&#10;3jErKFE/Nc7DRTEeh/mOwvh8OkLBvtZsXmv0rr0G7JcCl5Ph8RrsvTpdpYX2GTfLMkRFFdMcY5eU&#10;e3sSrn1aI7ibuFguoxnOtGH+Vj8aHsADq6Fxnw7PzJq+uz0Oxh2cRpvN3zV5sg2eGpY7D7KJE/DC&#10;a8837oPYOP3uCgvntRytXjbs4i8AAAD//wMAUEsDBBQABgAIAAAAIQDfHfXF3wAAAAwBAAAPAAAA&#10;ZHJzL2Rvd25yZXYueG1sTI/LTsMwEEX3SPyDNUjsqJ2AQhviVAgE3dKCqi7deEgC8Tiy3Sb5e5xV&#10;2c3j6M6ZYj2ajp3R+daShGQhgCFVVrdUS/j6fLtbAvNBkVadJZQwoYd1eX1VqFzbgbZ43oWaxRDy&#10;uZLQhNDnnPuqQaP8wvZIcfdtnVEhtq7m2qkhhpuOp0Jk3KiW4oVG9fjSYPW7OxkJ1cHvP7Zh8/pT&#10;0/SeDcPebaZUytub8fkJWMAxXGCY9aM6lNHpaE+kPeskPN4nq4hKSB8SYDMgUhEnx7laigx4WfD/&#10;T5R/AAAA//8DAFBLAQItABQABgAIAAAAIQC2gziS/gAAAOEBAAATAAAAAAAAAAAAAAAAAAAAAABb&#10;Q29udGVudF9UeXBlc10ueG1sUEsBAi0AFAAGAAgAAAAhADj9If/WAAAAlAEAAAsAAAAAAAAAAAAA&#10;AAAALwEAAF9yZWxzLy5yZWxzUEsBAi0AFAAGAAgAAAAhAEDeczWnAgAAqQUAAA4AAAAAAAAAAAAA&#10;AAAALgIAAGRycy9lMm9Eb2MueG1sUEsBAi0AFAAGAAgAAAAhAN8d9cXfAAAADAEAAA8AAAAAAAAA&#10;AAAAAAAAAQUAAGRycy9kb3ducmV2LnhtbFBLBQYAAAAABAAEAPMAAAANBgAAAAA=&#10;" fillcolor="red" stroked="f" strokeweight="2pt">
                <v:fill opacity="6682f"/>
              </v:rect>
            </w:pict>
          </mc:Fallback>
        </mc:AlternateContent>
      </w:r>
      <w:r w:rsidR="00F80FA2">
        <w:drawing>
          <wp:inline distT="0" distB="0" distL="0" distR="0" wp14:anchorId="470937E4" wp14:editId="7B73AC50">
            <wp:extent cx="6480000" cy="7049386"/>
            <wp:effectExtent l="0" t="0" r="0" b="0"/>
            <wp:docPr id="26" name="Chart 26" descr="This bar graph shows the rates at each public hospital and across all public hospitals of newborn readmissions during the postnatal period. Level 2 and 3 hospitals in rural areas had the most favourable results.">
              <a:extLst xmlns:a="http://schemas.openxmlformats.org/drawingml/2006/main">
                <a:ext uri="{FF2B5EF4-FFF2-40B4-BE49-F238E27FC236}">
                  <a16:creationId xmlns:a16="http://schemas.microsoft.com/office/drawing/2014/main" id="{4AA20B76-214A-4E0A-A04E-977067875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078C4D" w14:textId="6365AEA7" w:rsidR="00F80FA2" w:rsidRDefault="00F80FA2" w:rsidP="003B4F97">
      <w:pPr>
        <w:pStyle w:val="Footer"/>
      </w:pPr>
      <w:r>
        <w:t>Note: Reporting of unqualified neonate admissions to the VAED for private hospitals is optional. It is therefore not possible to establish an accurate denominator (that includes public and private hospitals) for this indicator. As such, only public hospitals are included in the results.</w:t>
      </w:r>
    </w:p>
    <w:p w14:paraId="289CB5FE" w14:textId="77777777" w:rsidR="00F80FA2" w:rsidRDefault="00F80FA2" w:rsidP="003B4F97">
      <w:pPr>
        <w:pStyle w:val="Tablechartdiagramheading"/>
      </w:pPr>
      <w:r>
        <w:t>Figure 21. Funnel plot of newborn readmissions during the postnatal period, 2018–19</w:t>
      </w:r>
    </w:p>
    <w:p w14:paraId="47A0C696" w14:textId="084737F7" w:rsidR="00F80FA2" w:rsidRDefault="00F80FA2" w:rsidP="003B4F97">
      <w:r>
        <w:drawing>
          <wp:inline distT="0" distB="0" distL="0" distR="0" wp14:anchorId="5E292C22" wp14:editId="119EA4CD">
            <wp:extent cx="5264263" cy="3780000"/>
            <wp:effectExtent l="0" t="0" r="0" b="0"/>
            <wp:docPr id="40" name="Picture 40" descr="This funnel plot shows the distribution of rates of newborn readmissions during the postnatal period. A small number of hospitals had rates that were statistically significantly higher or low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is funnel plot shows the distribution of rates of newborn readmissions during the postnatal period. A small number of hospitals had rates that were statistically significantly higher or lower than average."/>
                    <pic:cNvPicPr/>
                  </pic:nvPicPr>
                  <pic:blipFill rotWithShape="1">
                    <a:blip r:embed="rId43">
                      <a:extLst>
                        <a:ext uri="{28A0092B-C50C-407E-A947-70E740481C1C}">
                          <a14:useLocalDpi xmlns:a14="http://schemas.microsoft.com/office/drawing/2010/main" val="0"/>
                        </a:ext>
                      </a:extLst>
                    </a:blip>
                    <a:srcRect t="3933"/>
                    <a:stretch/>
                  </pic:blipFill>
                  <pic:spPr bwMode="auto">
                    <a:xfrm>
                      <a:off x="0" y="0"/>
                      <a:ext cx="5264263" cy="3780000"/>
                    </a:xfrm>
                    <a:prstGeom prst="rect">
                      <a:avLst/>
                    </a:prstGeom>
                    <a:ln>
                      <a:noFill/>
                    </a:ln>
                    <a:extLst>
                      <a:ext uri="{53640926-AAD7-44D8-BBD7-CCE9431645EC}">
                        <a14:shadowObscured xmlns:a14="http://schemas.microsoft.com/office/drawing/2010/main"/>
                      </a:ext>
                    </a:extLst>
                  </pic:spPr>
                </pic:pic>
              </a:graphicData>
            </a:graphic>
          </wp:inline>
        </w:drawing>
      </w:r>
    </w:p>
    <w:p w14:paraId="7AB0C2F7"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3CF79DAA" w14:textId="2CF03FAF" w:rsidR="00F80FA2" w:rsidRDefault="00F80FA2" w:rsidP="003B4F97">
      <w:pPr>
        <w:pStyle w:val="Tablechartdiagramheading"/>
      </w:pPr>
      <w:r>
        <w:t xml:space="preserve">Table </w:t>
      </w:r>
      <w:r w:rsidR="00061B4C">
        <w:t>9</w:t>
      </w:r>
      <w:r w:rsidRPr="005036AA">
        <w:t>. Rate of newborn readmissions during the postnatal period</w:t>
      </w:r>
      <w:r>
        <w:t>, by financial year 2015</w:t>
      </w:r>
      <w:r w:rsidR="00061B4C">
        <w:t>–</w:t>
      </w:r>
      <w:r>
        <w:t>19</w:t>
      </w:r>
    </w:p>
    <w:tbl>
      <w:tblPr>
        <w:tblStyle w:val="TableGrid"/>
        <w:tblW w:w="0" w:type="auto"/>
        <w:tblLook w:val="04A0" w:firstRow="1" w:lastRow="0" w:firstColumn="1" w:lastColumn="0" w:noHBand="0" w:noVBand="1"/>
      </w:tblPr>
      <w:tblGrid>
        <w:gridCol w:w="1700"/>
        <w:gridCol w:w="1700"/>
        <w:gridCol w:w="1701"/>
        <w:gridCol w:w="1701"/>
        <w:gridCol w:w="1701"/>
        <w:gridCol w:w="1701"/>
      </w:tblGrid>
      <w:tr w:rsidR="002A3CE9" w14:paraId="02DBE3F4" w14:textId="77777777" w:rsidTr="009D77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050C9C7B" w14:textId="77777777" w:rsidR="00F80FA2" w:rsidRDefault="00F80FA2" w:rsidP="003B4F97">
            <w:pPr>
              <w:rPr>
                <w:lang w:val="en-GB" w:eastAsia="en-AU"/>
              </w:rPr>
            </w:pPr>
          </w:p>
        </w:tc>
        <w:tc>
          <w:tcPr>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4FDBD62D" w14:textId="1F5C0DFE"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093B18">
              <w:t>2015–16</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FB45EBB" w14:textId="29918119"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093B18">
              <w:t>2016–17</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5A2F25F" w14:textId="4E125BEC"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093B18">
              <w:t>2017–18</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738D019" w14:textId="106FF2E9"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t>2018</w:t>
            </w:r>
            <w:r w:rsidR="00061B4C">
              <w:t>–</w:t>
            </w:r>
            <w:r>
              <w:t>19</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99421A7" w14:textId="1E2A9CB0"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t>2019</w:t>
            </w:r>
            <w:r w:rsidR="00061B4C">
              <w:t>–</w:t>
            </w:r>
            <w:r>
              <w:t>20</w:t>
            </w:r>
          </w:p>
        </w:tc>
      </w:tr>
      <w:tr w:rsidR="00F80FA2" w14:paraId="2C7AD4BD" w14:textId="77777777" w:rsidTr="009D7733">
        <w:tc>
          <w:tcPr>
            <w:cnfStyle w:val="001000000000" w:firstRow="0" w:lastRow="0" w:firstColumn="1" w:lastColumn="0" w:oddVBand="0" w:evenVBand="0" w:oddHBand="0" w:evenHBand="0" w:firstRowFirstColumn="0" w:firstRowLastColumn="0" w:lastRowFirstColumn="0" w:lastRowLastColumn="0"/>
            <w:tcW w:w="1700" w:type="dxa"/>
            <w:vAlign w:val="center"/>
          </w:tcPr>
          <w:p w14:paraId="48C4CAC7" w14:textId="59B34069" w:rsidR="00F80FA2" w:rsidRDefault="00F80FA2" w:rsidP="003B4F97">
            <w:pPr>
              <w:rPr>
                <w:lang w:val="en-GB" w:eastAsia="en-AU"/>
              </w:rPr>
            </w:pPr>
            <w:r>
              <w:t>Public</w:t>
            </w:r>
          </w:p>
        </w:tc>
        <w:tc>
          <w:tcPr>
            <w:tcW w:w="1700" w:type="dxa"/>
            <w:vAlign w:val="center"/>
          </w:tcPr>
          <w:p w14:paraId="40A4048B" w14:textId="4CBAEE69"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4.0%</w:t>
            </w:r>
          </w:p>
        </w:tc>
        <w:tc>
          <w:tcPr>
            <w:tcW w:w="1701" w:type="dxa"/>
            <w:vAlign w:val="center"/>
          </w:tcPr>
          <w:p w14:paraId="6F4F2794" w14:textId="3A590C0F"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4.2%</w:t>
            </w:r>
          </w:p>
        </w:tc>
        <w:tc>
          <w:tcPr>
            <w:tcW w:w="1701" w:type="dxa"/>
            <w:vAlign w:val="center"/>
          </w:tcPr>
          <w:p w14:paraId="4AAE45DC" w14:textId="05307418"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4.1%</w:t>
            </w:r>
          </w:p>
        </w:tc>
        <w:tc>
          <w:tcPr>
            <w:tcW w:w="1701" w:type="dxa"/>
            <w:vAlign w:val="center"/>
          </w:tcPr>
          <w:p w14:paraId="1ABAF4BF" w14:textId="2EE26BA0"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4.1%</w:t>
            </w:r>
          </w:p>
        </w:tc>
        <w:tc>
          <w:tcPr>
            <w:tcW w:w="1701" w:type="dxa"/>
            <w:tcBorders>
              <w:top w:val="single" w:sz="24" w:space="0" w:color="CCCCD0" w:themeColor="accent6"/>
            </w:tcBorders>
            <w:shd w:val="clear" w:color="auto" w:fill="D9D9D9" w:themeFill="background1" w:themeFillShade="D9"/>
            <w:vAlign w:val="center"/>
          </w:tcPr>
          <w:p w14:paraId="114C057A" w14:textId="3F47A7BA"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4.1%</w:t>
            </w:r>
          </w:p>
        </w:tc>
      </w:tr>
    </w:tbl>
    <w:p w14:paraId="184A7534" w14:textId="3796F078" w:rsidR="004B6B46" w:rsidRDefault="004B6B46" w:rsidP="003B4F97">
      <w:pPr>
        <w:pStyle w:val="Heading2"/>
      </w:pPr>
      <w:r>
        <w:t>Definition</w:t>
      </w:r>
      <w:r w:rsidR="00732496">
        <w:t xml:space="preserve">s </w:t>
      </w:r>
      <w:r w:rsidR="007645F0">
        <w:t>and data sources</w:t>
      </w:r>
    </w:p>
    <w:p w14:paraId="2639912A" w14:textId="77777777" w:rsidR="000A38D8" w:rsidRDefault="000A38D8" w:rsidP="003B4F97">
      <w:pPr>
        <w:pStyle w:val="Heading3"/>
      </w:pPr>
      <w:r>
        <w:t>Indicator 6a: Maternal readmissions during the postnatal period</w:t>
      </w:r>
    </w:p>
    <w:p w14:paraId="771CA4C8" w14:textId="77777777" w:rsidR="000A38D8" w:rsidRDefault="000A38D8" w:rsidP="003B4F97">
      <w:pPr>
        <w:pStyle w:val="Normalfollowingheading"/>
      </w:pPr>
      <w:r>
        <w:t>The readmission rate is calculated for the hospital that discharged the mother from the birth episode. The rate includes admissions to any Victorian health service after the birth episode, not just a readmission to the birthing service.</w:t>
      </w:r>
    </w:p>
    <w:p w14:paraId="20EA890A" w14:textId="77777777" w:rsidR="000A38D8" w:rsidRDefault="000A38D8" w:rsidP="003B4F97">
      <w:r>
        <w:t>Women transferred to another health service following a birth separation are excluded from the numerator total. Women who present to an emergency department or urgent care centre, but who are not admitted, are excluded from the numerator total. Women who are readmitted and have a primary diagnosis related to their pregnancy and/or birth are included in the numerator total. However, diagnosis codes that are associated with a complexity that cannot be prevented (or managed) through postnatal care and/or that are associated with a condition(s) that manifests after discharge from hospital without any indication of its presence prior to this time are excluded (see list below).</w:t>
      </w:r>
    </w:p>
    <w:p w14:paraId="60980C30" w14:textId="77777777" w:rsidR="000A38D8" w:rsidRDefault="000A38D8" w:rsidP="003B4F97">
      <w:r>
        <w:t>The denominator is the total number of birth episodes at a health service. The only exclusion is maternal death.</w:t>
      </w:r>
    </w:p>
    <w:p w14:paraId="4418792F" w14:textId="77777777" w:rsidR="000A38D8" w:rsidRDefault="000A38D8" w:rsidP="003B4F97">
      <w:r>
        <w:t>Potentially preventable readmission primary diagnosis codes are limited to the following:</w:t>
      </w:r>
    </w:p>
    <w:p w14:paraId="79EDE18D" w14:textId="235361C5" w:rsidR="000A38D8" w:rsidRDefault="000A38D8" w:rsidP="003B4F97">
      <w:pPr>
        <w:pStyle w:val="Bullet1"/>
      </w:pPr>
      <w:r>
        <w:t>O722 – Delayed and secondary postpartum haemorrhage</w:t>
      </w:r>
    </w:p>
    <w:p w14:paraId="35F2EA7D" w14:textId="6D029B36" w:rsidR="000A38D8" w:rsidRDefault="000A38D8" w:rsidP="003B4F97">
      <w:pPr>
        <w:pStyle w:val="Bullet1"/>
      </w:pPr>
      <w:r>
        <w:t>O860 – Infection of obstetric surgical wound</w:t>
      </w:r>
    </w:p>
    <w:p w14:paraId="431A9873" w14:textId="3878BD8B" w:rsidR="000A38D8" w:rsidRDefault="000A38D8" w:rsidP="003B4F97">
      <w:pPr>
        <w:pStyle w:val="Bullet1"/>
      </w:pPr>
      <w:r>
        <w:t>O85 – Puerperal sepsis</w:t>
      </w:r>
    </w:p>
    <w:p w14:paraId="6E5741DA" w14:textId="6F99DCCA" w:rsidR="000A38D8" w:rsidRDefault="000A38D8" w:rsidP="003B4F97">
      <w:pPr>
        <w:pStyle w:val="Bullet1"/>
      </w:pPr>
      <w:r>
        <w:t>O9120 – Non-purulent mastitis without attachment difficulties</w:t>
      </w:r>
    </w:p>
    <w:p w14:paraId="24862C60" w14:textId="3D176A12" w:rsidR="000A38D8" w:rsidRDefault="000A38D8" w:rsidP="003B4F97">
      <w:pPr>
        <w:pStyle w:val="Bullet1"/>
      </w:pPr>
      <w:r>
        <w:t>Z466 – Fitting and adjustment of urinary device</w:t>
      </w:r>
    </w:p>
    <w:p w14:paraId="0DF4DFBA" w14:textId="54357C15" w:rsidR="000A38D8" w:rsidRDefault="000A38D8" w:rsidP="003B4F97">
      <w:pPr>
        <w:pStyle w:val="Bullet1"/>
      </w:pPr>
      <w:r>
        <w:t>O901 – Disruption of perineal obstetric wound</w:t>
      </w:r>
    </w:p>
    <w:p w14:paraId="063793A7" w14:textId="71D3A3EA" w:rsidR="000A38D8" w:rsidRDefault="000A38D8" w:rsidP="003B4F97">
      <w:pPr>
        <w:pStyle w:val="Bullet1"/>
      </w:pPr>
      <w:r>
        <w:t>O149 – Pre-eclampsia (unspecified)</w:t>
      </w:r>
    </w:p>
    <w:p w14:paraId="1D28202C" w14:textId="568AF448" w:rsidR="000A38D8" w:rsidRDefault="000A38D8" w:rsidP="003B4F97">
      <w:pPr>
        <w:pStyle w:val="Bullet1"/>
      </w:pPr>
      <w:r>
        <w:t>O16 – Unspecified maternal hypertension</w:t>
      </w:r>
    </w:p>
    <w:p w14:paraId="2766FBCC" w14:textId="0B38A7CD" w:rsidR="000A38D8" w:rsidRDefault="000A38D8" w:rsidP="003B4F97">
      <w:pPr>
        <w:pStyle w:val="Bullet1"/>
      </w:pPr>
      <w:r>
        <w:t>O9903 – Anaemia complicating childbirth and the puerperium</w:t>
      </w:r>
    </w:p>
    <w:p w14:paraId="34D68359" w14:textId="2A14BDA1" w:rsidR="000A38D8" w:rsidRDefault="000A38D8" w:rsidP="003B4F97">
      <w:pPr>
        <w:pStyle w:val="Bullet1"/>
      </w:pPr>
      <w:r>
        <w:t>O731 – Retained portion placenta and membranes without haemorrhage</w:t>
      </w:r>
    </w:p>
    <w:p w14:paraId="2479B6B0" w14:textId="4E5F22C0" w:rsidR="000A38D8" w:rsidRDefault="000A38D8" w:rsidP="003B4F97">
      <w:pPr>
        <w:pStyle w:val="Bullet1"/>
      </w:pPr>
      <w:r>
        <w:t>O721 – Other immediate postpartum haemorrhage</w:t>
      </w:r>
    </w:p>
    <w:p w14:paraId="6C62511B" w14:textId="4CB5C45A" w:rsidR="000A38D8" w:rsidRDefault="000A38D8" w:rsidP="003B4F97">
      <w:pPr>
        <w:pStyle w:val="Bullet1"/>
      </w:pPr>
      <w:r>
        <w:t>O902 – Haematoma of obstetric wound</w:t>
      </w:r>
    </w:p>
    <w:p w14:paraId="12CE6A7A" w14:textId="038E4AB5" w:rsidR="000A38D8" w:rsidRDefault="000A38D8" w:rsidP="003B4F97">
      <w:pPr>
        <w:pStyle w:val="Bullet1"/>
      </w:pPr>
      <w:r>
        <w:t>O862 – Urinary tract infection following delivery</w:t>
      </w:r>
    </w:p>
    <w:p w14:paraId="13D792EE" w14:textId="6D4B0059" w:rsidR="000A38D8" w:rsidRDefault="000A38D8" w:rsidP="003B4F97">
      <w:pPr>
        <w:pStyle w:val="Bullet1"/>
      </w:pPr>
      <w:r>
        <w:t>O900 – Disruption of caesarean section wound</w:t>
      </w:r>
    </w:p>
    <w:p w14:paraId="502C6850" w14:textId="0845FAF5" w:rsidR="000A38D8" w:rsidRDefault="000A38D8" w:rsidP="003B4F97">
      <w:pPr>
        <w:pStyle w:val="Bullet1"/>
      </w:pPr>
      <w:r>
        <w:t>Z391 – Care and examination of lactating mother</w:t>
      </w:r>
    </w:p>
    <w:p w14:paraId="52AA9336" w14:textId="7E0D667A" w:rsidR="000A38D8" w:rsidRDefault="000A38D8" w:rsidP="003B4F97">
      <w:pPr>
        <w:pStyle w:val="Bullet1"/>
      </w:pPr>
      <w:r>
        <w:t>O13 – Gestational hypertension</w:t>
      </w:r>
    </w:p>
    <w:p w14:paraId="74DE69C3" w14:textId="0F35391F" w:rsidR="000A38D8" w:rsidRDefault="000A38D8" w:rsidP="003B4F97">
      <w:pPr>
        <w:pStyle w:val="Bullet1"/>
      </w:pPr>
      <w:r>
        <w:t>N390 – Urinary tract infection (site not specified)</w:t>
      </w:r>
    </w:p>
    <w:p w14:paraId="138C544E" w14:textId="4872E5AA" w:rsidR="000A38D8" w:rsidRDefault="000A38D8" w:rsidP="003B4F97">
      <w:pPr>
        <w:pStyle w:val="Bullet1"/>
      </w:pPr>
      <w:r>
        <w:t>O9121 – Non-purulent mastitis with attachment difficulty</w:t>
      </w:r>
    </w:p>
    <w:p w14:paraId="098AEE8F" w14:textId="3A8E7D66" w:rsidR="000A38D8" w:rsidRDefault="000A38D8" w:rsidP="003B4F97">
      <w:pPr>
        <w:pStyle w:val="Bullet1"/>
      </w:pPr>
      <w:r>
        <w:t>F531 – Severe mental and behavioural disorder associated with puerperium (not elsewhere classified)</w:t>
      </w:r>
    </w:p>
    <w:p w14:paraId="31EE9C99" w14:textId="07BC23F8" w:rsidR="000A38D8" w:rsidRDefault="000A38D8" w:rsidP="003B4F97">
      <w:pPr>
        <w:pStyle w:val="Bullet1"/>
      </w:pPr>
      <w:r>
        <w:t>F530 – Mild mental and behavioural disorder associated with puerperium (not elsewhere classified)</w:t>
      </w:r>
    </w:p>
    <w:p w14:paraId="29FA5959" w14:textId="7646919C" w:rsidR="000A38D8" w:rsidRDefault="000A38D8" w:rsidP="003B4F97">
      <w:pPr>
        <w:pStyle w:val="Bullet1"/>
      </w:pPr>
      <w:r>
        <w:t>G971 – Other reaction to spinal and lumbar puncture</w:t>
      </w:r>
    </w:p>
    <w:p w14:paraId="044274EA" w14:textId="7F430859" w:rsidR="000A38D8" w:rsidRDefault="000A38D8" w:rsidP="003B4F97">
      <w:pPr>
        <w:pStyle w:val="Bullet1"/>
      </w:pPr>
      <w:r>
        <w:t>R509 – Fever (unspecified)</w:t>
      </w:r>
    </w:p>
    <w:p w14:paraId="048BF6B9" w14:textId="3C78C585" w:rsidR="000A38D8" w:rsidRDefault="000A38D8" w:rsidP="003B4F97">
      <w:pPr>
        <w:pStyle w:val="Bullet1"/>
      </w:pPr>
      <w:r>
        <w:t>R33 – Retention of urine</w:t>
      </w:r>
    </w:p>
    <w:p w14:paraId="0884D627" w14:textId="7325C2BE" w:rsidR="000A38D8" w:rsidRDefault="000A38D8" w:rsidP="003B4F97">
      <w:pPr>
        <w:pStyle w:val="Bullet1"/>
      </w:pPr>
      <w:r>
        <w:t>O152 – Eclampsia in the puerperium</w:t>
      </w:r>
    </w:p>
    <w:p w14:paraId="077A8F6E" w14:textId="77777777" w:rsidR="00F45A01" w:rsidRDefault="000A38D8" w:rsidP="003B4F97">
      <w:pPr>
        <w:pStyle w:val="Bullet1"/>
      </w:pPr>
      <w:r>
        <w:t>O720 – Third-stage haemorrhage</w:t>
      </w:r>
    </w:p>
    <w:p w14:paraId="6B183975" w14:textId="12B22390" w:rsidR="000A38D8" w:rsidRDefault="00F45A01" w:rsidP="003B4F97">
      <w:pPr>
        <w:pStyle w:val="Bullet1"/>
      </w:pPr>
      <w:r>
        <w:t>T8852 - Failed moderate sedation during procedure</w:t>
      </w:r>
      <w:r w:rsidR="000A38D8">
        <w:t>.</w:t>
      </w:r>
    </w:p>
    <w:p w14:paraId="1B9E2B93" w14:textId="77777777" w:rsidR="000A38D8" w:rsidRDefault="000A38D8" w:rsidP="003B4F97">
      <w:pPr>
        <w:rPr>
          <w:rFonts w:ascii="VIC SemiBold" w:eastAsiaTheme="majorEastAsia" w:hAnsi="VIC SemiBold" w:cstheme="majorBidi"/>
          <w:color w:val="000000" w:themeColor="text1"/>
        </w:rPr>
      </w:pPr>
      <w:r>
        <w:br w:type="page"/>
      </w:r>
    </w:p>
    <w:p w14:paraId="1B612C8D" w14:textId="5A0C0EBC" w:rsidR="000A38D8" w:rsidRDefault="000A38D8" w:rsidP="00A60C18">
      <w:pPr>
        <w:pStyle w:val="Heading4"/>
      </w:pPr>
      <w:r>
        <w:t>Data source: Victorian Admitted Episodes Dataset</w:t>
      </w:r>
    </w:p>
    <w:p w14:paraId="79F6D830" w14:textId="77777777" w:rsidR="000A38D8" w:rsidRDefault="000A38D8" w:rsidP="003B4F97">
      <w:pPr>
        <w:pStyle w:val="Normalfollowingheading"/>
      </w:pPr>
      <w:r>
        <w:t>Data for this indicator is sourced from the VAED for the financial year 1 July 2019 to 30 June 2020.</w:t>
      </w:r>
    </w:p>
    <w:p w14:paraId="0DD0A7C5" w14:textId="62321388" w:rsidR="000A38D8" w:rsidRDefault="000A38D8" w:rsidP="003B4F97">
      <w:pPr>
        <w:pStyle w:val="Tablechartdiagramheading"/>
      </w:pPr>
      <w:r>
        <w:t>Numerator/denominator</w:t>
      </w:r>
    </w:p>
    <w:tbl>
      <w:tblPr>
        <w:tblStyle w:val="TableGrid"/>
        <w:tblW w:w="0" w:type="auto"/>
        <w:tblLook w:val="04A0" w:firstRow="1" w:lastRow="0" w:firstColumn="1" w:lastColumn="0" w:noHBand="0" w:noVBand="1"/>
      </w:tblPr>
      <w:tblGrid>
        <w:gridCol w:w="3401"/>
        <w:gridCol w:w="3401"/>
        <w:gridCol w:w="3402"/>
      </w:tblGrid>
      <w:tr w:rsidR="000A38D8" w14:paraId="573984CE" w14:textId="77777777" w:rsidTr="000A3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66CC1658" w14:textId="5F5DB347" w:rsidR="000A38D8" w:rsidRDefault="000A38D8" w:rsidP="003B4F97">
            <w:pPr>
              <w:rPr>
                <w:lang w:val="en-GB" w:eastAsia="en-AU"/>
              </w:rPr>
            </w:pPr>
            <w:r>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3E822242" w14:textId="72D63D8F" w:rsidR="000A38D8" w:rsidRDefault="000A38D8" w:rsidP="003B4F97">
            <w:pPr>
              <w:cnfStyle w:val="100000000000" w:firstRow="1" w:lastRow="0" w:firstColumn="0" w:lastColumn="0" w:oddVBand="0" w:evenVBand="0" w:oddHBand="0" w:evenHBand="0" w:firstRowFirstColumn="0" w:firstRowLastColumn="0" w:lastRowFirstColumn="0" w:lastRowLastColumn="0"/>
              <w:rPr>
                <w:lang w:val="en-GB" w:eastAsia="en-AU"/>
              </w:rPr>
            </w:pPr>
            <w:r>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21691439" w14:textId="3BE1B9AC" w:rsidR="000A38D8" w:rsidRDefault="000A38D8" w:rsidP="003B4F97">
            <w:pPr>
              <w:cnfStyle w:val="100000000000" w:firstRow="1" w:lastRow="0" w:firstColumn="0" w:lastColumn="0" w:oddVBand="0" w:evenVBand="0" w:oddHBand="0" w:evenHBand="0" w:firstRowFirstColumn="0" w:firstRowLastColumn="0" w:lastRowFirstColumn="0" w:lastRowLastColumn="0"/>
              <w:rPr>
                <w:lang w:val="en-GB" w:eastAsia="en-AU"/>
              </w:rPr>
            </w:pPr>
            <w:r>
              <w:t>Denominator</w:t>
            </w:r>
          </w:p>
        </w:tc>
      </w:tr>
      <w:tr w:rsidR="000A38D8" w14:paraId="2705F1FC" w14:textId="77777777" w:rsidTr="000A38D8">
        <w:tc>
          <w:tcPr>
            <w:cnfStyle w:val="001000000000" w:firstRow="0" w:lastRow="0" w:firstColumn="1" w:lastColumn="0" w:oddVBand="0" w:evenVBand="0" w:oddHBand="0" w:evenHBand="0" w:firstRowFirstColumn="0" w:firstRowLastColumn="0" w:lastRowFirstColumn="0" w:lastRowLastColumn="0"/>
            <w:tcW w:w="3401" w:type="dxa"/>
          </w:tcPr>
          <w:p w14:paraId="54A8B238" w14:textId="707BD7A0" w:rsidR="000A38D8" w:rsidRDefault="000A38D8" w:rsidP="003B4F97">
            <w:pPr>
              <w:rPr>
                <w:lang w:val="en-GB" w:eastAsia="en-AU"/>
              </w:rPr>
            </w:pPr>
            <w:r>
              <w:t>Indicator 6a: Readmission of a mother within 28 days of discharge from a birthing episode admission in a Victorian public or private hospital</w:t>
            </w:r>
          </w:p>
        </w:tc>
        <w:tc>
          <w:tcPr>
            <w:tcW w:w="3401" w:type="dxa"/>
          </w:tcPr>
          <w:p w14:paraId="66C9F0F3" w14:textId="649A2783" w:rsidR="000A38D8" w:rsidRDefault="000A38D8"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women readmitted to any health service within 28 days with a potentially preventable readmission diagnosis code</w:t>
            </w:r>
          </w:p>
        </w:tc>
        <w:tc>
          <w:tcPr>
            <w:tcW w:w="3402" w:type="dxa"/>
          </w:tcPr>
          <w:p w14:paraId="6C2D759D" w14:textId="70258572" w:rsidR="000A38D8" w:rsidRDefault="000A38D8" w:rsidP="003B4F97">
            <w:pPr>
              <w:cnfStyle w:val="000000000000" w:firstRow="0" w:lastRow="0" w:firstColumn="0" w:lastColumn="0" w:oddVBand="0" w:evenVBand="0" w:oddHBand="0" w:evenHBand="0" w:firstRowFirstColumn="0" w:firstRowLastColumn="0" w:lastRowFirstColumn="0" w:lastRowLastColumn="0"/>
              <w:rPr>
                <w:lang w:val="en-GB" w:eastAsia="en-AU"/>
              </w:rPr>
            </w:pPr>
            <w:r>
              <w:t>The total number of birth episodes at a health service</w:t>
            </w:r>
          </w:p>
        </w:tc>
      </w:tr>
    </w:tbl>
    <w:p w14:paraId="60B04DA8" w14:textId="77777777" w:rsidR="00732496" w:rsidRDefault="00732496" w:rsidP="003B4F97">
      <w:pPr>
        <w:pStyle w:val="Heading3"/>
      </w:pPr>
      <w:r>
        <w:t>Indicator 6b: Newborn readmissions during the postnatal period</w:t>
      </w:r>
    </w:p>
    <w:p w14:paraId="253E87A2" w14:textId="77777777" w:rsidR="00732496" w:rsidRDefault="00732496" w:rsidP="003B4F97">
      <w:pPr>
        <w:pStyle w:val="Normalfollowingheading"/>
      </w:pPr>
      <w:r>
        <w:t>Readmissions that meet the criteria for inclusion are attributed to the health service that provided postnatal care as part of the birthing episode.</w:t>
      </w:r>
    </w:p>
    <w:p w14:paraId="6AE605A0" w14:textId="77777777" w:rsidR="00732496" w:rsidRDefault="00732496" w:rsidP="003B4F97">
      <w:r>
        <w:t>The readmission rate is calculated for the hospital that discharged the neonate from the birth episode. The rate includes admissions to any Victorian health service after birth, not just a readmission to the birthing service. Babies transferred to another health services following a birth separation are excluded from the numerator total.</w:t>
      </w:r>
    </w:p>
    <w:p w14:paraId="1572B8AC" w14:textId="77777777" w:rsidR="00732496" w:rsidRDefault="00732496" w:rsidP="003B4F97">
      <w:r>
        <w:t>Neonates who are readmitted on the same day of discharge are also excluded. This is because it is not possible to determine from the dataset whether these are genuine readmissions or a new separation following a planned transfer of care.</w:t>
      </w:r>
    </w:p>
    <w:p w14:paraId="6D236789" w14:textId="77777777" w:rsidR="00732496" w:rsidRDefault="00732496" w:rsidP="003B4F97">
      <w:r>
        <w:t>Neonates who present to an emergency department or urgent care centre, but who are not admitted, are excluded from the numerator total.</w:t>
      </w:r>
    </w:p>
    <w:p w14:paraId="0247F6CC" w14:textId="77777777" w:rsidR="00732496" w:rsidRDefault="00732496" w:rsidP="003B4F97">
      <w:r>
        <w:t>Neonates who are readmitted and have a primary diagnosis related to their pregnancy and/or birth are included in the numerator total. However, diagnosis codes that are associated with a complexity that cannot be prevented (or managed) through postnatal care and/or that are associated with a condition(s) that manifests after discharge from hospital without any indication of its presence prior to this time are excluded (see list below).</w:t>
      </w:r>
    </w:p>
    <w:p w14:paraId="1DD3A5AF" w14:textId="77777777" w:rsidR="00732496" w:rsidRDefault="00732496" w:rsidP="003B4F97">
      <w:r>
        <w:t>The denominator includes the total number of neonates discharged from a health service. Stillbirths and neonatal deaths prior to discharge are excluded. Qualified and unqualified neonates are included – irrespective of their accommodation type during the birth episode (if they spent time in neonatal intensive care or in a special care nursery).</w:t>
      </w:r>
    </w:p>
    <w:p w14:paraId="059811C8" w14:textId="77777777" w:rsidR="00873353" w:rsidRDefault="00873353" w:rsidP="003B4F97">
      <w:r>
        <w:br w:type="page"/>
      </w:r>
    </w:p>
    <w:p w14:paraId="5B87FF8B" w14:textId="570F6B66" w:rsidR="00732496" w:rsidRDefault="00732496" w:rsidP="003B4F97">
      <w:r>
        <w:t>Potentially preventable readmissions are limited to the following list of primary diagnoses:</w:t>
      </w:r>
    </w:p>
    <w:p w14:paraId="0B636798" w14:textId="35BB251E" w:rsidR="00732496" w:rsidRDefault="00732496" w:rsidP="003B4F97">
      <w:pPr>
        <w:pStyle w:val="Bullet1"/>
      </w:pPr>
      <w:r>
        <w:t>P599 – Neonatal jaundice (unspecified)</w:t>
      </w:r>
    </w:p>
    <w:p w14:paraId="7F89DB80" w14:textId="757FCF18" w:rsidR="00732496" w:rsidRDefault="00732496" w:rsidP="003B4F97">
      <w:pPr>
        <w:pStyle w:val="Bullet1"/>
      </w:pPr>
      <w:r>
        <w:t>P929 – Feeding problem of newborn (unspecified)</w:t>
      </w:r>
    </w:p>
    <w:p w14:paraId="66B6C0EC" w14:textId="713F5928" w:rsidR="00732496" w:rsidRDefault="00732496" w:rsidP="003B4F97">
      <w:pPr>
        <w:pStyle w:val="Bullet1"/>
      </w:pPr>
      <w:r>
        <w:t>R628 – Other lack of expected normal physiological deviation</w:t>
      </w:r>
    </w:p>
    <w:p w14:paraId="0C140EA8" w14:textId="57049E30" w:rsidR="00732496" w:rsidRDefault="00732496" w:rsidP="003B4F97">
      <w:pPr>
        <w:pStyle w:val="Bullet1"/>
      </w:pPr>
      <w:r>
        <w:t>P369 – Bacterial sepsis of newborn (unspecified)</w:t>
      </w:r>
    </w:p>
    <w:p w14:paraId="7882EC3D" w14:textId="07E8A6BC" w:rsidR="00732496" w:rsidRDefault="00732496" w:rsidP="003B4F97">
      <w:pPr>
        <w:pStyle w:val="Bullet1"/>
      </w:pPr>
      <w:r>
        <w:t>P928 – Other feeding problems of newborn</w:t>
      </w:r>
    </w:p>
    <w:p w14:paraId="51ADDC9E" w14:textId="5F66934B" w:rsidR="00732496" w:rsidRDefault="00732496" w:rsidP="003B4F97">
      <w:pPr>
        <w:pStyle w:val="Bullet1"/>
      </w:pPr>
      <w:r>
        <w:t>P590 – Neonatal jaundice with pre-term delivery</w:t>
      </w:r>
    </w:p>
    <w:p w14:paraId="15F56800" w14:textId="59196ED3" w:rsidR="00732496" w:rsidRDefault="00732496" w:rsidP="003B4F97">
      <w:pPr>
        <w:pStyle w:val="Bullet1"/>
      </w:pPr>
      <w:r>
        <w:t>P598 – Neonatal jaundice from other specific causes</w:t>
      </w:r>
    </w:p>
    <w:p w14:paraId="02A3903C" w14:textId="63331333" w:rsidR="00732496" w:rsidRDefault="00732496" w:rsidP="003B4F97">
      <w:pPr>
        <w:pStyle w:val="Bullet1"/>
      </w:pPr>
      <w:r>
        <w:t>P0732 – Other pre-term infant ≥ 32 weeks’ gestation but &lt; 37 completed weeks</w:t>
      </w:r>
    </w:p>
    <w:p w14:paraId="57E1052B" w14:textId="4452B6F0" w:rsidR="00732496" w:rsidRDefault="00732496" w:rsidP="003B4F97">
      <w:pPr>
        <w:pStyle w:val="Bullet1"/>
      </w:pPr>
      <w:r>
        <w:t>P551 – ABO isoimmunisation of fetus and newborn</w:t>
      </w:r>
    </w:p>
    <w:p w14:paraId="6E902560" w14:textId="3938BB90" w:rsidR="00732496" w:rsidRDefault="00732496" w:rsidP="003B4F97">
      <w:pPr>
        <w:pStyle w:val="Bullet1"/>
      </w:pPr>
      <w:r>
        <w:t>Z0371 – Observation of newborn for suspected infectious condition</w:t>
      </w:r>
    </w:p>
    <w:p w14:paraId="2AF6D427" w14:textId="651B4E83" w:rsidR="00732496" w:rsidRDefault="00732496" w:rsidP="003B4F97">
      <w:pPr>
        <w:pStyle w:val="Bullet1"/>
      </w:pPr>
      <w:r>
        <w:t>P2840 – Apnoea of newborn, unspecified</w:t>
      </w:r>
    </w:p>
    <w:p w14:paraId="5A35B4CF" w14:textId="0ACF79F9" w:rsidR="00732496" w:rsidRDefault="00732496" w:rsidP="003B4F97">
      <w:pPr>
        <w:pStyle w:val="Bullet1"/>
      </w:pPr>
      <w:r>
        <w:t>P282 – Cyanotic attacks of newborn</w:t>
      </w:r>
    </w:p>
    <w:p w14:paraId="59663E77" w14:textId="5AA0E821" w:rsidR="00732496" w:rsidRDefault="00732496" w:rsidP="003B4F97">
      <w:pPr>
        <w:pStyle w:val="Bullet1"/>
      </w:pPr>
      <w:r>
        <w:t>A870 – Enteroviral meningitis</w:t>
      </w:r>
    </w:p>
    <w:p w14:paraId="42775032" w14:textId="249C4D10" w:rsidR="00732496" w:rsidRDefault="00732496" w:rsidP="003B4F97">
      <w:pPr>
        <w:pStyle w:val="Bullet1"/>
      </w:pPr>
      <w:r>
        <w:t>P38 – Omphalitis newborn with or without mild haemorrhage</w:t>
      </w:r>
    </w:p>
    <w:p w14:paraId="764C5664" w14:textId="474B0AFB" w:rsidR="00732496" w:rsidRDefault="00732496" w:rsidP="003B4F97">
      <w:pPr>
        <w:pStyle w:val="Bullet1"/>
      </w:pPr>
      <w:r>
        <w:t>P741 – Dehydration of newborn</w:t>
      </w:r>
    </w:p>
    <w:p w14:paraId="699B3E6D" w14:textId="51064517" w:rsidR="00732496" w:rsidRDefault="00732496" w:rsidP="003B4F97">
      <w:pPr>
        <w:pStyle w:val="Bullet1"/>
      </w:pPr>
      <w:r>
        <w:t>P809 – Hypothermia of newborn unspecified</w:t>
      </w:r>
    </w:p>
    <w:p w14:paraId="03B6BE6F" w14:textId="184434E3" w:rsidR="00732496" w:rsidRDefault="00732496" w:rsidP="003B4F97">
      <w:pPr>
        <w:pStyle w:val="Bullet1"/>
      </w:pPr>
      <w:r>
        <w:t>P90 – Convulsions of newborn</w:t>
      </w:r>
    </w:p>
    <w:p w14:paraId="14B44BD8" w14:textId="1EFC35F3" w:rsidR="00732496" w:rsidRDefault="00732496" w:rsidP="003B4F97">
      <w:pPr>
        <w:pStyle w:val="Bullet1"/>
      </w:pPr>
      <w:r>
        <w:t xml:space="preserve">R634 – Abnormal weight loss. </w:t>
      </w:r>
    </w:p>
    <w:p w14:paraId="63CE54B0" w14:textId="4CAE6319" w:rsidR="00732496" w:rsidRDefault="00732496" w:rsidP="00A60C18">
      <w:pPr>
        <w:pStyle w:val="Heading4"/>
      </w:pPr>
      <w:r>
        <w:t>Data source: Victorian Admitted Episodes Dataset</w:t>
      </w:r>
    </w:p>
    <w:p w14:paraId="7D93DF1E" w14:textId="77777777" w:rsidR="00732496" w:rsidRDefault="00732496" w:rsidP="003B4F97">
      <w:pPr>
        <w:pStyle w:val="Normalfollowingheading"/>
      </w:pPr>
      <w:r>
        <w:t>Data for this indicator is sourced from the VAED for the financial year 1 July 2019 to 30 June 2020.</w:t>
      </w:r>
    </w:p>
    <w:p w14:paraId="2CE3736B" w14:textId="39A46D11" w:rsidR="00732496" w:rsidRDefault="00732496" w:rsidP="003B4F97">
      <w:pPr>
        <w:pStyle w:val="Tablechartdiagramheading"/>
      </w:pPr>
      <w:r>
        <w:t>Numerator/denominator</w:t>
      </w:r>
    </w:p>
    <w:tbl>
      <w:tblPr>
        <w:tblStyle w:val="TableGrid"/>
        <w:tblW w:w="0" w:type="auto"/>
        <w:tblLook w:val="04A0" w:firstRow="1" w:lastRow="0" w:firstColumn="1" w:lastColumn="0" w:noHBand="0" w:noVBand="1"/>
      </w:tblPr>
      <w:tblGrid>
        <w:gridCol w:w="3401"/>
        <w:gridCol w:w="3401"/>
        <w:gridCol w:w="3402"/>
      </w:tblGrid>
      <w:tr w:rsidR="00732496" w14:paraId="7B316B47" w14:textId="77777777" w:rsidTr="007324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9A08676" w14:textId="620B6209" w:rsidR="00732496" w:rsidRPr="00732496" w:rsidRDefault="00732496" w:rsidP="003B4F97">
            <w:r>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7E5352A7" w14:textId="056FD897" w:rsidR="00732496" w:rsidRDefault="00732496" w:rsidP="003B4F97">
            <w:pPr>
              <w:cnfStyle w:val="100000000000" w:firstRow="1" w:lastRow="0" w:firstColumn="0" w:lastColumn="0" w:oddVBand="0" w:evenVBand="0" w:oddHBand="0" w:evenHBand="0" w:firstRowFirstColumn="0" w:firstRowLastColumn="0" w:lastRowFirstColumn="0" w:lastRowLastColumn="0"/>
              <w:rPr>
                <w:lang w:val="en-GB" w:eastAsia="en-AU"/>
              </w:rPr>
            </w:pPr>
            <w:r>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D96BF30" w14:textId="1F9D9770" w:rsidR="00732496" w:rsidRDefault="00732496" w:rsidP="003B4F97">
            <w:pPr>
              <w:cnfStyle w:val="100000000000" w:firstRow="1" w:lastRow="0" w:firstColumn="0" w:lastColumn="0" w:oddVBand="0" w:evenVBand="0" w:oddHBand="0" w:evenHBand="0" w:firstRowFirstColumn="0" w:firstRowLastColumn="0" w:lastRowFirstColumn="0" w:lastRowLastColumn="0"/>
              <w:rPr>
                <w:lang w:val="en-GB" w:eastAsia="en-AU"/>
              </w:rPr>
            </w:pPr>
            <w:r>
              <w:t>Denominator</w:t>
            </w:r>
          </w:p>
        </w:tc>
      </w:tr>
      <w:tr w:rsidR="00732496" w14:paraId="7ED914D5" w14:textId="77777777" w:rsidTr="00732496">
        <w:tc>
          <w:tcPr>
            <w:cnfStyle w:val="001000000000" w:firstRow="0" w:lastRow="0" w:firstColumn="1" w:lastColumn="0" w:oddVBand="0" w:evenVBand="0" w:oddHBand="0" w:evenHBand="0" w:firstRowFirstColumn="0" w:firstRowLastColumn="0" w:lastRowFirstColumn="0" w:lastRowLastColumn="0"/>
            <w:tcW w:w="3401" w:type="dxa"/>
          </w:tcPr>
          <w:p w14:paraId="31ED70A4" w14:textId="04AC537C" w:rsidR="00732496" w:rsidRDefault="00732496" w:rsidP="003B4F97">
            <w:pPr>
              <w:rPr>
                <w:lang w:val="en-GB" w:eastAsia="en-AU"/>
              </w:rPr>
            </w:pPr>
            <w:r>
              <w:t>Indicator 6b: Readmission of a newborn within 28 days of discharge from a birthing episode admission in a Victorian public hospital</w:t>
            </w:r>
          </w:p>
        </w:tc>
        <w:tc>
          <w:tcPr>
            <w:tcW w:w="3401" w:type="dxa"/>
          </w:tcPr>
          <w:p w14:paraId="7D070224" w14:textId="18B7BD38" w:rsidR="00732496" w:rsidRDefault="00732496"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neonates readmitted to any health service with a potentially preventable readmissions diagnosis code within 28 days of birth</w:t>
            </w:r>
          </w:p>
        </w:tc>
        <w:tc>
          <w:tcPr>
            <w:tcW w:w="3402" w:type="dxa"/>
          </w:tcPr>
          <w:p w14:paraId="10EA129F" w14:textId="7413EB6D" w:rsidR="00732496" w:rsidRDefault="00732496"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neonates provided with admitted postnatal care prior to discharge</w:t>
            </w:r>
          </w:p>
        </w:tc>
      </w:tr>
    </w:tbl>
    <w:p w14:paraId="5B9ACE70" w14:textId="2B00277D" w:rsidR="00D15E6B" w:rsidRDefault="00D15E6B" w:rsidP="003B4F97">
      <w:r>
        <w:br w:type="page"/>
      </w:r>
    </w:p>
    <w:p w14:paraId="6D3B8A38" w14:textId="75897498" w:rsidR="00F80FA2" w:rsidRDefault="00F80FA2" w:rsidP="00A60C18">
      <w:pPr>
        <w:pStyle w:val="Heading1"/>
        <w:framePr w:wrap="around"/>
      </w:pPr>
      <w:bookmarkStart w:id="12" w:name="_Toc71710122"/>
      <w:r>
        <w:t>7: Smoking cessation</w:t>
      </w:r>
      <w:bookmarkEnd w:id="12"/>
    </w:p>
    <w:p w14:paraId="135CCC60" w14:textId="664BC0D4" w:rsidR="009D7733" w:rsidRDefault="009D7733" w:rsidP="003B4F97">
      <w:pPr>
        <w:pStyle w:val="IntroductoryText"/>
      </w:pPr>
      <w:r>
        <w:t>Women who smoke while pregnant, and their babies, are at risk of various preventable adverse outcomes and health complications including stillbirth, fetal growth restriction and pre-term birth. During pregnancy, women are motivated to protect their baby’s health. It is therefore an important time for health professionals to assist women to quit smoking. This indicator can be used by hospitals to measure how effective their interventions are and recognises hospitals making the greatest impact towards smoking cessation.</w:t>
      </w:r>
    </w:p>
    <w:p w14:paraId="0FEA0BA8" w14:textId="77777777" w:rsidR="000A38D8" w:rsidRDefault="000A38D8" w:rsidP="003B4F97">
      <w:pPr>
        <w:pStyle w:val="Heading2"/>
      </w:pPr>
      <w:r>
        <w:t>About this indicator</w:t>
      </w:r>
    </w:p>
    <w:p w14:paraId="025669E4" w14:textId="77777777" w:rsidR="000A38D8" w:rsidRPr="00116472" w:rsidRDefault="000A38D8" w:rsidP="003B4F97">
      <w:pPr>
        <w:pStyle w:val="Normalfollowingheading"/>
      </w:pPr>
      <w:r w:rsidRPr="00116472">
        <w:t>This indicator assesses the effectiveness of health services in providing support for women who smoke in early pregnancy to quit. This includes smoking cessation advice, assistance and follow-up during the antenatal period. The aim is to reduce both the rate of smoking among pregnant women and the risk of smoking-associated adverse health outcomes for women and their babies.</w:t>
      </w:r>
    </w:p>
    <w:p w14:paraId="48290C69" w14:textId="77777777" w:rsidR="000A38D8" w:rsidRPr="00116472" w:rsidRDefault="000A38D8" w:rsidP="003B4F97">
      <w:r w:rsidRPr="00116472">
        <w:t>The data in this report relates to the percentage of women who were reported as not smoking after 20 weeks’ gestation among those who smoked before 20 weeks.</w:t>
      </w:r>
    </w:p>
    <w:p w14:paraId="69CDF04A" w14:textId="542B38A0" w:rsidR="000A38D8" w:rsidRPr="00116472" w:rsidRDefault="000A38D8" w:rsidP="003B4F97">
      <w:r w:rsidRPr="00116472">
        <w:t>This indicator has limited focus on smoking cessation during pregnancy and does not capture data on whether women continue to not smoke after pregnancy.</w:t>
      </w:r>
    </w:p>
    <w:p w14:paraId="5051AFA6" w14:textId="7F9BC2EA" w:rsidR="000A38D8" w:rsidRDefault="000A38D8" w:rsidP="003B4F97">
      <w:pPr>
        <w:pStyle w:val="Heading2"/>
      </w:pPr>
      <w:r>
        <w:t>Observations on the data</w:t>
      </w:r>
    </w:p>
    <w:p w14:paraId="6A1558BF" w14:textId="535786A7" w:rsidR="009D7733" w:rsidRDefault="009D7733" w:rsidP="003B4F97">
      <w:pPr>
        <w:pStyle w:val="Normalfollowingheading"/>
      </w:pPr>
      <w:r>
        <w:t>The percentage of women who smoked in the first 20 weeks of their pregnancy and did not smoke in the last 20 weeks of their pregnancy across all hospitals, and within public and public hospitals, has not changed in 2019 compared to 2018 (</w:t>
      </w:r>
      <w:r w:rsidRPr="00116472">
        <w:rPr>
          <w:b/>
        </w:rPr>
        <w:t xml:space="preserve">Table </w:t>
      </w:r>
      <w:r w:rsidR="00061B4C">
        <w:rPr>
          <w:b/>
          <w:bCs/>
        </w:rPr>
        <w:t>10</w:t>
      </w:r>
      <w:r>
        <w:t>). The rate for private hospitals continued to be significantly higher compared to public hospitals (59.3 per cent and 26.8 per cent, respectively; p&lt;0.001).</w:t>
      </w:r>
    </w:p>
    <w:p w14:paraId="4FFA83CF" w14:textId="77777777" w:rsidR="009D7733" w:rsidRDefault="009D7733" w:rsidP="003B4F97">
      <w:r>
        <w:t>The smoking cessation rate between individual hospitals ranged from zero to 85.3 per cent (</w:t>
      </w:r>
      <w:r w:rsidRPr="00116472">
        <w:rPr>
          <w:b/>
        </w:rPr>
        <w:t>Figure 22</w:t>
      </w:r>
      <w:r>
        <w:t xml:space="preserve">). Also note some significant outliers as shown in </w:t>
      </w:r>
      <w:r w:rsidRPr="00116472">
        <w:rPr>
          <w:b/>
        </w:rPr>
        <w:t>Figure 23</w:t>
      </w:r>
      <w:r>
        <w:t>.</w:t>
      </w:r>
    </w:p>
    <w:p w14:paraId="3F00050A" w14:textId="77777777" w:rsidR="000A38D8" w:rsidRDefault="000A38D8" w:rsidP="003B4F97">
      <w:pPr>
        <w:rPr>
          <w:rFonts w:ascii="VIC SemiBold" w:hAnsi="VIC SemiBold"/>
          <w:color w:val="007586" w:themeColor="text2"/>
          <w:spacing w:val="2"/>
          <w:szCs w:val="18"/>
          <w:lang w:val="en-GB" w:eastAsia="en-AU"/>
        </w:rPr>
      </w:pPr>
      <w:r>
        <w:br w:type="page"/>
      </w:r>
    </w:p>
    <w:p w14:paraId="4C6EC021" w14:textId="331EC889" w:rsidR="00F80FA2" w:rsidRDefault="00F80FA2" w:rsidP="003B4F97">
      <w:pPr>
        <w:pStyle w:val="Tablechartdiagramheading"/>
      </w:pPr>
      <w:r>
        <w:t>Figure 22. Indicator 7: Rate of smoking cessation during pregnancy, 2019</w:t>
      </w:r>
    </w:p>
    <w:p w14:paraId="5EB6215F" w14:textId="325C744C" w:rsidR="00F80FA2" w:rsidRDefault="0096559B" w:rsidP="003B4F97">
      <w:r w:rsidRPr="009D7733">
        <mc:AlternateContent>
          <mc:Choice Requires="wps">
            <w:drawing>
              <wp:anchor distT="0" distB="0" distL="114300" distR="114300" simplePos="0" relativeHeight="251658261" behindDoc="0" locked="0" layoutInCell="1" allowOverlap="1" wp14:anchorId="414D7DBC" wp14:editId="5A20E6D5">
                <wp:simplePos x="0" y="0"/>
                <wp:positionH relativeFrom="column">
                  <wp:posOffset>2003425</wp:posOffset>
                </wp:positionH>
                <wp:positionV relativeFrom="paragraph">
                  <wp:posOffset>190500</wp:posOffset>
                </wp:positionV>
                <wp:extent cx="613124" cy="6869927"/>
                <wp:effectExtent l="0" t="0" r="0" b="7620"/>
                <wp:wrapNone/>
                <wp:docPr id="68" name="Rectangle 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3124" cy="6869927"/>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3F207" id="Rectangle 68" o:spid="_x0000_s1026" style="position:absolute;margin-left:157.75pt;margin-top:15pt;width:48.3pt;height:540.9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xu6pQIAAKgFAAAOAAAAZHJzL2Uyb0RvYy54bWysVE1v2zAMvQ/YfxB0Xx1nadoEdYqgRYYB&#10;RVu0HXpWZCkWIIuapMTJfv0oyXE/T8NyUESRfCSfSV5c7ltNdsJ5Baai5cmIEmE41MpsKvrrafXt&#10;nBIfmKmZBiMqehCeXi6+frno7FyMoQFdC0cQxPh5ZyvahGDnReF5I1rmT8AKg0oJrmUBRbcpasc6&#10;RG91MR6NpkUHrrYOuPAeX6+zki4SvpSChzspvQhEVxRzC+l06VzHs1hcsPnGMdso3qfB/iGLlimD&#10;QQeoaxYY2Tr1AapV3IEHGU44tAVIqbhINWA15ehdNY8NsyLVguR4O9Dk/x8sv93dO6Lqik7xSxnW&#10;4jd6QNaY2WhB8A0J6qyfo92jvXe95PEaq91L18Z/rIPsE6mHgVSxD4Tj47T8Xo4nlHBUTc+ns9n4&#10;LIIWL97W+fBDQEvipaIOwycu2e7Gh2x6NInBPGhVr5TWSXCb9ZV2ZMfwA69WI/xlX20bll/LUTmb&#10;9iF9Nk/h3+BoE9EMRNwcMr4UsfRcbLqFgxbRTpsHIZE1LG+cwqV+FUMijHNhQplVDatFzuQ0pZfh&#10;B4+USwKMyBLjD9g9QJyFj9gZprePriK1++CceRjC5AyOiWXnwSNFBhMG51YZcJ9VprGqPnK2P5KU&#10;qYksraE+YE85yMPmLV8p/LA3zId75nC6cA5xY4Q7PKSGrqLQ3yhpwP357D3aY9OjlpIOp7Wi/veW&#10;OUGJ/mlwHGblZBLHOwmT07MxCu61Zv1aY7btFWC/lLibLE/XaB/08SodtM+4WJYxKqqY4Ri7ojy4&#10;o3AV8hbB1cTFcpnMcKQtCzfm0fIIHlmNjfu0f2bO9t0dcC5u4TjZbP6uybNt9DSw3AaQKk3AC689&#10;37gOUuP0qyvum9dysnpZsIu/AAAA//8DAFBLAwQUAAYACAAAACEAQXIx9d4AAAALAQAADwAAAGRy&#10;cy9kb3ducmV2LnhtbEyPQU/DMAyF70j7D5EncWNpC5ugNJ0mEOzKBpo4Zo1pyxqnSrK1/feYE/hk&#10;6316fq9Yj7YTF/ShdaQgXSQgkCpnWqoVfLy/3NyDCFGT0Z0jVDBhgHU5uyp0btxAO7zsYy3YhEKu&#10;FTQx9rmUoWrQ6rBwPRJrX85bHfn0tTReD2xuO5klyUpa3RJ/aHSPTw1Wp/3ZKqg+w+FtF7fP3zVN&#10;r6thOPjtlCl1PR83jyAijvEPht/4HB1KznR0ZzJBdApu0+WSUV4S7sTAXZqlII5M8jyALAv5v0P5&#10;AwAA//8DAFBLAQItABQABgAIAAAAIQC2gziS/gAAAOEBAAATAAAAAAAAAAAAAAAAAAAAAABbQ29u&#10;dGVudF9UeXBlc10ueG1sUEsBAi0AFAAGAAgAAAAhADj9If/WAAAAlAEAAAsAAAAAAAAAAAAAAAAA&#10;LwEAAF9yZWxzLy5yZWxzUEsBAi0AFAAGAAgAAAAhAKzzG7qlAgAAqAUAAA4AAAAAAAAAAAAAAAAA&#10;LgIAAGRycy9lMm9Eb2MueG1sUEsBAi0AFAAGAAgAAAAhAEFyMfXeAAAACwEAAA8AAAAAAAAAAAAA&#10;AAAA/wQAAGRycy9kb3ducmV2LnhtbFBLBQYAAAAABAAEAPMAAAAKBgAAAAA=&#10;" fillcolor="red" stroked="f" strokeweight="2pt">
                <v:fill opacity="6682f"/>
              </v:rect>
            </w:pict>
          </mc:Fallback>
        </mc:AlternateContent>
      </w:r>
      <w:r w:rsidR="001C4735" w:rsidRPr="009D7733">
        <mc:AlternateContent>
          <mc:Choice Requires="wps">
            <w:drawing>
              <wp:anchor distT="0" distB="0" distL="114300" distR="114300" simplePos="0" relativeHeight="251658260" behindDoc="0" locked="0" layoutInCell="1" allowOverlap="1" wp14:anchorId="73712253" wp14:editId="5CC073B0">
                <wp:simplePos x="0" y="0"/>
                <wp:positionH relativeFrom="column">
                  <wp:posOffset>3721100</wp:posOffset>
                </wp:positionH>
                <wp:positionV relativeFrom="paragraph">
                  <wp:posOffset>170180</wp:posOffset>
                </wp:positionV>
                <wp:extent cx="2700916" cy="6869927"/>
                <wp:effectExtent l="0" t="0" r="4445" b="7620"/>
                <wp:wrapNone/>
                <wp:docPr id="67" name="Rectangle 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00916" cy="6869927"/>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7D252" id="Rectangle 67" o:spid="_x0000_s1026" style="position:absolute;margin-left:293pt;margin-top:13.4pt;width:212.65pt;height:540.9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qMqQIAAKkFAAAOAAAAZHJzL2Uyb0RvYy54bWysVE1v2zAMvQ/YfxB0X20HadoEdYogRYcB&#10;RVv0Az0rshQbkEVNUuJkv36UZLtB112G5aBQIvlIPpO8uj60iuyFdQ3okhZnOSVCc6gavS3p68vt&#10;t0tKnGe6Ygq0KOlROHq9/PrlqjMLMYEaVCUsQRDtFp0pae29WWSZ47VomTsDIzQqJdiWebzabVZZ&#10;1iF6q7JJns+yDmxlLHDhHL7eJCVdRnwpBfcPUjrhiSop5ubjaeO5CWe2vGKLrWWmbnifBvuHLFrW&#10;aAw6Qt0wz8jONn9AtQ234ED6Mw5tBlI2XMQasJoi/1DNc82MiLUgOc6MNLn/B8vv94+WNFVJZxeU&#10;aNbiN3pC1pjeKkHwDQnqjFug3bN5tP3NoRiqPUjbhn+sgxwiqceRVHHwhOPj5CLP58WMEo662eVs&#10;Pp9E1Ozd3VjnvwtoSRBKajF+JJPt75zHkGg6mIRoDlRT3TZKxYvdbtbKkj3DLzyf3OTnefJVpmbp&#10;tciL+SwUgjgumSf5FEfpgKYh4CbT8JKF2lO1UfJHJYKd0k9CIm2hvhguNqwYE2GcC+2LpKpZJVIm&#10;5zn+hkxCiwePmEsEDMgS44/YPcBgmUAG7JRlbx9cRez30Tnx8JfEkvPoESOD9qNz22iwn1WmsKo+&#10;crIfSErUBJY2UB2xqSykaXOG3zb4Ye+Y84/M4njhIOLK8A94SAVdSaGXKKnB/vrsPdhj16OWkg7H&#10;taTu545ZQYn6oXEe5sV0GuY7XqbnFxO82FPN5lSjd+0asF8KXE6GRzHYezWI0kL7hptlFaKiimmO&#10;sUvKvR0ua5/WCO4mLlaraIYzbZi/08+GB/DAamjcl8Mbs6bvbo+DcQ/DaLPFhyZPtsFTw2rnQTZx&#10;At557fnGfRAbp99dYeGc3qPV+4Zd/gYAAP//AwBQSwMEFAAGAAgAAAAhADocAsDiAAAADAEAAA8A&#10;AABkcnMvZG93bnJldi54bWxMj8FOwzAMhu9IvENkJG4s6aCllKYTAlFpggNse4CsNW1H45Qm27q3&#10;xzvBzZZ//f6+fDHZXhxw9J0jDdFMgUCqXN1Ro2Gzfr1JQfhgqDa9I9RwQg+L4vIiN1ntjvSJh1Vo&#10;BJeQz4yGNoQhk9JXLVrjZ25A4tuXG60JvI6NrEdz5HLby7lSibSmI/7QmgGfW6y+V3ur4e79Zefk&#10;EO/ixj6UHz9vy1NZLrW+vpqeHkEEnMJfGM74jA4FM23dnmoveg1xmrBL0DBPWOEcUFF0C2LLU6TS&#10;e5BFLv9LFL8AAAD//wMAUEsBAi0AFAAGAAgAAAAhALaDOJL+AAAA4QEAABMAAAAAAAAAAAAAAAAA&#10;AAAAAFtDb250ZW50X1R5cGVzXS54bWxQSwECLQAUAAYACAAAACEAOP0h/9YAAACUAQAACwAAAAAA&#10;AAAAAAAAAAAvAQAAX3JlbHMvLnJlbHNQSwECLQAUAAYACAAAACEAs0x6jKkCAACpBQAADgAAAAAA&#10;AAAAAAAAAAAuAgAAZHJzL2Uyb0RvYy54bWxQSwECLQAUAAYACAAAACEAOhwCwOIAAAAMAQAADwAA&#10;AAAAAAAAAAAAAAADBQAAZHJzL2Rvd25yZXYueG1sUEsFBgAAAAAEAAQA8wAAABIGAAAAAA==&#10;" fillcolor="#92d050" stroked="f" strokeweight="2pt">
                <v:fill opacity="6682f"/>
              </v:rect>
            </w:pict>
          </mc:Fallback>
        </mc:AlternateContent>
      </w:r>
      <w:r w:rsidR="00F80FA2">
        <w:drawing>
          <wp:inline distT="0" distB="0" distL="0" distR="0" wp14:anchorId="03F065E5" wp14:editId="114FD5ED">
            <wp:extent cx="6480000" cy="7200000"/>
            <wp:effectExtent l="0" t="0" r="0" b="1270"/>
            <wp:docPr id="27" name="Chart 27" descr="This bar graph shows the rates at each hospital and statewide of smoking cessation during pregnancy. Of the hospitals whose data were included, only public hospitals had rates that fell within the least favourable 25% of hospitals.">
              <a:extLst xmlns:a="http://schemas.openxmlformats.org/drawingml/2006/main">
                <a:ext uri="{FF2B5EF4-FFF2-40B4-BE49-F238E27FC236}">
                  <a16:creationId xmlns:a16="http://schemas.microsoft.com/office/drawing/2014/main" id="{46F29797-355B-448F-A387-46B4976E46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910907" w14:textId="15A80107" w:rsidR="000A38D8" w:rsidRDefault="00F80FA2" w:rsidP="00A60C18">
      <w:pPr>
        <w:pStyle w:val="Footer"/>
      </w:pPr>
      <w:r>
        <w:t>Note: The following services had greater than 20 per cent missing data for smoking in the second half of pregnancy. As such they have been excluded from the publishable range. Monash Medical Centre (Clayton), St John of God Berwick Hospital.</w:t>
      </w:r>
      <w:r w:rsidR="000A38D8">
        <w:br w:type="page"/>
      </w:r>
    </w:p>
    <w:p w14:paraId="6F4C8A6E" w14:textId="7ECE1F3B" w:rsidR="00F80FA2" w:rsidRDefault="00F80FA2" w:rsidP="003B4F97">
      <w:pPr>
        <w:pStyle w:val="Tablechartdiagramheading"/>
      </w:pPr>
      <w:r>
        <w:t>Figure 23. Funnel plot of the rate of smoking cessation during pregnancy, 2019</w:t>
      </w:r>
    </w:p>
    <w:p w14:paraId="5B08E504" w14:textId="792F3E65" w:rsidR="00F80FA2" w:rsidRDefault="00F80FA2" w:rsidP="003B4F97">
      <w:r>
        <w:drawing>
          <wp:inline distT="0" distB="0" distL="0" distR="0" wp14:anchorId="46EE004F" wp14:editId="11C0D2EC">
            <wp:extent cx="5248507" cy="3780000"/>
            <wp:effectExtent l="0" t="0" r="0" b="0"/>
            <wp:docPr id="41" name="Picture 41" descr="This funnel plot shows the distribution of smoking cessation rate across hospitals. Only public hospitals had rates that were statistically significantly low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is funnel plot shows the distribution of smoking cessation rate across hospitals. Only public hospitals had rates that were statistically significantly lower than average."/>
                    <pic:cNvPicPr/>
                  </pic:nvPicPr>
                  <pic:blipFill rotWithShape="1">
                    <a:blip r:embed="rId45">
                      <a:extLst>
                        <a:ext uri="{28A0092B-C50C-407E-A947-70E740481C1C}">
                          <a14:useLocalDpi xmlns:a14="http://schemas.microsoft.com/office/drawing/2010/main" val="0"/>
                        </a:ext>
                      </a:extLst>
                    </a:blip>
                    <a:srcRect t="4048"/>
                    <a:stretch/>
                  </pic:blipFill>
                  <pic:spPr bwMode="auto">
                    <a:xfrm>
                      <a:off x="0" y="0"/>
                      <a:ext cx="5248507" cy="3780000"/>
                    </a:xfrm>
                    <a:prstGeom prst="rect">
                      <a:avLst/>
                    </a:prstGeom>
                    <a:ln>
                      <a:noFill/>
                    </a:ln>
                    <a:extLst>
                      <a:ext uri="{53640926-AAD7-44D8-BBD7-CCE9431645EC}">
                        <a14:shadowObscured xmlns:a14="http://schemas.microsoft.com/office/drawing/2010/main"/>
                      </a:ext>
                    </a:extLst>
                  </pic:spPr>
                </pic:pic>
              </a:graphicData>
            </a:graphic>
          </wp:inline>
        </w:drawing>
      </w:r>
    </w:p>
    <w:p w14:paraId="69E6CFCC"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669CF380" w14:textId="32A84DF2" w:rsidR="00F80FA2" w:rsidRDefault="00F80FA2" w:rsidP="003B4F97">
      <w:pPr>
        <w:pStyle w:val="Tablechartdiagramheading"/>
      </w:pPr>
      <w:r w:rsidRPr="005036AA">
        <w:t xml:space="preserve">Table </w:t>
      </w:r>
      <w:r w:rsidR="00061B4C">
        <w:t>10</w:t>
      </w:r>
      <w:r w:rsidRPr="005036AA">
        <w:t>. Rate of smoking cessation during pregnancy</w:t>
      </w:r>
      <w:r>
        <w:t>, 2016</w:t>
      </w:r>
      <w:r w:rsidR="00061B4C">
        <w:t>–</w:t>
      </w:r>
      <w:r>
        <w:t>19</w:t>
      </w:r>
    </w:p>
    <w:tbl>
      <w:tblPr>
        <w:tblStyle w:val="TableGrid"/>
        <w:tblW w:w="0" w:type="auto"/>
        <w:tblLook w:val="04A0" w:firstRow="1" w:lastRow="0" w:firstColumn="1" w:lastColumn="0" w:noHBand="0" w:noVBand="1"/>
      </w:tblPr>
      <w:tblGrid>
        <w:gridCol w:w="2040"/>
        <w:gridCol w:w="2041"/>
        <w:gridCol w:w="2041"/>
        <w:gridCol w:w="2041"/>
        <w:gridCol w:w="2041"/>
      </w:tblGrid>
      <w:tr w:rsidR="00F80FA2" w14:paraId="5447DD52" w14:textId="77777777" w:rsidTr="001C4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867F6BA" w14:textId="77777777" w:rsidR="00F80FA2" w:rsidRDefault="00F80FA2" w:rsidP="003B4F97">
            <w:pPr>
              <w:rPr>
                <w:lang w:val="en-GB" w:eastAsia="en-AU"/>
              </w:rPr>
            </w:pP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770EB59" w14:textId="3C5B3141"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7F77CA">
              <w:t>2016</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201B4DB" w14:textId="117D6641"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7F77CA">
              <w:t>2017</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46843B9B" w14:textId="12C884B6"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t>2018</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59EF817F" w14:textId="3197FD54" w:rsidR="00F80FA2" w:rsidRDefault="00F80FA2" w:rsidP="003B4F97">
            <w:pPr>
              <w:cnfStyle w:val="100000000000" w:firstRow="1" w:lastRow="0" w:firstColumn="0" w:lastColumn="0" w:oddVBand="0" w:evenVBand="0" w:oddHBand="0" w:evenHBand="0" w:firstRowFirstColumn="0" w:firstRowLastColumn="0" w:lastRowFirstColumn="0" w:lastRowLastColumn="0"/>
              <w:rPr>
                <w:lang w:val="en-GB" w:eastAsia="en-AU"/>
              </w:rPr>
            </w:pPr>
            <w:r>
              <w:t>2019</w:t>
            </w:r>
          </w:p>
        </w:tc>
      </w:tr>
      <w:tr w:rsidR="00F80FA2" w14:paraId="59B5CD37" w14:textId="77777777" w:rsidTr="001C4735">
        <w:tc>
          <w:tcPr>
            <w:cnfStyle w:val="001000000000" w:firstRow="0" w:lastRow="0" w:firstColumn="1" w:lastColumn="0" w:oddVBand="0" w:evenVBand="0" w:oddHBand="0" w:evenHBand="0" w:firstRowFirstColumn="0" w:firstRowLastColumn="0" w:lastRowFirstColumn="0" w:lastRowLastColumn="0"/>
            <w:tcW w:w="2040" w:type="dxa"/>
            <w:vAlign w:val="center"/>
          </w:tcPr>
          <w:p w14:paraId="64027A1D" w14:textId="5A750ABC" w:rsidR="00F80FA2" w:rsidRDefault="00F80FA2" w:rsidP="003B4F97">
            <w:pPr>
              <w:rPr>
                <w:lang w:val="en-GB" w:eastAsia="en-AU"/>
              </w:rPr>
            </w:pPr>
            <w:r w:rsidRPr="007F77CA">
              <w:t>Public</w:t>
            </w:r>
          </w:p>
        </w:tc>
        <w:tc>
          <w:tcPr>
            <w:tcW w:w="2041" w:type="dxa"/>
            <w:vAlign w:val="center"/>
          </w:tcPr>
          <w:p w14:paraId="4E1396E2" w14:textId="5729ADD4"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24.4%</w:t>
            </w:r>
          </w:p>
        </w:tc>
        <w:tc>
          <w:tcPr>
            <w:tcW w:w="2041" w:type="dxa"/>
            <w:vAlign w:val="center"/>
          </w:tcPr>
          <w:p w14:paraId="6090289A" w14:textId="74FE8E8E"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25.5%</w:t>
            </w:r>
          </w:p>
        </w:tc>
        <w:tc>
          <w:tcPr>
            <w:tcW w:w="2041" w:type="dxa"/>
            <w:vAlign w:val="center"/>
          </w:tcPr>
          <w:p w14:paraId="1572873F" w14:textId="64AFD70B"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26.6%</w:t>
            </w:r>
          </w:p>
        </w:tc>
        <w:tc>
          <w:tcPr>
            <w:tcW w:w="2041" w:type="dxa"/>
            <w:tcBorders>
              <w:top w:val="single" w:sz="24" w:space="0" w:color="CCCCD0" w:themeColor="accent6"/>
            </w:tcBorders>
            <w:shd w:val="clear" w:color="auto" w:fill="D9D9D9" w:themeFill="background1" w:themeFillShade="D9"/>
            <w:vAlign w:val="center"/>
          </w:tcPr>
          <w:p w14:paraId="65BB338E" w14:textId="48D9ABC5"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26.8%</w:t>
            </w:r>
          </w:p>
        </w:tc>
      </w:tr>
      <w:tr w:rsidR="00F80FA2" w14:paraId="74D696BA" w14:textId="77777777" w:rsidTr="001C4735">
        <w:tc>
          <w:tcPr>
            <w:cnfStyle w:val="001000000000" w:firstRow="0" w:lastRow="0" w:firstColumn="1" w:lastColumn="0" w:oddVBand="0" w:evenVBand="0" w:oddHBand="0" w:evenHBand="0" w:firstRowFirstColumn="0" w:firstRowLastColumn="0" w:lastRowFirstColumn="0" w:lastRowLastColumn="0"/>
            <w:tcW w:w="2040" w:type="dxa"/>
            <w:vAlign w:val="center"/>
          </w:tcPr>
          <w:p w14:paraId="2E8E8FC6" w14:textId="619F782F" w:rsidR="00F80FA2" w:rsidRDefault="00F80FA2" w:rsidP="003B4F97">
            <w:pPr>
              <w:rPr>
                <w:lang w:val="en-GB" w:eastAsia="en-AU"/>
              </w:rPr>
            </w:pPr>
            <w:r w:rsidRPr="007F77CA">
              <w:t>Private</w:t>
            </w:r>
          </w:p>
        </w:tc>
        <w:tc>
          <w:tcPr>
            <w:tcW w:w="2041" w:type="dxa"/>
            <w:vAlign w:val="center"/>
          </w:tcPr>
          <w:p w14:paraId="2E2E5BC6" w14:textId="3DD29830"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66.1%</w:t>
            </w:r>
          </w:p>
        </w:tc>
        <w:tc>
          <w:tcPr>
            <w:tcW w:w="2041" w:type="dxa"/>
            <w:vAlign w:val="center"/>
          </w:tcPr>
          <w:p w14:paraId="4383814A" w14:textId="53253F9B"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65.2%</w:t>
            </w:r>
          </w:p>
        </w:tc>
        <w:tc>
          <w:tcPr>
            <w:tcW w:w="2041" w:type="dxa"/>
            <w:vAlign w:val="center"/>
          </w:tcPr>
          <w:p w14:paraId="2703BCDD" w14:textId="5705F2CD"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60.3%</w:t>
            </w:r>
          </w:p>
        </w:tc>
        <w:tc>
          <w:tcPr>
            <w:tcW w:w="2041" w:type="dxa"/>
            <w:shd w:val="clear" w:color="auto" w:fill="D9D9D9" w:themeFill="background1" w:themeFillShade="D9"/>
            <w:vAlign w:val="center"/>
          </w:tcPr>
          <w:p w14:paraId="557140FA" w14:textId="1A4085FB"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59.3%</w:t>
            </w:r>
          </w:p>
        </w:tc>
      </w:tr>
      <w:tr w:rsidR="00F80FA2" w14:paraId="3651FC80" w14:textId="77777777" w:rsidTr="001C4735">
        <w:tc>
          <w:tcPr>
            <w:cnfStyle w:val="001000000000" w:firstRow="0" w:lastRow="0" w:firstColumn="1" w:lastColumn="0" w:oddVBand="0" w:evenVBand="0" w:oddHBand="0" w:evenHBand="0" w:firstRowFirstColumn="0" w:firstRowLastColumn="0" w:lastRowFirstColumn="0" w:lastRowLastColumn="0"/>
            <w:tcW w:w="2040" w:type="dxa"/>
            <w:vAlign w:val="center"/>
          </w:tcPr>
          <w:p w14:paraId="67614A97" w14:textId="3860AA0D" w:rsidR="00F80FA2" w:rsidRDefault="00F80FA2" w:rsidP="003B4F97">
            <w:pPr>
              <w:rPr>
                <w:lang w:val="en-GB" w:eastAsia="en-AU"/>
              </w:rPr>
            </w:pPr>
            <w:r w:rsidRPr="007F77CA">
              <w:t>Combined</w:t>
            </w:r>
          </w:p>
        </w:tc>
        <w:tc>
          <w:tcPr>
            <w:tcW w:w="2041" w:type="dxa"/>
            <w:vAlign w:val="center"/>
          </w:tcPr>
          <w:p w14:paraId="1A7767C9" w14:textId="6F689394"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26.1%</w:t>
            </w:r>
          </w:p>
        </w:tc>
        <w:tc>
          <w:tcPr>
            <w:tcW w:w="2041" w:type="dxa"/>
            <w:vAlign w:val="center"/>
          </w:tcPr>
          <w:p w14:paraId="71D55731" w14:textId="19F29352"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27.1%</w:t>
            </w:r>
          </w:p>
        </w:tc>
        <w:tc>
          <w:tcPr>
            <w:tcW w:w="2041" w:type="dxa"/>
            <w:vAlign w:val="center"/>
          </w:tcPr>
          <w:p w14:paraId="207EF674" w14:textId="0A0A82B0"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28.0%</w:t>
            </w:r>
          </w:p>
        </w:tc>
        <w:tc>
          <w:tcPr>
            <w:tcW w:w="2041" w:type="dxa"/>
            <w:shd w:val="clear" w:color="auto" w:fill="D9D9D9" w:themeFill="background1" w:themeFillShade="D9"/>
            <w:vAlign w:val="center"/>
          </w:tcPr>
          <w:p w14:paraId="41C17929" w14:textId="504461DE" w:rsidR="00F80FA2" w:rsidRDefault="00F80FA2" w:rsidP="003B4F97">
            <w:pPr>
              <w:cnfStyle w:val="000000000000" w:firstRow="0" w:lastRow="0" w:firstColumn="0" w:lastColumn="0" w:oddVBand="0" w:evenVBand="0" w:oddHBand="0" w:evenHBand="0" w:firstRowFirstColumn="0" w:firstRowLastColumn="0" w:lastRowFirstColumn="0" w:lastRowLastColumn="0"/>
              <w:rPr>
                <w:lang w:val="en-GB" w:eastAsia="en-AU"/>
              </w:rPr>
            </w:pPr>
            <w:r>
              <w:t>28.0%</w:t>
            </w:r>
          </w:p>
        </w:tc>
      </w:tr>
    </w:tbl>
    <w:p w14:paraId="535D3D16" w14:textId="77777777" w:rsidR="001C4735" w:rsidRDefault="001C4735" w:rsidP="003B4F97">
      <w:pPr>
        <w:rPr>
          <w:rFonts w:ascii="VIC SemiBold" w:eastAsiaTheme="majorEastAsia" w:hAnsi="VIC SemiBold" w:cstheme="majorBidi"/>
          <w:color w:val="000000" w:themeColor="text1"/>
          <w:sz w:val="24"/>
          <w:szCs w:val="22"/>
          <w:lang w:val="en-GB"/>
        </w:rPr>
      </w:pPr>
      <w:r>
        <w:br w:type="page"/>
      </w:r>
    </w:p>
    <w:p w14:paraId="509BE218" w14:textId="0B7E969B" w:rsidR="009D7733" w:rsidRDefault="009D7733" w:rsidP="003B4F97">
      <w:pPr>
        <w:pStyle w:val="Heading2"/>
      </w:pPr>
      <w:r>
        <w:t>Definition</w:t>
      </w:r>
      <w:r w:rsidR="00315DA6">
        <w:t>s and data source</w:t>
      </w:r>
    </w:p>
    <w:p w14:paraId="096DAE83" w14:textId="588DB335" w:rsidR="00021968" w:rsidRDefault="000A38D8" w:rsidP="003B4F97">
      <w:r>
        <w:t xml:space="preserve">The percentage of women who were reported as </w:t>
      </w:r>
      <w:r w:rsidR="00B5448B">
        <w:t>not</w:t>
      </w:r>
      <w:r>
        <w:t xml:space="preserve"> smoking after 20 weeks’ gestation among those who were reported as having smoked before 20 weeks. Women who were reported as not smoking before 20 weeks and women whose smoking status before 20 weeks was missing are excluded from the denominator. Women whose smoking status at 20 or more weeks was not reported are included in the denominator. </w:t>
      </w:r>
    </w:p>
    <w:p w14:paraId="44FC18E3" w14:textId="4A37690A" w:rsidR="000A38D8" w:rsidRDefault="00221563" w:rsidP="003B4F97">
      <w:r>
        <w:t xml:space="preserve">Services </w:t>
      </w:r>
      <w:r w:rsidR="6FED04CE">
        <w:t>with less than 10 women who reported as having smoked before 20 weeks’ gestation</w:t>
      </w:r>
      <w:r w:rsidR="0EDE9020">
        <w:t xml:space="preserve"> are excluded from public reporting</w:t>
      </w:r>
      <w:r w:rsidR="3C8AB04C">
        <w:t xml:space="preserve">. </w:t>
      </w:r>
      <w:r w:rsidR="00683498">
        <w:t xml:space="preserve">Services with </w:t>
      </w:r>
      <w:r w:rsidR="13D529F4">
        <w:t xml:space="preserve">10 or more women who reported as having smoked before 20 weeks’ gestation </w:t>
      </w:r>
      <w:r w:rsidR="00683498">
        <w:t xml:space="preserve">are only included if they </w:t>
      </w:r>
      <w:r w:rsidR="00CD2E5E">
        <w:t xml:space="preserve">are missing less than 20 per cent of data </w:t>
      </w:r>
      <w:r w:rsidR="2F02F255">
        <w:t>about</w:t>
      </w:r>
      <w:r w:rsidR="00021968">
        <w:t xml:space="preserve"> smoking in the second half of pregnancy.</w:t>
      </w:r>
      <w:r w:rsidR="00683498">
        <w:t xml:space="preserve">  </w:t>
      </w:r>
      <w:r w:rsidR="00961C60">
        <w:t>Missing data in individual services ranged from zero to 75 per cent.</w:t>
      </w:r>
    </w:p>
    <w:p w14:paraId="1653A119" w14:textId="77777777" w:rsidR="000A38D8" w:rsidRDefault="000A38D8" w:rsidP="00A60C18">
      <w:pPr>
        <w:pStyle w:val="Heading4"/>
      </w:pPr>
      <w:r>
        <w:t>Data source: Victorian Perinatal Data Collection</w:t>
      </w:r>
    </w:p>
    <w:p w14:paraId="2157ED63" w14:textId="35EEE472" w:rsidR="000A38D8" w:rsidRDefault="000A38D8" w:rsidP="003B4F97">
      <w:pPr>
        <w:pStyle w:val="Normalfollowingheading"/>
      </w:pPr>
      <w:r>
        <w:t xml:space="preserve">Data for this indicator is sourced from the VPDC for the calendar year from 1 January 2019 to </w:t>
      </w:r>
      <w:r w:rsidR="00873353">
        <w:br/>
      </w:r>
      <w:r>
        <w:t>31 December 2019.</w:t>
      </w:r>
    </w:p>
    <w:p w14:paraId="453AB65F" w14:textId="77777777" w:rsidR="000A38D8" w:rsidRDefault="000A38D8" w:rsidP="003B4F97">
      <w:r>
        <w:t>This indicator is derived using the following VPDC variables: ‘maternal smoking at less than 20 weeks’ and ‘maternal smoking at more than or equal to 20 weeks’.</w:t>
      </w:r>
    </w:p>
    <w:p w14:paraId="78733852" w14:textId="77777777" w:rsidR="000A38D8" w:rsidRDefault="000A38D8" w:rsidP="003B4F97">
      <w:pPr>
        <w:pStyle w:val="Tablechartdiagramheading"/>
      </w:pPr>
      <w:r>
        <w:t>Numerator/denominator</w:t>
      </w:r>
    </w:p>
    <w:tbl>
      <w:tblPr>
        <w:tblStyle w:val="TableGrid"/>
        <w:tblW w:w="0" w:type="auto"/>
        <w:tblLook w:val="04A0" w:firstRow="1" w:lastRow="0" w:firstColumn="1" w:lastColumn="0" w:noHBand="0" w:noVBand="1"/>
      </w:tblPr>
      <w:tblGrid>
        <w:gridCol w:w="3401"/>
        <w:gridCol w:w="3401"/>
        <w:gridCol w:w="3402"/>
      </w:tblGrid>
      <w:tr w:rsidR="000A38D8" w14:paraId="4648227E" w14:textId="77777777" w:rsidTr="007E7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77448B83" w14:textId="77777777" w:rsidR="000A38D8" w:rsidRDefault="000A38D8" w:rsidP="003B4F97">
            <w:pPr>
              <w:rPr>
                <w:lang w:val="en-GB" w:eastAsia="en-AU"/>
              </w:rPr>
            </w:pPr>
            <w:r>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BA905D2" w14:textId="77777777" w:rsidR="000A38D8" w:rsidRDefault="000A38D8" w:rsidP="003B4F97">
            <w:pPr>
              <w:cnfStyle w:val="100000000000" w:firstRow="1" w:lastRow="0" w:firstColumn="0" w:lastColumn="0" w:oddVBand="0" w:evenVBand="0" w:oddHBand="0" w:evenHBand="0" w:firstRowFirstColumn="0" w:firstRowLastColumn="0" w:lastRowFirstColumn="0" w:lastRowLastColumn="0"/>
              <w:rPr>
                <w:lang w:val="en-GB" w:eastAsia="en-AU"/>
              </w:rPr>
            </w:pPr>
            <w:r>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3E510C0D" w14:textId="77777777" w:rsidR="000A38D8" w:rsidRDefault="000A38D8" w:rsidP="003B4F97">
            <w:pPr>
              <w:cnfStyle w:val="100000000000" w:firstRow="1" w:lastRow="0" w:firstColumn="0" w:lastColumn="0" w:oddVBand="0" w:evenVBand="0" w:oddHBand="0" w:evenHBand="0" w:firstRowFirstColumn="0" w:firstRowLastColumn="0" w:lastRowFirstColumn="0" w:lastRowLastColumn="0"/>
              <w:rPr>
                <w:lang w:val="en-GB" w:eastAsia="en-AU"/>
              </w:rPr>
            </w:pPr>
            <w:r>
              <w:t>Denominator</w:t>
            </w:r>
          </w:p>
        </w:tc>
      </w:tr>
      <w:tr w:rsidR="000A38D8" w14:paraId="4AAB3772" w14:textId="77777777" w:rsidTr="007E73B3">
        <w:tc>
          <w:tcPr>
            <w:cnfStyle w:val="001000000000" w:firstRow="0" w:lastRow="0" w:firstColumn="1" w:lastColumn="0" w:oddVBand="0" w:evenVBand="0" w:oddHBand="0" w:evenHBand="0" w:firstRowFirstColumn="0" w:firstRowLastColumn="0" w:lastRowFirstColumn="0" w:lastRowLastColumn="0"/>
            <w:tcW w:w="3401" w:type="dxa"/>
          </w:tcPr>
          <w:p w14:paraId="58601875" w14:textId="77777777" w:rsidR="000A38D8" w:rsidRDefault="000A38D8" w:rsidP="003B4F97">
            <w:pPr>
              <w:rPr>
                <w:lang w:val="en-GB" w:eastAsia="en-AU"/>
              </w:rPr>
            </w:pPr>
            <w:r>
              <w:t>Indicator 7: Rate of smoking cessation during pregnancy</w:t>
            </w:r>
          </w:p>
        </w:tc>
        <w:tc>
          <w:tcPr>
            <w:tcW w:w="3401" w:type="dxa"/>
          </w:tcPr>
          <w:p w14:paraId="799734CA" w14:textId="77777777" w:rsidR="000A38D8" w:rsidRDefault="000A38D8"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women who were reported as having stopped smoking after 20 weeks’ gestation among those who smoked before 20 weeks</w:t>
            </w:r>
          </w:p>
        </w:tc>
        <w:tc>
          <w:tcPr>
            <w:tcW w:w="3402" w:type="dxa"/>
          </w:tcPr>
          <w:p w14:paraId="38D125FD" w14:textId="77777777" w:rsidR="000A38D8" w:rsidRDefault="000A38D8"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women who smoked before 20 weeks’ gestation</w:t>
            </w:r>
          </w:p>
        </w:tc>
      </w:tr>
    </w:tbl>
    <w:p w14:paraId="1E73531C" w14:textId="5B976BA1" w:rsidR="00D15E6B" w:rsidRDefault="00D15E6B" w:rsidP="003B4F97">
      <w:r>
        <w:br w:type="page"/>
      </w:r>
    </w:p>
    <w:p w14:paraId="6BBD4FA1" w14:textId="3AFD617D" w:rsidR="00F80FA2" w:rsidRDefault="00F80FA2" w:rsidP="00A60C18">
      <w:pPr>
        <w:pStyle w:val="Heading1"/>
        <w:framePr w:wrap="around"/>
      </w:pPr>
      <w:bookmarkStart w:id="13" w:name="_Toc71710123"/>
      <w:r>
        <w:t>10: Low Apgar score</w:t>
      </w:r>
      <w:bookmarkEnd w:id="13"/>
    </w:p>
    <w:p w14:paraId="13065931" w14:textId="3AA07597" w:rsidR="001C4735" w:rsidRDefault="001C4735" w:rsidP="003B4F97">
      <w:pPr>
        <w:pStyle w:val="IntroductoryText"/>
      </w:pPr>
      <w:r>
        <w:t xml:space="preserve">We expect babies who are born at 37 or more weeks’ gestation and without congenital anomalies to show a </w:t>
      </w:r>
      <w:r w:rsidRPr="001C4735">
        <w:t>healthy</w:t>
      </w:r>
      <w:r>
        <w:t xml:space="preserve"> physiological adaption to birth (be born in a healthy state) and not require significant resuscitation or immediate medical care.</w:t>
      </w:r>
    </w:p>
    <w:p w14:paraId="3630B2F3" w14:textId="77777777" w:rsidR="000A38D8" w:rsidRDefault="000A38D8" w:rsidP="003B4F97">
      <w:r>
        <w:t>The Apgar score is an assessment of a newborn’s wellbeing at birth based on five physiological attributes. This is recorded at one and five minutes (and longer if applicable). The five attributes are colour (circulation), breathing, heart rate, muscle tone and reflexes.</w:t>
      </w:r>
    </w:p>
    <w:p w14:paraId="054DDDC9" w14:textId="77777777" w:rsidR="000A38D8" w:rsidRDefault="000A38D8" w:rsidP="003B4F97">
      <w:r>
        <w:t>Each attribute is given a score of 0, 1 or 2, with a total minimum score of 0 (indicating no or greatly diminished signs of life) and a maximum score of 10 (indicating optimal outcome). An Apgar score below 7 at five minutes indicates a baby who requires ongoing resuscitation measures or additional care. This may be due to avoidable factors during labour, birth or resuscitation.</w:t>
      </w:r>
    </w:p>
    <w:p w14:paraId="1BF14C0A" w14:textId="01385DEB" w:rsidR="000A38D8" w:rsidRDefault="000A38D8" w:rsidP="003B4F97">
      <w:pPr>
        <w:pStyle w:val="Heading2"/>
      </w:pPr>
      <w:r>
        <w:t>About this indicator</w:t>
      </w:r>
    </w:p>
    <w:p w14:paraId="6A77C18E" w14:textId="6E59BAA4" w:rsidR="000A38D8" w:rsidRDefault="000A38D8" w:rsidP="003B4F97">
      <w:pPr>
        <w:pStyle w:val="Normalfollowingheading"/>
      </w:pPr>
      <w:r w:rsidRPr="000A38D8">
        <w:t>This indicator measures the wellbeing of babies who are born in hospital or as planned home births at 37 or more weeks’ gestation and without congenital anomalies at birth. It is used as a proxy for the quality of care during labour and birth and neonatal resuscitation, where necessary, following birth. The Apgar score is a validated measure of adverse long-term outcomes. This is potentially an important indicator for longer</w:t>
      </w:r>
      <w:r w:rsidR="00873353">
        <w:t>-</w:t>
      </w:r>
      <w:r w:rsidRPr="000A38D8">
        <w:t>term infant outcomes.</w:t>
      </w:r>
    </w:p>
    <w:p w14:paraId="667493CD" w14:textId="60AD9988" w:rsidR="000A38D8" w:rsidRDefault="000A38D8" w:rsidP="003B4F97">
      <w:pPr>
        <w:pStyle w:val="Heading2"/>
      </w:pPr>
      <w:r>
        <w:t>Observatons on the data</w:t>
      </w:r>
    </w:p>
    <w:p w14:paraId="3CA5B400" w14:textId="77777777" w:rsidR="001C4735" w:rsidRDefault="001C4735" w:rsidP="003B4F97">
      <w:pPr>
        <w:pStyle w:val="Normalfollowingheading"/>
      </w:pPr>
      <w:r>
        <w:t>In 2019 a five-minute Apgar score less than 7 was reported for 1.3 per cent of singleton, term babies across public and private hospitals combined. This was unchanged from the rate reported for 2018. The rate for private hospitals is slightly lower compared to public hospitals, however, the difference was statistically significant (1.0 per cent and 1.3 per cent, respectively; p&lt;0.001).</w:t>
      </w:r>
    </w:p>
    <w:p w14:paraId="3BF74110" w14:textId="3E3868E6" w:rsidR="001C4735" w:rsidRDefault="001C4735" w:rsidP="003B4F97">
      <w:r>
        <w:t>The rate varied between individual hospitals, from 0 per cent to 3.4 per cent (</w:t>
      </w:r>
      <w:r w:rsidRPr="00F801EF">
        <w:rPr>
          <w:b/>
        </w:rPr>
        <w:t>Figure 24</w:t>
      </w:r>
      <w:r>
        <w:t>); however, overall rates continued to remain stable over time (</w:t>
      </w:r>
      <w:r w:rsidRPr="00F801EF">
        <w:rPr>
          <w:b/>
        </w:rPr>
        <w:t xml:space="preserve">Table </w:t>
      </w:r>
      <w:r w:rsidR="00061B4C" w:rsidRPr="00F801EF">
        <w:rPr>
          <w:b/>
          <w:bCs/>
        </w:rPr>
        <w:t>1</w:t>
      </w:r>
      <w:r w:rsidR="00061B4C">
        <w:rPr>
          <w:b/>
          <w:bCs/>
        </w:rPr>
        <w:t>1</w:t>
      </w:r>
      <w:r>
        <w:t>).</w:t>
      </w:r>
    </w:p>
    <w:p w14:paraId="78E4F946" w14:textId="77777777" w:rsidR="001C4735" w:rsidRDefault="001C4735" w:rsidP="003B4F97">
      <w:pPr>
        <w:rPr>
          <w:rFonts w:ascii="VIC SemiBold" w:hAnsi="VIC SemiBold"/>
          <w:color w:val="007586" w:themeColor="text2"/>
          <w:spacing w:val="2"/>
          <w:szCs w:val="18"/>
          <w:lang w:val="en-GB" w:eastAsia="en-AU"/>
        </w:rPr>
      </w:pPr>
      <w:r>
        <w:br w:type="page"/>
      </w:r>
    </w:p>
    <w:p w14:paraId="1CB83E9A" w14:textId="18D22E58" w:rsidR="00D15E6B" w:rsidRPr="001C4735" w:rsidRDefault="00F80FA2" w:rsidP="003B4F97">
      <w:pPr>
        <w:pStyle w:val="Tablechartdiagramheading"/>
      </w:pPr>
      <w:r>
        <w:t xml:space="preserve">Figure 24. Indicator 10: Rate of term inborn babies without congenital anomalies with an Apgar score </w:t>
      </w:r>
      <w:r w:rsidR="00A05477">
        <w:br/>
      </w:r>
      <w:r>
        <w:t>&lt; 7 at five minutes, 2019</w:t>
      </w:r>
    </w:p>
    <w:p w14:paraId="2E25B61C" w14:textId="5336C558" w:rsidR="001C4735" w:rsidRDefault="000014DE" w:rsidP="003B4F97">
      <w:r w:rsidRPr="001C4735">
        <mc:AlternateContent>
          <mc:Choice Requires="wps">
            <w:drawing>
              <wp:anchor distT="0" distB="0" distL="114300" distR="114300" simplePos="0" relativeHeight="251658263" behindDoc="0" locked="0" layoutInCell="1" allowOverlap="1" wp14:anchorId="4BA96DC2" wp14:editId="4C71E2F4">
                <wp:simplePos x="0" y="0"/>
                <wp:positionH relativeFrom="column">
                  <wp:posOffset>3918585</wp:posOffset>
                </wp:positionH>
                <wp:positionV relativeFrom="paragraph">
                  <wp:posOffset>128270</wp:posOffset>
                </wp:positionV>
                <wp:extent cx="2503805" cy="6947535"/>
                <wp:effectExtent l="0" t="0" r="0" b="5715"/>
                <wp:wrapNone/>
                <wp:docPr id="70" name="Rectangle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503805" cy="6947535"/>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6D254" id="Rectangle 70" o:spid="_x0000_s1026" style="position:absolute;margin-left:308.55pt;margin-top:10.1pt;width:197.15pt;height:547.0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O5cpgIAAKkFAAAOAAAAZHJzL2Uyb0RvYy54bWysVMFu2zAMvQ/YPwi6r7bTpG2COEXQIsOA&#10;og3aDj0rshQbkEVNUuJkXz9Kctyu7WlYDoooko/kM8n59aFVZC+sa0CXtDjLKRGaQ9XobUl/Pq++&#10;XVHiPNMVU6BFSY/C0evF1y/zzszECGpQlbAEQbSbdaaktfdmlmWO16Jl7gyM0KiUYFvmUbTbrLKs&#10;Q/RWZaM8v8g6sJWxwIVz+HqblHQR8aUU3D9I6YQnqqSYm4+njecmnNlizmZby0zd8D4N9g9ZtKzR&#10;GHSAumWekZ1tPkC1DbfgQPozDm0GUjZcxBqwmiJ/V81TzYyItSA5zgw0uf8Hy+/3a0uaqqSXSI9m&#10;LX6jR2SN6a0SBN+QoM64Gdo9mbXtJYfXUO1B2jb8Yx3kEEk9DqSKgyccH0eT/Pwqn1DCUXcxHV9O&#10;zicBNXt1N9b57wJaEi4ltRg/ksn2d84n05NJiOZANdWqUSoKdru5UZbsGX7h1SrHX/JVpmbptciL&#10;6UUf0iXzGP4vHKUDmoaAm0KGlyzUnqqNN39UItgp/Sgk0hbqi+Fiw4ohEca50L5IqppVImUyiekl&#10;+MEj5hIBA7LE+AN2DxCG4SN2guntg6uI/T44Jx6GMCmDU2LJefCIkUH7wbltNNjPKlNYVR852Z9I&#10;StQEljZQHbGpLKRpc4avGvywd8z5NbM4XthpuDL8Ax5SQVdS6G+U1GB/f/Ye7LHrUUtJh+NaUvdr&#10;x6ygRP3QOA/TYjwO8x2F8eRyhIJ9q9m81ehdewPYLwUuJ8PjNdh7dbpKC+0LbpZliIoqpjnGLin3&#10;9iTc+LRGcDdxsVxGM5xpw/ydfjI8gAdWQ+M+H16YNX13exyMeziNNpu9a/JkGzw1LHceZBMn4JXX&#10;nm/cB7Fx+t0VFs5bOVq9btjFHwAAAP//AwBQSwMEFAAGAAgAAAAhAOgSC5/eAAAADAEAAA8AAABk&#10;cnMvZG93bnJldi54bWxMj8FOwzAMhu9IvENkJG4sSUEFdU0nBIJd2UDTjllj2kLjVEm2tm9PdmK3&#10;3/Kn35/L1WR7dkIfOkcK5EIAQ6qd6ahR8PX5dvcELERNRveOUMGMAVbV9VWpC+NG2uBpGxuWSigU&#10;WkEb41BwHuoWrQ4LNyCl3bfzVsc0+oYbr8dUbnueCZFzqztKF1o94EuL9e/2aBXU+7D72MT1609D&#10;83s+jju/njOlbm+m5yWwiFP8h+Gsn9ShSk4HdyQTWK8gl48yoQoykQE7A0LKB2CHlFK4B16V/PKJ&#10;6g8AAP//AwBQSwECLQAUAAYACAAAACEAtoM4kv4AAADhAQAAEwAAAAAAAAAAAAAAAAAAAAAAW0Nv&#10;bnRlbnRfVHlwZXNdLnhtbFBLAQItABQABgAIAAAAIQA4/SH/1gAAAJQBAAALAAAAAAAAAAAAAAAA&#10;AC8BAABfcmVscy8ucmVsc1BLAQItABQABgAIAAAAIQAkVO5cpgIAAKkFAAAOAAAAAAAAAAAAAAAA&#10;AC4CAABkcnMvZTJvRG9jLnhtbFBLAQItABQABgAIAAAAIQDoEguf3gAAAAwBAAAPAAAAAAAAAAAA&#10;AAAAAAAFAABkcnMvZG93bnJldi54bWxQSwUGAAAAAAQABADzAAAACwYAAAAA&#10;" fillcolor="red" stroked="f" strokeweight="2pt">
                <v:fill opacity="6682f"/>
              </v:rect>
            </w:pict>
          </mc:Fallback>
        </mc:AlternateContent>
      </w:r>
      <w:r w:rsidRPr="001C4735">
        <mc:AlternateContent>
          <mc:Choice Requires="wps">
            <w:drawing>
              <wp:anchor distT="0" distB="0" distL="114300" distR="114300" simplePos="0" relativeHeight="251658262" behindDoc="0" locked="0" layoutInCell="1" allowOverlap="1" wp14:anchorId="20F0B674" wp14:editId="481C9A0F">
                <wp:simplePos x="0" y="0"/>
                <wp:positionH relativeFrom="column">
                  <wp:posOffset>2111375</wp:posOffset>
                </wp:positionH>
                <wp:positionV relativeFrom="paragraph">
                  <wp:posOffset>128743</wp:posOffset>
                </wp:positionV>
                <wp:extent cx="878840" cy="6947535"/>
                <wp:effectExtent l="0" t="0" r="0" b="5715"/>
                <wp:wrapNone/>
                <wp:docPr id="69" name="Rectangle 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8840" cy="6947535"/>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B89AE9" id="Rectangle 69" o:spid="_x0000_s1026" style="position:absolute;margin-left:166.25pt;margin-top:10.15pt;width:69.2pt;height:547.0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9DdqAIAAKgFAAAOAAAAZHJzL2Uyb0RvYy54bWysVMFu2zAMvQ/YPwi6r7azJE2COkXQosOA&#10;oivaDj0rshQbkEVNUuJkXz9Kst2u6y7DclBEkXwkn0leXB5bRQ7CugZ0SYuznBKhOVSN3pX0+9PN&#10;pwUlzjNdMQValPQkHL1cf/xw0ZmVmEANqhKWIIh2q86UtPberLLM8Vq0zJ2BERqVEmzLPIp2l1WW&#10;dYjeqmyS5/OsA1sZC1w4h6/XSUnXEV9Kwf03KZ3wRJUUc/PxtPHchjNbX7DVzjJTN7xPg/1DFi1r&#10;NAYdoa6ZZ2Rvmz+g2oZbcCD9GYc2AykbLmINWE2Rv6nmsWZGxFqQHGdGmtz/g+V3h3tLmqqk8yUl&#10;mrX4jR6QNaZ3ShB8Q4I641Zo92jubS85vIZqj9K24R/rIMdI6mkkVRw94fi4OF8spkg9R9V8OT2f&#10;fZ4F0OzF21jnvwhoSbiU1GL4yCU73DqfTAeTEMyBaqqbRqko2N32SllyYPiBl5PrfJYnX2Vqll6L&#10;vFjO+5Aumcfwv+EoHdA0BNwUMrxkofRUbLz5kxLBTukHIZE1LG8Sw8V+FWMijHOhfZFUNatEymSW&#10;42/IJHR48Ii5RMCALDH+iN0DDJYJZMBOWfb2wVXEdh+dEw9/SSw5jx4xMmg/OreNBvteZQqr6iMn&#10;+4GkRE1gaQvVCXvKQho2Z/hNgx/2ljl/zyxOFzYDbgz/DQ+poCsp9DdKarA/33sP9tj0qKWkw2kt&#10;qfuxZ1ZQor5qHIdlMQ095qMwnZ1PULCvNdvXGr1vrwD7pcDdZHi8Bnuvhqu00D7jYtmEqKhimmPs&#10;knJvB+HKpy2Cq4mLzSaa4Ugb5m/1o+EBPLAaGvfp+Mys6bvb41zcwTDZbPWmyZNt8NSw2XuQTZyA&#10;F157vnEdxMbpV1fYN6/laPWyYNe/AAAA//8DAFBLAwQUAAYACAAAACEAwbiln+EAAAALAQAADwAA&#10;AGRycy9kb3ducmV2LnhtbEyPy07DMBBF90j8gzVI7KidF9AQp0IgIlWwgMIHuMmQpMTjELtt+vcM&#10;K1iO7tG9Z4rVbAdxwMn3jjRECwUCqXZNT62Gj/enq1sQPhhqzOAINZzQw6o8PytM3rgjveFhE1rB&#10;JeRzo6ELYcyl9HWH1viFG5E4+3STNYHPqZXNZI5cbgcZK3UtremJFzoz4kOH9ddmbzWkL487J8ds&#10;l7V2Wb1+P69PVbXW+vJivr8DEXAOfzD86rM6lOy0dXtqvBg0JEmcMaohVgkIBtIbtQSxZTKK0hRk&#10;Wcj/P5Q/AAAA//8DAFBLAQItABQABgAIAAAAIQC2gziS/gAAAOEBAAATAAAAAAAAAAAAAAAAAAAA&#10;AABbQ29udGVudF9UeXBlc10ueG1sUEsBAi0AFAAGAAgAAAAhADj9If/WAAAAlAEAAAsAAAAAAAAA&#10;AAAAAAAALwEAAF9yZWxzLy5yZWxzUEsBAi0AFAAGAAgAAAAhAMrP0N2oAgAAqAUAAA4AAAAAAAAA&#10;AAAAAAAALgIAAGRycy9lMm9Eb2MueG1sUEsBAi0AFAAGAAgAAAAhAMG4pZ/hAAAACwEAAA8AAAAA&#10;AAAAAAAAAAAAAgUAAGRycy9kb3ducmV2LnhtbFBLBQYAAAAABAAEAPMAAAAQBgAAAAA=&#10;" fillcolor="#92d050" stroked="f" strokeweight="2pt">
                <v:fill opacity="6682f"/>
              </v:rect>
            </w:pict>
          </mc:Fallback>
        </mc:AlternateContent>
      </w:r>
      <w:r w:rsidR="00F80FA2">
        <w:drawing>
          <wp:inline distT="0" distB="0" distL="0" distR="0" wp14:anchorId="18FCAFBC" wp14:editId="5FFAE6CA">
            <wp:extent cx="6480000" cy="7200000"/>
            <wp:effectExtent l="0" t="0" r="0" b="1270"/>
            <wp:docPr id="11" name="Chart 11" descr="This bar graph shows the rates at each hospital and statewide of term babies without congenital anomalies who had an Apgar score lower than seven at five minutes after birth. A similar proportion of public and private hospitals had rates that fell into the least favourable 25% of hospitals.">
              <a:extLst xmlns:a="http://schemas.openxmlformats.org/drawingml/2006/main">
                <a:ext uri="{FF2B5EF4-FFF2-40B4-BE49-F238E27FC236}">
                  <a16:creationId xmlns:a16="http://schemas.microsoft.com/office/drawing/2014/main" id="{2F2D3A2F-8CDC-48B0-9F32-A3C5EEA7F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001C4735">
        <w:br w:type="page"/>
      </w:r>
    </w:p>
    <w:p w14:paraId="4B460EF1" w14:textId="033BF4A9" w:rsidR="00F80FA2" w:rsidRPr="005036AA" w:rsidRDefault="00F80FA2" w:rsidP="003B4F97">
      <w:pPr>
        <w:pStyle w:val="Tablechartdiagramheading"/>
      </w:pPr>
      <w:r w:rsidRPr="009C58E7">
        <w:t xml:space="preserve">Figure </w:t>
      </w:r>
      <w:r w:rsidRPr="00994C5C">
        <w:t>2</w:t>
      </w:r>
      <w:r>
        <w:t>5</w:t>
      </w:r>
      <w:r w:rsidRPr="00994C5C">
        <w:t xml:space="preserve">. Funnel plot of </w:t>
      </w:r>
      <w:r>
        <w:t>the rate of term babies without congenital anomalies with an Apgar score &lt; 7 at five minutes</w:t>
      </w:r>
      <w:r w:rsidRPr="00994C5C">
        <w:t>, 201</w:t>
      </w:r>
      <w:r>
        <w:t>9</w:t>
      </w:r>
    </w:p>
    <w:p w14:paraId="0A6523EC" w14:textId="6BC4AC59" w:rsidR="00F80FA2" w:rsidRDefault="00F80FA2" w:rsidP="003B4F97">
      <w:r>
        <w:drawing>
          <wp:inline distT="0" distB="0" distL="0" distR="0" wp14:anchorId="08EF7BC0" wp14:editId="48488D17">
            <wp:extent cx="5267154" cy="3780000"/>
            <wp:effectExtent l="0" t="0" r="0" b="0"/>
            <wp:docPr id="42" name="Picture 42" descr="This funnel plot shows the distribution of rates of term babies without congenital anomalies who had Apgar scores lower than seven at five minutes after birth. A number of public hospitals had rates that were statistically significantly high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funnel plot shows the distribution of rates of term babies without congenital anomalies who had Apgar scores lower than seven at five minutes after birth. A number of public hospitals had rates that were statistically significantly higher than average."/>
                    <pic:cNvPicPr/>
                  </pic:nvPicPr>
                  <pic:blipFill rotWithShape="1">
                    <a:blip r:embed="rId47">
                      <a:extLst>
                        <a:ext uri="{28A0092B-C50C-407E-A947-70E740481C1C}">
                          <a14:useLocalDpi xmlns:a14="http://schemas.microsoft.com/office/drawing/2010/main" val="0"/>
                        </a:ext>
                      </a:extLst>
                    </a:blip>
                    <a:srcRect t="4562"/>
                    <a:stretch/>
                  </pic:blipFill>
                  <pic:spPr bwMode="auto">
                    <a:xfrm>
                      <a:off x="0" y="0"/>
                      <a:ext cx="5267154" cy="3780000"/>
                    </a:xfrm>
                    <a:prstGeom prst="rect">
                      <a:avLst/>
                    </a:prstGeom>
                    <a:ln>
                      <a:noFill/>
                    </a:ln>
                    <a:extLst>
                      <a:ext uri="{53640926-AAD7-44D8-BBD7-CCE9431645EC}">
                        <a14:shadowObscured xmlns:a14="http://schemas.microsoft.com/office/drawing/2010/main"/>
                      </a:ext>
                    </a:extLst>
                  </pic:spPr>
                </pic:pic>
              </a:graphicData>
            </a:graphic>
          </wp:inline>
        </w:drawing>
      </w:r>
    </w:p>
    <w:p w14:paraId="01258036"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0F9EBC0F" w14:textId="421116CC" w:rsidR="00F80FA2" w:rsidRDefault="00F80FA2" w:rsidP="003B4F97">
      <w:pPr>
        <w:pStyle w:val="Tablechartdiagramheading"/>
      </w:pPr>
      <w:r>
        <w:t xml:space="preserve">Table </w:t>
      </w:r>
      <w:r w:rsidR="00061B4C">
        <w:t>11</w:t>
      </w:r>
      <w:r w:rsidRPr="009E0007">
        <w:t>. Rate of term</w:t>
      </w:r>
      <w:r>
        <w:t xml:space="preserve"> inborn</w:t>
      </w:r>
      <w:r w:rsidRPr="009E0007">
        <w:t xml:space="preserve"> babies without congenital anomalies with an Apgar score &lt; 7 at five minutes</w:t>
      </w:r>
      <w:r>
        <w:t>, 2015</w:t>
      </w:r>
      <w:r w:rsidR="00794C0E">
        <w:t>–</w:t>
      </w:r>
      <w:r>
        <w:t>19</w:t>
      </w:r>
    </w:p>
    <w:tbl>
      <w:tblPr>
        <w:tblStyle w:val="TableGrid"/>
        <w:tblW w:w="0" w:type="auto"/>
        <w:tblLook w:val="04A0" w:firstRow="1" w:lastRow="0" w:firstColumn="1" w:lastColumn="0" w:noHBand="0" w:noVBand="1"/>
      </w:tblPr>
      <w:tblGrid>
        <w:gridCol w:w="1700"/>
        <w:gridCol w:w="1700"/>
        <w:gridCol w:w="1701"/>
        <w:gridCol w:w="1701"/>
        <w:gridCol w:w="1701"/>
        <w:gridCol w:w="1701"/>
      </w:tblGrid>
      <w:tr w:rsidR="002A3CE9" w14:paraId="0057B210" w14:textId="77777777" w:rsidTr="001C47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AA62597" w14:textId="77777777" w:rsidR="00B552FC" w:rsidRDefault="00B552FC" w:rsidP="003B4F97">
            <w:pPr>
              <w:rPr>
                <w:lang w:eastAsia="en-AU"/>
              </w:rPr>
            </w:pPr>
          </w:p>
        </w:tc>
        <w:tc>
          <w:tcPr>
            <w:tcW w:w="170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62FCF116" w14:textId="5407915C" w:rsidR="00B552FC" w:rsidRDefault="00B552FC" w:rsidP="003B4F97">
            <w:pPr>
              <w:cnfStyle w:val="100000000000" w:firstRow="1" w:lastRow="0" w:firstColumn="0" w:lastColumn="0" w:oddVBand="0" w:evenVBand="0" w:oddHBand="0" w:evenHBand="0" w:firstRowFirstColumn="0" w:firstRowLastColumn="0" w:lastRowFirstColumn="0" w:lastRowLastColumn="0"/>
              <w:rPr>
                <w:lang w:eastAsia="en-AU"/>
              </w:rPr>
            </w:pPr>
            <w:r w:rsidRPr="009E0007">
              <w:t>2015</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CB9D407" w14:textId="416052E2" w:rsidR="00B552FC" w:rsidRDefault="00B552FC" w:rsidP="003B4F97">
            <w:pPr>
              <w:cnfStyle w:val="100000000000" w:firstRow="1" w:lastRow="0" w:firstColumn="0" w:lastColumn="0" w:oddVBand="0" w:evenVBand="0" w:oddHBand="0" w:evenHBand="0" w:firstRowFirstColumn="0" w:firstRowLastColumn="0" w:lastRowFirstColumn="0" w:lastRowLastColumn="0"/>
              <w:rPr>
                <w:lang w:eastAsia="en-AU"/>
              </w:rPr>
            </w:pPr>
            <w:r w:rsidRPr="009E0007">
              <w:t>2016</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2007CDC3" w14:textId="2758877D" w:rsidR="00B552FC" w:rsidRDefault="00B552FC" w:rsidP="003B4F97">
            <w:pPr>
              <w:cnfStyle w:val="100000000000" w:firstRow="1" w:lastRow="0" w:firstColumn="0" w:lastColumn="0" w:oddVBand="0" w:evenVBand="0" w:oddHBand="0" w:evenHBand="0" w:firstRowFirstColumn="0" w:firstRowLastColumn="0" w:lastRowFirstColumn="0" w:lastRowLastColumn="0"/>
              <w:rPr>
                <w:lang w:eastAsia="en-AU"/>
              </w:rPr>
            </w:pPr>
            <w:r w:rsidRPr="009E0007">
              <w:t>2017</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666D74AD" w14:textId="0A5282A8" w:rsidR="00B552FC" w:rsidRDefault="00B552FC" w:rsidP="003B4F97">
            <w:pPr>
              <w:cnfStyle w:val="100000000000" w:firstRow="1" w:lastRow="0" w:firstColumn="0" w:lastColumn="0" w:oddVBand="0" w:evenVBand="0" w:oddHBand="0" w:evenHBand="0" w:firstRowFirstColumn="0" w:firstRowLastColumn="0" w:lastRowFirstColumn="0" w:lastRowLastColumn="0"/>
              <w:rPr>
                <w:lang w:eastAsia="en-AU"/>
              </w:rPr>
            </w:pPr>
            <w:r>
              <w:t>2018</w:t>
            </w:r>
          </w:p>
        </w:tc>
        <w:tc>
          <w:tcPr>
            <w:tcW w:w="17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1021EB97" w14:textId="1A6B1C02" w:rsidR="00B552FC" w:rsidRDefault="00B552FC" w:rsidP="003B4F97">
            <w:pPr>
              <w:cnfStyle w:val="100000000000" w:firstRow="1" w:lastRow="0" w:firstColumn="0" w:lastColumn="0" w:oddVBand="0" w:evenVBand="0" w:oddHBand="0" w:evenHBand="0" w:firstRowFirstColumn="0" w:firstRowLastColumn="0" w:lastRowFirstColumn="0" w:lastRowLastColumn="0"/>
              <w:rPr>
                <w:lang w:eastAsia="en-AU"/>
              </w:rPr>
            </w:pPr>
            <w:r>
              <w:t>2019</w:t>
            </w:r>
          </w:p>
        </w:tc>
      </w:tr>
      <w:tr w:rsidR="00B552FC" w14:paraId="2722E3C7" w14:textId="77777777" w:rsidTr="001C4735">
        <w:tc>
          <w:tcPr>
            <w:cnfStyle w:val="001000000000" w:firstRow="0" w:lastRow="0" w:firstColumn="1" w:lastColumn="0" w:oddVBand="0" w:evenVBand="0" w:oddHBand="0" w:evenHBand="0" w:firstRowFirstColumn="0" w:firstRowLastColumn="0" w:lastRowFirstColumn="0" w:lastRowLastColumn="0"/>
            <w:tcW w:w="1700" w:type="dxa"/>
            <w:vAlign w:val="center"/>
          </w:tcPr>
          <w:p w14:paraId="3F56B7C0" w14:textId="20A2F2FD" w:rsidR="00B552FC" w:rsidRDefault="00B552FC" w:rsidP="003B4F97">
            <w:pPr>
              <w:rPr>
                <w:lang w:eastAsia="en-AU"/>
              </w:rPr>
            </w:pPr>
            <w:r w:rsidRPr="009E0007">
              <w:t>Public</w:t>
            </w:r>
          </w:p>
        </w:tc>
        <w:tc>
          <w:tcPr>
            <w:tcW w:w="1700" w:type="dxa"/>
            <w:vAlign w:val="center"/>
          </w:tcPr>
          <w:p w14:paraId="7CD41378" w14:textId="26508A3C"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1.5%</w:t>
            </w:r>
          </w:p>
        </w:tc>
        <w:tc>
          <w:tcPr>
            <w:tcW w:w="1701" w:type="dxa"/>
            <w:vAlign w:val="center"/>
          </w:tcPr>
          <w:p w14:paraId="6EFBDF32" w14:textId="7AD3EDB8"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1.6%</w:t>
            </w:r>
          </w:p>
        </w:tc>
        <w:tc>
          <w:tcPr>
            <w:tcW w:w="1701" w:type="dxa"/>
            <w:vAlign w:val="center"/>
          </w:tcPr>
          <w:p w14:paraId="4FAE8410" w14:textId="2F53A873"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1.5%</w:t>
            </w:r>
          </w:p>
        </w:tc>
        <w:tc>
          <w:tcPr>
            <w:tcW w:w="1701" w:type="dxa"/>
            <w:vAlign w:val="center"/>
          </w:tcPr>
          <w:p w14:paraId="750D403D" w14:textId="37722051"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1.3%</w:t>
            </w:r>
          </w:p>
        </w:tc>
        <w:tc>
          <w:tcPr>
            <w:tcW w:w="1701" w:type="dxa"/>
            <w:tcBorders>
              <w:top w:val="single" w:sz="24" w:space="0" w:color="CCCCD0" w:themeColor="accent6"/>
            </w:tcBorders>
            <w:shd w:val="clear" w:color="auto" w:fill="D9D9D9" w:themeFill="background1" w:themeFillShade="D9"/>
            <w:vAlign w:val="center"/>
          </w:tcPr>
          <w:p w14:paraId="1866499E" w14:textId="304E836A"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1.3%</w:t>
            </w:r>
          </w:p>
        </w:tc>
      </w:tr>
      <w:tr w:rsidR="00B552FC" w14:paraId="4EB1F50B" w14:textId="77777777" w:rsidTr="001C4735">
        <w:tc>
          <w:tcPr>
            <w:cnfStyle w:val="001000000000" w:firstRow="0" w:lastRow="0" w:firstColumn="1" w:lastColumn="0" w:oddVBand="0" w:evenVBand="0" w:oddHBand="0" w:evenHBand="0" w:firstRowFirstColumn="0" w:firstRowLastColumn="0" w:lastRowFirstColumn="0" w:lastRowLastColumn="0"/>
            <w:tcW w:w="1700" w:type="dxa"/>
            <w:vAlign w:val="center"/>
          </w:tcPr>
          <w:p w14:paraId="008917AC" w14:textId="4F1457FE" w:rsidR="00B552FC" w:rsidRDefault="00B552FC" w:rsidP="003B4F97">
            <w:pPr>
              <w:rPr>
                <w:lang w:eastAsia="en-AU"/>
              </w:rPr>
            </w:pPr>
            <w:r w:rsidRPr="009E0007">
              <w:t>Private</w:t>
            </w:r>
          </w:p>
        </w:tc>
        <w:tc>
          <w:tcPr>
            <w:tcW w:w="1700" w:type="dxa"/>
            <w:vAlign w:val="center"/>
          </w:tcPr>
          <w:p w14:paraId="265DD4D0" w14:textId="5A8086FC"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0.9%</w:t>
            </w:r>
          </w:p>
        </w:tc>
        <w:tc>
          <w:tcPr>
            <w:tcW w:w="1701" w:type="dxa"/>
            <w:vAlign w:val="center"/>
          </w:tcPr>
          <w:p w14:paraId="78B9F34C" w14:textId="0FC757FA"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0.9%</w:t>
            </w:r>
          </w:p>
        </w:tc>
        <w:tc>
          <w:tcPr>
            <w:tcW w:w="1701" w:type="dxa"/>
            <w:vAlign w:val="center"/>
          </w:tcPr>
          <w:p w14:paraId="10B797BF" w14:textId="6D86D0E8"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1.0%</w:t>
            </w:r>
          </w:p>
        </w:tc>
        <w:tc>
          <w:tcPr>
            <w:tcW w:w="1701" w:type="dxa"/>
            <w:vAlign w:val="center"/>
          </w:tcPr>
          <w:p w14:paraId="6E453042" w14:textId="6809523C"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1.1%</w:t>
            </w:r>
          </w:p>
        </w:tc>
        <w:tc>
          <w:tcPr>
            <w:tcW w:w="1701" w:type="dxa"/>
            <w:shd w:val="clear" w:color="auto" w:fill="D9D9D9" w:themeFill="background1" w:themeFillShade="D9"/>
            <w:vAlign w:val="center"/>
          </w:tcPr>
          <w:p w14:paraId="6F5944D1" w14:textId="48A4AEAC"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1.0%</w:t>
            </w:r>
          </w:p>
        </w:tc>
      </w:tr>
      <w:tr w:rsidR="00B552FC" w14:paraId="390D9ACD" w14:textId="77777777" w:rsidTr="001C4735">
        <w:tc>
          <w:tcPr>
            <w:cnfStyle w:val="001000000000" w:firstRow="0" w:lastRow="0" w:firstColumn="1" w:lastColumn="0" w:oddVBand="0" w:evenVBand="0" w:oddHBand="0" w:evenHBand="0" w:firstRowFirstColumn="0" w:firstRowLastColumn="0" w:lastRowFirstColumn="0" w:lastRowLastColumn="0"/>
            <w:tcW w:w="1700" w:type="dxa"/>
            <w:vAlign w:val="center"/>
          </w:tcPr>
          <w:p w14:paraId="1C128F39" w14:textId="70CDE562" w:rsidR="00B552FC" w:rsidRDefault="00B552FC" w:rsidP="003B4F97">
            <w:pPr>
              <w:rPr>
                <w:lang w:eastAsia="en-AU"/>
              </w:rPr>
            </w:pPr>
            <w:r w:rsidRPr="009E0007">
              <w:t>Combined</w:t>
            </w:r>
          </w:p>
        </w:tc>
        <w:tc>
          <w:tcPr>
            <w:tcW w:w="1700" w:type="dxa"/>
            <w:vAlign w:val="center"/>
          </w:tcPr>
          <w:p w14:paraId="0F0D4A96" w14:textId="25E5C5D5"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NA</w:t>
            </w:r>
          </w:p>
        </w:tc>
        <w:tc>
          <w:tcPr>
            <w:tcW w:w="1701" w:type="dxa"/>
            <w:vAlign w:val="center"/>
          </w:tcPr>
          <w:p w14:paraId="0BF31DE8" w14:textId="7AE33F23"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1.4%</w:t>
            </w:r>
          </w:p>
        </w:tc>
        <w:tc>
          <w:tcPr>
            <w:tcW w:w="1701" w:type="dxa"/>
            <w:vAlign w:val="center"/>
          </w:tcPr>
          <w:p w14:paraId="08CF16B7" w14:textId="7AFA1BD8"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rsidRPr="009E0007">
              <w:t>1.3%</w:t>
            </w:r>
          </w:p>
        </w:tc>
        <w:tc>
          <w:tcPr>
            <w:tcW w:w="1701" w:type="dxa"/>
            <w:vAlign w:val="center"/>
          </w:tcPr>
          <w:p w14:paraId="0BA71E42" w14:textId="680B30AB"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1.3%</w:t>
            </w:r>
          </w:p>
        </w:tc>
        <w:tc>
          <w:tcPr>
            <w:tcW w:w="1701" w:type="dxa"/>
            <w:shd w:val="clear" w:color="auto" w:fill="D9D9D9" w:themeFill="background1" w:themeFillShade="D9"/>
            <w:vAlign w:val="center"/>
          </w:tcPr>
          <w:p w14:paraId="25409129" w14:textId="1056EC10" w:rsidR="00B552FC" w:rsidRDefault="00B552FC" w:rsidP="003B4F97">
            <w:pPr>
              <w:cnfStyle w:val="000000000000" w:firstRow="0" w:lastRow="0" w:firstColumn="0" w:lastColumn="0" w:oddVBand="0" w:evenVBand="0" w:oddHBand="0" w:evenHBand="0" w:firstRowFirstColumn="0" w:firstRowLastColumn="0" w:lastRowFirstColumn="0" w:lastRowLastColumn="0"/>
              <w:rPr>
                <w:lang w:eastAsia="en-AU"/>
              </w:rPr>
            </w:pPr>
            <w:r>
              <w:t>1.3%</w:t>
            </w:r>
          </w:p>
        </w:tc>
      </w:tr>
    </w:tbl>
    <w:p w14:paraId="54CE0267" w14:textId="77777777" w:rsidR="000A38D8" w:rsidRDefault="000A38D8" w:rsidP="003B4F97">
      <w:pPr>
        <w:rPr>
          <w:rFonts w:ascii="VIC SemiBold" w:eastAsiaTheme="majorEastAsia" w:hAnsi="VIC SemiBold" w:cstheme="majorBidi"/>
          <w:color w:val="007586" w:themeColor="text2"/>
          <w:sz w:val="24"/>
          <w:szCs w:val="26"/>
        </w:rPr>
      </w:pPr>
      <w:r>
        <w:br w:type="page"/>
      </w:r>
    </w:p>
    <w:p w14:paraId="7A737917" w14:textId="64049188" w:rsidR="001C4735" w:rsidRDefault="001C4735" w:rsidP="003B4F97">
      <w:pPr>
        <w:pStyle w:val="Heading2"/>
      </w:pPr>
      <w:r>
        <w:t>Definition</w:t>
      </w:r>
      <w:r w:rsidR="00315DA6">
        <w:t>s and data sources</w:t>
      </w:r>
    </w:p>
    <w:p w14:paraId="0AC640DE" w14:textId="6C03A65A" w:rsidR="000A38D8" w:rsidRDefault="000A38D8" w:rsidP="003B4F97">
      <w:pPr>
        <w:pStyle w:val="Normalfollowingheading"/>
      </w:pPr>
      <w:r>
        <w:t>The rate of term babies without congenital anomalies with an Apgar score of less than 7 at five minutes in Victorian hospitals.</w:t>
      </w:r>
    </w:p>
    <w:p w14:paraId="72B339EB" w14:textId="12901496" w:rsidR="000A38D8" w:rsidRDefault="000A38D8" w:rsidP="003B4F97">
      <w:r>
        <w:t>Excludes babies born at less than 37 weeks’ gestation, infants born with congenital anomalies, stillbirths and babies born before arrival at hospital.</w:t>
      </w:r>
    </w:p>
    <w:p w14:paraId="60C1F231" w14:textId="77777777" w:rsidR="000A38D8" w:rsidRDefault="000A38D8" w:rsidP="003B4F97">
      <w:r>
        <w:t>The Apgar score is used to evaluate the fitness of a newborn infant based on heart rate, respiration, muscle tone, reflexes and colour. The maximum or best score is 10. The Apgar score should be determined consistently and reliably according to best practice guidelines. Rates for this indicator should show little variation among peer-group services, and inter-rater reliability should be high within health services. This supports quality reporting of neonatal outcomes for meaningful comparisons.</w:t>
      </w:r>
    </w:p>
    <w:p w14:paraId="0B752B87" w14:textId="77777777" w:rsidR="000A38D8" w:rsidRDefault="000A38D8" w:rsidP="003B4F97">
      <w:r>
        <w:t>Inborn is defined as a baby born at the reporting hospital.</w:t>
      </w:r>
    </w:p>
    <w:p w14:paraId="291398D6" w14:textId="77777777" w:rsidR="000A38D8" w:rsidRDefault="000A38D8" w:rsidP="00A60C18">
      <w:pPr>
        <w:pStyle w:val="Heading4"/>
      </w:pPr>
      <w:r>
        <w:t>Data source: Victorian Perinatal Data Collection</w:t>
      </w:r>
    </w:p>
    <w:p w14:paraId="6FDB0575" w14:textId="77777777" w:rsidR="000A38D8" w:rsidRDefault="000A38D8" w:rsidP="003B4F97">
      <w:pPr>
        <w:pStyle w:val="Normalfollowingheading"/>
      </w:pPr>
      <w:r>
        <w:t>Data for this indicator is sourced from the VPDC for the calendar year from 1 January 2019 to 31 December 2019.</w:t>
      </w:r>
    </w:p>
    <w:p w14:paraId="406D50CA" w14:textId="77777777" w:rsidR="000A38D8" w:rsidRDefault="000A38D8" w:rsidP="003B4F97">
      <w:r>
        <w:t>This indicator is derived using the following VPDC variables: ‘Apgar score at 5 minutes’, ‘estimated gestational age’, ‘birth status’, ‘setting of birth actual’ and ‘congenital anomalies indicator’.</w:t>
      </w:r>
    </w:p>
    <w:p w14:paraId="3CC135D1" w14:textId="7E3F1563" w:rsidR="000A38D8" w:rsidRDefault="000A38D8" w:rsidP="003B4F97">
      <w:pPr>
        <w:pStyle w:val="Tablechartdiagramheading"/>
      </w:pPr>
      <w:r>
        <w:t>Numerator/denominator</w:t>
      </w:r>
    </w:p>
    <w:tbl>
      <w:tblPr>
        <w:tblStyle w:val="TableGrid"/>
        <w:tblW w:w="0" w:type="auto"/>
        <w:tblLook w:val="04A0" w:firstRow="1" w:lastRow="0" w:firstColumn="1" w:lastColumn="0" w:noHBand="0" w:noVBand="1"/>
      </w:tblPr>
      <w:tblGrid>
        <w:gridCol w:w="3401"/>
        <w:gridCol w:w="3401"/>
        <w:gridCol w:w="3402"/>
      </w:tblGrid>
      <w:tr w:rsidR="000A38D8" w14:paraId="44A2E7BA" w14:textId="77777777" w:rsidTr="000A38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222D0680" w14:textId="30070A11" w:rsidR="000A38D8" w:rsidRDefault="000A38D8" w:rsidP="003B4F97">
            <w:pPr>
              <w:rPr>
                <w:lang w:val="en-GB" w:eastAsia="en-AU"/>
              </w:rPr>
            </w:pPr>
            <w:r>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345F312C" w14:textId="0F0F0EB6" w:rsidR="000A38D8" w:rsidRDefault="000A38D8" w:rsidP="003B4F97">
            <w:pPr>
              <w:cnfStyle w:val="100000000000" w:firstRow="1" w:lastRow="0" w:firstColumn="0" w:lastColumn="0" w:oddVBand="0" w:evenVBand="0" w:oddHBand="0" w:evenHBand="0" w:firstRowFirstColumn="0" w:firstRowLastColumn="0" w:lastRowFirstColumn="0" w:lastRowLastColumn="0"/>
              <w:rPr>
                <w:lang w:val="en-GB" w:eastAsia="en-AU"/>
              </w:rPr>
            </w:pPr>
            <w:r>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2EE2233" w14:textId="79A6264F" w:rsidR="000A38D8" w:rsidRDefault="000A38D8" w:rsidP="003B4F97">
            <w:pPr>
              <w:cnfStyle w:val="100000000000" w:firstRow="1" w:lastRow="0" w:firstColumn="0" w:lastColumn="0" w:oddVBand="0" w:evenVBand="0" w:oddHBand="0" w:evenHBand="0" w:firstRowFirstColumn="0" w:firstRowLastColumn="0" w:lastRowFirstColumn="0" w:lastRowLastColumn="0"/>
              <w:rPr>
                <w:lang w:val="en-GB" w:eastAsia="en-AU"/>
              </w:rPr>
            </w:pPr>
            <w:r>
              <w:t>Denominator</w:t>
            </w:r>
          </w:p>
        </w:tc>
      </w:tr>
      <w:tr w:rsidR="000A38D8" w14:paraId="07E13C16" w14:textId="77777777" w:rsidTr="000A38D8">
        <w:tc>
          <w:tcPr>
            <w:cnfStyle w:val="001000000000" w:firstRow="0" w:lastRow="0" w:firstColumn="1" w:lastColumn="0" w:oddVBand="0" w:evenVBand="0" w:oddHBand="0" w:evenHBand="0" w:firstRowFirstColumn="0" w:firstRowLastColumn="0" w:lastRowFirstColumn="0" w:lastRowLastColumn="0"/>
            <w:tcW w:w="3401" w:type="dxa"/>
          </w:tcPr>
          <w:p w14:paraId="38A0A54F" w14:textId="5484A176" w:rsidR="000A38D8" w:rsidRDefault="000A38D8" w:rsidP="003B4F97">
            <w:pPr>
              <w:rPr>
                <w:lang w:val="en-GB" w:eastAsia="en-AU"/>
              </w:rPr>
            </w:pPr>
            <w:r>
              <w:t>Indicator 10: Rate of term babies without congenital anomalies with an Apgar score &lt; 7 at five minutes</w:t>
            </w:r>
          </w:p>
        </w:tc>
        <w:tc>
          <w:tcPr>
            <w:tcW w:w="3401" w:type="dxa"/>
          </w:tcPr>
          <w:p w14:paraId="05F2A045" w14:textId="408DC315" w:rsidR="000A38D8" w:rsidRDefault="000A38D8"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inborn, liveborn, term babies without congenital anomalies with an Apgar score less than 7 at five minutes</w:t>
            </w:r>
          </w:p>
        </w:tc>
        <w:tc>
          <w:tcPr>
            <w:tcW w:w="3402" w:type="dxa"/>
          </w:tcPr>
          <w:p w14:paraId="47FB1F01" w14:textId="2D2B6DE0" w:rsidR="000A38D8" w:rsidRDefault="000A38D8" w:rsidP="003B4F97">
            <w:pPr>
              <w:cnfStyle w:val="000000000000" w:firstRow="0" w:lastRow="0" w:firstColumn="0" w:lastColumn="0" w:oddVBand="0" w:evenVBand="0" w:oddHBand="0" w:evenHBand="0" w:firstRowFirstColumn="0" w:firstRowLastColumn="0" w:lastRowFirstColumn="0" w:lastRowLastColumn="0"/>
              <w:rPr>
                <w:lang w:val="en-GB" w:eastAsia="en-AU"/>
              </w:rPr>
            </w:pPr>
            <w:r>
              <w:t>The number of inborn, liveborn, term babies without congenital anomalies</w:t>
            </w:r>
          </w:p>
        </w:tc>
      </w:tr>
    </w:tbl>
    <w:p w14:paraId="0702D3FA" w14:textId="762300EA" w:rsidR="00F80FA2" w:rsidRDefault="00F80FA2" w:rsidP="003B4F97">
      <w:r>
        <w:br w:type="page"/>
      </w:r>
    </w:p>
    <w:p w14:paraId="0A0B9B4A" w14:textId="7ACA5A02" w:rsidR="00B552FC" w:rsidRDefault="00B552FC" w:rsidP="00A60C18">
      <w:pPr>
        <w:pStyle w:val="Heading1"/>
        <w:framePr w:wrap="around"/>
      </w:pPr>
      <w:bookmarkStart w:id="14" w:name="_Toc71710124"/>
      <w:r>
        <w:t>11a and 11b: Women’s experiences of care</w:t>
      </w:r>
      <w:bookmarkEnd w:id="14"/>
    </w:p>
    <w:p w14:paraId="45448F2C" w14:textId="43F3F936" w:rsidR="00794C0E" w:rsidRDefault="00794C0E" w:rsidP="003B4F97">
      <w:pPr>
        <w:pStyle w:val="IntroductoryText"/>
      </w:pPr>
      <w:r>
        <w:t>Any report on maternity and newborn outcomes cannot be complete without women’s voices being present, guiding plans for future improvement. Women are uniquely positioned to provide insightful comments about their care. Acknowledging that health outcomes and perceptions are not only influenced by the nature and quality of the clinical care provided but how that care is delivered, patient experience is critical to providing and improving healthcare.</w:t>
      </w:r>
      <w:r w:rsidR="001A27C3">
        <w:t xml:space="preserve"> </w:t>
      </w:r>
      <w:r>
        <w:t>Through monitoring indicators of experience, it is possible to improve our understanding of women’s’ experience of care and identify areas for quality improvements and service redesign.</w:t>
      </w:r>
    </w:p>
    <w:p w14:paraId="0BA72C28" w14:textId="77777777" w:rsidR="00BB459B" w:rsidRDefault="00BB459B" w:rsidP="003B4F97">
      <w:pPr>
        <w:pStyle w:val="Heading2"/>
      </w:pPr>
      <w:r>
        <w:t>About these indicators</w:t>
      </w:r>
    </w:p>
    <w:p w14:paraId="1D4E98AF" w14:textId="6C708F65" w:rsidR="001A27C3" w:rsidRPr="005E50E4" w:rsidRDefault="001A27C3" w:rsidP="003B4F97">
      <w:pPr>
        <w:pStyle w:val="Normalfollowingheading"/>
      </w:pPr>
      <w:r w:rsidRPr="005E50E4">
        <w:t xml:space="preserve">These indicators assess the experience of women </w:t>
      </w:r>
      <w:r w:rsidRPr="00703A50">
        <w:t xml:space="preserve">who </w:t>
      </w:r>
      <w:r w:rsidR="00B641E4" w:rsidRPr="00703A50">
        <w:t xml:space="preserve">participated in the Victorian Healthcare Experience Survey and </w:t>
      </w:r>
      <w:r w:rsidRPr="005E50E4">
        <w:t>who received care from Victorian public hospital services during their labour and birth episode. The indicators are derived from two questions in the maternity questionnaire of the VHES:</w:t>
      </w:r>
    </w:p>
    <w:p w14:paraId="6B44426B" w14:textId="19C98172" w:rsidR="001A27C3" w:rsidRPr="005E50E4" w:rsidRDefault="001A27C3" w:rsidP="003B4F97">
      <w:pPr>
        <w:pStyle w:val="Bullet1"/>
      </w:pPr>
      <w:r w:rsidRPr="00703A50">
        <w:rPr>
          <w:rFonts w:ascii="VIC Medium" w:hAnsi="VIC Medium"/>
        </w:rPr>
        <w:t>Indicator 11a</w:t>
      </w:r>
      <w:r w:rsidRPr="005E50E4">
        <w:t xml:space="preserve">: Question 36: </w:t>
      </w:r>
      <w:r w:rsidR="00873353" w:rsidRPr="00703A50">
        <w:t>T</w:t>
      </w:r>
      <w:r w:rsidRPr="00703A50">
        <w:t>hinking</w:t>
      </w:r>
      <w:r w:rsidRPr="005E50E4">
        <w:t xml:space="preserve"> about your care during labour and birth, were you involved, as much as you wanted to be, in decisions about your care?</w:t>
      </w:r>
    </w:p>
    <w:p w14:paraId="2BB6C274" w14:textId="6277AE0E" w:rsidR="001A27C3" w:rsidRPr="005E50E4" w:rsidRDefault="001A27C3" w:rsidP="003B4F97">
      <w:pPr>
        <w:pStyle w:val="Bullet1"/>
      </w:pPr>
      <w:r w:rsidRPr="00703A50">
        <w:rPr>
          <w:rFonts w:ascii="VIC Medium" w:hAnsi="VIC Medium"/>
        </w:rPr>
        <w:t>Indicator 11b</w:t>
      </w:r>
      <w:r w:rsidRPr="005E50E4">
        <w:t xml:space="preserve">: Question 51: </w:t>
      </w:r>
      <w:r w:rsidR="00873353" w:rsidRPr="00703A50">
        <w:t>D</w:t>
      </w:r>
      <w:r w:rsidRPr="00703A50">
        <w:t>id</w:t>
      </w:r>
      <w:r w:rsidRPr="005E50E4">
        <w:t xml:space="preserve"> you feel that midwives and other health professionals gave you consistent advice about feeding your baby?</w:t>
      </w:r>
    </w:p>
    <w:p w14:paraId="695FCAA2" w14:textId="77777777" w:rsidR="001A27C3" w:rsidRPr="00DE429E" w:rsidRDefault="001A27C3" w:rsidP="003B4F97">
      <w:pPr>
        <w:pStyle w:val="Heading2"/>
      </w:pPr>
      <w:r w:rsidRPr="00DE429E">
        <w:t>Observations on the data</w:t>
      </w:r>
    </w:p>
    <w:p w14:paraId="76728D0E" w14:textId="3D34C001" w:rsidR="00794C0E" w:rsidRPr="00A60C18" w:rsidRDefault="00794C0E" w:rsidP="003B4F97">
      <w:pPr>
        <w:pStyle w:val="Normalfollowingheading"/>
      </w:pPr>
      <w:r w:rsidRPr="00A60C18">
        <w:t>In 2019, 80.0 per cent of women responded that they felt involved, as much as they wanted to be, in decisions about their care (Indicator 11a). This rate was unchanged from the previous year’s rate. The rate across public hospitals was also relatively consistent (</w:t>
      </w:r>
      <w:r w:rsidRPr="00A60C18">
        <w:rPr>
          <w:b/>
        </w:rPr>
        <w:t>Figure 26</w:t>
      </w:r>
      <w:r w:rsidRPr="00A60C18">
        <w:t xml:space="preserve">). The funnel plot in </w:t>
      </w:r>
      <w:r w:rsidRPr="00A60C18">
        <w:rPr>
          <w:b/>
        </w:rPr>
        <w:t>Figure 27</w:t>
      </w:r>
      <w:r w:rsidRPr="00A60C18">
        <w:t xml:space="preserve"> shows a few hospitals with rates that were significantly different from the state rate. </w:t>
      </w:r>
    </w:p>
    <w:p w14:paraId="239A579C" w14:textId="77777777" w:rsidR="00794C0E" w:rsidRDefault="00794C0E" w:rsidP="003B4F97">
      <w:r>
        <w:t>The proportion of women who felt they received consistent advice about feeding their baby from midwives and other health professionals (</w:t>
      </w:r>
      <w:r w:rsidRPr="00703A50">
        <w:rPr>
          <w:rFonts w:ascii="VIC Medium" w:hAnsi="VIC Medium"/>
        </w:rPr>
        <w:t>Indicator 11b</w:t>
      </w:r>
      <w:r>
        <w:t xml:space="preserve">) decreased in 2019 to 47.2 per cent from a rate of 49.0 per in 2018. This was statistically significant (p=0.017). </w:t>
      </w:r>
      <w:r w:rsidRPr="00703A50">
        <w:rPr>
          <w:b/>
        </w:rPr>
        <w:t>Figures 28</w:t>
      </w:r>
      <w:r>
        <w:t xml:space="preserve"> and</w:t>
      </w:r>
      <w:r w:rsidRPr="00703A50">
        <w:rPr>
          <w:b/>
        </w:rPr>
        <w:t xml:space="preserve"> 29</w:t>
      </w:r>
      <w:r>
        <w:t xml:space="preserve"> show considerable variation between hospitals.</w:t>
      </w:r>
    </w:p>
    <w:p w14:paraId="6E779FBA" w14:textId="77777777" w:rsidR="001A27C3" w:rsidRDefault="001A27C3" w:rsidP="003B4F97">
      <w:pPr>
        <w:rPr>
          <w:rFonts w:ascii="VIC SemiBold" w:hAnsi="VIC SemiBold"/>
          <w:color w:val="007586" w:themeColor="text2"/>
          <w:spacing w:val="2"/>
          <w:szCs w:val="18"/>
          <w:lang w:val="en-GB" w:eastAsia="en-AU"/>
        </w:rPr>
      </w:pPr>
      <w:r>
        <w:br w:type="page"/>
      </w:r>
    </w:p>
    <w:p w14:paraId="6B13C860" w14:textId="6D94546C" w:rsidR="00794C0E" w:rsidRDefault="00794C0E" w:rsidP="003B4F97">
      <w:pPr>
        <w:pStyle w:val="Tablechartdiagramheading"/>
      </w:pPr>
      <w:r>
        <w:t>Figure 26. Indicator 11a: Rate of women who felt involved, as much as they wanted to be, in decisions about their care during labour and birth, 2019</w:t>
      </w:r>
    </w:p>
    <w:p w14:paraId="76E00E96" w14:textId="59418B08" w:rsidR="00B552FC" w:rsidRDefault="00B552FC" w:rsidP="003B4F97">
      <w:r>
        <w:drawing>
          <wp:inline distT="0" distB="0" distL="0" distR="0" wp14:anchorId="6DFB96B4" wp14:editId="6E84AFF2">
            <wp:extent cx="6480000" cy="6840000"/>
            <wp:effectExtent l="0" t="0" r="0" b="0"/>
            <wp:docPr id="29" name="Chart 29" descr="This bar graph shows the rates at each public hospital and across all public hospitals of women who felt as involved as they wanted to be in decisions about their care during labour and birth. The rate across all hospitals was 80 per cent.">
              <a:extLst xmlns:a="http://schemas.openxmlformats.org/drawingml/2006/main">
                <a:ext uri="{FF2B5EF4-FFF2-40B4-BE49-F238E27FC236}">
                  <a16:creationId xmlns:a16="http://schemas.microsoft.com/office/drawing/2014/main" id="{BE008CDC-71FC-4DFA-B598-506A70807F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94648FF" w14:textId="77777777" w:rsidR="00B552FC" w:rsidRDefault="00B552FC" w:rsidP="003B4F97">
      <w:pPr>
        <w:pStyle w:val="Footer"/>
      </w:pPr>
      <w:r>
        <w:t xml:space="preserve">Note: No quartiles are presented for </w:t>
      </w:r>
      <w:r w:rsidRPr="00703A50">
        <w:rPr>
          <w:rFonts w:ascii="VIC Medium" w:hAnsi="VIC Medium"/>
        </w:rPr>
        <w:t>Indicator 11</w:t>
      </w:r>
      <w:r>
        <w:t xml:space="preserve"> since the measure is calculated from survey data and a different method of determining least and most favourable outcomes was applied (i.e. tested for significant difference compared to the rate for public hospitals).</w:t>
      </w:r>
    </w:p>
    <w:p w14:paraId="378356A5" w14:textId="48641F72" w:rsidR="001A27C3" w:rsidRDefault="00B552FC" w:rsidP="00A60C18">
      <w:pPr>
        <w:pStyle w:val="Footer"/>
        <w:rPr>
          <w:rFonts w:ascii="VIC SemiBold" w:hAnsi="VIC SemiBold"/>
          <w:color w:val="007586" w:themeColor="text2"/>
          <w:spacing w:val="2"/>
          <w:lang w:val="en-GB" w:eastAsia="en-AU"/>
        </w:rPr>
      </w:pPr>
      <w:r>
        <w:t>The VHES only collects data from public hospitals and reports only on services with more than 10 responses in a year. As such, this indicator is only reported for public health services.</w:t>
      </w:r>
      <w:r w:rsidR="001A27C3">
        <w:br w:type="page"/>
      </w:r>
    </w:p>
    <w:p w14:paraId="0FCD32F6" w14:textId="7E37A35E" w:rsidR="00B552FC" w:rsidRPr="005036AA" w:rsidRDefault="00B552FC" w:rsidP="003B4F97">
      <w:pPr>
        <w:pStyle w:val="Tablechartdiagramheading"/>
      </w:pPr>
      <w:r w:rsidRPr="009C58E7">
        <w:t xml:space="preserve">Figure </w:t>
      </w:r>
      <w:r w:rsidRPr="00994C5C">
        <w:t>2</w:t>
      </w:r>
      <w:r>
        <w:t>7</w:t>
      </w:r>
      <w:r w:rsidRPr="00994C5C">
        <w:t xml:space="preserve">. Funnel plot of </w:t>
      </w:r>
      <w:r>
        <w:t>the rate of women who felt involved, as much as they wanted to be, in decisions about their care during labour and birth</w:t>
      </w:r>
      <w:r w:rsidRPr="00994C5C">
        <w:t>, 201</w:t>
      </w:r>
      <w:r>
        <w:t>9</w:t>
      </w:r>
    </w:p>
    <w:p w14:paraId="2889332A" w14:textId="76A4CD29" w:rsidR="00B552FC" w:rsidRDefault="00B552FC" w:rsidP="003B4F97">
      <w:r>
        <w:drawing>
          <wp:inline distT="0" distB="0" distL="0" distR="0" wp14:anchorId="0D74B392" wp14:editId="634CAC92">
            <wp:extent cx="5259239" cy="3780000"/>
            <wp:effectExtent l="0" t="0" r="0" b="0"/>
            <wp:docPr id="12" name="Picture 12" descr="This funnel plot shows the distribution of rates of women who felt as involved as they wanted to be in decisions about their care during labour and birth. Few hospitals were statistically significantly higher or lower than th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funnel plot shows the distribution of rates of women who felt as involved as they wanted to be in decisions about their care during labour and birth. Few hospitals were statistically significantly higher or lower than the average."/>
                    <pic:cNvPicPr/>
                  </pic:nvPicPr>
                  <pic:blipFill rotWithShape="1">
                    <a:blip r:embed="rId49">
                      <a:extLst>
                        <a:ext uri="{28A0092B-C50C-407E-A947-70E740481C1C}">
                          <a14:useLocalDpi xmlns:a14="http://schemas.microsoft.com/office/drawing/2010/main" val="0"/>
                        </a:ext>
                      </a:extLst>
                    </a:blip>
                    <a:srcRect t="4056"/>
                    <a:stretch/>
                  </pic:blipFill>
                  <pic:spPr bwMode="auto">
                    <a:xfrm>
                      <a:off x="0" y="0"/>
                      <a:ext cx="5259239" cy="3780000"/>
                    </a:xfrm>
                    <a:prstGeom prst="rect">
                      <a:avLst/>
                    </a:prstGeom>
                    <a:ln>
                      <a:noFill/>
                    </a:ln>
                    <a:extLst>
                      <a:ext uri="{53640926-AAD7-44D8-BBD7-CCE9431645EC}">
                        <a14:shadowObscured xmlns:a14="http://schemas.microsoft.com/office/drawing/2010/main"/>
                      </a:ext>
                    </a:extLst>
                  </pic:spPr>
                </pic:pic>
              </a:graphicData>
            </a:graphic>
          </wp:inline>
        </w:drawing>
      </w:r>
    </w:p>
    <w:p w14:paraId="0BF8011D"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32E1CC19" w14:textId="62116865" w:rsidR="00B552FC" w:rsidRDefault="00B552FC" w:rsidP="003B4F97">
      <w:pPr>
        <w:pStyle w:val="Tablechartdiagramheading"/>
      </w:pPr>
      <w:r w:rsidRPr="005036AA">
        <w:t xml:space="preserve">Table </w:t>
      </w:r>
      <w:r>
        <w:t>1</w:t>
      </w:r>
      <w:r w:rsidR="00061B4C">
        <w:t>2</w:t>
      </w:r>
      <w:r w:rsidRPr="005036AA">
        <w:t>. Rate of women who felt involved, as much as they wanted to be, in decisions about their care during labour and birth</w:t>
      </w:r>
      <w:r>
        <w:t>, 2016</w:t>
      </w:r>
      <w:r w:rsidR="00061B4C">
        <w:t>–</w:t>
      </w:r>
      <w:r>
        <w:t>19</w:t>
      </w:r>
    </w:p>
    <w:tbl>
      <w:tblPr>
        <w:tblStyle w:val="TableGrid"/>
        <w:tblW w:w="0" w:type="auto"/>
        <w:tblLook w:val="04A0" w:firstRow="1" w:lastRow="0" w:firstColumn="1" w:lastColumn="0" w:noHBand="0" w:noVBand="1"/>
      </w:tblPr>
      <w:tblGrid>
        <w:gridCol w:w="2040"/>
        <w:gridCol w:w="2041"/>
        <w:gridCol w:w="2041"/>
        <w:gridCol w:w="2041"/>
        <w:gridCol w:w="2041"/>
      </w:tblGrid>
      <w:tr w:rsidR="00B552FC" w14:paraId="5900690E" w14:textId="77777777" w:rsidTr="00033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66F562C5" w14:textId="77777777" w:rsidR="00B552FC" w:rsidRDefault="00B552FC" w:rsidP="003B4F97">
            <w:pPr>
              <w:rPr>
                <w:lang w:val="en-GB" w:eastAsia="en-AU"/>
              </w:rPr>
            </w:pP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EDB1966" w14:textId="0B1CF3CD"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9E0007">
              <w:t>2016</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666A453B" w14:textId="70C1B62B"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9E0007">
              <w:t>2017</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15EEC6EC" w14:textId="52768063"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t>2018</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4520116" w14:textId="27283E0B"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t>2019</w:t>
            </w:r>
          </w:p>
        </w:tc>
      </w:tr>
      <w:tr w:rsidR="00B552FC" w14:paraId="1B3FFA1E" w14:textId="77777777" w:rsidTr="000335E7">
        <w:tc>
          <w:tcPr>
            <w:cnfStyle w:val="001000000000" w:firstRow="0" w:lastRow="0" w:firstColumn="1" w:lastColumn="0" w:oddVBand="0" w:evenVBand="0" w:oddHBand="0" w:evenHBand="0" w:firstRowFirstColumn="0" w:firstRowLastColumn="0" w:lastRowFirstColumn="0" w:lastRowLastColumn="0"/>
            <w:tcW w:w="2040" w:type="dxa"/>
            <w:vAlign w:val="center"/>
          </w:tcPr>
          <w:p w14:paraId="7FCB2389" w14:textId="122F1363" w:rsidR="00B552FC" w:rsidRDefault="00B552FC" w:rsidP="003B4F97">
            <w:pPr>
              <w:rPr>
                <w:lang w:val="en-GB" w:eastAsia="en-AU"/>
              </w:rPr>
            </w:pPr>
            <w:r w:rsidRPr="009E0007">
              <w:t>Public</w:t>
            </w:r>
          </w:p>
        </w:tc>
        <w:tc>
          <w:tcPr>
            <w:tcW w:w="2041" w:type="dxa"/>
            <w:vAlign w:val="center"/>
          </w:tcPr>
          <w:p w14:paraId="2F1F3CBA" w14:textId="330767FA"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80.0%</w:t>
            </w:r>
          </w:p>
        </w:tc>
        <w:tc>
          <w:tcPr>
            <w:tcW w:w="2041" w:type="dxa"/>
            <w:vAlign w:val="center"/>
          </w:tcPr>
          <w:p w14:paraId="5C696C15" w14:textId="3E2C9F56"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78.9%</w:t>
            </w:r>
          </w:p>
        </w:tc>
        <w:tc>
          <w:tcPr>
            <w:tcW w:w="2041" w:type="dxa"/>
            <w:vAlign w:val="center"/>
          </w:tcPr>
          <w:p w14:paraId="53644A87" w14:textId="50E984F3"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80.0%</w:t>
            </w:r>
          </w:p>
        </w:tc>
        <w:tc>
          <w:tcPr>
            <w:tcW w:w="2041" w:type="dxa"/>
            <w:tcBorders>
              <w:top w:val="single" w:sz="24" w:space="0" w:color="CCCCD0" w:themeColor="accent6"/>
            </w:tcBorders>
            <w:shd w:val="clear" w:color="auto" w:fill="D9D9D9" w:themeFill="background1" w:themeFillShade="D9"/>
            <w:vAlign w:val="center"/>
          </w:tcPr>
          <w:p w14:paraId="498C0245" w14:textId="299E4EE5"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80.0%</w:t>
            </w:r>
          </w:p>
        </w:tc>
      </w:tr>
    </w:tbl>
    <w:p w14:paraId="66E9FE3E" w14:textId="77777777" w:rsidR="00364C09" w:rsidRDefault="00364C09" w:rsidP="003B4F97">
      <w:pPr>
        <w:rPr>
          <w:rFonts w:ascii="VIC SemiBold" w:hAnsi="VIC SemiBold"/>
          <w:color w:val="007586" w:themeColor="text2"/>
          <w:spacing w:val="2"/>
          <w:szCs w:val="18"/>
          <w:lang w:val="en-GB" w:eastAsia="en-AU"/>
        </w:rPr>
      </w:pPr>
      <w:r>
        <w:br w:type="page"/>
      </w:r>
    </w:p>
    <w:p w14:paraId="02191222" w14:textId="45C663A8" w:rsidR="00B552FC" w:rsidRDefault="00B552FC" w:rsidP="003B4F97">
      <w:pPr>
        <w:pStyle w:val="Tablechartdiagramheading"/>
      </w:pPr>
      <w:r w:rsidRPr="005036AA">
        <w:t xml:space="preserve">Figure </w:t>
      </w:r>
      <w:r>
        <w:t>28</w:t>
      </w:r>
      <w:r w:rsidRPr="005036AA">
        <w:t xml:space="preserve">. Indicator 11b: </w:t>
      </w:r>
      <w:r>
        <w:t>R</w:t>
      </w:r>
      <w:r w:rsidRPr="005036AA">
        <w:t>ate of women who felt that midwives and other health professionals gave them consistent advice about feeding their baby</w:t>
      </w:r>
      <w:r>
        <w:t>,</w:t>
      </w:r>
      <w:r w:rsidRPr="005036AA">
        <w:t xml:space="preserve"> 201</w:t>
      </w:r>
      <w:r>
        <w:t>9</w:t>
      </w:r>
    </w:p>
    <w:p w14:paraId="3A7C8131" w14:textId="5AD6504C" w:rsidR="00B552FC" w:rsidRDefault="00B552FC" w:rsidP="003B4F97">
      <w:r>
        <w:drawing>
          <wp:inline distT="0" distB="0" distL="0" distR="0" wp14:anchorId="6AD353AA" wp14:editId="3F6F820F">
            <wp:extent cx="6480000" cy="6696000"/>
            <wp:effectExtent l="0" t="0" r="0" b="0"/>
            <wp:docPr id="14" name="Chart 14" descr="This bar graph shows the rates at each public hospital and across all public hospitals of women who felt that midwives and other health professionals gave them consistent advice about feeding their baby. The graph shows considerable variation between hospitals.">
              <a:extLst xmlns:a="http://schemas.openxmlformats.org/drawingml/2006/main">
                <a:ext uri="{FF2B5EF4-FFF2-40B4-BE49-F238E27FC236}">
                  <a16:creationId xmlns:a16="http://schemas.microsoft.com/office/drawing/2014/main" id="{D4F7012D-D881-4164-A1AE-CFE3A05D762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60C9099" w14:textId="2755B102" w:rsidR="00B552FC" w:rsidRDefault="00B552FC" w:rsidP="003B4F97">
      <w:pPr>
        <w:pStyle w:val="Footer"/>
      </w:pPr>
      <w:r>
        <w:t xml:space="preserve">Note: No quartiles are presented for </w:t>
      </w:r>
      <w:r w:rsidRPr="00703A50">
        <w:rPr>
          <w:rFonts w:ascii="VIC Medium" w:hAnsi="VIC Medium"/>
        </w:rPr>
        <w:t>Indicator 11</w:t>
      </w:r>
      <w:r>
        <w:t xml:space="preserve"> since the measure is calculated from survey data and a different method of determining least and most favourable outcomes was applied (i.e. tested for significant difference compared to the rate for public hospitals).</w:t>
      </w:r>
    </w:p>
    <w:p w14:paraId="56B2C9C3" w14:textId="77777777" w:rsidR="00B552FC" w:rsidRDefault="00B552FC" w:rsidP="003B4F97">
      <w:pPr>
        <w:pStyle w:val="Footer"/>
      </w:pPr>
      <w:r>
        <w:t>The VHES only collects data from public hospitals and reports only on services with more than 10 responses in a year. As such, this indicator is only reported for public health services.</w:t>
      </w:r>
    </w:p>
    <w:p w14:paraId="4255C390" w14:textId="77777777" w:rsidR="00B552FC" w:rsidRDefault="00B552FC" w:rsidP="003B4F97">
      <w:r>
        <w:br w:type="page"/>
      </w:r>
    </w:p>
    <w:p w14:paraId="6F3C308B" w14:textId="77777777" w:rsidR="00B552FC" w:rsidRPr="005036AA" w:rsidRDefault="00B552FC" w:rsidP="003B4F97">
      <w:pPr>
        <w:pStyle w:val="Tablechartdiagramheading"/>
      </w:pPr>
      <w:r w:rsidRPr="009C58E7">
        <w:t xml:space="preserve">Figure </w:t>
      </w:r>
      <w:r w:rsidRPr="00994C5C">
        <w:t>2</w:t>
      </w:r>
      <w:r>
        <w:t>9</w:t>
      </w:r>
      <w:r w:rsidRPr="00994C5C">
        <w:t xml:space="preserve">. Funnel plot of </w:t>
      </w:r>
      <w:r>
        <w:t>the rate of women who felt that midwives and other health professionals gave them consistent advice about feeing their baby</w:t>
      </w:r>
      <w:r w:rsidRPr="00994C5C">
        <w:t>, 201</w:t>
      </w:r>
      <w:r>
        <w:t>9</w:t>
      </w:r>
    </w:p>
    <w:p w14:paraId="175E6E4B" w14:textId="35234DC6" w:rsidR="00B552FC" w:rsidRDefault="00B552FC" w:rsidP="003B4F97">
      <w:r>
        <w:drawing>
          <wp:inline distT="0" distB="0" distL="0" distR="0" wp14:anchorId="12E93B08" wp14:editId="19B54382">
            <wp:extent cx="5249221" cy="3780000"/>
            <wp:effectExtent l="0" t="0" r="8890" b="0"/>
            <wp:docPr id="22" name="Picture 22" descr="This funnel plot shows the distribution of rates of women who felt that midwives and other health professionals gave them consistent advice about feeding their baby. The graph shows considerable variation between hospitals, with several having results that were statistically significantly high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funnel plot shows the distribution of rates of women who felt that midwives and other health professionals gave them consistent advice about feeding their baby. The graph shows considerable variation between hospitals, with several having results that were statistically significantly higher than average."/>
                    <pic:cNvPicPr/>
                  </pic:nvPicPr>
                  <pic:blipFill rotWithShape="1">
                    <a:blip r:embed="rId51">
                      <a:extLst>
                        <a:ext uri="{28A0092B-C50C-407E-A947-70E740481C1C}">
                          <a14:useLocalDpi xmlns:a14="http://schemas.microsoft.com/office/drawing/2010/main" val="0"/>
                        </a:ext>
                      </a:extLst>
                    </a:blip>
                    <a:srcRect t="4174"/>
                    <a:stretch/>
                  </pic:blipFill>
                  <pic:spPr bwMode="auto">
                    <a:xfrm>
                      <a:off x="0" y="0"/>
                      <a:ext cx="5249221" cy="3780000"/>
                    </a:xfrm>
                    <a:prstGeom prst="rect">
                      <a:avLst/>
                    </a:prstGeom>
                    <a:ln>
                      <a:noFill/>
                    </a:ln>
                    <a:extLst>
                      <a:ext uri="{53640926-AAD7-44D8-BBD7-CCE9431645EC}">
                        <a14:shadowObscured xmlns:a14="http://schemas.microsoft.com/office/drawing/2010/main"/>
                      </a:ext>
                    </a:extLst>
                  </pic:spPr>
                </pic:pic>
              </a:graphicData>
            </a:graphic>
          </wp:inline>
        </w:drawing>
      </w:r>
    </w:p>
    <w:p w14:paraId="00FFEA61"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111F47D1" w14:textId="77777777" w:rsidR="00CB3684" w:rsidRPr="0083668B" w:rsidRDefault="00CB3684" w:rsidP="003B4F97">
      <w:pPr>
        <w:rPr>
          <w:lang w:val="en-GB" w:eastAsia="en-AU"/>
        </w:rPr>
      </w:pPr>
    </w:p>
    <w:p w14:paraId="37CE254B" w14:textId="1401DF66" w:rsidR="00B552FC" w:rsidRDefault="00B552FC" w:rsidP="003B4F97">
      <w:pPr>
        <w:pStyle w:val="Tablechartdiagramheading"/>
      </w:pPr>
      <w:r w:rsidRPr="005036AA">
        <w:t xml:space="preserve">Table </w:t>
      </w:r>
      <w:r>
        <w:t>1</w:t>
      </w:r>
      <w:r w:rsidR="00061B4C">
        <w:t>3</w:t>
      </w:r>
      <w:r w:rsidRPr="005036AA">
        <w:t>. Rate of women who felt that midwives and other health professionals gave them consistent advice about feeding their baby</w:t>
      </w:r>
      <w:r>
        <w:t>, 2016</w:t>
      </w:r>
      <w:r w:rsidR="00061B4C">
        <w:t>–</w:t>
      </w:r>
      <w:r>
        <w:t>19</w:t>
      </w:r>
    </w:p>
    <w:tbl>
      <w:tblPr>
        <w:tblStyle w:val="TableGrid"/>
        <w:tblW w:w="0" w:type="auto"/>
        <w:tblLook w:val="04A0" w:firstRow="1" w:lastRow="0" w:firstColumn="1" w:lastColumn="0" w:noHBand="0" w:noVBand="1"/>
      </w:tblPr>
      <w:tblGrid>
        <w:gridCol w:w="2040"/>
        <w:gridCol w:w="2041"/>
        <w:gridCol w:w="2041"/>
        <w:gridCol w:w="2041"/>
        <w:gridCol w:w="2041"/>
      </w:tblGrid>
      <w:tr w:rsidR="00B552FC" w14:paraId="28881EBA" w14:textId="77777777" w:rsidTr="000335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0"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5080B66A" w14:textId="77777777" w:rsidR="00B552FC" w:rsidRDefault="00B552FC" w:rsidP="003B4F97">
            <w:pPr>
              <w:rPr>
                <w:lang w:val="en-GB" w:eastAsia="en-AU"/>
              </w:rPr>
            </w:pP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4E2D7CC" w14:textId="35F57958"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9E0007">
              <w:t>2016</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D7DA9DE" w14:textId="253CEEB3"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9E0007">
              <w:t>2017</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18EA6DC3" w14:textId="2D9E18AD"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t>2018</w:t>
            </w:r>
          </w:p>
        </w:tc>
        <w:tc>
          <w:tcPr>
            <w:tcW w:w="204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74818995" w14:textId="252581E9" w:rsidR="00B552FC" w:rsidRDefault="00B552FC" w:rsidP="003B4F97">
            <w:pPr>
              <w:cnfStyle w:val="100000000000" w:firstRow="1" w:lastRow="0" w:firstColumn="0" w:lastColumn="0" w:oddVBand="0" w:evenVBand="0" w:oddHBand="0" w:evenHBand="0" w:firstRowFirstColumn="0" w:firstRowLastColumn="0" w:lastRowFirstColumn="0" w:lastRowLastColumn="0"/>
              <w:rPr>
                <w:lang w:val="en-GB" w:eastAsia="en-AU"/>
              </w:rPr>
            </w:pPr>
            <w:r>
              <w:t>2019</w:t>
            </w:r>
          </w:p>
        </w:tc>
      </w:tr>
      <w:tr w:rsidR="00B552FC" w14:paraId="0117DF94" w14:textId="77777777" w:rsidTr="000335E7">
        <w:tc>
          <w:tcPr>
            <w:cnfStyle w:val="001000000000" w:firstRow="0" w:lastRow="0" w:firstColumn="1" w:lastColumn="0" w:oddVBand="0" w:evenVBand="0" w:oddHBand="0" w:evenHBand="0" w:firstRowFirstColumn="0" w:firstRowLastColumn="0" w:lastRowFirstColumn="0" w:lastRowLastColumn="0"/>
            <w:tcW w:w="2040" w:type="dxa"/>
            <w:vAlign w:val="center"/>
          </w:tcPr>
          <w:p w14:paraId="090F9A51" w14:textId="7D31FAFB" w:rsidR="00B552FC" w:rsidRDefault="00B552FC" w:rsidP="003B4F97">
            <w:pPr>
              <w:rPr>
                <w:lang w:val="en-GB" w:eastAsia="en-AU"/>
              </w:rPr>
            </w:pPr>
            <w:r w:rsidRPr="009E0007">
              <w:t>Public</w:t>
            </w:r>
          </w:p>
        </w:tc>
        <w:tc>
          <w:tcPr>
            <w:tcW w:w="2041" w:type="dxa"/>
            <w:vAlign w:val="center"/>
          </w:tcPr>
          <w:p w14:paraId="369FD99D" w14:textId="017677EF"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51.0%</w:t>
            </w:r>
          </w:p>
        </w:tc>
        <w:tc>
          <w:tcPr>
            <w:tcW w:w="2041" w:type="dxa"/>
            <w:vAlign w:val="center"/>
          </w:tcPr>
          <w:p w14:paraId="2D6C1AC0" w14:textId="38E3ABF8"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49.5%</w:t>
            </w:r>
          </w:p>
        </w:tc>
        <w:tc>
          <w:tcPr>
            <w:tcW w:w="2041" w:type="dxa"/>
            <w:vAlign w:val="center"/>
          </w:tcPr>
          <w:p w14:paraId="274B12DD" w14:textId="11492004"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49.0%</w:t>
            </w:r>
          </w:p>
        </w:tc>
        <w:tc>
          <w:tcPr>
            <w:tcW w:w="2041" w:type="dxa"/>
            <w:tcBorders>
              <w:top w:val="single" w:sz="24" w:space="0" w:color="CCCCD0" w:themeColor="accent6"/>
            </w:tcBorders>
            <w:shd w:val="clear" w:color="auto" w:fill="D9D9D9" w:themeFill="background1" w:themeFillShade="D9"/>
            <w:vAlign w:val="center"/>
          </w:tcPr>
          <w:p w14:paraId="061F7D55" w14:textId="3D5DED01" w:rsidR="00B552FC" w:rsidRDefault="00B552FC" w:rsidP="003B4F97">
            <w:pPr>
              <w:cnfStyle w:val="000000000000" w:firstRow="0" w:lastRow="0" w:firstColumn="0" w:lastColumn="0" w:oddVBand="0" w:evenVBand="0" w:oddHBand="0" w:evenHBand="0" w:firstRowFirstColumn="0" w:firstRowLastColumn="0" w:lastRowFirstColumn="0" w:lastRowLastColumn="0"/>
              <w:rPr>
                <w:lang w:val="en-GB" w:eastAsia="en-AU"/>
              </w:rPr>
            </w:pPr>
            <w:r>
              <w:t>47.2%</w:t>
            </w:r>
          </w:p>
        </w:tc>
      </w:tr>
    </w:tbl>
    <w:p w14:paraId="5E8BEDAC" w14:textId="77777777" w:rsidR="00CB3684" w:rsidRDefault="00CB3684" w:rsidP="003B4F97">
      <w:pPr>
        <w:rPr>
          <w:rFonts w:ascii="VIC SemiBold" w:eastAsiaTheme="majorEastAsia" w:hAnsi="VIC SemiBold" w:cstheme="majorBidi"/>
          <w:color w:val="007586" w:themeColor="text2"/>
          <w:sz w:val="24"/>
          <w:szCs w:val="26"/>
        </w:rPr>
      </w:pPr>
      <w:r>
        <w:br w:type="page"/>
      </w:r>
    </w:p>
    <w:p w14:paraId="12103213" w14:textId="41857885" w:rsidR="00BB459B" w:rsidRDefault="000335E7" w:rsidP="003B4F97">
      <w:pPr>
        <w:pStyle w:val="Heading2"/>
        <w:rPr>
          <w:color w:val="000000" w:themeColor="text1"/>
        </w:rPr>
      </w:pPr>
      <w:r>
        <w:t>Definition</w:t>
      </w:r>
      <w:r w:rsidR="00873353">
        <w:t>s</w:t>
      </w:r>
      <w:r w:rsidR="001717DC">
        <w:t xml:space="preserve"> and data sources</w:t>
      </w:r>
    </w:p>
    <w:p w14:paraId="4170BFAA" w14:textId="1D744F3A" w:rsidR="000A38D8" w:rsidRDefault="000A38D8" w:rsidP="00A60C18">
      <w:pPr>
        <w:pStyle w:val="Heading4"/>
      </w:pPr>
      <w:r>
        <w:t>Data source: IPSOS Social Research Institute analysis of the Victorian Healthcare Experience Survey</w:t>
      </w:r>
    </w:p>
    <w:p w14:paraId="1D75C24A" w14:textId="77777777" w:rsidR="000A38D8" w:rsidRDefault="000A38D8" w:rsidP="003B4F97">
      <w:pPr>
        <w:pStyle w:val="Normalfollowingheading"/>
      </w:pPr>
      <w:r>
        <w:t>Data for this indicator is sourced from VHES for the calendar year from 1 January 2019 to 31 December 2019.</w:t>
      </w:r>
    </w:p>
    <w:p w14:paraId="49AB4914" w14:textId="77777777" w:rsidR="000A38D8" w:rsidRDefault="000A38D8" w:rsidP="003B4F97">
      <w:r>
        <w:t xml:space="preserve">Results are not reported when there are fewer than 10 responses for a health service over a year, or when data were not provided by the health service. </w:t>
      </w:r>
    </w:p>
    <w:p w14:paraId="4B1F66F2" w14:textId="77777777" w:rsidR="000A38D8" w:rsidRDefault="000A38D8" w:rsidP="003B4F97">
      <w:r>
        <w:t>Note: The VHES maternity questionnaire is distributed to a random sample of consumers following a hospital admission for pregnancy and birth.</w:t>
      </w:r>
    </w:p>
    <w:p w14:paraId="335096A8" w14:textId="3CB17EE8" w:rsidR="001A27C3" w:rsidRDefault="000A38D8" w:rsidP="003B4F97">
      <w:pPr>
        <w:pStyle w:val="Tablechartdiagramheading"/>
      </w:pPr>
      <w:r>
        <w:t>Numerator/denominator</w:t>
      </w:r>
    </w:p>
    <w:tbl>
      <w:tblPr>
        <w:tblStyle w:val="TableGrid"/>
        <w:tblW w:w="0" w:type="auto"/>
        <w:tblLook w:val="04A0" w:firstRow="1" w:lastRow="0" w:firstColumn="1" w:lastColumn="0" w:noHBand="0" w:noVBand="1"/>
      </w:tblPr>
      <w:tblGrid>
        <w:gridCol w:w="3401"/>
        <w:gridCol w:w="3401"/>
        <w:gridCol w:w="3402"/>
      </w:tblGrid>
      <w:tr w:rsidR="001A27C3" w14:paraId="363A52A6" w14:textId="77777777" w:rsidTr="00034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49C7B045" w14:textId="3EA3A738" w:rsidR="001A27C3" w:rsidRDefault="001A27C3" w:rsidP="003B4F97">
            <w:pPr>
              <w:pStyle w:val="Tabletext"/>
              <w:rPr>
                <w:lang w:val="en-GB"/>
              </w:rPr>
            </w:pPr>
            <w:r w:rsidRPr="005C0006">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CC210B9" w14:textId="2752E07E" w:rsidR="001A27C3" w:rsidRDefault="001A27C3" w:rsidP="003B4F97">
            <w:pPr>
              <w:pStyle w:val="Tabletext"/>
              <w:cnfStyle w:val="100000000000" w:firstRow="1" w:lastRow="0" w:firstColumn="0" w:lastColumn="0" w:oddVBand="0" w:evenVBand="0" w:oddHBand="0" w:evenHBand="0" w:firstRowFirstColumn="0" w:firstRowLastColumn="0" w:lastRowFirstColumn="0" w:lastRowLastColumn="0"/>
              <w:rPr>
                <w:lang w:val="en-GB"/>
              </w:rPr>
            </w:pPr>
            <w:r w:rsidRPr="005C0006">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C0851E4" w14:textId="317B10C0" w:rsidR="001A27C3" w:rsidRDefault="001A27C3" w:rsidP="003B4F97">
            <w:pPr>
              <w:pStyle w:val="Tabletext"/>
              <w:cnfStyle w:val="100000000000" w:firstRow="1" w:lastRow="0" w:firstColumn="0" w:lastColumn="0" w:oddVBand="0" w:evenVBand="0" w:oddHBand="0" w:evenHBand="0" w:firstRowFirstColumn="0" w:firstRowLastColumn="0" w:lastRowFirstColumn="0" w:lastRowLastColumn="0"/>
              <w:rPr>
                <w:lang w:val="en-GB"/>
              </w:rPr>
            </w:pPr>
            <w:r w:rsidRPr="005C0006">
              <w:t>Denominator</w:t>
            </w:r>
          </w:p>
        </w:tc>
      </w:tr>
      <w:tr w:rsidR="001A27C3" w14:paraId="448D7D69" w14:textId="77777777" w:rsidTr="001A27C3">
        <w:tc>
          <w:tcPr>
            <w:cnfStyle w:val="001000000000" w:firstRow="0" w:lastRow="0" w:firstColumn="1" w:lastColumn="0" w:oddVBand="0" w:evenVBand="0" w:oddHBand="0" w:evenHBand="0" w:firstRowFirstColumn="0" w:firstRowLastColumn="0" w:lastRowFirstColumn="0" w:lastRowLastColumn="0"/>
            <w:tcW w:w="3401" w:type="dxa"/>
          </w:tcPr>
          <w:p w14:paraId="76817455" w14:textId="0163D13E" w:rsidR="001A27C3" w:rsidRDefault="001A27C3" w:rsidP="003B4F97">
            <w:pPr>
              <w:pStyle w:val="Tabletext"/>
              <w:rPr>
                <w:lang w:val="en-GB"/>
              </w:rPr>
            </w:pPr>
            <w:r w:rsidRPr="008333C6">
              <w:t>Indicator 11a:</w:t>
            </w:r>
            <w:r w:rsidRPr="005C0006">
              <w:t xml:space="preserve"> Rate of women who felt involved, as much as they wanted to be, in decisions about their care during labour and birth</w:t>
            </w:r>
          </w:p>
        </w:tc>
        <w:tc>
          <w:tcPr>
            <w:tcW w:w="3401" w:type="dxa"/>
          </w:tcPr>
          <w:p w14:paraId="5F58CC66" w14:textId="6D5ED9FD" w:rsidR="001A27C3" w:rsidRDefault="001A27C3" w:rsidP="003B4F97">
            <w:pPr>
              <w:pStyle w:val="Tabletext"/>
              <w:cnfStyle w:val="000000000000" w:firstRow="0" w:lastRow="0" w:firstColumn="0" w:lastColumn="0" w:oddVBand="0" w:evenVBand="0" w:oddHBand="0" w:evenHBand="0" w:firstRowFirstColumn="0" w:firstRowLastColumn="0" w:lastRowFirstColumn="0" w:lastRowLastColumn="0"/>
              <w:rPr>
                <w:lang w:val="en-GB"/>
              </w:rPr>
            </w:pPr>
            <w:r w:rsidRPr="005C0006">
              <w:t>The number of women who answered ‘yes, always’ to question 36 of the VHES maternity questionnaire</w:t>
            </w:r>
          </w:p>
        </w:tc>
        <w:tc>
          <w:tcPr>
            <w:tcW w:w="3402" w:type="dxa"/>
          </w:tcPr>
          <w:p w14:paraId="6CA65811" w14:textId="6ADDAE07" w:rsidR="001A27C3" w:rsidRDefault="001A27C3" w:rsidP="003B4F97">
            <w:pPr>
              <w:pStyle w:val="Tabletext"/>
              <w:cnfStyle w:val="000000000000" w:firstRow="0" w:lastRow="0" w:firstColumn="0" w:lastColumn="0" w:oddVBand="0" w:evenVBand="0" w:oddHBand="0" w:evenHBand="0" w:firstRowFirstColumn="0" w:firstRowLastColumn="0" w:lastRowFirstColumn="0" w:lastRowLastColumn="0"/>
              <w:rPr>
                <w:lang w:val="en-GB"/>
              </w:rPr>
            </w:pPr>
            <w:r w:rsidRPr="005C0006">
              <w:t>The number of women who answered question 36 of the VHES maternity questionnaire</w:t>
            </w:r>
          </w:p>
        </w:tc>
      </w:tr>
      <w:tr w:rsidR="001A27C3" w14:paraId="7AEAE2FA" w14:textId="77777777" w:rsidTr="001A27C3">
        <w:tc>
          <w:tcPr>
            <w:cnfStyle w:val="001000000000" w:firstRow="0" w:lastRow="0" w:firstColumn="1" w:lastColumn="0" w:oddVBand="0" w:evenVBand="0" w:oddHBand="0" w:evenHBand="0" w:firstRowFirstColumn="0" w:firstRowLastColumn="0" w:lastRowFirstColumn="0" w:lastRowLastColumn="0"/>
            <w:tcW w:w="3401" w:type="dxa"/>
          </w:tcPr>
          <w:p w14:paraId="0310FB17" w14:textId="2B470B3F" w:rsidR="001A27C3" w:rsidRDefault="001A27C3" w:rsidP="003B4F97">
            <w:pPr>
              <w:pStyle w:val="Tabletext"/>
              <w:rPr>
                <w:lang w:val="en-GB"/>
              </w:rPr>
            </w:pPr>
            <w:r w:rsidRPr="008333C6">
              <w:t>Indicator 11b:</w:t>
            </w:r>
            <w:r w:rsidRPr="005C0006">
              <w:t xml:space="preserve"> Rate of women who felt that midwives and other health professionals gave them consistent advice about feeding their baby</w:t>
            </w:r>
          </w:p>
        </w:tc>
        <w:tc>
          <w:tcPr>
            <w:tcW w:w="3401" w:type="dxa"/>
          </w:tcPr>
          <w:p w14:paraId="3D7D61F2" w14:textId="5F873DBC" w:rsidR="001A27C3" w:rsidRDefault="001A27C3" w:rsidP="003B4F97">
            <w:pPr>
              <w:pStyle w:val="Tabletext"/>
              <w:cnfStyle w:val="000000000000" w:firstRow="0" w:lastRow="0" w:firstColumn="0" w:lastColumn="0" w:oddVBand="0" w:evenVBand="0" w:oddHBand="0" w:evenHBand="0" w:firstRowFirstColumn="0" w:firstRowLastColumn="0" w:lastRowFirstColumn="0" w:lastRowLastColumn="0"/>
              <w:rPr>
                <w:lang w:val="en-GB"/>
              </w:rPr>
            </w:pPr>
            <w:r w:rsidRPr="005C0006">
              <w:t>The number of women who answered ‘yes, always’ to question 51 of the VHES maternity questionnaire</w:t>
            </w:r>
          </w:p>
        </w:tc>
        <w:tc>
          <w:tcPr>
            <w:tcW w:w="3402" w:type="dxa"/>
          </w:tcPr>
          <w:p w14:paraId="0E234A6D" w14:textId="62584AEF" w:rsidR="001A27C3" w:rsidRDefault="001A27C3" w:rsidP="003B4F97">
            <w:pPr>
              <w:pStyle w:val="Tabletext"/>
              <w:cnfStyle w:val="000000000000" w:firstRow="0" w:lastRow="0" w:firstColumn="0" w:lastColumn="0" w:oddVBand="0" w:evenVBand="0" w:oddHBand="0" w:evenHBand="0" w:firstRowFirstColumn="0" w:firstRowLastColumn="0" w:lastRowFirstColumn="0" w:lastRowLastColumn="0"/>
              <w:rPr>
                <w:lang w:val="en-GB"/>
              </w:rPr>
            </w:pPr>
            <w:r w:rsidRPr="005C0006">
              <w:t>The number of women who answered question 51 of the VHES maternity questionnaire</w:t>
            </w:r>
          </w:p>
        </w:tc>
      </w:tr>
    </w:tbl>
    <w:p w14:paraId="7208F34D" w14:textId="10D3D52B" w:rsidR="00B552FC" w:rsidRDefault="00B552FC" w:rsidP="003B4F97">
      <w:r>
        <w:br w:type="page"/>
      </w:r>
    </w:p>
    <w:p w14:paraId="46038554" w14:textId="4FBB956B" w:rsidR="00B552FC" w:rsidRPr="005036AA" w:rsidRDefault="00B552FC" w:rsidP="00A60C18">
      <w:pPr>
        <w:pStyle w:val="Heading1"/>
        <w:framePr w:wrap="around"/>
        <w:rPr>
          <w:lang w:val="en-GB"/>
        </w:rPr>
      </w:pPr>
      <w:bookmarkStart w:id="15" w:name="_Toc534884579"/>
      <w:bookmarkStart w:id="16" w:name="_Toc62475734"/>
      <w:bookmarkStart w:id="17" w:name="_Toc71710125"/>
      <w:r w:rsidRPr="005036AA">
        <w:rPr>
          <w:lang w:val="en-GB"/>
        </w:rPr>
        <w:t xml:space="preserve">12b: </w:t>
      </w:r>
      <w:r>
        <w:rPr>
          <w:lang w:val="en-GB"/>
        </w:rPr>
        <w:t>M</w:t>
      </w:r>
      <w:r w:rsidRPr="005036AA">
        <w:rPr>
          <w:lang w:val="en-GB"/>
        </w:rPr>
        <w:t xml:space="preserve">aternal </w:t>
      </w:r>
      <w:bookmarkEnd w:id="15"/>
      <w:r>
        <w:rPr>
          <w:lang w:val="en-GB"/>
        </w:rPr>
        <w:t>vaccin</w:t>
      </w:r>
      <w:r w:rsidRPr="005036AA">
        <w:rPr>
          <w:lang w:val="en-GB"/>
        </w:rPr>
        <w:t>ation</w:t>
      </w:r>
      <w:bookmarkEnd w:id="16"/>
      <w:bookmarkEnd w:id="17"/>
    </w:p>
    <w:p w14:paraId="52970C9C" w14:textId="77777777" w:rsidR="00364C09" w:rsidRPr="005036AA" w:rsidRDefault="00364C09" w:rsidP="003B4F97">
      <w:pPr>
        <w:pStyle w:val="IntroductoryText"/>
        <w:rPr>
          <w:lang w:val="en-GB"/>
        </w:rPr>
      </w:pPr>
      <w:r w:rsidRPr="005036AA">
        <w:rPr>
          <w:lang w:val="en-GB"/>
        </w:rPr>
        <w:t>Influenza vaccin</w:t>
      </w:r>
      <w:r>
        <w:rPr>
          <w:lang w:val="en-GB"/>
        </w:rPr>
        <w:t>ation</w:t>
      </w:r>
      <w:r w:rsidRPr="005036AA">
        <w:rPr>
          <w:lang w:val="en-GB"/>
        </w:rPr>
        <w:t>s protect</w:t>
      </w:r>
      <w:r>
        <w:rPr>
          <w:lang w:val="en-GB"/>
        </w:rPr>
        <w:t>s</w:t>
      </w:r>
      <w:r w:rsidRPr="005036AA">
        <w:rPr>
          <w:lang w:val="en-GB"/>
        </w:rPr>
        <w:t xml:space="preserve"> pregnant women and babies</w:t>
      </w:r>
      <w:r>
        <w:rPr>
          <w:lang w:val="en-GB"/>
        </w:rPr>
        <w:t xml:space="preserve"> and are</w:t>
      </w:r>
      <w:r w:rsidRPr="005036AA">
        <w:rPr>
          <w:lang w:val="en-GB"/>
        </w:rPr>
        <w:t xml:space="preserve"> free to all pregnant women in Victoria. Influenza </w:t>
      </w:r>
      <w:r>
        <w:rPr>
          <w:lang w:val="en-GB"/>
        </w:rPr>
        <w:t>vaccin</w:t>
      </w:r>
      <w:r w:rsidRPr="005036AA">
        <w:rPr>
          <w:lang w:val="en-GB"/>
        </w:rPr>
        <w:t xml:space="preserve">ation is recommended for all pregnant women during any </w:t>
      </w:r>
      <w:r>
        <w:rPr>
          <w:lang w:val="en-GB"/>
        </w:rPr>
        <w:t>trimester. T</w:t>
      </w:r>
      <w:r w:rsidRPr="005036AA">
        <w:rPr>
          <w:lang w:val="en-GB"/>
        </w:rPr>
        <w:t>he indicator includes women vaccinated at any point during their pregnancy.</w:t>
      </w:r>
    </w:p>
    <w:p w14:paraId="00CE49EC" w14:textId="77777777" w:rsidR="00BB459B" w:rsidRDefault="00BB459B" w:rsidP="003B4F97">
      <w:pPr>
        <w:pStyle w:val="Heading2"/>
        <w:rPr>
          <w:lang w:val="en-GB"/>
        </w:rPr>
      </w:pPr>
      <w:r>
        <w:rPr>
          <w:lang w:val="en-GB"/>
        </w:rPr>
        <w:t>About this indicator</w:t>
      </w:r>
    </w:p>
    <w:p w14:paraId="486DA557" w14:textId="7389235B" w:rsidR="001A27C3" w:rsidRPr="00A60C18" w:rsidRDefault="001A27C3" w:rsidP="003B4F97">
      <w:pPr>
        <w:pStyle w:val="Normalfollowingheading"/>
        <w:rPr>
          <w:lang w:val="en-GB"/>
        </w:rPr>
      </w:pPr>
      <w:r w:rsidRPr="00A60C18">
        <w:rPr>
          <w:lang w:val="en-GB"/>
        </w:rPr>
        <w:t xml:space="preserve">This indicator </w:t>
      </w:r>
      <w:r w:rsidR="00336764" w:rsidRPr="00A60C18">
        <w:rPr>
          <w:lang w:val="en-GB"/>
        </w:rPr>
        <w:t>(</w:t>
      </w:r>
      <w:r w:rsidR="00ED3FBA" w:rsidRPr="00A60C18">
        <w:rPr>
          <w:lang w:val="en-GB"/>
        </w:rPr>
        <w:t xml:space="preserve">Indicator </w:t>
      </w:r>
      <w:r w:rsidR="00336764" w:rsidRPr="00A60C18">
        <w:rPr>
          <w:rFonts w:eastAsia="Times New Roman"/>
          <w:spacing w:val="2"/>
          <w:lang w:val="en-GB" w:eastAsia="en-AU"/>
        </w:rPr>
        <w:t>12b</w:t>
      </w:r>
      <w:r w:rsidR="00336764" w:rsidRPr="00A60C18">
        <w:rPr>
          <w:lang w:val="en-GB"/>
        </w:rPr>
        <w:t xml:space="preserve">) </w:t>
      </w:r>
      <w:r w:rsidRPr="00A60C18">
        <w:rPr>
          <w:lang w:val="en-GB"/>
        </w:rPr>
        <w:t>presents the proportion of women who were vaccinated against influenza (flu) at any time during their pregnancy.</w:t>
      </w:r>
    </w:p>
    <w:p w14:paraId="48983869" w14:textId="77777777" w:rsidR="003048EE" w:rsidRPr="005036AA" w:rsidRDefault="003048EE" w:rsidP="003B4F97">
      <w:pPr>
        <w:rPr>
          <w:lang w:val="en-GB"/>
        </w:rPr>
      </w:pPr>
      <w:r w:rsidRPr="005036AA">
        <w:rPr>
          <w:lang w:val="en-GB"/>
        </w:rPr>
        <w:t>Influenza vaccine protect</w:t>
      </w:r>
      <w:r>
        <w:rPr>
          <w:lang w:val="en-GB"/>
        </w:rPr>
        <w:t>s</w:t>
      </w:r>
      <w:r w:rsidRPr="005036AA">
        <w:rPr>
          <w:lang w:val="en-GB"/>
        </w:rPr>
        <w:t xml:space="preserve"> pregnant women from viral and bacterial infections, complications while pregnant and serious complications in their babies.</w:t>
      </w:r>
    </w:p>
    <w:p w14:paraId="12B8FE8C" w14:textId="77777777" w:rsidR="003048EE" w:rsidRPr="005036AA" w:rsidRDefault="003048EE" w:rsidP="003B4F97">
      <w:pPr>
        <w:rPr>
          <w:lang w:val="en-GB"/>
        </w:rPr>
      </w:pPr>
      <w:r>
        <w:rPr>
          <w:lang w:val="en-GB"/>
        </w:rPr>
        <w:t>The influenza vaccine is</w:t>
      </w:r>
      <w:r w:rsidRPr="005036AA">
        <w:rPr>
          <w:lang w:val="en-GB"/>
        </w:rPr>
        <w:t xml:space="preserve"> available free to all pregnant women in Victoria. Influenza vaccination is recommended for all pregnant women during any trimester</w:t>
      </w:r>
      <w:r>
        <w:rPr>
          <w:lang w:val="en-GB"/>
        </w:rPr>
        <w:t>.</w:t>
      </w:r>
      <w:r w:rsidRPr="005036AA">
        <w:rPr>
          <w:lang w:val="en-GB"/>
        </w:rPr>
        <w:t xml:space="preserve"> </w:t>
      </w:r>
      <w:r>
        <w:rPr>
          <w:lang w:val="en-GB"/>
        </w:rPr>
        <w:t>T</w:t>
      </w:r>
      <w:r w:rsidRPr="005036AA">
        <w:rPr>
          <w:lang w:val="en-GB"/>
        </w:rPr>
        <w:t>he indicator includes women vaccinated at any point during their pregnancy.</w:t>
      </w:r>
    </w:p>
    <w:p w14:paraId="363335B1" w14:textId="6AC8EF27" w:rsidR="001A27C3" w:rsidRPr="005036AA" w:rsidRDefault="001A27C3" w:rsidP="003B4F97">
      <w:pPr>
        <w:pStyle w:val="Bullet1"/>
        <w:numPr>
          <w:ilvl w:val="0"/>
          <w:numId w:val="0"/>
        </w:numPr>
        <w:rPr>
          <w:lang w:val="en-GB"/>
        </w:rPr>
      </w:pPr>
      <w:r>
        <w:rPr>
          <w:lang w:val="en-GB"/>
        </w:rPr>
        <w:t xml:space="preserve">Note that </w:t>
      </w:r>
      <w:r w:rsidR="00FB18DC" w:rsidRPr="00225BDA">
        <w:rPr>
          <w:rFonts w:ascii="VIC Medium" w:hAnsi="VIC Medium"/>
          <w:lang w:val="en-GB"/>
        </w:rPr>
        <w:t>I</w:t>
      </w:r>
      <w:r w:rsidRPr="00225BDA">
        <w:rPr>
          <w:rFonts w:ascii="VIC Medium" w:hAnsi="VIC Medium"/>
          <w:lang w:val="en-GB"/>
        </w:rPr>
        <w:t>ndicator 12a</w:t>
      </w:r>
      <w:r>
        <w:rPr>
          <w:lang w:val="en-GB"/>
        </w:rPr>
        <w:t xml:space="preserve">, the rate of women vaccinated for pertussis, is not included in this </w:t>
      </w:r>
      <w:r w:rsidR="00B1224C">
        <w:rPr>
          <w:lang w:val="en-GB"/>
        </w:rPr>
        <w:t xml:space="preserve">year’s </w:t>
      </w:r>
      <w:r>
        <w:rPr>
          <w:lang w:val="en-GB"/>
        </w:rPr>
        <w:t xml:space="preserve">report. </w:t>
      </w:r>
    </w:p>
    <w:p w14:paraId="3AB0B60A" w14:textId="5EA3B2E1" w:rsidR="00BB459B" w:rsidRDefault="00BB459B" w:rsidP="003B4F97">
      <w:pPr>
        <w:pStyle w:val="Heading2"/>
      </w:pPr>
      <w:r>
        <w:t>Observations on the data</w:t>
      </w:r>
    </w:p>
    <w:p w14:paraId="1CCAAAAD" w14:textId="28AE1D8F" w:rsidR="00364C09" w:rsidRPr="00471C1F" w:rsidRDefault="00364C09" w:rsidP="003B4F97">
      <w:pPr>
        <w:pStyle w:val="Normalfollowingheading"/>
        <w:rPr>
          <w:lang w:val="en-GB"/>
        </w:rPr>
      </w:pPr>
      <w:r w:rsidRPr="00471C1F">
        <w:t xml:space="preserve">In 2019, 74.6 per cent of women were vaccinated for influenza during pregnancy </w:t>
      </w:r>
      <w:r w:rsidRPr="00D906CC">
        <w:rPr>
          <w:lang w:val="en-GB"/>
        </w:rPr>
        <w:t>(</w:t>
      </w:r>
      <w:r w:rsidRPr="00225BDA">
        <w:rPr>
          <w:rFonts w:ascii="VIC Medium" w:hAnsi="VIC Medium"/>
          <w:lang w:val="en-GB"/>
        </w:rPr>
        <w:t>Indicator 12b</w:t>
      </w:r>
      <w:r w:rsidRPr="00D906CC">
        <w:rPr>
          <w:lang w:val="en-GB"/>
        </w:rPr>
        <w:t>)</w:t>
      </w:r>
      <w:r w:rsidRPr="00471C1F">
        <w:rPr>
          <w:lang w:val="en-GB"/>
        </w:rPr>
        <w:t>. This was a significant increase from the previous year’s rate of 67.1 per cent (p&lt;0.001). The vaccination rate for public hospitals was higher compared to private hospitals (75.8 per cent and 70.9 per cent, respectively, p&lt;0.001).</w:t>
      </w:r>
    </w:p>
    <w:p w14:paraId="26027668" w14:textId="77777777" w:rsidR="00364C09" w:rsidRPr="00B552FC" w:rsidRDefault="00364C09" w:rsidP="003B4F97">
      <w:pPr>
        <w:rPr>
          <w:lang w:val="en-GB"/>
        </w:rPr>
      </w:pPr>
      <w:r w:rsidRPr="00471C1F">
        <w:rPr>
          <w:lang w:val="en-GB"/>
        </w:rPr>
        <w:t>It is worth noting that there were significant numbers of missing data in some hospitals. This affects the accuracy of the data and reduces the extent to which this indicator can be used. It is important for hospitals to minimise missing data to increase the validity of the data.</w:t>
      </w:r>
    </w:p>
    <w:p w14:paraId="36CAC133" w14:textId="77777777" w:rsidR="001A27C3" w:rsidRDefault="001A27C3" w:rsidP="003B4F97">
      <w:pPr>
        <w:rPr>
          <w:rFonts w:ascii="VIC SemiBold" w:hAnsi="VIC SemiBold"/>
          <w:color w:val="007586" w:themeColor="text2"/>
          <w:spacing w:val="2"/>
          <w:szCs w:val="18"/>
          <w:lang w:val="en-GB" w:eastAsia="en-AU"/>
        </w:rPr>
      </w:pPr>
      <w:r>
        <w:br w:type="page"/>
      </w:r>
    </w:p>
    <w:p w14:paraId="634FF616" w14:textId="659F9958" w:rsidR="00B552FC" w:rsidRPr="005036AA" w:rsidRDefault="00B552FC" w:rsidP="003B4F97">
      <w:pPr>
        <w:pStyle w:val="Tablechartdiagramheading"/>
      </w:pPr>
      <w:r w:rsidRPr="005036AA">
        <w:t>Figure 3</w:t>
      </w:r>
      <w:r>
        <w:t>0</w:t>
      </w:r>
      <w:r w:rsidRPr="005036AA">
        <w:t xml:space="preserve">. Indicator 12b: </w:t>
      </w:r>
      <w:r>
        <w:t>R</w:t>
      </w:r>
      <w:r w:rsidRPr="005036AA">
        <w:t>ate of women vaccinated for influenza during pregnancy</w:t>
      </w:r>
      <w:r>
        <w:t>, 2019</w:t>
      </w:r>
    </w:p>
    <w:p w14:paraId="5797ED1B" w14:textId="687C0193" w:rsidR="00B552FC" w:rsidRDefault="006A6B0D" w:rsidP="003B4F97">
      <w:r w:rsidRPr="00364C09">
        <mc:AlternateContent>
          <mc:Choice Requires="wps">
            <w:drawing>
              <wp:anchor distT="0" distB="0" distL="114300" distR="114300" simplePos="0" relativeHeight="251658264" behindDoc="0" locked="0" layoutInCell="1" allowOverlap="1" wp14:anchorId="637F9E67" wp14:editId="1D5F178E">
                <wp:simplePos x="0" y="0"/>
                <wp:positionH relativeFrom="column">
                  <wp:posOffset>5375080</wp:posOffset>
                </wp:positionH>
                <wp:positionV relativeFrom="paragraph">
                  <wp:posOffset>154647</wp:posOffset>
                </wp:positionV>
                <wp:extent cx="808892" cy="6914271"/>
                <wp:effectExtent l="0" t="0" r="0" b="1270"/>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8892" cy="6914271"/>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B60647" id="Rectangle 9" o:spid="_x0000_s1026" style="position:absolute;margin-left:423.25pt;margin-top:12.2pt;width:63.7pt;height:544.4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ogGpgIAAKYFAAAOAAAAZHJzL2Uyb0RvYy54bWysVEtv2zAMvg/YfxB0X/1AH0lQpwhadBhQ&#10;tEXToWdFlmIDsqhJSpzs14+SbLfrusuwHBRRJD+Sn0leXh06RfbCuhZ0RYuTnBKhOdSt3lb0+/Pt&#10;lxklzjNdMwVaVPQoHL1afv502ZuFKKEBVQtLEES7RW8q2nhvFlnmeCM65k7ACI1KCbZjHkW7zWrL&#10;ekTvVFbm+XnWg62NBS6cw9ebpKTLiC+l4P5BSic8URXF3Hw8bTw34cyWl2yxtcw0LR/SYP+QRcda&#10;jUEnqBvmGdnZ9g+oruUWHEh/wqHLQMqWi1gDVlPk76pZN8yIWAuS48xEk/t/sPx+/2hJW1d0Tolm&#10;HX6iJySN6a0SZB7o6Y1boNXaPNpBcngNtR6k7cI/VkEOkdLjRKk4eMLxcZbPZvOSEo6q83lxWl4U&#10;ATR79TbW+a8COhIuFbUYPTLJ9nfOJ9PRJARzoNr6tlUqCna7uVaW7Bl+3nl5k5/lyVeZhqXXIi/m&#10;50NIl8xj+N9wlA5oGgJuChleslB6Kjbe/FGJYKf0k5DIGZZXxnCxW8WUCONcaF8kVcNqkTI5y/E3&#10;ZhL6O3jEXCJgQJYYf8IeAEbLBDJipywH++AqYrNPzomHvySWnCePGBm0n5y7VoP9qDKFVQ2Rk/1I&#10;UqImsLSB+ogdZSGNmjP8tsUPe8ecf2QWZwunEPeFf8BDKugrCsONkgbsz4/egz22PGop6XFWK+p+&#10;7JgVlKhvGocB++o0DHcUTs8uShTsW83mrUbvumvAfilwMxker8Heq/EqLXQvuFZWISqqmOYYu6Lc&#10;21G49mmH4GLiYrWKZjjQhvk7vTY8gAdWQ+M+H16YNUN3e5yLexjnmi3eNXmyDZ4aVjsPso0T8Mrr&#10;wDcug9g4w+IK2+atHK1e1+vyFwAAAP//AwBQSwMEFAAGAAgAAAAhALf5ycHiAAAACwEAAA8AAABk&#10;cnMvZG93bnJldi54bWxMj9FOg0AQRd9N/IfNmPhmFwrUgiyN0UjS6IO2/YAtjEBlZ5HdtvTvHZ/0&#10;cXJP7j2TrybTixOOrrOkIJwFIJAqW3fUKNhtX+6WIJzXVOveEiq4oINVcX2V66y2Z/rA08Y3gkvI&#10;ZVpB6/2QSemqFo12MzsgcfZpR6M9n2Mj61Gfudz0ch4EC2l0R7zQ6gGfWqy+NkejIH57Plg5JIek&#10;MWn5/v26vpTlWqnbm+nxAYTHyf/B8KvP6lCw094eqXaiV7CMFwmjCuZxDIKB9D5KQeyZDMMoAlnk&#10;8v8PxQ8AAAD//wMAUEsBAi0AFAAGAAgAAAAhALaDOJL+AAAA4QEAABMAAAAAAAAAAAAAAAAAAAAA&#10;AFtDb250ZW50X1R5cGVzXS54bWxQSwECLQAUAAYACAAAACEAOP0h/9YAAACUAQAACwAAAAAAAAAA&#10;AAAAAAAvAQAAX3JlbHMvLnJlbHNQSwECLQAUAAYACAAAACEAt0KIBqYCAACmBQAADgAAAAAAAAAA&#10;AAAAAAAuAgAAZHJzL2Uyb0RvYy54bWxQSwECLQAUAAYACAAAACEAt/nJweIAAAALAQAADwAAAAAA&#10;AAAAAAAAAAAABQAAZHJzL2Rvd25yZXYueG1sUEsFBgAAAAAEAAQA8wAAAA8GAAAAAA==&#10;" fillcolor="#92d050" stroked="f" strokeweight="2pt">
                <v:fill opacity="6682f"/>
              </v:rect>
            </w:pict>
          </mc:Fallback>
        </mc:AlternateContent>
      </w:r>
      <w:r w:rsidRPr="00364C09">
        <mc:AlternateContent>
          <mc:Choice Requires="wps">
            <w:drawing>
              <wp:anchor distT="0" distB="0" distL="114300" distR="114300" simplePos="0" relativeHeight="251658265" behindDoc="0" locked="0" layoutInCell="1" allowOverlap="1" wp14:anchorId="6054256A" wp14:editId="0176532B">
                <wp:simplePos x="0" y="0"/>
                <wp:positionH relativeFrom="column">
                  <wp:posOffset>2048070</wp:posOffset>
                </wp:positionH>
                <wp:positionV relativeFrom="paragraph">
                  <wp:posOffset>154647</wp:posOffset>
                </wp:positionV>
                <wp:extent cx="2933114" cy="6875780"/>
                <wp:effectExtent l="0" t="0" r="635" b="127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33114" cy="6875780"/>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DB65B4" id="Rectangle 13" o:spid="_x0000_s1026" style="position:absolute;margin-left:161.25pt;margin-top:12.2pt;width:230.95pt;height:541.4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i/qAIAAKkFAAAOAAAAZHJzL2Uyb0RvYy54bWysVE1v2zAMvQ/YfxB0Xx2n6VdQpwhaZBhQ&#10;dEXboWdFlmIBsqhJSpzs14+SbDfousuwHBRKJB/JZ5LXN/tWk51wXoGpaHkyoUQYDrUym4r+eFl9&#10;uaTEB2ZqpsGIih6EpzeLz5+uOzsXU2hA18IRBDF+3tmKNiHYeVF43oiW+ROwwqBSgmtZwKvbFLVj&#10;HaK3uphOJudFB662DrjwHl/vspIuEr6UgofvUnoRiK4o5hbS6dK5jmexuGbzjWO2UbxPg/1DFi1T&#10;BoOOUHcsMLJ16g+oVnEHHmQ44dAWIKXiItWA1ZSTd9U8N8yKVAuS4+1Ik/9/sPxh9+iIqvHbnVJi&#10;WIvf6AlZY2ajBcE3JKizfo52z/bR9TePYqx2L10b/7EOsk+kHkZSxT4Qjo/Tq9PTspxRwlF3fnlx&#10;dnGZaC/e3K3z4auAlkShog7jJzLZ7t4HDImmg0mM5kGreqW0The3Wd9qR3YMv/BqNcFf9tW2Yfm1&#10;nJRX57EQxPHZPMvHONpENAMRN5vGlyLWnqtNUjhoEe20eRISaYv1pXCpYcWYCONcmFBmVcNqkTM5&#10;S+n1mcQWjx4plwQYkSXGH7F7gMEygwzYGaa3j64i9fvonHn4S2LZefRIkcGE0blVBtxHlWmsqo+c&#10;7QeSMjWRpTXUB2wqB3navOUrhR/2nvnwyByOFw4irozwHQ+poaso9BIlDbhfH71He+x61FLS4bhW&#10;1P/cMico0d8MzsNVOZvF+U6X2dnFFC/uWLM+1phtewvYLyUuJ8uTGO2DHkTpoH3FzbKMUVHFDMfY&#10;FeXBDZfbkNcI7iYulstkhjNtWbg3z5ZH8MhqbNyX/Stztu/ugIPxAMNos/m7Js+20dPAchtAqjQB&#10;b7z2fOM+SI3T7664cI7vyeptwy5+AwAA//8DAFBLAwQUAAYACAAAACEA8uS+398AAAALAQAADwAA&#10;AGRycy9kb3ducmV2LnhtbEyPwU7DMAyG70i8Q2QkbixdGNvUNZ0QCHZlA00cs8ZrC41TNdnavj3e&#10;adxs+dPv78/Wg2vEGbtQe9IwnSQgkApvayo1fH2+PSxBhGjImsYTahgxwDq/vclMan1PWzzvYik4&#10;hEJqNFQxtqmUoajQmTDxLRLfjr5zJvLaldJ2pudw10iVJHPpTE38oTItvlRY/O5OTkPxHfYf27h5&#10;/SlpfJ/3/b7bjErr+7vheQUi4hCvMFz0WR1ydjr4E9kgGg2PSj0xqkHNZiAYWCwvw4HJabJQIPNM&#10;/u+Q/wEAAP//AwBQSwECLQAUAAYACAAAACEAtoM4kv4AAADhAQAAEwAAAAAAAAAAAAAAAAAAAAAA&#10;W0NvbnRlbnRfVHlwZXNdLnhtbFBLAQItABQABgAIAAAAIQA4/SH/1gAAAJQBAAALAAAAAAAAAAAA&#10;AAAAAC8BAABfcmVscy8ucmVsc1BLAQItABQABgAIAAAAIQDTt3i/qAIAAKkFAAAOAAAAAAAAAAAA&#10;AAAAAC4CAABkcnMvZTJvRG9jLnhtbFBLAQItABQABgAIAAAAIQDy5L7f3wAAAAsBAAAPAAAAAAAA&#10;AAAAAAAAAAIFAABkcnMvZG93bnJldi54bWxQSwUGAAAAAAQABADzAAAADgYAAAAA&#10;" fillcolor="red" stroked="f" strokeweight="2pt">
                <v:fill opacity="6682f"/>
              </v:rect>
            </w:pict>
          </mc:Fallback>
        </mc:AlternateContent>
      </w:r>
      <w:r w:rsidR="00B552FC">
        <w:drawing>
          <wp:inline distT="0" distB="0" distL="0" distR="0" wp14:anchorId="3F2D0C9A" wp14:editId="171A037C">
            <wp:extent cx="6480000" cy="7200000"/>
            <wp:effectExtent l="0" t="0" r="0" b="1270"/>
            <wp:docPr id="31" name="Chart 31" descr="This bar graph shows the rates at each hospital and statewide of women vaccinated for influenza during pregnancy. A greater proportion of private than public hospitals had rates that fell into the least favourable 25% of hospitals.">
              <a:extLst xmlns:a="http://schemas.openxmlformats.org/drawingml/2006/main">
                <a:ext uri="{FF2B5EF4-FFF2-40B4-BE49-F238E27FC236}">
                  <a16:creationId xmlns:a16="http://schemas.microsoft.com/office/drawing/2014/main" id="{85749EE8-122D-42B9-AA8D-80EA7FBAA2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B552FC">
        <w:br w:type="page"/>
      </w:r>
    </w:p>
    <w:p w14:paraId="1AF4A859" w14:textId="77777777" w:rsidR="00B552FC" w:rsidRPr="00332F16" w:rsidRDefault="00B552FC" w:rsidP="003B4F97">
      <w:pPr>
        <w:pStyle w:val="Tablechartdiagramheading"/>
      </w:pPr>
      <w:r w:rsidRPr="009C58E7">
        <w:t xml:space="preserve">Figure </w:t>
      </w:r>
      <w:r>
        <w:t>3</w:t>
      </w:r>
      <w:r w:rsidRPr="00994C5C">
        <w:t xml:space="preserve">1. Funnel plot of </w:t>
      </w:r>
      <w:r>
        <w:t>the rate of women vaccinated for influenza during pregnancy</w:t>
      </w:r>
      <w:r w:rsidRPr="00994C5C">
        <w:t>, 201</w:t>
      </w:r>
      <w:r>
        <w:t>9</w:t>
      </w:r>
    </w:p>
    <w:p w14:paraId="099AD14E" w14:textId="4AA646AF" w:rsidR="00B552FC" w:rsidRDefault="00B552FC" w:rsidP="003B4F97">
      <w:r>
        <w:drawing>
          <wp:inline distT="0" distB="0" distL="0" distR="0" wp14:anchorId="04474F8D" wp14:editId="0F34B190">
            <wp:extent cx="5230011" cy="3780000"/>
            <wp:effectExtent l="0" t="0" r="8890" b="0"/>
            <wp:docPr id="47" name="Picture 47" descr="This funnel plot shows the distribution of rates of women vaccinated for influenza during pregnancy. A number of both public and private hospitals had rates that were statistically significantly lower than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funnel plot shows the distribution of rates of women vaccinated for influenza during pregnancy. A number of both public and private hospitals had rates that were statistically significantly lower than average."/>
                    <pic:cNvPicPr/>
                  </pic:nvPicPr>
                  <pic:blipFill rotWithShape="1">
                    <a:blip r:embed="rId53">
                      <a:extLst>
                        <a:ext uri="{28A0092B-C50C-407E-A947-70E740481C1C}">
                          <a14:useLocalDpi xmlns:a14="http://schemas.microsoft.com/office/drawing/2010/main" val="0"/>
                        </a:ext>
                      </a:extLst>
                    </a:blip>
                    <a:srcRect t="4034"/>
                    <a:stretch/>
                  </pic:blipFill>
                  <pic:spPr bwMode="auto">
                    <a:xfrm>
                      <a:off x="0" y="0"/>
                      <a:ext cx="5230011" cy="3780000"/>
                    </a:xfrm>
                    <a:prstGeom prst="rect">
                      <a:avLst/>
                    </a:prstGeom>
                    <a:ln>
                      <a:noFill/>
                    </a:ln>
                    <a:extLst>
                      <a:ext uri="{53640926-AAD7-44D8-BBD7-CCE9431645EC}">
                        <a14:shadowObscured xmlns:a14="http://schemas.microsoft.com/office/drawing/2010/main"/>
                      </a:ext>
                    </a:extLst>
                  </pic:spPr>
                </pic:pic>
              </a:graphicData>
            </a:graphic>
          </wp:inline>
        </w:drawing>
      </w:r>
    </w:p>
    <w:p w14:paraId="5D3352FD"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3D62E29C" w14:textId="0C253E75" w:rsidR="00364C09" w:rsidRPr="005036AA" w:rsidRDefault="00364C09" w:rsidP="003B4F97">
      <w:pPr>
        <w:pStyle w:val="Heading2"/>
      </w:pPr>
      <w:r w:rsidRPr="005036AA">
        <w:t>Definition</w:t>
      </w:r>
      <w:r w:rsidR="00ED3FBA">
        <w:t>s and data sources</w:t>
      </w:r>
    </w:p>
    <w:p w14:paraId="06C7BA8A" w14:textId="222B78BD" w:rsidR="001A27C3" w:rsidRPr="000262E1" w:rsidRDefault="001A27C3" w:rsidP="003B4F97">
      <w:pPr>
        <w:pStyle w:val="Normalfollowingheading"/>
      </w:pPr>
      <w:r w:rsidRPr="005036AA">
        <w:rPr>
          <w:lang w:val="en-GB"/>
        </w:rPr>
        <w:t xml:space="preserve">The proportion of women who were vaccinated for </w:t>
      </w:r>
      <w:r w:rsidR="00B641E4">
        <w:rPr>
          <w:lang w:val="en-GB"/>
        </w:rPr>
        <w:t>influenza</w:t>
      </w:r>
      <w:r w:rsidRPr="005036AA">
        <w:rPr>
          <w:lang w:val="en-GB"/>
        </w:rPr>
        <w:t xml:space="preserve"> at any time during their pregnancy</w:t>
      </w:r>
      <w:r w:rsidDel="007D7D3F">
        <w:rPr>
          <w:lang w:val="en-GB"/>
        </w:rPr>
        <w:t>.</w:t>
      </w:r>
    </w:p>
    <w:p w14:paraId="4A114CA2" w14:textId="5B161196" w:rsidR="001A27C3" w:rsidRPr="005036AA" w:rsidRDefault="001A27C3" w:rsidP="00A60C18">
      <w:pPr>
        <w:pStyle w:val="Heading4"/>
      </w:pPr>
      <w:r w:rsidRPr="005036AA">
        <w:t>Data source: Victorian Perinatal Data Collection</w:t>
      </w:r>
    </w:p>
    <w:p w14:paraId="14B5C04A" w14:textId="77777777" w:rsidR="001A27C3" w:rsidRPr="005036AA" w:rsidRDefault="001A27C3" w:rsidP="003B4F97">
      <w:pPr>
        <w:pStyle w:val="Normalfollowingheading"/>
        <w:rPr>
          <w:lang w:val="en-GB"/>
        </w:rPr>
      </w:pPr>
      <w:r w:rsidRPr="005036AA">
        <w:rPr>
          <w:lang w:val="en-GB"/>
        </w:rPr>
        <w:t xml:space="preserve">Data </w:t>
      </w:r>
      <w:r>
        <w:rPr>
          <w:lang w:val="en-GB"/>
        </w:rPr>
        <w:t xml:space="preserve">for this indicator is sourced </w:t>
      </w:r>
      <w:r w:rsidRPr="005036AA">
        <w:rPr>
          <w:lang w:val="en-GB"/>
        </w:rPr>
        <w:t xml:space="preserve">from the VPDC </w:t>
      </w:r>
      <w:r>
        <w:rPr>
          <w:lang w:val="en-GB"/>
        </w:rPr>
        <w:t>for the</w:t>
      </w:r>
      <w:r w:rsidRPr="005036AA">
        <w:rPr>
          <w:lang w:val="en-GB"/>
        </w:rPr>
        <w:t xml:space="preserve"> calendar year from 1 January 201</w:t>
      </w:r>
      <w:r>
        <w:rPr>
          <w:lang w:val="en-GB"/>
        </w:rPr>
        <w:t>9</w:t>
      </w:r>
      <w:r w:rsidRPr="005036AA">
        <w:rPr>
          <w:lang w:val="en-GB"/>
        </w:rPr>
        <w:t xml:space="preserve"> to 31 December 201</w:t>
      </w:r>
      <w:r>
        <w:rPr>
          <w:lang w:val="en-GB"/>
        </w:rPr>
        <w:t>9</w:t>
      </w:r>
      <w:r w:rsidRPr="005036AA">
        <w:rPr>
          <w:lang w:val="en-GB"/>
        </w:rPr>
        <w:t>.</w:t>
      </w:r>
    </w:p>
    <w:p w14:paraId="1B9E9DC4" w14:textId="65CB595A" w:rsidR="001A27C3" w:rsidRDefault="001A27C3" w:rsidP="003B4F97">
      <w:pPr>
        <w:rPr>
          <w:lang w:val="en-GB"/>
        </w:rPr>
      </w:pPr>
      <w:r w:rsidRPr="005036AA">
        <w:rPr>
          <w:lang w:val="en-GB"/>
        </w:rPr>
        <w:t>Th</w:t>
      </w:r>
      <w:r>
        <w:rPr>
          <w:lang w:val="en-GB"/>
        </w:rPr>
        <w:t>is</w:t>
      </w:r>
      <w:r w:rsidRPr="005036AA">
        <w:rPr>
          <w:lang w:val="en-GB"/>
        </w:rPr>
        <w:t xml:space="preserve"> indicator is derived using the following VPDC variables: ‘</w:t>
      </w:r>
      <w:r>
        <w:rPr>
          <w:lang w:val="en-GB"/>
        </w:rPr>
        <w:t>i</w:t>
      </w:r>
      <w:r w:rsidRPr="005036AA">
        <w:rPr>
          <w:lang w:val="en-GB"/>
        </w:rPr>
        <w:t>nfluenza vaccination status’</w:t>
      </w:r>
      <w:r w:rsidR="00B641E4">
        <w:rPr>
          <w:lang w:val="en-GB"/>
        </w:rPr>
        <w:t xml:space="preserve"> and</w:t>
      </w:r>
      <w:r w:rsidRPr="005036AA">
        <w:rPr>
          <w:lang w:val="en-GB"/>
        </w:rPr>
        <w:t xml:space="preserve"> ‘</w:t>
      </w:r>
      <w:r w:rsidR="00B641E4">
        <w:rPr>
          <w:lang w:val="en-GB"/>
        </w:rPr>
        <w:t>birth order</w:t>
      </w:r>
      <w:r w:rsidRPr="005036AA">
        <w:rPr>
          <w:lang w:val="en-GB"/>
        </w:rPr>
        <w:t>’.</w:t>
      </w:r>
    </w:p>
    <w:p w14:paraId="2F173B9A" w14:textId="2623BA74" w:rsidR="001A27C3" w:rsidRDefault="001A27C3" w:rsidP="003B4F97">
      <w:pPr>
        <w:pStyle w:val="Tablechartdiagramheading"/>
      </w:pPr>
      <w:r w:rsidRPr="005036AA">
        <w:t>Numerator/denominator</w:t>
      </w:r>
    </w:p>
    <w:tbl>
      <w:tblPr>
        <w:tblStyle w:val="TableGrid"/>
        <w:tblW w:w="0" w:type="auto"/>
        <w:tblLook w:val="04A0" w:firstRow="1" w:lastRow="0" w:firstColumn="1" w:lastColumn="0" w:noHBand="0" w:noVBand="1"/>
      </w:tblPr>
      <w:tblGrid>
        <w:gridCol w:w="3401"/>
        <w:gridCol w:w="3401"/>
        <w:gridCol w:w="3402"/>
      </w:tblGrid>
      <w:tr w:rsidR="001A27C3" w14:paraId="3606B719" w14:textId="77777777" w:rsidTr="000346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1BD1570" w14:textId="1D5996EF" w:rsidR="001A27C3" w:rsidRDefault="001A27C3" w:rsidP="003B4F97">
            <w:pPr>
              <w:rPr>
                <w:lang w:val="en-GB" w:eastAsia="en-AU"/>
              </w:rPr>
            </w:pPr>
            <w:r w:rsidRPr="008333C6">
              <w:t>Indicator</w:t>
            </w:r>
          </w:p>
        </w:tc>
        <w:tc>
          <w:tcPr>
            <w:tcW w:w="3401"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3DEC35AA" w14:textId="11002286" w:rsidR="001A27C3" w:rsidRDefault="001A27C3"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8333C6">
              <w:t>Numerator</w:t>
            </w:r>
          </w:p>
        </w:tc>
        <w:tc>
          <w:tcPr>
            <w:tcW w:w="340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9D39BA4" w14:textId="4D391E09" w:rsidR="001A27C3" w:rsidRDefault="001A27C3"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8333C6">
              <w:t>Denominator</w:t>
            </w:r>
          </w:p>
        </w:tc>
      </w:tr>
      <w:tr w:rsidR="001A27C3" w14:paraId="65E773DA" w14:textId="77777777" w:rsidTr="001A27C3">
        <w:tc>
          <w:tcPr>
            <w:cnfStyle w:val="001000000000" w:firstRow="0" w:lastRow="0" w:firstColumn="1" w:lastColumn="0" w:oddVBand="0" w:evenVBand="0" w:oddHBand="0" w:evenHBand="0" w:firstRowFirstColumn="0" w:firstRowLastColumn="0" w:lastRowFirstColumn="0" w:lastRowLastColumn="0"/>
            <w:tcW w:w="3401" w:type="dxa"/>
          </w:tcPr>
          <w:p w14:paraId="3AAB0FBA" w14:textId="5A51D63B" w:rsidR="001A27C3" w:rsidRDefault="001A27C3" w:rsidP="003B4F97">
            <w:pPr>
              <w:rPr>
                <w:lang w:val="en-GB" w:eastAsia="en-AU"/>
              </w:rPr>
            </w:pPr>
            <w:r w:rsidRPr="008333C6">
              <w:t>Indicator 12b: The rate of women vaccinated for influenza during pregnancy</w:t>
            </w:r>
          </w:p>
        </w:tc>
        <w:tc>
          <w:tcPr>
            <w:tcW w:w="3401" w:type="dxa"/>
          </w:tcPr>
          <w:p w14:paraId="4F871DA6" w14:textId="109488D4" w:rsidR="001A27C3" w:rsidRDefault="001A27C3"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8333C6">
              <w:t>The number of women who received an influenza vaccine at any point during pregnancy</w:t>
            </w:r>
          </w:p>
        </w:tc>
        <w:tc>
          <w:tcPr>
            <w:tcW w:w="3402" w:type="dxa"/>
          </w:tcPr>
          <w:p w14:paraId="0D89434C" w14:textId="5E38824A" w:rsidR="001A27C3" w:rsidRDefault="001A27C3"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8333C6">
              <w:t>The number of women who gave birth in</w:t>
            </w:r>
            <w:r w:rsidR="00FB18DC">
              <w:rPr>
                <w:rFonts w:ascii="Cambria" w:hAnsi="Cambria" w:cs="Cambria"/>
              </w:rPr>
              <w:t xml:space="preserve"> </w:t>
            </w:r>
            <w:r w:rsidRPr="008333C6">
              <w:t>Victoria</w:t>
            </w:r>
          </w:p>
        </w:tc>
      </w:tr>
    </w:tbl>
    <w:p w14:paraId="32BA1B4B" w14:textId="25D94C10" w:rsidR="007D4221" w:rsidRDefault="007D4221" w:rsidP="003B4F97">
      <w:r>
        <w:br w:type="page"/>
      </w:r>
    </w:p>
    <w:p w14:paraId="158AF247" w14:textId="77777777" w:rsidR="003910A0" w:rsidRPr="00460717" w:rsidRDefault="003910A0" w:rsidP="00A60C18">
      <w:pPr>
        <w:pStyle w:val="Heading1"/>
        <w:framePr w:wrap="around"/>
        <w:rPr>
          <w:lang w:val="en-GB"/>
        </w:rPr>
      </w:pPr>
      <w:bookmarkStart w:id="18" w:name="_Toc71710126"/>
      <w:r w:rsidRPr="00460717">
        <w:rPr>
          <w:lang w:val="en-GB"/>
        </w:rPr>
        <w:t>13: Women who had a severe postpartum haemorrhage within the 24 hours following birth, 2019</w:t>
      </w:r>
      <w:bookmarkEnd w:id="18"/>
      <w:r w:rsidRPr="00460717">
        <w:rPr>
          <w:lang w:val="en-GB"/>
        </w:rPr>
        <w:t xml:space="preserve"> </w:t>
      </w:r>
    </w:p>
    <w:p w14:paraId="1750A684" w14:textId="498AEA53" w:rsidR="00364C09" w:rsidRDefault="00364C09" w:rsidP="003B4F97">
      <w:pPr>
        <w:pStyle w:val="IntroductoryText"/>
      </w:pPr>
      <w:r>
        <w:t>Postpartum haemorrhage (PPH) is a common and potentially serious complication of pregnancy. While the majority of PPH cases are minor, severe PPH (defined in this report as blood loss of 1</w:t>
      </w:r>
      <w:r w:rsidR="00FB18DC">
        <w:t>,</w:t>
      </w:r>
      <w:r>
        <w:t>500</w:t>
      </w:r>
      <w:r w:rsidR="00FB18DC">
        <w:t xml:space="preserve"> </w:t>
      </w:r>
      <w:r>
        <w:t xml:space="preserve">mls or more) is a major cause of maternal mortality and morbidity in Australia. It is important that clinicians can prevent, recognise and treat PPH. </w:t>
      </w:r>
    </w:p>
    <w:p w14:paraId="1AD1DE9E" w14:textId="77777777" w:rsidR="00BB459B" w:rsidRDefault="00BB459B" w:rsidP="003B4F97">
      <w:pPr>
        <w:pStyle w:val="Heading2"/>
      </w:pPr>
      <w:r>
        <w:t>About this indicator</w:t>
      </w:r>
    </w:p>
    <w:p w14:paraId="318BF1BA" w14:textId="6E61352B" w:rsidR="001A27C3" w:rsidRDefault="001A27C3" w:rsidP="003B4F97">
      <w:pPr>
        <w:pStyle w:val="Normalfollowingheading"/>
      </w:pPr>
      <w:r w:rsidRPr="00966F5D">
        <w:t xml:space="preserve">This indicator presents the proportion of women who had a severe postpartum haemorrhage </w:t>
      </w:r>
      <w:r w:rsidR="00DA01EB" w:rsidRPr="00966F5D">
        <w:t xml:space="preserve">(defined as blood loss over 1,500 mls) </w:t>
      </w:r>
      <w:r w:rsidRPr="00966F5D">
        <w:t>within the 24 hours following birth.</w:t>
      </w:r>
      <w:r w:rsidR="003E031C">
        <w:rPr>
          <w:rFonts w:ascii="VIC-Regular" w:eastAsia="VIC-Regular" w:hAnsiTheme="minorHAnsi" w:cs="VIC-Regular"/>
          <w:noProof w:val="0"/>
          <w:color w:val="3C4250"/>
          <w:lang w:eastAsia="en-AU"/>
        </w:rPr>
        <w:t xml:space="preserve"> </w:t>
      </w:r>
      <w:r w:rsidR="003E031C" w:rsidRPr="002C45C1">
        <w:t xml:space="preserve">This indicator was introduced as a trial indicator in the 2018-19 report. </w:t>
      </w:r>
      <w:r w:rsidR="003E031C" w:rsidRPr="003E031C">
        <w:t xml:space="preserve"> </w:t>
      </w:r>
    </w:p>
    <w:p w14:paraId="7C3509E0" w14:textId="77777777" w:rsidR="00BB459B" w:rsidRDefault="00BB459B" w:rsidP="003B4F97">
      <w:pPr>
        <w:pStyle w:val="Heading2"/>
      </w:pPr>
      <w:r>
        <w:t>Observations on the data</w:t>
      </w:r>
    </w:p>
    <w:p w14:paraId="30F9B6E0" w14:textId="7B0B5126" w:rsidR="00364C09" w:rsidRDefault="00364C09" w:rsidP="003B4F97">
      <w:pPr>
        <w:pStyle w:val="Normalfollowingheading"/>
      </w:pPr>
      <w:r>
        <w:t xml:space="preserve">In 2019, 2.4 per cent of women had a severe postpartum haemorrhage. This was a slight increase from the previous year’s rate of 2.2 per cent. The rate for public hospitals was significantly higher compared to private hospitals (2.9 per cent and 0.9 per cent, respectively; p&lt;0.001). </w:t>
      </w:r>
      <w:r w:rsidRPr="00426771">
        <w:rPr>
          <w:b/>
          <w:bCs/>
        </w:rPr>
        <w:t>Figures 32</w:t>
      </w:r>
      <w:r>
        <w:t xml:space="preserve"> and </w:t>
      </w:r>
      <w:r w:rsidRPr="00426771">
        <w:rPr>
          <w:b/>
          <w:bCs/>
        </w:rPr>
        <w:t xml:space="preserve">33 </w:t>
      </w:r>
      <w:r>
        <w:t>show significant variation between individual hospitals.</w:t>
      </w:r>
    </w:p>
    <w:p w14:paraId="0F585FB7" w14:textId="77777777" w:rsidR="009F6216" w:rsidRDefault="009F6216" w:rsidP="003B4F97">
      <w:pPr>
        <w:rPr>
          <w:rFonts w:ascii="VIC SemiBold" w:hAnsi="VIC SemiBold"/>
          <w:color w:val="007586" w:themeColor="text2"/>
          <w:spacing w:val="2"/>
          <w:szCs w:val="18"/>
          <w:lang w:val="en-GB" w:eastAsia="en-AU"/>
        </w:rPr>
      </w:pPr>
      <w:r>
        <w:br w:type="page"/>
      </w:r>
    </w:p>
    <w:p w14:paraId="6507C6A1" w14:textId="169BF591" w:rsidR="00B552FC" w:rsidRPr="005036AA" w:rsidRDefault="00B552FC" w:rsidP="003B4F97">
      <w:pPr>
        <w:pStyle w:val="Tablechartdiagramheading"/>
      </w:pPr>
      <w:r w:rsidRPr="005036AA">
        <w:t xml:space="preserve">Figure </w:t>
      </w:r>
      <w:r>
        <w:t>32</w:t>
      </w:r>
      <w:r w:rsidRPr="005036AA">
        <w:t>.</w:t>
      </w:r>
      <w:r w:rsidR="005C0995" w:rsidRPr="005C0995">
        <w:t xml:space="preserve"> </w:t>
      </w:r>
      <w:r w:rsidR="00931968">
        <w:t>Trial i</w:t>
      </w:r>
      <w:r w:rsidRPr="005036AA">
        <w:t>ndicator 1</w:t>
      </w:r>
      <w:r>
        <w:t>3</w:t>
      </w:r>
      <w:r w:rsidRPr="005036AA">
        <w:t xml:space="preserve">: </w:t>
      </w:r>
      <w:r>
        <w:t>R</w:t>
      </w:r>
      <w:r w:rsidRPr="005036AA">
        <w:t xml:space="preserve">ate of women </w:t>
      </w:r>
      <w:r>
        <w:t>with severe postpartum haemorrhage, 2019</w:t>
      </w:r>
    </w:p>
    <w:p w14:paraId="196B7C9A" w14:textId="2759E4E6" w:rsidR="009F6216" w:rsidRDefault="004427A2" w:rsidP="003B4F97">
      <w:r w:rsidRPr="005C0995">
        <mc:AlternateContent>
          <mc:Choice Requires="wps">
            <w:drawing>
              <wp:anchor distT="0" distB="0" distL="114300" distR="114300" simplePos="0" relativeHeight="251658266" behindDoc="0" locked="0" layoutInCell="1" allowOverlap="1" wp14:anchorId="55BAB35B" wp14:editId="46EC8417">
                <wp:simplePos x="0" y="0"/>
                <wp:positionH relativeFrom="column">
                  <wp:posOffset>1899234</wp:posOffset>
                </wp:positionH>
                <wp:positionV relativeFrom="paragraph">
                  <wp:posOffset>171247</wp:posOffset>
                </wp:positionV>
                <wp:extent cx="676961" cy="7036562"/>
                <wp:effectExtent l="0" t="0" r="8890" b="0"/>
                <wp:wrapNone/>
                <wp:docPr id="82" name="Rectangle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76961" cy="7036562"/>
                        </a:xfrm>
                        <a:prstGeom prst="rect">
                          <a:avLst/>
                        </a:prstGeom>
                        <a:solidFill>
                          <a:srgbClr val="92D05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DEA270" id="Rectangle 82" o:spid="_x0000_s1026" style="position:absolute;margin-left:149.55pt;margin-top:13.5pt;width:53.3pt;height:554.0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Z4hqQIAAKgFAAAOAAAAZHJzL2Uyb0RvYy54bWysVMFu2zAMvQ/YPwi6r7azJm2COkXQosOA&#10;og3aDj0rshQbkEVNUuJkXz9Kst2g6y7DclAokXwkn0leXR9aRfbCugZ0SYuznBKhOVSN3pb0x8vd&#10;l0tKnGe6Ygq0KOlROHq9/PzpqjMLMYEaVCUsQRDtFp0pae29WWSZ47VomTsDIzQqJdiWebzabVZZ&#10;1iF6q7JJns+yDmxlLHDhHL7eJiVdRnwpBfePUjrhiSop5ubjaeO5CWe2vGKLrWWmbnifBvuHLFrW&#10;aAw6Qt0yz8jONn9AtQ234ED6Mw5tBlI2XMQasJoif1fNc82MiLUgOc6MNLn/B8sf9mtLmqqklxNK&#10;NGvxGz0ha0xvlSD4hgR1xi3Q7tmsbX9zKIZqD9K24R/rIIdI6nEkVRw84fg4u5jNZwUlHFUX+dfZ&#10;dBZBszdvY53/JqAlQSipxfCRS7a/dx4joulgEoI5UE111ygVL3a7uVGW7Bl+4PnkNp/myVeZmqXX&#10;Ii/ms1AH4rhknuRTHKUDmoaAm0zDSxZKT8VGyR+VCHZKPwmJrGF5kxgu9qsYE2GcC+2LpKpZJVIm&#10;0xx/Qyahw4NHzCUCBmSJ8UfsHmCwTCADdsqytw+uIrb76Jx4+EtiyXn0iJFB+9G5bTTYjypTWFUf&#10;OdkPJCVqAksbqI7YUxbSsDnD7xr8sPfM+TWzOF04h7gx/CMeUkFXUuglSmqwvz56D/bY9KilpMNp&#10;Lan7uWNWUKK+axyHeXF+HsY7Xs6nFxO82FPN5lSjd+0NYL9gV2J2UQz2Xg2itNC+4mJZhaioYppj&#10;7JJyb4fLjU9bBFcTF6tVNMORNszf62fDA3hgNTTuy+GVWdN3t8e5eIBhstniXZMn2+CpYbXzIJs4&#10;AW+89nzjOoiN06+usG9O79HqbcEufwMAAP//AwBQSwMEFAAGAAgAAAAhAB9vcCXhAAAACwEAAA8A&#10;AABkcnMvZG93bnJldi54bWxMj8FOwzAMhu9IvENkJG4s7Vg3WppOE4hKExxg8ABZY9qOxumabOve&#10;HnNiN1v+9Pv78+VoO3HEwbeOFMSTCARS5UxLtYKvz5e7BxA+aDK6c4QKzuhhWVxf5Toz7kQfeNyE&#10;WnAI+UwraELoMyl91aDVfuJ6JL59u8HqwOtQSzPoE4fbTk6jaC6tbok/NLrHpwarn83BKpi9Pe+c&#10;7JNdUtu0fN+/rs9luVbq9mZcPYIIOIZ/GP70WR0Kdtq6AxkvOgXTNI0Z5WHBnRiYRckCxJbJ+D6J&#10;QRa5vOxQ/AIAAP//AwBQSwECLQAUAAYACAAAACEAtoM4kv4AAADhAQAAEwAAAAAAAAAAAAAAAAAA&#10;AAAAW0NvbnRlbnRfVHlwZXNdLnhtbFBLAQItABQABgAIAAAAIQA4/SH/1gAAAJQBAAALAAAAAAAA&#10;AAAAAAAAAC8BAABfcmVscy8ucmVsc1BLAQItABQABgAIAAAAIQC99Z4hqQIAAKgFAAAOAAAAAAAA&#10;AAAAAAAAAC4CAABkcnMvZTJvRG9jLnhtbFBLAQItABQABgAIAAAAIQAfb3Al4QAAAAsBAAAPAAAA&#10;AAAAAAAAAAAAAAMFAABkcnMvZG93bnJldi54bWxQSwUGAAAAAAQABADzAAAAEQYAAAAA&#10;" fillcolor="#92d050" stroked="f" strokeweight="2pt">
                <v:fill opacity="6682f"/>
              </v:rect>
            </w:pict>
          </mc:Fallback>
        </mc:AlternateContent>
      </w:r>
      <w:r w:rsidRPr="005C0995">
        <mc:AlternateContent>
          <mc:Choice Requires="wps">
            <w:drawing>
              <wp:anchor distT="0" distB="0" distL="114300" distR="114300" simplePos="0" relativeHeight="251658267" behindDoc="0" locked="0" layoutInCell="1" allowOverlap="1" wp14:anchorId="1883173C" wp14:editId="37D4890C">
                <wp:simplePos x="0" y="0"/>
                <wp:positionH relativeFrom="column">
                  <wp:posOffset>4052718</wp:posOffset>
                </wp:positionH>
                <wp:positionV relativeFrom="paragraph">
                  <wp:posOffset>154647</wp:posOffset>
                </wp:positionV>
                <wp:extent cx="2429168" cy="7097151"/>
                <wp:effectExtent l="0" t="0" r="9525" b="8890"/>
                <wp:wrapNone/>
                <wp:docPr id="83" name="Rectangle 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29168" cy="7097151"/>
                        </a:xfrm>
                        <a:prstGeom prst="rect">
                          <a:avLst/>
                        </a:prstGeom>
                        <a:solidFill>
                          <a:srgbClr val="FF0000">
                            <a:alpha val="1019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218FC" id="Rectangle 83" o:spid="_x0000_s1026" style="position:absolute;margin-left:319.1pt;margin-top:12.2pt;width:191.25pt;height:558.8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WkEpgIAAKkFAAAOAAAAZHJzL2Uyb0RvYy54bWysVE1v2zAMvQ/YfxB0X21n6UeCOkXQIsOA&#10;oi3aDj0rshQLkEVNUuJkv36U5Lhdu9OwHBRRJB/JZ5KXV/tOk51wXoGpaXVSUiIMh0aZTU1/PK++&#10;XFDiAzMN02BETQ/C06vF50+XvZ2LCbSgG+EIghg/721N2xDsvCg8b0XH/AlYYVApwXUsoOg2ReNY&#10;j+idLiZleVb04BrrgAvv8fUmK+ki4UspeLiX0otAdE0xt5BOl851PIvFJZtvHLOt4kMa7B+y6Jgy&#10;GHSEumGBka1TH6A6xR14kOGEQ1eAlIqLVANWU5XvqnlqmRWpFiTH25Em//9g+d3uwRHV1PTiKyWG&#10;dfiNHpE1ZjZaEHxDgnrr52j3ZB/cIHm8xmr30nXxH+sg+0TqYSRV7APh+DiZTmbVGbYBR915OTuv&#10;TquIWry6W+fDNwEdiZeaOoyfyGS7Wx+y6dEkRvOgVbNSWifBbdbX2pEdwy+8WpX4y77atiy/VmU1&#10;OxtC+myewv+Bo01EMxBxc8j4UsTac7XpFg5aRDttHoVE2mJ9KVxqWDEmwjgXJlRZ1bJG5ExOU3oZ&#10;fvRIuSTAiCwx/og9AMRh+IidYQb76CpSv4/OmYcxTM7gmFh2Hj1SZDBhdO6UAfe3yjRWNUTO9keS&#10;MjWRpTU0B2wqB3navOUrhR/2lvnwwByOFw4iroxwj4fU0NcUhhslLbhff3uP9tj1qKWkx3Gtqf+5&#10;ZU5Qor8bnIdZNZ3G+U7C9PR8goJ7q1m/1Zhtdw3YLxUuJ8vTNdoHfbxKB90LbpZljIoqZjjGrikP&#10;7ihch7xGcDdxsVwmM5xpy8KtebI8gkdWY+M+71+Ys0N3BxyMOziONpu/a/JsGz0NLLcBpEoT8Mrr&#10;wDfug9Q4w+6KC+etnKxeN+ziNwAAAP//AwBQSwMEFAAGAAgAAAAhAOtgmDzgAAAADAEAAA8AAABk&#10;cnMvZG93bnJldi54bWxMj8FOwzAMhu9IvENkJG4sbajK1DWdEAh2ZQNNHLPGawuNUyXZ2r492Ynd&#10;bPnT7+8v15Pp2Rmd7yxJSBcJMKTa6o4aCV+fbw9LYD4o0qq3hBJm9LCubm9KVWg70hbPu9CwGEK+&#10;UBLaEIaCc1+3aJRf2AEp3o7WGRXi6hqunRpjuOm5SJKcG9VR/NCqAV9arH93JyOh/vb7j23YvP40&#10;NL/n47h3m1lIeX83Pa+ABZzCPwwX/agOVXQ62BNpz3oJ+eNSRFSCyDJgFyARyROwQ5zSTKTAq5Jf&#10;l6j+AAAA//8DAFBLAQItABQABgAIAAAAIQC2gziS/gAAAOEBAAATAAAAAAAAAAAAAAAAAAAAAABb&#10;Q29udGVudF9UeXBlc10ueG1sUEsBAi0AFAAGAAgAAAAhADj9If/WAAAAlAEAAAsAAAAAAAAAAAAA&#10;AAAALwEAAF9yZWxzLy5yZWxzUEsBAi0AFAAGAAgAAAAhAMuxaQSmAgAAqQUAAA4AAAAAAAAAAAAA&#10;AAAALgIAAGRycy9lMm9Eb2MueG1sUEsBAi0AFAAGAAgAAAAhAOtgmDzgAAAADAEAAA8AAAAAAAAA&#10;AAAAAAAAAAUAAGRycy9kb3ducmV2LnhtbFBLBQYAAAAABAAEAPMAAAANBgAAAAA=&#10;" fillcolor="red" stroked="f" strokeweight="2pt">
                <v:fill opacity="6682f"/>
              </v:rect>
            </w:pict>
          </mc:Fallback>
        </mc:AlternateContent>
      </w:r>
      <w:r w:rsidR="00B552FC">
        <w:drawing>
          <wp:inline distT="0" distB="0" distL="0" distR="0" wp14:anchorId="7CF94227" wp14:editId="20CCBBB1">
            <wp:extent cx="6480000" cy="7344000"/>
            <wp:effectExtent l="0" t="0" r="0" b="0"/>
            <wp:docPr id="37" name="Chart 37" descr="This bar graph shows the rates at each hospital and statewide of women with severe postpartum haemorrhage. A number of public and no private hospitals had rates that fell into the least favourable 25% of hospitals.">
              <a:extLst xmlns:a="http://schemas.openxmlformats.org/drawingml/2006/main">
                <a:ext uri="{FF2B5EF4-FFF2-40B4-BE49-F238E27FC236}">
                  <a16:creationId xmlns:a16="http://schemas.microsoft.com/office/drawing/2014/main" id="{AE71CA43-9647-4FE2-B82C-98BFB2895E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9F6216">
        <w:br w:type="page"/>
      </w:r>
    </w:p>
    <w:p w14:paraId="0271D88B" w14:textId="4C5CA67A" w:rsidR="00B552FC" w:rsidRPr="00332F16" w:rsidRDefault="00B552FC" w:rsidP="003B4F97">
      <w:pPr>
        <w:pStyle w:val="Tablechartdiagramheading"/>
      </w:pPr>
      <w:r w:rsidRPr="009C58E7">
        <w:t xml:space="preserve">Figure </w:t>
      </w:r>
      <w:r>
        <w:t>33</w:t>
      </w:r>
      <w:r w:rsidRPr="00994C5C">
        <w:t xml:space="preserve">. Funnel plot of </w:t>
      </w:r>
      <w:r>
        <w:t>the rate of women with severe postpartum haemorrhage</w:t>
      </w:r>
      <w:r w:rsidRPr="00994C5C">
        <w:t>, 201</w:t>
      </w:r>
      <w:r>
        <w:t>9</w:t>
      </w:r>
    </w:p>
    <w:p w14:paraId="1C8F36AB" w14:textId="47362FD5" w:rsidR="00B552FC" w:rsidRDefault="00B552FC" w:rsidP="003B4F97">
      <w:r>
        <w:drawing>
          <wp:inline distT="0" distB="0" distL="0" distR="0" wp14:anchorId="60BA5F43" wp14:editId="772CC51B">
            <wp:extent cx="5200396" cy="3780000"/>
            <wp:effectExtent l="0" t="0" r="635" b="0"/>
            <wp:docPr id="57" name="Picture 57" descr="This funnel plot shows the distribution of rates of women with severe postpartum haemorrhage. A number of public hospitals had rates that were statistically significantly higher than average and a number of private hospitals had rates that were significantly 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funnel plot shows the distribution of rates of women with severe postpartum haemorrhage. A number of public hospitals had rates that were statistically significantly higher than average and a number of private hospitals had rates that were significantly lower."/>
                    <pic:cNvPicPr/>
                  </pic:nvPicPr>
                  <pic:blipFill rotWithShape="1">
                    <a:blip r:embed="rId55">
                      <a:extLst>
                        <a:ext uri="{28A0092B-C50C-407E-A947-70E740481C1C}">
                          <a14:useLocalDpi xmlns:a14="http://schemas.microsoft.com/office/drawing/2010/main" val="0"/>
                        </a:ext>
                      </a:extLst>
                    </a:blip>
                    <a:srcRect t="4136"/>
                    <a:stretch/>
                  </pic:blipFill>
                  <pic:spPr bwMode="auto">
                    <a:xfrm>
                      <a:off x="0" y="0"/>
                      <a:ext cx="5200396" cy="3780000"/>
                    </a:xfrm>
                    <a:prstGeom prst="rect">
                      <a:avLst/>
                    </a:prstGeom>
                    <a:ln>
                      <a:noFill/>
                    </a:ln>
                    <a:extLst>
                      <a:ext uri="{53640926-AAD7-44D8-BBD7-CCE9431645EC}">
                        <a14:shadowObscured xmlns:a14="http://schemas.microsoft.com/office/drawing/2010/main"/>
                      </a:ext>
                    </a:extLst>
                  </pic:spPr>
                </pic:pic>
              </a:graphicData>
            </a:graphic>
          </wp:inline>
        </w:drawing>
      </w:r>
    </w:p>
    <w:p w14:paraId="1A5BF373" w14:textId="77777777" w:rsidR="003B1CF3" w:rsidRPr="00845CEE" w:rsidRDefault="003B1CF3" w:rsidP="003B4F97">
      <w:pPr>
        <w:pStyle w:val="FootnoteText"/>
        <w:rPr>
          <w:lang w:val="en-GB"/>
        </w:rPr>
      </w:pPr>
      <w:r w:rsidRPr="008578D5">
        <w:rPr>
          <w:lang w:val="en-GB"/>
        </w:rPr>
        <w:t xml:space="preserve">Please refer to </w:t>
      </w:r>
      <w:r>
        <w:rPr>
          <w:lang w:val="en-GB"/>
        </w:rPr>
        <w:t>page 4</w:t>
      </w:r>
      <w:r w:rsidRPr="008578D5">
        <w:rPr>
          <w:lang w:val="en-GB"/>
        </w:rPr>
        <w:t xml:space="preserve"> for a guide on how to interpret funnel plot</w:t>
      </w:r>
      <w:r>
        <w:rPr>
          <w:lang w:val="en-GB"/>
        </w:rPr>
        <w:t>s</w:t>
      </w:r>
      <w:r w:rsidRPr="008578D5">
        <w:rPr>
          <w:lang w:val="en-GB"/>
        </w:rPr>
        <w:t>.</w:t>
      </w:r>
    </w:p>
    <w:p w14:paraId="06E8C8EE" w14:textId="5F2B1E17" w:rsidR="00364C09" w:rsidRDefault="00364C09" w:rsidP="003B4F97">
      <w:pPr>
        <w:pStyle w:val="Heading2"/>
      </w:pPr>
      <w:r>
        <w:t>Definition</w:t>
      </w:r>
      <w:r w:rsidR="00765F94">
        <w:t>s and data sources</w:t>
      </w:r>
    </w:p>
    <w:p w14:paraId="7B8E0DC2" w14:textId="7CDFFFE4" w:rsidR="001A27C3" w:rsidRPr="00DE429E" w:rsidRDefault="00AA5495" w:rsidP="003B4F97">
      <w:pPr>
        <w:pStyle w:val="Normalfollowingheading"/>
        <w:rPr>
          <w:lang w:val="en-GB"/>
        </w:rPr>
      </w:pPr>
      <w:r>
        <w:rPr>
          <w:lang w:val="en-GB"/>
        </w:rPr>
        <w:t>The</w:t>
      </w:r>
      <w:r w:rsidR="001A27C3" w:rsidRPr="00921395">
        <w:rPr>
          <w:lang w:val="en-GB"/>
        </w:rPr>
        <w:t xml:space="preserve"> proportion of women who had a severe postpartum haemorrhage (blood loss over </w:t>
      </w:r>
      <w:r w:rsidR="001A27C3" w:rsidRPr="00DE429E">
        <w:rPr>
          <w:lang w:val="en-GB"/>
        </w:rPr>
        <w:t>1</w:t>
      </w:r>
      <w:r w:rsidR="00FB18DC">
        <w:rPr>
          <w:lang w:val="en-GB"/>
        </w:rPr>
        <w:t>,</w:t>
      </w:r>
      <w:r w:rsidR="001A27C3" w:rsidRPr="00DE429E">
        <w:rPr>
          <w:lang w:val="en-GB"/>
        </w:rPr>
        <w:t>500</w:t>
      </w:r>
      <w:r w:rsidR="00FB18DC">
        <w:rPr>
          <w:lang w:val="en-GB"/>
        </w:rPr>
        <w:t xml:space="preserve"> </w:t>
      </w:r>
      <w:r w:rsidR="001A27C3" w:rsidRPr="00DE429E">
        <w:rPr>
          <w:lang w:val="en-GB"/>
        </w:rPr>
        <w:t>mls)</w:t>
      </w:r>
      <w:r w:rsidR="001A27C3">
        <w:rPr>
          <w:lang w:val="en-GB"/>
        </w:rPr>
        <w:t xml:space="preserve"> within the 24 hours following birth</w:t>
      </w:r>
      <w:r w:rsidR="001A27C3" w:rsidRPr="00DE429E">
        <w:rPr>
          <w:lang w:val="en-GB"/>
        </w:rPr>
        <w:t>.</w:t>
      </w:r>
    </w:p>
    <w:p w14:paraId="13B2CB9B" w14:textId="77777777" w:rsidR="001A27C3" w:rsidRPr="00766212" w:rsidRDefault="001A27C3" w:rsidP="00A60C18">
      <w:pPr>
        <w:pStyle w:val="Heading4"/>
      </w:pPr>
      <w:r w:rsidRPr="00766212">
        <w:t>Data source: Victorian Perinatal Data Collection</w:t>
      </w:r>
    </w:p>
    <w:p w14:paraId="4D39C429" w14:textId="77777777" w:rsidR="001A27C3" w:rsidRPr="00766212" w:rsidRDefault="001A27C3" w:rsidP="003B4F97">
      <w:pPr>
        <w:pStyle w:val="Normalfollowingheading"/>
        <w:rPr>
          <w:lang w:val="en-GB"/>
        </w:rPr>
      </w:pPr>
      <w:r w:rsidRPr="00766212">
        <w:rPr>
          <w:lang w:val="en-GB"/>
        </w:rPr>
        <w:t>Data</w:t>
      </w:r>
      <w:r>
        <w:rPr>
          <w:lang w:val="en-GB"/>
        </w:rPr>
        <w:t xml:space="preserve"> for this indicator is sourced</w:t>
      </w:r>
      <w:r w:rsidRPr="00766212">
        <w:rPr>
          <w:lang w:val="en-GB"/>
        </w:rPr>
        <w:t xml:space="preserve"> from the VPDC </w:t>
      </w:r>
      <w:r>
        <w:rPr>
          <w:lang w:val="en-GB"/>
        </w:rPr>
        <w:t>for the</w:t>
      </w:r>
      <w:r w:rsidRPr="00766212">
        <w:rPr>
          <w:lang w:val="en-GB"/>
        </w:rPr>
        <w:t xml:space="preserve"> calendar year from 1 January 201</w:t>
      </w:r>
      <w:r>
        <w:rPr>
          <w:lang w:val="en-GB"/>
        </w:rPr>
        <w:t>9</w:t>
      </w:r>
      <w:r w:rsidRPr="00766212">
        <w:rPr>
          <w:lang w:val="en-GB"/>
        </w:rPr>
        <w:t xml:space="preserve"> to 31 December 201</w:t>
      </w:r>
      <w:r>
        <w:rPr>
          <w:lang w:val="en-GB"/>
        </w:rPr>
        <w:t>9</w:t>
      </w:r>
      <w:r w:rsidRPr="00766212">
        <w:rPr>
          <w:lang w:val="en-GB"/>
        </w:rPr>
        <w:t>.</w:t>
      </w:r>
    </w:p>
    <w:p w14:paraId="3C274458" w14:textId="77777777" w:rsidR="001A27C3" w:rsidRPr="00766212" w:rsidRDefault="001A27C3" w:rsidP="003B4F97">
      <w:pPr>
        <w:rPr>
          <w:lang w:val="en-GB"/>
        </w:rPr>
      </w:pPr>
      <w:r w:rsidRPr="00766212">
        <w:rPr>
          <w:lang w:val="en-GB"/>
        </w:rPr>
        <w:t>The indicator is derived using the following VPDC variables: ‘</w:t>
      </w:r>
      <w:r>
        <w:rPr>
          <w:lang w:val="en-GB"/>
        </w:rPr>
        <w:t>estimated blood loss</w:t>
      </w:r>
      <w:r w:rsidRPr="00766212">
        <w:rPr>
          <w:lang w:val="en-GB"/>
        </w:rPr>
        <w:t>’.</w:t>
      </w:r>
    </w:p>
    <w:p w14:paraId="4975A994" w14:textId="50A66039" w:rsidR="001A27C3" w:rsidRDefault="001A27C3" w:rsidP="003B4F97">
      <w:pPr>
        <w:pStyle w:val="Tablechartdiagramheading"/>
      </w:pPr>
      <w:r w:rsidRPr="00766212">
        <w:t>Numerator/denominator</w:t>
      </w:r>
    </w:p>
    <w:tbl>
      <w:tblPr>
        <w:tblStyle w:val="TableGrid"/>
        <w:tblW w:w="10206" w:type="dxa"/>
        <w:tblLook w:val="04A0" w:firstRow="1" w:lastRow="0" w:firstColumn="1" w:lastColumn="0" w:noHBand="0" w:noVBand="1"/>
      </w:tblPr>
      <w:tblGrid>
        <w:gridCol w:w="3489"/>
        <w:gridCol w:w="3269"/>
        <w:gridCol w:w="3448"/>
      </w:tblGrid>
      <w:tr w:rsidR="001A27C3" w14:paraId="20E275E1" w14:textId="77777777" w:rsidTr="001A27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2FB9B212" w14:textId="146037F3" w:rsidR="001A27C3" w:rsidRDefault="001A27C3" w:rsidP="003B4F97">
            <w:pPr>
              <w:rPr>
                <w:lang w:val="en-GB" w:eastAsia="en-AU"/>
              </w:rPr>
            </w:pPr>
            <w:r w:rsidRPr="00766212">
              <w:t>Indicator</w:t>
            </w:r>
          </w:p>
        </w:tc>
        <w:tc>
          <w:tcPr>
            <w:tcW w:w="1937"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01F1358F" w14:textId="4A4F27D0" w:rsidR="001A27C3" w:rsidRDefault="001A27C3"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766212">
              <w:t>Numerator</w:t>
            </w:r>
          </w:p>
        </w:tc>
        <w:tc>
          <w:tcPr>
            <w:tcW w:w="2043"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vAlign w:val="center"/>
          </w:tcPr>
          <w:p w14:paraId="1DA05A56" w14:textId="59B73BCA" w:rsidR="001A27C3" w:rsidRDefault="001A27C3" w:rsidP="003B4F97">
            <w:pPr>
              <w:cnfStyle w:val="100000000000" w:firstRow="1" w:lastRow="0" w:firstColumn="0" w:lastColumn="0" w:oddVBand="0" w:evenVBand="0" w:oddHBand="0" w:evenHBand="0" w:firstRowFirstColumn="0" w:firstRowLastColumn="0" w:lastRowFirstColumn="0" w:lastRowLastColumn="0"/>
              <w:rPr>
                <w:lang w:val="en-GB" w:eastAsia="en-AU"/>
              </w:rPr>
            </w:pPr>
            <w:r w:rsidRPr="00766212">
              <w:t>Denominator</w:t>
            </w:r>
          </w:p>
        </w:tc>
      </w:tr>
      <w:tr w:rsidR="001A27C3" w14:paraId="3D204152" w14:textId="77777777" w:rsidTr="001A27C3">
        <w:tc>
          <w:tcPr>
            <w:cnfStyle w:val="001000000000" w:firstRow="0" w:lastRow="0" w:firstColumn="1" w:lastColumn="0" w:oddVBand="0" w:evenVBand="0" w:oddHBand="0" w:evenHBand="0" w:firstRowFirstColumn="0" w:firstRowLastColumn="0" w:lastRowFirstColumn="0" w:lastRowLastColumn="0"/>
            <w:tcW w:w="2068" w:type="dxa"/>
          </w:tcPr>
          <w:p w14:paraId="0C0AB845" w14:textId="7D0A8DEB" w:rsidR="001A27C3" w:rsidRDefault="00B565F5" w:rsidP="003B4F97">
            <w:pPr>
              <w:rPr>
                <w:lang w:val="en-GB" w:eastAsia="en-AU"/>
              </w:rPr>
            </w:pPr>
            <w:r>
              <w:t>Trial i</w:t>
            </w:r>
            <w:r w:rsidR="001A27C3" w:rsidRPr="00766212">
              <w:t>ndicator 13: The rate of women with severe postpartum haemorrhage</w:t>
            </w:r>
          </w:p>
        </w:tc>
        <w:tc>
          <w:tcPr>
            <w:tcW w:w="1937" w:type="dxa"/>
          </w:tcPr>
          <w:p w14:paraId="124BF221" w14:textId="00D8FF22" w:rsidR="001A27C3" w:rsidRDefault="001A27C3"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766212">
              <w:t>The number of women with blood loss greater than 1</w:t>
            </w:r>
            <w:r w:rsidR="00FB18DC">
              <w:t>,</w:t>
            </w:r>
            <w:r w:rsidRPr="00766212">
              <w:t xml:space="preserve">500 mls </w:t>
            </w:r>
          </w:p>
        </w:tc>
        <w:tc>
          <w:tcPr>
            <w:tcW w:w="2043" w:type="dxa"/>
          </w:tcPr>
          <w:p w14:paraId="0694A546" w14:textId="53719424" w:rsidR="001A27C3" w:rsidRDefault="001A27C3" w:rsidP="003B4F97">
            <w:pPr>
              <w:cnfStyle w:val="000000000000" w:firstRow="0" w:lastRow="0" w:firstColumn="0" w:lastColumn="0" w:oddVBand="0" w:evenVBand="0" w:oddHBand="0" w:evenHBand="0" w:firstRowFirstColumn="0" w:firstRowLastColumn="0" w:lastRowFirstColumn="0" w:lastRowLastColumn="0"/>
              <w:rPr>
                <w:lang w:val="en-GB" w:eastAsia="en-AU"/>
              </w:rPr>
            </w:pPr>
            <w:r w:rsidRPr="00766212">
              <w:t>The number of women who gave birth in</w:t>
            </w:r>
            <w:r w:rsidR="00FB18DC">
              <w:rPr>
                <w:rFonts w:ascii="Cambria" w:hAnsi="Cambria" w:cs="Cambria"/>
              </w:rPr>
              <w:t xml:space="preserve"> </w:t>
            </w:r>
            <w:r w:rsidRPr="00766212">
              <w:t>Victoria</w:t>
            </w:r>
          </w:p>
        </w:tc>
      </w:tr>
    </w:tbl>
    <w:p w14:paraId="4DA3019A" w14:textId="3A6BC1A7" w:rsidR="00B552FC" w:rsidRDefault="00B552FC" w:rsidP="003B4F97">
      <w:r>
        <w:br w:type="page"/>
      </w:r>
    </w:p>
    <w:p w14:paraId="56326D70" w14:textId="474D180C" w:rsidR="00B552FC" w:rsidRDefault="00B552FC" w:rsidP="00A60C18">
      <w:pPr>
        <w:pStyle w:val="Heading1"/>
        <w:framePr w:wrap="around"/>
      </w:pPr>
      <w:bookmarkStart w:id="19" w:name="_Toc71710127"/>
      <w:r>
        <w:t xml:space="preserve">Appendix 1: </w:t>
      </w:r>
      <w:r w:rsidR="003B1CF3">
        <w:t>D</w:t>
      </w:r>
      <w:r>
        <w:t>ata sources and reporting rules</w:t>
      </w:r>
      <w:bookmarkEnd w:id="19"/>
    </w:p>
    <w:p w14:paraId="679D4005" w14:textId="73A05E92" w:rsidR="00B552FC" w:rsidRDefault="00B552FC" w:rsidP="003B4F97">
      <w:r>
        <w:t>Safer Care Victoria (SCV) and the Department of Health manage the health data collections used for this report:</w:t>
      </w:r>
    </w:p>
    <w:p w14:paraId="16ADF3F5" w14:textId="6D994959" w:rsidR="00B552FC" w:rsidRDefault="00B552FC" w:rsidP="003B4F97">
      <w:pPr>
        <w:pStyle w:val="Bullet1"/>
      </w:pPr>
      <w:r w:rsidRPr="00B552FC">
        <w:rPr>
          <w:b/>
          <w:bCs/>
        </w:rPr>
        <w:t>Victorian Perinatal Data Collection</w:t>
      </w:r>
      <w:r>
        <w:t xml:space="preserve"> (VPDC) Victorian public and private health services are required to submit specific data to the Consultative Council on Obstetric and Paediatric Mortality and Morbidity (CCOPMM).</w:t>
      </w:r>
    </w:p>
    <w:p w14:paraId="2A74C650" w14:textId="08716E14" w:rsidR="00B552FC" w:rsidRDefault="00B552FC" w:rsidP="003B4F97">
      <w:pPr>
        <w:pStyle w:val="Bullet1"/>
      </w:pPr>
      <w:r w:rsidRPr="00B552FC">
        <w:rPr>
          <w:b/>
          <w:bCs/>
        </w:rPr>
        <w:t>Victorian Healthcare Experience Survey</w:t>
      </w:r>
      <w:r>
        <w:t xml:space="preserve"> (VHES) collects data for public health services only.</w:t>
      </w:r>
    </w:p>
    <w:p w14:paraId="5CE8A967" w14:textId="36FB6246" w:rsidR="00B552FC" w:rsidRDefault="00B552FC" w:rsidP="003B4F97">
      <w:pPr>
        <w:pStyle w:val="Bullet1"/>
      </w:pPr>
      <w:r w:rsidRPr="00B552FC">
        <w:rPr>
          <w:b/>
          <w:bCs/>
        </w:rPr>
        <w:t>Victorian Admitted Episodes Dataset</w:t>
      </w:r>
      <w:r>
        <w:t xml:space="preserve"> (VAED) Victorian public and private health services are required to submit specific data.</w:t>
      </w:r>
    </w:p>
    <w:p w14:paraId="64B7B30D" w14:textId="6A58FB8D" w:rsidR="00B552FC" w:rsidRDefault="00B552FC" w:rsidP="003B4F97">
      <w:r>
        <w:t xml:space="preserve">Further information on the data sources and the business rules for each indicator can be found </w:t>
      </w:r>
      <w:r w:rsidR="003B1CF3">
        <w:t xml:space="preserve">under each </w:t>
      </w:r>
      <w:r w:rsidR="003B1CF3" w:rsidRPr="003B1CF3">
        <w:t>indicator</w:t>
      </w:r>
      <w:r w:rsidRPr="003B1CF3">
        <w:t>.</w:t>
      </w:r>
    </w:p>
    <w:p w14:paraId="765CE35E" w14:textId="77777777" w:rsidR="00B552FC" w:rsidRDefault="00B552FC" w:rsidP="003B4F97">
      <w:r>
        <w:t>When interpreting the data in this report, it is important to note the following:</w:t>
      </w:r>
    </w:p>
    <w:p w14:paraId="648B91B2" w14:textId="72B73B71" w:rsidR="00B552FC" w:rsidRDefault="00B552FC" w:rsidP="003B4F97">
      <w:pPr>
        <w:pStyle w:val="Bullet1"/>
      </w:pPr>
      <w:r>
        <w:t xml:space="preserve">Apart from </w:t>
      </w:r>
      <w:r w:rsidRPr="00C256F6">
        <w:rPr>
          <w:rFonts w:ascii="VIC Medium" w:hAnsi="VIC Medium"/>
        </w:rPr>
        <w:t>Indicator 5</w:t>
      </w:r>
      <w:r>
        <w:t xml:space="preserve">, data is only reported when a health service has had a minimum of 10 occasions for an event (denominator). For example, a hospital that has not had 10 standard primiparae give birth in 2019 (denominator) will not be included in the results for </w:t>
      </w:r>
      <w:r w:rsidR="00FB18DC">
        <w:rPr>
          <w:rFonts w:ascii="VIC Medium" w:hAnsi="VIC Medium"/>
        </w:rPr>
        <w:t>I</w:t>
      </w:r>
      <w:r w:rsidRPr="00C256F6">
        <w:rPr>
          <w:rFonts w:ascii="VIC Medium" w:hAnsi="VIC Medium"/>
        </w:rPr>
        <w:t>ndicator 1a</w:t>
      </w:r>
      <w:r>
        <w:t>.</w:t>
      </w:r>
    </w:p>
    <w:p w14:paraId="59613FF1" w14:textId="78EBE274" w:rsidR="00B552FC" w:rsidRDefault="00B552FC" w:rsidP="003B4F97">
      <w:pPr>
        <w:pStyle w:val="Bullet1"/>
      </w:pPr>
      <w:r>
        <w:t>Due to small numbers, data from smaller health services are subject to wide variation and should be interpreted with caution.</w:t>
      </w:r>
    </w:p>
    <w:p w14:paraId="02DED812" w14:textId="2931B696" w:rsidR="00B552FC" w:rsidRDefault="00B552FC" w:rsidP="003B4F97">
      <w:pPr>
        <w:pStyle w:val="Bullet1"/>
      </w:pPr>
      <w:r>
        <w:t>Private patients admitted to a public health service are reported in the results for the relevant public health service.</w:t>
      </w:r>
    </w:p>
    <w:p w14:paraId="3A13E402" w14:textId="05B6D324" w:rsidR="00B552FC" w:rsidRDefault="00B552FC" w:rsidP="003B4F97">
      <w:pPr>
        <w:pStyle w:val="Bullet1"/>
      </w:pPr>
      <w:r>
        <w:t>Outcomes for public health services are presented in order of clustered maternity service capability and then by the number of women who gave birth at each health service in 2019 (in descending order so hospitals with more births in each capability level appear first).</w:t>
      </w:r>
    </w:p>
    <w:p w14:paraId="281F06C8" w14:textId="0197D348" w:rsidR="00B552FC" w:rsidRDefault="00B552FC" w:rsidP="003B4F97">
      <w:pPr>
        <w:pStyle w:val="Bullet1"/>
      </w:pPr>
      <w:r>
        <w:t>Outcomes for private health services are presented in descending order according to the number of women who gave birth at each health service in 2019.</w:t>
      </w:r>
    </w:p>
    <w:p w14:paraId="49540045" w14:textId="33D82549" w:rsidR="00B552FC" w:rsidRDefault="00B552FC" w:rsidP="003B4F97">
      <w:pPr>
        <w:pStyle w:val="Bullet1"/>
      </w:pPr>
      <w:r>
        <w:t>Although the statewide rates provided for each indicator are a suitable measure for comparing health services, they do not necessarily represent the optimal rate.</w:t>
      </w:r>
    </w:p>
    <w:p w14:paraId="369B3A33" w14:textId="5990DA55" w:rsidR="00B552FC" w:rsidRDefault="00B552FC" w:rsidP="003B4F97">
      <w:pPr>
        <w:pStyle w:val="Bullet1"/>
      </w:pPr>
      <w:r>
        <w:t>The indicators in this report do not adjust for maternal characteristics such as obesity, mental health conditions, chronic illnesses, socioeconomic status or IVF pregnancies. Health services should consider individual patient profiles when reviewing their data.</w:t>
      </w:r>
    </w:p>
    <w:p w14:paraId="52F0F185" w14:textId="722B2A5E" w:rsidR="001A27C3" w:rsidRDefault="00B552FC" w:rsidP="003B4F97">
      <w:pPr>
        <w:pStyle w:val="Bullet1"/>
      </w:pPr>
      <w:r>
        <w:t>Some of the variation between hospitals may reflect incomplete reporting. To ensure the accuracy of indicators, health services should make sure they have accurate capture and reporting of diagnostic and treatment codes.</w:t>
      </w:r>
    </w:p>
    <w:p w14:paraId="7D054517" w14:textId="77777777" w:rsidR="001A27C3" w:rsidRDefault="001A27C3" w:rsidP="003B4F97">
      <w:pPr>
        <w:rPr>
          <w:rFonts w:eastAsia="Times New Roman" w:cs="Calibri"/>
          <w:noProof w:val="0"/>
          <w:spacing w:val="2"/>
          <w:lang w:eastAsia="en-AU"/>
        </w:rPr>
      </w:pPr>
      <w:r>
        <w:br w:type="page"/>
      </w:r>
    </w:p>
    <w:p w14:paraId="5C0CD572" w14:textId="0FCD283C" w:rsidR="00B552FC" w:rsidRDefault="009F6216" w:rsidP="00A60C18">
      <w:pPr>
        <w:pStyle w:val="Heading1"/>
        <w:framePr w:wrap="around"/>
      </w:pPr>
      <w:bookmarkStart w:id="20" w:name="_Toc71710128"/>
      <w:r w:rsidRPr="009F6216">
        <w:t xml:space="preserve">Appendix </w:t>
      </w:r>
      <w:r w:rsidR="00061B4C">
        <w:t>2</w:t>
      </w:r>
      <w:r w:rsidRPr="009F6216">
        <w:t xml:space="preserve">: </w:t>
      </w:r>
      <w:r w:rsidR="00061B4C">
        <w:t>T</w:t>
      </w:r>
      <w:r w:rsidRPr="009F6216">
        <w:t>otal women and babies in Victorian maternity services 2019</w:t>
      </w:r>
      <w:bookmarkEnd w:id="20"/>
    </w:p>
    <w:p w14:paraId="4553BBDB" w14:textId="6E8CA094" w:rsidR="009F6216" w:rsidRDefault="009F6216" w:rsidP="003B4F97">
      <w:pPr>
        <w:pStyle w:val="Tablechartdiagramheading"/>
      </w:pPr>
      <w:r w:rsidRPr="009F6216">
        <w:t>Table 1</w:t>
      </w:r>
      <w:r w:rsidR="00061B4C">
        <w:t>4</w:t>
      </w:r>
      <w:r w:rsidRPr="009F6216">
        <w:t>. Total number of women and babies, by maternity service of birth, 2019</w:t>
      </w:r>
    </w:p>
    <w:tbl>
      <w:tblPr>
        <w:tblStyle w:val="TableGrid"/>
        <w:tblW w:w="10206" w:type="dxa"/>
        <w:tblLook w:val="04A0" w:firstRow="1" w:lastRow="0" w:firstColumn="1" w:lastColumn="0" w:noHBand="0" w:noVBand="1"/>
      </w:tblPr>
      <w:tblGrid>
        <w:gridCol w:w="5812"/>
        <w:gridCol w:w="1843"/>
        <w:gridCol w:w="1276"/>
        <w:gridCol w:w="1275"/>
      </w:tblGrid>
      <w:tr w:rsidR="009F6216" w14:paraId="0D5DDD9A" w14:textId="77777777" w:rsidTr="000A22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812"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3DF3D326" w14:textId="66963A56" w:rsidR="009F6216" w:rsidRDefault="009F6216" w:rsidP="003B4F97">
            <w:r w:rsidRPr="00190544">
              <w:t>Health service</w:t>
            </w:r>
          </w:p>
        </w:tc>
        <w:tc>
          <w:tcPr>
            <w:tcW w:w="1843"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DF8375D" w14:textId="2C48F093" w:rsidR="009F6216" w:rsidRDefault="009F6216" w:rsidP="003B4F97">
            <w:pPr>
              <w:cnfStyle w:val="100000000000" w:firstRow="1" w:lastRow="0" w:firstColumn="0" w:lastColumn="0" w:oddVBand="0" w:evenVBand="0" w:oddHBand="0" w:evenHBand="0" w:firstRowFirstColumn="0" w:firstRowLastColumn="0" w:lastRowFirstColumn="0" w:lastRowLastColumn="0"/>
            </w:pPr>
            <w:r w:rsidRPr="00190544">
              <w:t>Maternal capability level of service*</w:t>
            </w:r>
          </w:p>
        </w:tc>
        <w:tc>
          <w:tcPr>
            <w:tcW w:w="1276"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4670CD77" w14:textId="7E3CC72E" w:rsidR="009F6216" w:rsidRDefault="009F6216" w:rsidP="003B4F97">
            <w:pPr>
              <w:cnfStyle w:val="100000000000" w:firstRow="1" w:lastRow="0" w:firstColumn="0" w:lastColumn="0" w:oddVBand="0" w:evenVBand="0" w:oddHBand="0" w:evenHBand="0" w:firstRowFirstColumn="0" w:firstRowLastColumn="0" w:lastRowFirstColumn="0" w:lastRowLastColumn="0"/>
            </w:pPr>
            <w:r w:rsidRPr="00190544">
              <w:t>Number of women</w:t>
            </w:r>
          </w:p>
        </w:tc>
        <w:tc>
          <w:tcPr>
            <w:tcW w:w="1275" w:type="dxa"/>
            <w:tcBorders>
              <w:top w:val="none" w:sz="0" w:space="0" w:color="auto"/>
              <w:left w:val="none" w:sz="0" w:space="0" w:color="auto"/>
              <w:bottom w:val="none" w:sz="0" w:space="0" w:color="auto"/>
              <w:right w:val="none" w:sz="0" w:space="0" w:color="auto"/>
              <w:tl2br w:val="none" w:sz="0" w:space="0" w:color="auto"/>
              <w:tr2bl w:val="none" w:sz="0" w:space="0" w:color="auto"/>
            </w:tcBorders>
            <w:tcMar>
              <w:top w:w="0" w:type="nil"/>
              <w:left w:w="0" w:type="nil"/>
              <w:bottom w:w="0" w:type="nil"/>
              <w:right w:w="0" w:type="nil"/>
            </w:tcMar>
          </w:tcPr>
          <w:p w14:paraId="70873089" w14:textId="4923D204" w:rsidR="009F6216" w:rsidRDefault="009F6216" w:rsidP="003B4F97">
            <w:pPr>
              <w:cnfStyle w:val="100000000000" w:firstRow="1" w:lastRow="0" w:firstColumn="0" w:lastColumn="0" w:oddVBand="0" w:evenVBand="0" w:oddHBand="0" w:evenHBand="0" w:firstRowFirstColumn="0" w:firstRowLastColumn="0" w:lastRowFirstColumn="0" w:lastRowLastColumn="0"/>
            </w:pPr>
            <w:r w:rsidRPr="00190544">
              <w:t>Number of babies</w:t>
            </w:r>
          </w:p>
        </w:tc>
      </w:tr>
      <w:tr w:rsidR="009F6216" w14:paraId="7DBB1AC5"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650B0AB9" w14:textId="1CD175FF" w:rsidR="009F6216" w:rsidRDefault="009F6216" w:rsidP="003B4F97">
            <w:r w:rsidRPr="000D2E3D">
              <w:t>The Royal Women's Hospital</w:t>
            </w:r>
          </w:p>
        </w:tc>
        <w:tc>
          <w:tcPr>
            <w:tcW w:w="1843" w:type="dxa"/>
          </w:tcPr>
          <w:p w14:paraId="73A75ABB" w14:textId="2AA876CE"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6</w:t>
            </w:r>
          </w:p>
        </w:tc>
        <w:tc>
          <w:tcPr>
            <w:tcW w:w="1276" w:type="dxa"/>
          </w:tcPr>
          <w:p w14:paraId="7650BDFA" w14:textId="1BE27509"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7</w:t>
            </w:r>
            <w:r>
              <w:t>,610</w:t>
            </w:r>
          </w:p>
        </w:tc>
        <w:tc>
          <w:tcPr>
            <w:tcW w:w="1275" w:type="dxa"/>
          </w:tcPr>
          <w:p w14:paraId="12951E61" w14:textId="59B09696"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7</w:t>
            </w:r>
            <w:r>
              <w:t>,779</w:t>
            </w:r>
          </w:p>
        </w:tc>
      </w:tr>
      <w:tr w:rsidR="009F6216" w14:paraId="4623C857"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DFEE5DD" w14:textId="51CE711C" w:rsidR="009F6216" w:rsidRDefault="009F6216" w:rsidP="003B4F97">
            <w:r w:rsidRPr="000D2E3D">
              <w:t>Mercy Hospital for Women</w:t>
            </w:r>
          </w:p>
        </w:tc>
        <w:tc>
          <w:tcPr>
            <w:tcW w:w="1843" w:type="dxa"/>
          </w:tcPr>
          <w:p w14:paraId="06C51127" w14:textId="77D6261F"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6</w:t>
            </w:r>
          </w:p>
        </w:tc>
        <w:tc>
          <w:tcPr>
            <w:tcW w:w="1276" w:type="dxa"/>
          </w:tcPr>
          <w:p w14:paraId="512FABAE" w14:textId="6D816321"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r>
              <w:t>,754</w:t>
            </w:r>
          </w:p>
        </w:tc>
        <w:tc>
          <w:tcPr>
            <w:tcW w:w="1275" w:type="dxa"/>
          </w:tcPr>
          <w:p w14:paraId="2CDA19FD" w14:textId="17C4CA2C"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r>
              <w:t>,886</w:t>
            </w:r>
          </w:p>
        </w:tc>
      </w:tr>
      <w:tr w:rsidR="009F6216" w14:paraId="42BD7014"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65C98BBE" w14:textId="6930FE8A" w:rsidR="009F6216" w:rsidRDefault="009F6216" w:rsidP="003B4F97">
            <w:r w:rsidRPr="000D2E3D">
              <w:t>Monash Medical Centre (Clayton)</w:t>
            </w:r>
          </w:p>
        </w:tc>
        <w:tc>
          <w:tcPr>
            <w:tcW w:w="1843" w:type="dxa"/>
          </w:tcPr>
          <w:p w14:paraId="0002E593" w14:textId="17A1E700"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6</w:t>
            </w:r>
          </w:p>
        </w:tc>
        <w:tc>
          <w:tcPr>
            <w:tcW w:w="1276" w:type="dxa"/>
          </w:tcPr>
          <w:p w14:paraId="0A2DDAF3" w14:textId="3927AFEF"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,917</w:t>
            </w:r>
          </w:p>
        </w:tc>
        <w:tc>
          <w:tcPr>
            <w:tcW w:w="1275" w:type="dxa"/>
          </w:tcPr>
          <w:p w14:paraId="1C3545A4" w14:textId="429541DC"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r>
              <w:t>,088</w:t>
            </w:r>
          </w:p>
        </w:tc>
      </w:tr>
      <w:tr w:rsidR="009F6216" w14:paraId="7962E35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D8514D7" w14:textId="4D7DF2E2" w:rsidR="009F6216" w:rsidRPr="000D2E3D" w:rsidRDefault="009D4864" w:rsidP="003B4F97">
            <w:r>
              <w:t>Sunshine Hospital</w:t>
            </w:r>
          </w:p>
        </w:tc>
        <w:tc>
          <w:tcPr>
            <w:tcW w:w="1843" w:type="dxa"/>
          </w:tcPr>
          <w:p w14:paraId="657D3C18" w14:textId="0DA911B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6</w:t>
            </w:r>
          </w:p>
        </w:tc>
        <w:tc>
          <w:tcPr>
            <w:tcW w:w="1276" w:type="dxa"/>
          </w:tcPr>
          <w:p w14:paraId="10774335" w14:textId="2A18F84A"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r>
              <w:t>,787</w:t>
            </w:r>
          </w:p>
        </w:tc>
        <w:tc>
          <w:tcPr>
            <w:tcW w:w="1275" w:type="dxa"/>
          </w:tcPr>
          <w:p w14:paraId="4A59FD9A" w14:textId="1AF9F6D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r>
              <w:t>,875</w:t>
            </w:r>
          </w:p>
        </w:tc>
      </w:tr>
      <w:tr w:rsidR="009F6216" w14:paraId="51850AB3"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A61D9AC" w14:textId="2359569C" w:rsidR="009F6216" w:rsidRPr="000D2E3D" w:rsidRDefault="009F6216" w:rsidP="003B4F97">
            <w:r w:rsidRPr="000D2E3D">
              <w:t>Northern Hospital Epping</w:t>
            </w:r>
          </w:p>
        </w:tc>
        <w:tc>
          <w:tcPr>
            <w:tcW w:w="1843" w:type="dxa"/>
          </w:tcPr>
          <w:p w14:paraId="36E85C60" w14:textId="355C6AA6"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0B2C8DE5" w14:textId="35744330"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,530</w:t>
            </w:r>
          </w:p>
        </w:tc>
        <w:tc>
          <w:tcPr>
            <w:tcW w:w="1275" w:type="dxa"/>
          </w:tcPr>
          <w:p w14:paraId="474C3473" w14:textId="48425CF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,557</w:t>
            </w:r>
          </w:p>
        </w:tc>
      </w:tr>
      <w:tr w:rsidR="009F6216" w14:paraId="0629062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B17ADBA" w14:textId="3C928427" w:rsidR="009F6216" w:rsidRPr="000D2E3D" w:rsidRDefault="009F6216" w:rsidP="003B4F97">
            <w:r w:rsidRPr="000D2E3D">
              <w:t>Frankston Hospital</w:t>
            </w:r>
          </w:p>
        </w:tc>
        <w:tc>
          <w:tcPr>
            <w:tcW w:w="1843" w:type="dxa"/>
          </w:tcPr>
          <w:p w14:paraId="76707170" w14:textId="5BE4B03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52BCD0B8" w14:textId="6F485ACF"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8</w:t>
            </w:r>
            <w:r>
              <w:t>81</w:t>
            </w:r>
          </w:p>
        </w:tc>
        <w:tc>
          <w:tcPr>
            <w:tcW w:w="1275" w:type="dxa"/>
          </w:tcPr>
          <w:p w14:paraId="30A00693" w14:textId="45D09F93"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,926</w:t>
            </w:r>
          </w:p>
        </w:tc>
      </w:tr>
      <w:tr w:rsidR="009F6216" w14:paraId="5224958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2FFF009" w14:textId="32575DC3" w:rsidR="009F6216" w:rsidRPr="000D2E3D" w:rsidRDefault="009F6216" w:rsidP="003B4F97">
            <w:r w:rsidRPr="000D2E3D">
              <w:t>Box Hill Hospital</w:t>
            </w:r>
          </w:p>
        </w:tc>
        <w:tc>
          <w:tcPr>
            <w:tcW w:w="1843" w:type="dxa"/>
          </w:tcPr>
          <w:p w14:paraId="5FA886C6" w14:textId="5CB4CE9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5F473D5C" w14:textId="1F656A84"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5</w:t>
            </w:r>
            <w:r>
              <w:t>66</w:t>
            </w:r>
          </w:p>
        </w:tc>
        <w:tc>
          <w:tcPr>
            <w:tcW w:w="1275" w:type="dxa"/>
          </w:tcPr>
          <w:p w14:paraId="4B09CDAF" w14:textId="10B41BA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,599</w:t>
            </w:r>
          </w:p>
        </w:tc>
      </w:tr>
      <w:tr w:rsidR="009F6216" w14:paraId="269E31E1"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F295E2E" w14:textId="60A47CB1" w:rsidR="009F6216" w:rsidRPr="000D2E3D" w:rsidRDefault="009F6216" w:rsidP="003B4F97">
            <w:r w:rsidRPr="000D2E3D">
              <w:t>University Hospital Geelong</w:t>
            </w:r>
          </w:p>
        </w:tc>
        <w:tc>
          <w:tcPr>
            <w:tcW w:w="1843" w:type="dxa"/>
          </w:tcPr>
          <w:p w14:paraId="410ED591" w14:textId="21506B9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7123E0C2" w14:textId="253D53A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5</w:t>
            </w:r>
            <w:r>
              <w:t>19</w:t>
            </w:r>
          </w:p>
        </w:tc>
        <w:tc>
          <w:tcPr>
            <w:tcW w:w="1275" w:type="dxa"/>
          </w:tcPr>
          <w:p w14:paraId="08725E74" w14:textId="3CBF23E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5</w:t>
            </w:r>
            <w:r>
              <w:t>63</w:t>
            </w:r>
          </w:p>
        </w:tc>
      </w:tr>
      <w:tr w:rsidR="009F6216" w14:paraId="1CEEF0BD"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CE11E7C" w14:textId="1275E856" w:rsidR="009F6216" w:rsidRPr="000D2E3D" w:rsidRDefault="009F6216" w:rsidP="003B4F97">
            <w:r w:rsidRPr="000D2E3D">
              <w:t>Wodonga Hospital</w:t>
            </w:r>
          </w:p>
        </w:tc>
        <w:tc>
          <w:tcPr>
            <w:tcW w:w="1843" w:type="dxa"/>
          </w:tcPr>
          <w:p w14:paraId="535B3318" w14:textId="505EDF1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6CC3F476" w14:textId="62A169D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w:t>
            </w:r>
            <w:r w:rsidRPr="000D2E3D">
              <w:t>6</w:t>
            </w:r>
            <w:r>
              <w:t>45</w:t>
            </w:r>
          </w:p>
        </w:tc>
        <w:tc>
          <w:tcPr>
            <w:tcW w:w="1275" w:type="dxa"/>
          </w:tcPr>
          <w:p w14:paraId="34863D6B" w14:textId="656754CB"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w:t>
            </w:r>
            <w:r w:rsidRPr="000D2E3D">
              <w:t>6</w:t>
            </w:r>
            <w:r>
              <w:t>71</w:t>
            </w:r>
          </w:p>
        </w:tc>
      </w:tr>
      <w:tr w:rsidR="009F6216" w14:paraId="197A14CB"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BFDDCBD" w14:textId="6ED1C501" w:rsidR="009F6216" w:rsidRPr="000D2E3D" w:rsidRDefault="009F6216" w:rsidP="003B4F97">
            <w:r w:rsidRPr="000D2E3D">
              <w:t>Bendigo Hospital</w:t>
            </w:r>
          </w:p>
        </w:tc>
        <w:tc>
          <w:tcPr>
            <w:tcW w:w="1843" w:type="dxa"/>
          </w:tcPr>
          <w:p w14:paraId="4509FA74" w14:textId="007F97CD"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2ADA0C08" w14:textId="39EF3E4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1,597</w:t>
            </w:r>
          </w:p>
        </w:tc>
        <w:tc>
          <w:tcPr>
            <w:tcW w:w="1275" w:type="dxa"/>
          </w:tcPr>
          <w:p w14:paraId="0A0C6B39" w14:textId="2A3438F4"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1,612</w:t>
            </w:r>
          </w:p>
        </w:tc>
      </w:tr>
      <w:tr w:rsidR="009F6216" w14:paraId="05181CCF"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3C47B11" w14:textId="1446897D" w:rsidR="009F6216" w:rsidRPr="000D2E3D" w:rsidRDefault="009F6216" w:rsidP="003B4F97">
            <w:r w:rsidRPr="000D2E3D">
              <w:t>Ballarat Base Hospital</w:t>
            </w:r>
          </w:p>
        </w:tc>
        <w:tc>
          <w:tcPr>
            <w:tcW w:w="1843" w:type="dxa"/>
          </w:tcPr>
          <w:p w14:paraId="23B1DCE5" w14:textId="71154B90"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79740CFD" w14:textId="5900B44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,460</w:t>
            </w:r>
          </w:p>
        </w:tc>
        <w:tc>
          <w:tcPr>
            <w:tcW w:w="1275" w:type="dxa"/>
          </w:tcPr>
          <w:p w14:paraId="742330E8" w14:textId="0B1096B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w:t>
            </w:r>
            <w:r w:rsidRPr="000D2E3D">
              <w:t>4</w:t>
            </w:r>
            <w:r>
              <w:t>74</w:t>
            </w:r>
          </w:p>
        </w:tc>
      </w:tr>
      <w:tr w:rsidR="009F6216" w14:paraId="78394FC1"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6E5C347" w14:textId="13E54026" w:rsidR="009F6216" w:rsidRPr="000D2E3D" w:rsidRDefault="009F6216" w:rsidP="003B4F97">
            <w:r w:rsidRPr="000D2E3D">
              <w:t>Goulburn Valley Health (Shepparton)</w:t>
            </w:r>
          </w:p>
        </w:tc>
        <w:tc>
          <w:tcPr>
            <w:tcW w:w="1843" w:type="dxa"/>
          </w:tcPr>
          <w:p w14:paraId="37811E4F" w14:textId="5CDA9F36"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6F749A48" w14:textId="4A1AB74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958</w:t>
            </w:r>
          </w:p>
        </w:tc>
        <w:tc>
          <w:tcPr>
            <w:tcW w:w="1275" w:type="dxa"/>
          </w:tcPr>
          <w:p w14:paraId="674FB756" w14:textId="7DF6F94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968</w:t>
            </w:r>
          </w:p>
        </w:tc>
      </w:tr>
      <w:tr w:rsidR="009F6216" w14:paraId="1B7D8BB0"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57DAFC4" w14:textId="7912CE79" w:rsidR="009F6216" w:rsidRPr="000D2E3D" w:rsidRDefault="009F6216" w:rsidP="003B4F97">
            <w:r w:rsidRPr="000D2E3D">
              <w:t>Latrobe Regional Hospital</w:t>
            </w:r>
          </w:p>
        </w:tc>
        <w:tc>
          <w:tcPr>
            <w:tcW w:w="1843" w:type="dxa"/>
          </w:tcPr>
          <w:p w14:paraId="61CCB2DD" w14:textId="6187E533"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5</w:t>
            </w:r>
          </w:p>
        </w:tc>
        <w:tc>
          <w:tcPr>
            <w:tcW w:w="1276" w:type="dxa"/>
          </w:tcPr>
          <w:p w14:paraId="04F6BF20" w14:textId="3570CF70"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8</w:t>
            </w:r>
            <w:r>
              <w:t>36</w:t>
            </w:r>
          </w:p>
        </w:tc>
        <w:tc>
          <w:tcPr>
            <w:tcW w:w="1275" w:type="dxa"/>
          </w:tcPr>
          <w:p w14:paraId="090EE540" w14:textId="43D2C37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8</w:t>
            </w:r>
            <w:r>
              <w:t>50</w:t>
            </w:r>
          </w:p>
        </w:tc>
      </w:tr>
      <w:tr w:rsidR="009F6216" w14:paraId="0CD7ACAF"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056759E" w14:textId="06BCEB0E" w:rsidR="009F6216" w:rsidRPr="000D2E3D" w:rsidRDefault="009F6216" w:rsidP="003B4F97">
            <w:r w:rsidRPr="000D2E3D">
              <w:t>Werribee Mercy Hospital</w:t>
            </w:r>
          </w:p>
        </w:tc>
        <w:tc>
          <w:tcPr>
            <w:tcW w:w="1843" w:type="dxa"/>
          </w:tcPr>
          <w:p w14:paraId="7FEAF67A" w14:textId="1892322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73FE9C7B" w14:textId="3B9AF99B"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,865</w:t>
            </w:r>
          </w:p>
        </w:tc>
        <w:tc>
          <w:tcPr>
            <w:tcW w:w="1275" w:type="dxa"/>
          </w:tcPr>
          <w:p w14:paraId="09C605C2" w14:textId="4366775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,897</w:t>
            </w:r>
          </w:p>
        </w:tc>
      </w:tr>
      <w:tr w:rsidR="009F6216" w14:paraId="50A528A6"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E161846" w14:textId="550DA016" w:rsidR="009F6216" w:rsidRPr="000D2E3D" w:rsidRDefault="009F6216" w:rsidP="003B4F97">
            <w:r w:rsidRPr="000D2E3D">
              <w:t>Dandenong Hospital</w:t>
            </w:r>
          </w:p>
        </w:tc>
        <w:tc>
          <w:tcPr>
            <w:tcW w:w="1843" w:type="dxa"/>
          </w:tcPr>
          <w:p w14:paraId="20AE0C93" w14:textId="06C3441D"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50252065" w14:textId="0C18B107"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6</w:t>
            </w:r>
            <w:r>
              <w:t>33</w:t>
            </w:r>
          </w:p>
        </w:tc>
        <w:tc>
          <w:tcPr>
            <w:tcW w:w="1275" w:type="dxa"/>
          </w:tcPr>
          <w:p w14:paraId="3B5896FD" w14:textId="2A4C1EA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6</w:t>
            </w:r>
            <w:r>
              <w:t>33</w:t>
            </w:r>
          </w:p>
        </w:tc>
      </w:tr>
      <w:tr w:rsidR="009F6216" w14:paraId="29533F88"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EC2ACF3" w14:textId="06A616F4" w:rsidR="009F6216" w:rsidRPr="000D2E3D" w:rsidRDefault="009F6216" w:rsidP="003B4F97">
            <w:r w:rsidRPr="000D2E3D">
              <w:t>Casey Hospital</w:t>
            </w:r>
          </w:p>
        </w:tc>
        <w:tc>
          <w:tcPr>
            <w:tcW w:w="1843" w:type="dxa"/>
          </w:tcPr>
          <w:p w14:paraId="2D71B65B" w14:textId="2CCB3EE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7E6D7B6D" w14:textId="0C38B023"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,489</w:t>
            </w:r>
          </w:p>
        </w:tc>
        <w:tc>
          <w:tcPr>
            <w:tcW w:w="1275" w:type="dxa"/>
          </w:tcPr>
          <w:p w14:paraId="4924F18B" w14:textId="75C9D32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,491</w:t>
            </w:r>
          </w:p>
        </w:tc>
      </w:tr>
      <w:tr w:rsidR="009F6216" w14:paraId="33F40D6A"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414754C" w14:textId="359E27AE" w:rsidR="009F6216" w:rsidRPr="000D2E3D" w:rsidRDefault="009F6216" w:rsidP="003B4F97">
            <w:r w:rsidRPr="000D2E3D">
              <w:t>Angliss Hospital</w:t>
            </w:r>
          </w:p>
        </w:tc>
        <w:tc>
          <w:tcPr>
            <w:tcW w:w="1843" w:type="dxa"/>
          </w:tcPr>
          <w:p w14:paraId="3FE4AD4A" w14:textId="0F6515BB"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42D8D111" w14:textId="33FF606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2</w:t>
            </w:r>
            <w:r>
              <w:t>06</w:t>
            </w:r>
          </w:p>
        </w:tc>
        <w:tc>
          <w:tcPr>
            <w:tcW w:w="1275" w:type="dxa"/>
          </w:tcPr>
          <w:p w14:paraId="12D94335" w14:textId="67223578"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2</w:t>
            </w:r>
            <w:r>
              <w:t>15</w:t>
            </w:r>
          </w:p>
        </w:tc>
      </w:tr>
      <w:tr w:rsidR="009F6216" w14:paraId="023B7E3D"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406DFAF" w14:textId="296BAF59" w:rsidR="009F6216" w:rsidRPr="000D2E3D" w:rsidRDefault="009F6216" w:rsidP="003B4F97">
            <w:r w:rsidRPr="000D2E3D">
              <w:t>Women's at Sandringham</w:t>
            </w:r>
          </w:p>
        </w:tc>
        <w:tc>
          <w:tcPr>
            <w:tcW w:w="1843" w:type="dxa"/>
          </w:tcPr>
          <w:p w14:paraId="46C040BF" w14:textId="2332B90F"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5880C91C" w14:textId="6BF2321D"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,584</w:t>
            </w:r>
          </w:p>
        </w:tc>
        <w:tc>
          <w:tcPr>
            <w:tcW w:w="1275" w:type="dxa"/>
          </w:tcPr>
          <w:p w14:paraId="5FB01C53" w14:textId="45796F2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,584</w:t>
            </w:r>
          </w:p>
        </w:tc>
      </w:tr>
      <w:tr w:rsidR="009F6216" w14:paraId="7FF6D755"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4AE2074" w14:textId="7C3D90FF" w:rsidR="009F6216" w:rsidRPr="000D2E3D" w:rsidRDefault="009F6216" w:rsidP="003B4F97">
            <w:r w:rsidRPr="000D2E3D">
              <w:t>West Gippsland Hospital</w:t>
            </w:r>
          </w:p>
        </w:tc>
        <w:tc>
          <w:tcPr>
            <w:tcW w:w="1843" w:type="dxa"/>
          </w:tcPr>
          <w:p w14:paraId="271FC73A" w14:textId="60F0784D"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092AC1AF" w14:textId="044410F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8</w:t>
            </w:r>
            <w:r>
              <w:t>83</w:t>
            </w:r>
          </w:p>
        </w:tc>
        <w:tc>
          <w:tcPr>
            <w:tcW w:w="1275" w:type="dxa"/>
          </w:tcPr>
          <w:p w14:paraId="4855003C" w14:textId="424AC7C4"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8</w:t>
            </w:r>
            <w:r>
              <w:t>93</w:t>
            </w:r>
          </w:p>
        </w:tc>
      </w:tr>
      <w:tr w:rsidR="009F6216" w14:paraId="65814BD4"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5EF8A46B" w14:textId="304956DF" w:rsidR="009F6216" w:rsidRPr="000D2E3D" w:rsidRDefault="009F6216" w:rsidP="003B4F97">
            <w:r w:rsidRPr="000D2E3D">
              <w:t>Mildura Base Hospital</w:t>
            </w:r>
          </w:p>
        </w:tc>
        <w:tc>
          <w:tcPr>
            <w:tcW w:w="1843" w:type="dxa"/>
          </w:tcPr>
          <w:p w14:paraId="03C893C9" w14:textId="0896634F"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40DA439C" w14:textId="0C6C8D5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83</w:t>
            </w:r>
            <w:r>
              <w:t>9</w:t>
            </w:r>
          </w:p>
        </w:tc>
        <w:tc>
          <w:tcPr>
            <w:tcW w:w="1275" w:type="dxa"/>
          </w:tcPr>
          <w:p w14:paraId="10609D5A" w14:textId="3B76181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8</w:t>
            </w:r>
            <w:r>
              <w:t>47</w:t>
            </w:r>
          </w:p>
        </w:tc>
      </w:tr>
      <w:tr w:rsidR="009F6216" w14:paraId="2607B956"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DB3AD75" w14:textId="1A91AE66" w:rsidR="009F6216" w:rsidRPr="000D2E3D" w:rsidRDefault="009F6216" w:rsidP="003B4F97">
            <w:r w:rsidRPr="000D2E3D">
              <w:t>Warrnambool Base Hospital</w:t>
            </w:r>
          </w:p>
        </w:tc>
        <w:tc>
          <w:tcPr>
            <w:tcW w:w="1843" w:type="dxa"/>
          </w:tcPr>
          <w:p w14:paraId="111213C9" w14:textId="61DC408A"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7D8DB4EC" w14:textId="59A4E4E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669</w:t>
            </w:r>
          </w:p>
        </w:tc>
        <w:tc>
          <w:tcPr>
            <w:tcW w:w="1275" w:type="dxa"/>
          </w:tcPr>
          <w:p w14:paraId="4062B6B3" w14:textId="25EDFB36"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683</w:t>
            </w:r>
          </w:p>
        </w:tc>
      </w:tr>
      <w:tr w:rsidR="009F6216" w14:paraId="3D48BBA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AFE2AFB" w14:textId="35CB0E2D" w:rsidR="009F6216" w:rsidRPr="000D2E3D" w:rsidRDefault="009F6216" w:rsidP="003B4F97">
            <w:r w:rsidRPr="000D2E3D">
              <w:t>Northeast Health Wangaratta</w:t>
            </w:r>
          </w:p>
        </w:tc>
        <w:tc>
          <w:tcPr>
            <w:tcW w:w="1843" w:type="dxa"/>
          </w:tcPr>
          <w:p w14:paraId="03C3EBAE" w14:textId="49EB99BB"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0E351581" w14:textId="6E757C6A"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6</w:t>
            </w:r>
            <w:r>
              <w:t>92</w:t>
            </w:r>
          </w:p>
        </w:tc>
        <w:tc>
          <w:tcPr>
            <w:tcW w:w="1275" w:type="dxa"/>
          </w:tcPr>
          <w:p w14:paraId="2586BE8C" w14:textId="2C32D469"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6</w:t>
            </w:r>
            <w:r>
              <w:t>99</w:t>
            </w:r>
          </w:p>
        </w:tc>
      </w:tr>
      <w:tr w:rsidR="009F6216" w14:paraId="46BE9500"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39B58DF" w14:textId="58F76439" w:rsidR="009F6216" w:rsidRPr="000D2E3D" w:rsidRDefault="009F6216" w:rsidP="003B4F97">
            <w:r w:rsidRPr="000D2E3D">
              <w:t>Sale Hospital</w:t>
            </w:r>
          </w:p>
        </w:tc>
        <w:tc>
          <w:tcPr>
            <w:tcW w:w="1843" w:type="dxa"/>
          </w:tcPr>
          <w:p w14:paraId="39AD4624" w14:textId="25CCB16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4768B8D5" w14:textId="38BF90D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368</w:t>
            </w:r>
          </w:p>
        </w:tc>
        <w:tc>
          <w:tcPr>
            <w:tcW w:w="1275" w:type="dxa"/>
          </w:tcPr>
          <w:p w14:paraId="1787907C" w14:textId="2823832F"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373</w:t>
            </w:r>
          </w:p>
        </w:tc>
      </w:tr>
      <w:tr w:rsidR="009F6216" w14:paraId="26AD98AD"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614EDF56" w14:textId="756C7312" w:rsidR="009F6216" w:rsidRPr="000D2E3D" w:rsidRDefault="009F6216" w:rsidP="003B4F97">
            <w:r w:rsidRPr="000D2E3D">
              <w:t>Wimmera Base Hospital</w:t>
            </w:r>
          </w:p>
        </w:tc>
        <w:tc>
          <w:tcPr>
            <w:tcW w:w="1843" w:type="dxa"/>
          </w:tcPr>
          <w:p w14:paraId="29DAC1CE" w14:textId="5C8760F0"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4</w:t>
            </w:r>
          </w:p>
        </w:tc>
        <w:tc>
          <w:tcPr>
            <w:tcW w:w="1276" w:type="dxa"/>
          </w:tcPr>
          <w:p w14:paraId="4849D453" w14:textId="509ECA80"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291</w:t>
            </w:r>
          </w:p>
        </w:tc>
        <w:tc>
          <w:tcPr>
            <w:tcW w:w="1275" w:type="dxa"/>
          </w:tcPr>
          <w:p w14:paraId="536361D9" w14:textId="76CB7F3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295</w:t>
            </w:r>
          </w:p>
        </w:tc>
      </w:tr>
      <w:tr w:rsidR="009F6216" w14:paraId="646ADF0B"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0ED078A" w14:textId="51D195C9" w:rsidR="009F6216" w:rsidRPr="000D2E3D" w:rsidRDefault="009F6216" w:rsidP="003B4F97">
            <w:r w:rsidRPr="000D2E3D">
              <w:t>Bacchus Marsh &amp; Melton Regional Hospital</w:t>
            </w:r>
          </w:p>
        </w:tc>
        <w:tc>
          <w:tcPr>
            <w:tcW w:w="1843" w:type="dxa"/>
          </w:tcPr>
          <w:p w14:paraId="504725B4" w14:textId="706C26D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547E4BDF" w14:textId="001A2839"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47</w:t>
            </w:r>
            <w:r>
              <w:t>7</w:t>
            </w:r>
          </w:p>
        </w:tc>
        <w:tc>
          <w:tcPr>
            <w:tcW w:w="1275" w:type="dxa"/>
          </w:tcPr>
          <w:p w14:paraId="0C318FEB" w14:textId="0685D5C6"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47</w:t>
            </w:r>
            <w:r>
              <w:t>7</w:t>
            </w:r>
          </w:p>
        </w:tc>
      </w:tr>
      <w:tr w:rsidR="009F6216" w14:paraId="4B9F15A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2D3DC41" w14:textId="5766AFD9" w:rsidR="009F6216" w:rsidRPr="000D2E3D" w:rsidRDefault="009F6216" w:rsidP="003B4F97">
            <w:r w:rsidRPr="000D2E3D">
              <w:t>Echuca Hospital</w:t>
            </w:r>
          </w:p>
        </w:tc>
        <w:tc>
          <w:tcPr>
            <w:tcW w:w="1843" w:type="dxa"/>
          </w:tcPr>
          <w:p w14:paraId="14B56615" w14:textId="1974F269"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0E19FD84" w14:textId="368459EC"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93</w:t>
            </w:r>
          </w:p>
        </w:tc>
        <w:tc>
          <w:tcPr>
            <w:tcW w:w="1275" w:type="dxa"/>
          </w:tcPr>
          <w:p w14:paraId="161F58D1" w14:textId="0E7A79EB"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94</w:t>
            </w:r>
          </w:p>
        </w:tc>
      </w:tr>
      <w:tr w:rsidR="009F6216" w14:paraId="6FE14A88"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0FE5160" w14:textId="0BA3F548" w:rsidR="009F6216" w:rsidRPr="000D2E3D" w:rsidRDefault="009F6216" w:rsidP="003B4F97">
            <w:r w:rsidRPr="000D2E3D">
              <w:t>Bairnsdale Hospital</w:t>
            </w:r>
          </w:p>
        </w:tc>
        <w:tc>
          <w:tcPr>
            <w:tcW w:w="1843" w:type="dxa"/>
          </w:tcPr>
          <w:p w14:paraId="578482AD" w14:textId="2C05748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11960689" w14:textId="6853CFFB"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05</w:t>
            </w:r>
          </w:p>
        </w:tc>
        <w:tc>
          <w:tcPr>
            <w:tcW w:w="1275" w:type="dxa"/>
          </w:tcPr>
          <w:p w14:paraId="43856786" w14:textId="725EBCD4"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r>
              <w:t>05</w:t>
            </w:r>
          </w:p>
        </w:tc>
      </w:tr>
      <w:tr w:rsidR="009F6216" w14:paraId="4EFEBC4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4EDADB0" w14:textId="4B4125EF" w:rsidR="009F6216" w:rsidRPr="000D2E3D" w:rsidRDefault="009F6216" w:rsidP="003B4F97">
            <w:r w:rsidRPr="000D2E3D">
              <w:t>Kilmore &amp; District Hospital</w:t>
            </w:r>
          </w:p>
        </w:tc>
        <w:tc>
          <w:tcPr>
            <w:tcW w:w="1843" w:type="dxa"/>
          </w:tcPr>
          <w:p w14:paraId="2D2CED64" w14:textId="1D59324B"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2F9BCE80" w14:textId="01EB336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180</w:t>
            </w:r>
          </w:p>
        </w:tc>
        <w:tc>
          <w:tcPr>
            <w:tcW w:w="1275" w:type="dxa"/>
          </w:tcPr>
          <w:p w14:paraId="074DCEAF" w14:textId="371EB255"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181</w:t>
            </w:r>
          </w:p>
        </w:tc>
      </w:tr>
      <w:tr w:rsidR="009F6216" w14:paraId="0B68C102"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C6D1C1F" w14:textId="2FAC3329" w:rsidR="009F6216" w:rsidRPr="000D2E3D" w:rsidRDefault="009F6216" w:rsidP="003B4F97">
            <w:r w:rsidRPr="000D2E3D">
              <w:t>Swan Hill Hospital</w:t>
            </w:r>
          </w:p>
        </w:tc>
        <w:tc>
          <w:tcPr>
            <w:tcW w:w="1843" w:type="dxa"/>
          </w:tcPr>
          <w:p w14:paraId="40DC92AD" w14:textId="7C3372EC"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68F3C046" w14:textId="5CCCCF6E"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164</w:t>
            </w:r>
          </w:p>
        </w:tc>
        <w:tc>
          <w:tcPr>
            <w:tcW w:w="1275" w:type="dxa"/>
          </w:tcPr>
          <w:p w14:paraId="6A243DEE" w14:textId="383E8701"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t>164</w:t>
            </w:r>
          </w:p>
        </w:tc>
      </w:tr>
      <w:tr w:rsidR="009F6216" w14:paraId="7D9A1065"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A356F63" w14:textId="51CDF53F" w:rsidR="009F6216" w:rsidRPr="000D2E3D" w:rsidRDefault="009F6216" w:rsidP="003B4F97">
            <w:r w:rsidRPr="000D2E3D">
              <w:t>Leongatha Hospital</w:t>
            </w:r>
          </w:p>
        </w:tc>
        <w:tc>
          <w:tcPr>
            <w:tcW w:w="1843" w:type="dxa"/>
          </w:tcPr>
          <w:p w14:paraId="6EFF136F" w14:textId="65466174"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4A998DDF" w14:textId="58158ABD"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54</w:t>
            </w:r>
          </w:p>
        </w:tc>
        <w:tc>
          <w:tcPr>
            <w:tcW w:w="1275" w:type="dxa"/>
          </w:tcPr>
          <w:p w14:paraId="7FE48A49" w14:textId="4D784834"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54</w:t>
            </w:r>
          </w:p>
        </w:tc>
      </w:tr>
      <w:tr w:rsidR="009F6216" w14:paraId="624D781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FA7C402" w14:textId="3C0C72FA" w:rsidR="009F6216" w:rsidRPr="000D2E3D" w:rsidRDefault="009F6216" w:rsidP="003B4F97">
            <w:r w:rsidRPr="000D2E3D">
              <w:t>Wonthaggi Hospital</w:t>
            </w:r>
          </w:p>
        </w:tc>
        <w:tc>
          <w:tcPr>
            <w:tcW w:w="1843" w:type="dxa"/>
          </w:tcPr>
          <w:p w14:paraId="321736FA" w14:textId="44A3C35A"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3FA4DBC7" w14:textId="598A2810"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46</w:t>
            </w:r>
          </w:p>
        </w:tc>
        <w:tc>
          <w:tcPr>
            <w:tcW w:w="1275" w:type="dxa"/>
          </w:tcPr>
          <w:p w14:paraId="32903BA8" w14:textId="242FDBE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46</w:t>
            </w:r>
          </w:p>
        </w:tc>
      </w:tr>
      <w:tr w:rsidR="009F6216" w14:paraId="579E11DB"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597FAE47" w14:textId="5B13406C" w:rsidR="009F6216" w:rsidRPr="000D2E3D" w:rsidRDefault="009F6216" w:rsidP="003B4F97">
            <w:r w:rsidRPr="000D2E3D">
              <w:t>Hamilton Base Hospital</w:t>
            </w:r>
          </w:p>
        </w:tc>
        <w:tc>
          <w:tcPr>
            <w:tcW w:w="1843" w:type="dxa"/>
          </w:tcPr>
          <w:p w14:paraId="124DC0F9" w14:textId="0C9B487A"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4BF0C881" w14:textId="3C38309C"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26</w:t>
            </w:r>
          </w:p>
        </w:tc>
        <w:tc>
          <w:tcPr>
            <w:tcW w:w="1275" w:type="dxa"/>
          </w:tcPr>
          <w:p w14:paraId="6F48D19B" w14:textId="52ADA4AA"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26</w:t>
            </w:r>
          </w:p>
        </w:tc>
      </w:tr>
      <w:tr w:rsidR="009F6216" w14:paraId="2DE7523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1B29D61" w14:textId="6A92FF59" w:rsidR="009F6216" w:rsidRPr="000D2E3D" w:rsidRDefault="009F6216" w:rsidP="003B4F97">
            <w:r w:rsidRPr="000D2E3D">
              <w:t>Colac Hospital</w:t>
            </w:r>
          </w:p>
        </w:tc>
        <w:tc>
          <w:tcPr>
            <w:tcW w:w="1843" w:type="dxa"/>
          </w:tcPr>
          <w:p w14:paraId="7C4C7BBC" w14:textId="245AE14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1D33D1E9" w14:textId="4D807858"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31</w:t>
            </w:r>
          </w:p>
        </w:tc>
        <w:tc>
          <w:tcPr>
            <w:tcW w:w="1275" w:type="dxa"/>
          </w:tcPr>
          <w:p w14:paraId="68089FCC" w14:textId="549599DD" w:rsidR="009F6216" w:rsidRDefault="009F6216" w:rsidP="003B4F97">
            <w:pPr>
              <w:cnfStyle w:val="000000000000" w:firstRow="0" w:lastRow="0" w:firstColumn="0" w:lastColumn="0" w:oddVBand="0" w:evenVBand="0" w:oddHBand="0" w:evenHBand="0" w:firstRowFirstColumn="0" w:firstRowLastColumn="0" w:lastRowFirstColumn="0" w:lastRowLastColumn="0"/>
            </w:pPr>
            <w:r w:rsidRPr="000D2E3D">
              <w:t>1</w:t>
            </w:r>
            <w:r>
              <w:t>31</w:t>
            </w:r>
          </w:p>
        </w:tc>
      </w:tr>
      <w:tr w:rsidR="009F6216" w14:paraId="732BF8E7"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E4AD50A" w14:textId="644AE166" w:rsidR="009F6216" w:rsidRPr="000D2E3D" w:rsidRDefault="009F6216" w:rsidP="003B4F97">
            <w:r w:rsidRPr="000D2E3D">
              <w:t>Benalla &amp; District Memorial Hospital</w:t>
            </w:r>
          </w:p>
        </w:tc>
        <w:tc>
          <w:tcPr>
            <w:tcW w:w="1843" w:type="dxa"/>
          </w:tcPr>
          <w:p w14:paraId="37DBA32C" w14:textId="27B5E03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000F8DDA" w14:textId="0766A55A" w:rsidR="009F6216" w:rsidRDefault="009F6216" w:rsidP="003B4F97">
            <w:pPr>
              <w:cnfStyle w:val="000000000000" w:firstRow="0" w:lastRow="0" w:firstColumn="0" w:lastColumn="0" w:oddVBand="0" w:evenVBand="0" w:oddHBand="0" w:evenHBand="0" w:firstRowFirstColumn="0" w:firstRowLastColumn="0" w:lastRowFirstColumn="0" w:lastRowLastColumn="0"/>
            </w:pPr>
            <w:r>
              <w:t>61</w:t>
            </w:r>
          </w:p>
        </w:tc>
        <w:tc>
          <w:tcPr>
            <w:tcW w:w="1275" w:type="dxa"/>
          </w:tcPr>
          <w:p w14:paraId="6FC1A6E1" w14:textId="07E2103E" w:rsidR="009F6216" w:rsidRDefault="009F6216" w:rsidP="003B4F97">
            <w:pPr>
              <w:cnfStyle w:val="000000000000" w:firstRow="0" w:lastRow="0" w:firstColumn="0" w:lastColumn="0" w:oddVBand="0" w:evenVBand="0" w:oddHBand="0" w:evenHBand="0" w:firstRowFirstColumn="0" w:firstRowLastColumn="0" w:lastRowFirstColumn="0" w:lastRowLastColumn="0"/>
            </w:pPr>
            <w:r>
              <w:t>61</w:t>
            </w:r>
          </w:p>
        </w:tc>
      </w:tr>
      <w:tr w:rsidR="009F6216" w14:paraId="055685E4"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8F8A46F" w14:textId="0695C3E3" w:rsidR="009F6216" w:rsidRPr="000D2E3D" w:rsidRDefault="009F6216" w:rsidP="003B4F97">
            <w:r w:rsidRPr="000D2E3D">
              <w:t>Ararat Hospital</w:t>
            </w:r>
          </w:p>
        </w:tc>
        <w:tc>
          <w:tcPr>
            <w:tcW w:w="1843" w:type="dxa"/>
          </w:tcPr>
          <w:p w14:paraId="75C93387" w14:textId="3A88992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42CAAFF7" w14:textId="256773A3" w:rsidR="009F6216" w:rsidRDefault="009F6216" w:rsidP="003B4F97">
            <w:pPr>
              <w:cnfStyle w:val="000000000000" w:firstRow="0" w:lastRow="0" w:firstColumn="0" w:lastColumn="0" w:oddVBand="0" w:evenVBand="0" w:oddHBand="0" w:evenHBand="0" w:firstRowFirstColumn="0" w:firstRowLastColumn="0" w:lastRowFirstColumn="0" w:lastRowLastColumn="0"/>
            </w:pPr>
            <w:r>
              <w:t>100</w:t>
            </w:r>
          </w:p>
        </w:tc>
        <w:tc>
          <w:tcPr>
            <w:tcW w:w="1275" w:type="dxa"/>
          </w:tcPr>
          <w:p w14:paraId="74CD5C30" w14:textId="0CCBF63B" w:rsidR="009F6216" w:rsidRDefault="009F6216" w:rsidP="003B4F97">
            <w:pPr>
              <w:cnfStyle w:val="000000000000" w:firstRow="0" w:lastRow="0" w:firstColumn="0" w:lastColumn="0" w:oddVBand="0" w:evenVBand="0" w:oddHBand="0" w:evenHBand="0" w:firstRowFirstColumn="0" w:firstRowLastColumn="0" w:lastRowFirstColumn="0" w:lastRowLastColumn="0"/>
            </w:pPr>
            <w:r>
              <w:t>100</w:t>
            </w:r>
          </w:p>
        </w:tc>
      </w:tr>
      <w:tr w:rsidR="009F6216" w14:paraId="1A692B3C"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635B3765" w14:textId="07B1E9E3" w:rsidR="009F6216" w:rsidRPr="000D2E3D" w:rsidRDefault="009F6216" w:rsidP="003B4F97">
            <w:r w:rsidRPr="000D2E3D">
              <w:t>South Gippsland Hospital</w:t>
            </w:r>
          </w:p>
        </w:tc>
        <w:tc>
          <w:tcPr>
            <w:tcW w:w="1843" w:type="dxa"/>
          </w:tcPr>
          <w:p w14:paraId="3D69070B" w14:textId="4F6662A2" w:rsidR="009F6216" w:rsidRPr="000D2E3D" w:rsidRDefault="009F6216"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013FF350" w14:textId="25E2D165" w:rsidR="009F6216" w:rsidRDefault="009F6216" w:rsidP="003B4F97">
            <w:pPr>
              <w:cnfStyle w:val="000000000000" w:firstRow="0" w:lastRow="0" w:firstColumn="0" w:lastColumn="0" w:oddVBand="0" w:evenVBand="0" w:oddHBand="0" w:evenHBand="0" w:firstRowFirstColumn="0" w:firstRowLastColumn="0" w:lastRowFirstColumn="0" w:lastRowLastColumn="0"/>
            </w:pPr>
            <w:r>
              <w:t>54</w:t>
            </w:r>
          </w:p>
        </w:tc>
        <w:tc>
          <w:tcPr>
            <w:tcW w:w="1275" w:type="dxa"/>
          </w:tcPr>
          <w:p w14:paraId="0D65EE07" w14:textId="0987E2CA" w:rsidR="009F6216" w:rsidRDefault="009F6216" w:rsidP="003B4F97">
            <w:pPr>
              <w:cnfStyle w:val="000000000000" w:firstRow="0" w:lastRow="0" w:firstColumn="0" w:lastColumn="0" w:oddVBand="0" w:evenVBand="0" w:oddHBand="0" w:evenHBand="0" w:firstRowFirstColumn="0" w:firstRowLastColumn="0" w:lastRowFirstColumn="0" w:lastRowLastColumn="0"/>
            </w:pPr>
            <w:r>
              <w:t>54</w:t>
            </w:r>
          </w:p>
        </w:tc>
      </w:tr>
      <w:tr w:rsidR="000A22AD" w14:paraId="38585F18"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F361C21" w14:textId="25021CA5" w:rsidR="000A22AD" w:rsidRPr="000D2E3D" w:rsidRDefault="000A22AD" w:rsidP="003B4F97">
            <w:r w:rsidRPr="000D2E3D">
              <w:t>Mansfield District Hospital</w:t>
            </w:r>
          </w:p>
        </w:tc>
        <w:tc>
          <w:tcPr>
            <w:tcW w:w="1843" w:type="dxa"/>
          </w:tcPr>
          <w:p w14:paraId="79E1F0A2" w14:textId="5D11AC7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6BD95E1A" w14:textId="0A118EB3" w:rsidR="000A22AD" w:rsidRDefault="000A22AD" w:rsidP="003B4F97">
            <w:pPr>
              <w:cnfStyle w:val="000000000000" w:firstRow="0" w:lastRow="0" w:firstColumn="0" w:lastColumn="0" w:oddVBand="0" w:evenVBand="0" w:oddHBand="0" w:evenHBand="0" w:firstRowFirstColumn="0" w:firstRowLastColumn="0" w:lastRowFirstColumn="0" w:lastRowLastColumn="0"/>
            </w:pPr>
            <w:r>
              <w:t>61</w:t>
            </w:r>
          </w:p>
        </w:tc>
        <w:tc>
          <w:tcPr>
            <w:tcW w:w="1275" w:type="dxa"/>
          </w:tcPr>
          <w:p w14:paraId="0CFBF0FA" w14:textId="5E9C111D" w:rsidR="000A22AD" w:rsidRDefault="000A22AD" w:rsidP="003B4F97">
            <w:pPr>
              <w:cnfStyle w:val="000000000000" w:firstRow="0" w:lastRow="0" w:firstColumn="0" w:lastColumn="0" w:oddVBand="0" w:evenVBand="0" w:oddHBand="0" w:evenHBand="0" w:firstRowFirstColumn="0" w:firstRowLastColumn="0" w:lastRowFirstColumn="0" w:lastRowLastColumn="0"/>
            </w:pPr>
            <w:r>
              <w:t>61</w:t>
            </w:r>
          </w:p>
        </w:tc>
      </w:tr>
      <w:tr w:rsidR="000A22AD" w14:paraId="314B5369"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51BC94EC" w14:textId="24496632" w:rsidR="000A22AD" w:rsidRPr="000D2E3D" w:rsidRDefault="000A22AD" w:rsidP="003B4F97">
            <w:r w:rsidRPr="000D2E3D">
              <w:t>Camperdown Hospital</w:t>
            </w:r>
          </w:p>
        </w:tc>
        <w:tc>
          <w:tcPr>
            <w:tcW w:w="1843" w:type="dxa"/>
          </w:tcPr>
          <w:p w14:paraId="4AA9F7D4" w14:textId="2EE24BC8"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3</w:t>
            </w:r>
          </w:p>
        </w:tc>
        <w:tc>
          <w:tcPr>
            <w:tcW w:w="1276" w:type="dxa"/>
          </w:tcPr>
          <w:p w14:paraId="75954E8A" w14:textId="3A81F34D"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9</w:t>
            </w:r>
          </w:p>
        </w:tc>
        <w:tc>
          <w:tcPr>
            <w:tcW w:w="1275" w:type="dxa"/>
          </w:tcPr>
          <w:p w14:paraId="7BF2EBC1" w14:textId="265F9AEE"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9</w:t>
            </w:r>
          </w:p>
        </w:tc>
      </w:tr>
      <w:tr w:rsidR="000A22AD" w14:paraId="41BE24F6"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696AC15" w14:textId="3CC75AA7" w:rsidR="000A22AD" w:rsidRPr="000D2E3D" w:rsidRDefault="000A22AD" w:rsidP="003B4F97">
            <w:r w:rsidRPr="000D2E3D">
              <w:t>Portland Hospital</w:t>
            </w:r>
          </w:p>
        </w:tc>
        <w:tc>
          <w:tcPr>
            <w:tcW w:w="1843" w:type="dxa"/>
          </w:tcPr>
          <w:p w14:paraId="4D548163" w14:textId="46ED895E"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p>
        </w:tc>
        <w:tc>
          <w:tcPr>
            <w:tcW w:w="1276" w:type="dxa"/>
          </w:tcPr>
          <w:p w14:paraId="3DF4920D" w14:textId="21BBA6AE" w:rsidR="000A22AD" w:rsidRDefault="000A22AD" w:rsidP="003B4F97">
            <w:pPr>
              <w:cnfStyle w:val="000000000000" w:firstRow="0" w:lastRow="0" w:firstColumn="0" w:lastColumn="0" w:oddVBand="0" w:evenVBand="0" w:oddHBand="0" w:evenHBand="0" w:firstRowFirstColumn="0" w:firstRowLastColumn="0" w:lastRowFirstColumn="0" w:lastRowLastColumn="0"/>
            </w:pPr>
            <w:r>
              <w:t>76</w:t>
            </w:r>
          </w:p>
        </w:tc>
        <w:tc>
          <w:tcPr>
            <w:tcW w:w="1275" w:type="dxa"/>
          </w:tcPr>
          <w:p w14:paraId="6A93C374" w14:textId="36F61849" w:rsidR="000A22AD" w:rsidRDefault="000A22AD" w:rsidP="003B4F97">
            <w:pPr>
              <w:cnfStyle w:val="000000000000" w:firstRow="0" w:lastRow="0" w:firstColumn="0" w:lastColumn="0" w:oddVBand="0" w:evenVBand="0" w:oddHBand="0" w:evenHBand="0" w:firstRowFirstColumn="0" w:firstRowLastColumn="0" w:lastRowFirstColumn="0" w:lastRowLastColumn="0"/>
            </w:pPr>
            <w:r>
              <w:t>77</w:t>
            </w:r>
          </w:p>
        </w:tc>
      </w:tr>
      <w:tr w:rsidR="000A22AD" w14:paraId="7A409727"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6390AEA" w14:textId="0945B7BA" w:rsidR="000A22AD" w:rsidRPr="000D2E3D" w:rsidRDefault="000A22AD" w:rsidP="003B4F97">
            <w:r w:rsidRPr="000D2E3D">
              <w:t>Maryborough Hospital</w:t>
            </w:r>
          </w:p>
        </w:tc>
        <w:tc>
          <w:tcPr>
            <w:tcW w:w="1843" w:type="dxa"/>
          </w:tcPr>
          <w:p w14:paraId="256464B0" w14:textId="52A60E6B"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p>
        </w:tc>
        <w:tc>
          <w:tcPr>
            <w:tcW w:w="1276" w:type="dxa"/>
          </w:tcPr>
          <w:p w14:paraId="177777D3" w14:textId="47841362" w:rsidR="000A22AD" w:rsidRDefault="000A22AD" w:rsidP="003B4F97">
            <w:pPr>
              <w:cnfStyle w:val="000000000000" w:firstRow="0" w:lastRow="0" w:firstColumn="0" w:lastColumn="0" w:oddVBand="0" w:evenVBand="0" w:oddHBand="0" w:evenHBand="0" w:firstRowFirstColumn="0" w:firstRowLastColumn="0" w:lastRowFirstColumn="0" w:lastRowLastColumn="0"/>
            </w:pPr>
            <w:r>
              <w:t>43</w:t>
            </w:r>
          </w:p>
        </w:tc>
        <w:tc>
          <w:tcPr>
            <w:tcW w:w="1275" w:type="dxa"/>
          </w:tcPr>
          <w:p w14:paraId="5D3CA2DB" w14:textId="30E881C0" w:rsidR="000A22AD" w:rsidRDefault="000A22AD" w:rsidP="003B4F97">
            <w:pPr>
              <w:cnfStyle w:val="000000000000" w:firstRow="0" w:lastRow="0" w:firstColumn="0" w:lastColumn="0" w:oddVBand="0" w:evenVBand="0" w:oddHBand="0" w:evenHBand="0" w:firstRowFirstColumn="0" w:firstRowLastColumn="0" w:lastRowFirstColumn="0" w:lastRowLastColumn="0"/>
            </w:pPr>
            <w:r>
              <w:t>43</w:t>
            </w:r>
          </w:p>
        </w:tc>
      </w:tr>
      <w:tr w:rsidR="000A22AD" w14:paraId="2A420114"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85A9D78" w14:textId="62C672D9" w:rsidR="000A22AD" w:rsidRPr="000D2E3D" w:rsidRDefault="000A22AD" w:rsidP="003B4F97">
            <w:r w:rsidRPr="000D2E3D">
              <w:t>Castlemaine Hospital</w:t>
            </w:r>
          </w:p>
        </w:tc>
        <w:tc>
          <w:tcPr>
            <w:tcW w:w="1843" w:type="dxa"/>
          </w:tcPr>
          <w:p w14:paraId="1757AB2F" w14:textId="7230CF56"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p>
        </w:tc>
        <w:tc>
          <w:tcPr>
            <w:tcW w:w="1276" w:type="dxa"/>
          </w:tcPr>
          <w:p w14:paraId="194EF275" w14:textId="558F14A5" w:rsidR="000A22AD" w:rsidRDefault="000A22AD" w:rsidP="003B4F97">
            <w:pPr>
              <w:cnfStyle w:val="000000000000" w:firstRow="0" w:lastRow="0" w:firstColumn="0" w:lastColumn="0" w:oddVBand="0" w:evenVBand="0" w:oddHBand="0" w:evenHBand="0" w:firstRowFirstColumn="0" w:firstRowLastColumn="0" w:lastRowFirstColumn="0" w:lastRowLastColumn="0"/>
            </w:pPr>
            <w:r>
              <w:t>44</w:t>
            </w:r>
          </w:p>
        </w:tc>
        <w:tc>
          <w:tcPr>
            <w:tcW w:w="1275" w:type="dxa"/>
          </w:tcPr>
          <w:p w14:paraId="04B837D1" w14:textId="6D17E843" w:rsidR="000A22AD" w:rsidRDefault="000A22AD" w:rsidP="003B4F97">
            <w:pPr>
              <w:cnfStyle w:val="000000000000" w:firstRow="0" w:lastRow="0" w:firstColumn="0" w:lastColumn="0" w:oddVBand="0" w:evenVBand="0" w:oddHBand="0" w:evenHBand="0" w:firstRowFirstColumn="0" w:firstRowLastColumn="0" w:lastRowFirstColumn="0" w:lastRowLastColumn="0"/>
            </w:pPr>
            <w:r>
              <w:t>44</w:t>
            </w:r>
          </w:p>
        </w:tc>
      </w:tr>
      <w:tr w:rsidR="000A22AD" w14:paraId="741D0152"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2DD5D69" w14:textId="493648E0" w:rsidR="000A22AD" w:rsidRPr="000D2E3D" w:rsidRDefault="000A22AD" w:rsidP="003B4F97">
            <w:r w:rsidRPr="000D2E3D">
              <w:t>Cohuna District Hospital</w:t>
            </w:r>
          </w:p>
        </w:tc>
        <w:tc>
          <w:tcPr>
            <w:tcW w:w="1843" w:type="dxa"/>
          </w:tcPr>
          <w:p w14:paraId="7155456E" w14:textId="4296A10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p>
        </w:tc>
        <w:tc>
          <w:tcPr>
            <w:tcW w:w="1276" w:type="dxa"/>
          </w:tcPr>
          <w:p w14:paraId="6F558751" w14:textId="27AB5EDC"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4</w:t>
            </w:r>
            <w:r>
              <w:t>1</w:t>
            </w:r>
          </w:p>
        </w:tc>
        <w:tc>
          <w:tcPr>
            <w:tcW w:w="1275" w:type="dxa"/>
          </w:tcPr>
          <w:p w14:paraId="3F352018" w14:textId="7462D9F0"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4</w:t>
            </w:r>
            <w:r>
              <w:t>1</w:t>
            </w:r>
          </w:p>
        </w:tc>
      </w:tr>
      <w:tr w:rsidR="000A22AD" w14:paraId="661DA3A6"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62A19D2" w14:textId="405AD07E" w:rsidR="000A22AD" w:rsidRPr="000D2E3D" w:rsidRDefault="000A22AD" w:rsidP="003B4F97">
            <w:r w:rsidRPr="000D2E3D">
              <w:t>Terang Hospital</w:t>
            </w:r>
          </w:p>
        </w:tc>
        <w:tc>
          <w:tcPr>
            <w:tcW w:w="1843" w:type="dxa"/>
          </w:tcPr>
          <w:p w14:paraId="582D7789" w14:textId="76FD4949"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p>
        </w:tc>
        <w:tc>
          <w:tcPr>
            <w:tcW w:w="1276" w:type="dxa"/>
          </w:tcPr>
          <w:p w14:paraId="634FB256" w14:textId="6DF17BB7"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19</w:t>
            </w:r>
          </w:p>
        </w:tc>
        <w:tc>
          <w:tcPr>
            <w:tcW w:w="1275" w:type="dxa"/>
          </w:tcPr>
          <w:p w14:paraId="037978D8" w14:textId="6424019B"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19</w:t>
            </w:r>
          </w:p>
        </w:tc>
      </w:tr>
      <w:tr w:rsidR="000A22AD" w14:paraId="30DF2237"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7DCA7AE" w14:textId="545E8753" w:rsidR="000A22AD" w:rsidRPr="000D2E3D" w:rsidRDefault="000A22AD" w:rsidP="003B4F97">
            <w:r w:rsidRPr="000D2E3D">
              <w:t>Kyneton Hospital</w:t>
            </w:r>
          </w:p>
        </w:tc>
        <w:tc>
          <w:tcPr>
            <w:tcW w:w="1843" w:type="dxa"/>
          </w:tcPr>
          <w:p w14:paraId="07197104" w14:textId="497A6A32"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w:t>
            </w:r>
          </w:p>
        </w:tc>
        <w:tc>
          <w:tcPr>
            <w:tcW w:w="1276" w:type="dxa"/>
          </w:tcPr>
          <w:p w14:paraId="76115FC5" w14:textId="7848E158"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1</w:t>
            </w:r>
          </w:p>
        </w:tc>
        <w:tc>
          <w:tcPr>
            <w:tcW w:w="1275" w:type="dxa"/>
          </w:tcPr>
          <w:p w14:paraId="1394070C" w14:textId="1EF9DD5D"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1</w:t>
            </w:r>
          </w:p>
        </w:tc>
      </w:tr>
      <w:tr w:rsidR="000A22AD" w14:paraId="20412CB8"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57C8F46" w14:textId="72ADFDF1" w:rsidR="000A22AD" w:rsidRPr="000D2E3D" w:rsidRDefault="000A22AD" w:rsidP="003B4F97">
            <w:r w:rsidRPr="000D2E3D">
              <w:t>Yarrawonga Hospital</w:t>
            </w:r>
          </w:p>
        </w:tc>
        <w:tc>
          <w:tcPr>
            <w:tcW w:w="1843" w:type="dxa"/>
          </w:tcPr>
          <w:p w14:paraId="369128ED" w14:textId="17F3F97E"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w:t>
            </w:r>
          </w:p>
        </w:tc>
        <w:tc>
          <w:tcPr>
            <w:tcW w:w="1276" w:type="dxa"/>
          </w:tcPr>
          <w:p w14:paraId="79DBE449" w14:textId="05B722D4"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9</w:t>
            </w:r>
          </w:p>
        </w:tc>
        <w:tc>
          <w:tcPr>
            <w:tcW w:w="1275" w:type="dxa"/>
          </w:tcPr>
          <w:p w14:paraId="03D1BCB5" w14:textId="5DBFE08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9</w:t>
            </w:r>
          </w:p>
        </w:tc>
      </w:tr>
      <w:tr w:rsidR="000A22AD" w14:paraId="377719C6"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6F582883" w14:textId="3E2DBB2E" w:rsidR="000A22AD" w:rsidRPr="000D2E3D" w:rsidRDefault="000A22AD" w:rsidP="003B4F97">
            <w:r w:rsidRPr="000D2E3D">
              <w:t>Other public hospitals</w:t>
            </w:r>
          </w:p>
        </w:tc>
        <w:tc>
          <w:tcPr>
            <w:tcW w:w="1843" w:type="dxa"/>
          </w:tcPr>
          <w:p w14:paraId="24172227" w14:textId="7B72A3A8"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N/A</w:t>
            </w:r>
          </w:p>
        </w:tc>
        <w:tc>
          <w:tcPr>
            <w:tcW w:w="1276" w:type="dxa"/>
          </w:tcPr>
          <w:p w14:paraId="2685EFB0" w14:textId="77FD5CF6"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10</w:t>
            </w:r>
          </w:p>
        </w:tc>
        <w:tc>
          <w:tcPr>
            <w:tcW w:w="1275" w:type="dxa"/>
          </w:tcPr>
          <w:p w14:paraId="7B48EB48" w14:textId="4DE4502A"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10</w:t>
            </w:r>
          </w:p>
        </w:tc>
      </w:tr>
      <w:tr w:rsidR="000A22AD" w14:paraId="256268F5"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85DAFF4" w14:textId="4AE42C68" w:rsidR="000A22AD" w:rsidRPr="000D2E3D" w:rsidRDefault="000A22AD" w:rsidP="003B4F97">
            <w:r w:rsidRPr="000D2E3D">
              <w:t>Frances Perry House</w:t>
            </w:r>
          </w:p>
        </w:tc>
        <w:tc>
          <w:tcPr>
            <w:tcW w:w="1843" w:type="dxa"/>
          </w:tcPr>
          <w:p w14:paraId="7D33E68C" w14:textId="2E8860C2"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4B2090EE" w14:textId="40F4B73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3,068</w:t>
            </w:r>
          </w:p>
        </w:tc>
        <w:tc>
          <w:tcPr>
            <w:tcW w:w="1275" w:type="dxa"/>
          </w:tcPr>
          <w:p w14:paraId="3B64CEE8" w14:textId="07247592"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3</w:t>
            </w:r>
            <w:r>
              <w:t>,148</w:t>
            </w:r>
          </w:p>
        </w:tc>
      </w:tr>
      <w:tr w:rsidR="000A22AD" w14:paraId="216AB1CA"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BD09583" w14:textId="1CBF204F" w:rsidR="000A22AD" w:rsidRPr="000D2E3D" w:rsidRDefault="000A22AD" w:rsidP="003B4F97">
            <w:r w:rsidRPr="000D2E3D">
              <w:t>Epworth Freemasons</w:t>
            </w:r>
          </w:p>
        </w:tc>
        <w:tc>
          <w:tcPr>
            <w:tcW w:w="1843" w:type="dxa"/>
          </w:tcPr>
          <w:p w14:paraId="1C04B11D" w14:textId="6B472800"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7B0B55F0" w14:textId="23D675C6"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,903</w:t>
            </w:r>
          </w:p>
        </w:tc>
        <w:tc>
          <w:tcPr>
            <w:tcW w:w="1275" w:type="dxa"/>
          </w:tcPr>
          <w:p w14:paraId="7CECBF10" w14:textId="7570E47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w:t>
            </w:r>
            <w:r w:rsidRPr="000D2E3D">
              <w:t>9</w:t>
            </w:r>
            <w:r>
              <w:t>41</w:t>
            </w:r>
          </w:p>
        </w:tc>
      </w:tr>
      <w:tr w:rsidR="000A22AD" w14:paraId="6D63E9BD"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65D4AE3C" w14:textId="317E6B12" w:rsidR="000A22AD" w:rsidRPr="000D2E3D" w:rsidRDefault="000A22AD" w:rsidP="003B4F97">
            <w:r w:rsidRPr="000D2E3D">
              <w:t>St Vincent's Private Hospital (Melbourne)</w:t>
            </w:r>
          </w:p>
        </w:tc>
        <w:tc>
          <w:tcPr>
            <w:tcW w:w="1843" w:type="dxa"/>
          </w:tcPr>
          <w:p w14:paraId="2B2D2012" w14:textId="59DE5D37"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7D341812" w14:textId="42AAF25A"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,344</w:t>
            </w:r>
          </w:p>
        </w:tc>
        <w:tc>
          <w:tcPr>
            <w:tcW w:w="1275" w:type="dxa"/>
          </w:tcPr>
          <w:p w14:paraId="528C59F5" w14:textId="33204BB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w:t>
            </w:r>
            <w:r>
              <w:t>,385</w:t>
            </w:r>
          </w:p>
        </w:tc>
      </w:tr>
      <w:tr w:rsidR="000A22AD" w14:paraId="033B4941"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8DD3B28" w14:textId="7904E62B" w:rsidR="000A22AD" w:rsidRPr="000D2E3D" w:rsidRDefault="000A22AD" w:rsidP="003B4F97">
            <w:r w:rsidRPr="000D2E3D">
              <w:t>Cabrini (Malvern)</w:t>
            </w:r>
          </w:p>
        </w:tc>
        <w:tc>
          <w:tcPr>
            <w:tcW w:w="1843" w:type="dxa"/>
          </w:tcPr>
          <w:p w14:paraId="5A33536F" w14:textId="4BFEFF26"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7E14A45C" w14:textId="108F34A4"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1</w:t>
            </w:r>
            <w:r>
              <w:t>,794</w:t>
            </w:r>
          </w:p>
        </w:tc>
        <w:tc>
          <w:tcPr>
            <w:tcW w:w="1275" w:type="dxa"/>
          </w:tcPr>
          <w:p w14:paraId="78F251DB" w14:textId="60E33744"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1</w:t>
            </w:r>
            <w:r>
              <w:t>,</w:t>
            </w:r>
            <w:r w:rsidRPr="000D2E3D">
              <w:t>8</w:t>
            </w:r>
            <w:r>
              <w:t>18</w:t>
            </w:r>
          </w:p>
        </w:tc>
      </w:tr>
      <w:tr w:rsidR="000A22AD" w14:paraId="6E5A26CC"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8D34233" w14:textId="7DCA7D09" w:rsidR="000A22AD" w:rsidRPr="000D2E3D" w:rsidRDefault="000A22AD" w:rsidP="003B4F97">
            <w:r w:rsidRPr="000D2E3D">
              <w:t>Mitcham Private Hospital</w:t>
            </w:r>
          </w:p>
        </w:tc>
        <w:tc>
          <w:tcPr>
            <w:tcW w:w="1843" w:type="dxa"/>
          </w:tcPr>
          <w:p w14:paraId="7B9F4F87" w14:textId="5C2BCC8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29BAE64E" w14:textId="17519C6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1</w:t>
            </w:r>
            <w:r>
              <w:t>,268</w:t>
            </w:r>
          </w:p>
        </w:tc>
        <w:tc>
          <w:tcPr>
            <w:tcW w:w="1275" w:type="dxa"/>
          </w:tcPr>
          <w:p w14:paraId="02220659" w14:textId="30E8E019"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1</w:t>
            </w:r>
            <w:r>
              <w:t>,282</w:t>
            </w:r>
          </w:p>
        </w:tc>
      </w:tr>
      <w:tr w:rsidR="000A22AD" w14:paraId="2170F3CB"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9A8349F" w14:textId="70E9F506" w:rsidR="000A22AD" w:rsidRPr="000D2E3D" w:rsidRDefault="000A22AD" w:rsidP="003B4F97">
            <w:r w:rsidRPr="000D2E3D">
              <w:t>Jessie McPherson</w:t>
            </w:r>
          </w:p>
        </w:tc>
        <w:tc>
          <w:tcPr>
            <w:tcW w:w="1843" w:type="dxa"/>
          </w:tcPr>
          <w:p w14:paraId="54F78BC1" w14:textId="5A69CE21"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37B95CB5" w14:textId="2815B802"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9</w:t>
            </w:r>
            <w:r>
              <w:t>51</w:t>
            </w:r>
          </w:p>
        </w:tc>
        <w:tc>
          <w:tcPr>
            <w:tcW w:w="1275" w:type="dxa"/>
          </w:tcPr>
          <w:p w14:paraId="5D264D51" w14:textId="6440ED68"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9</w:t>
            </w:r>
            <w:r>
              <w:t>96</w:t>
            </w:r>
          </w:p>
        </w:tc>
      </w:tr>
      <w:tr w:rsidR="000A22AD" w14:paraId="02E98ABF"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DE9B2DD" w14:textId="29E08FF7" w:rsidR="000A22AD" w:rsidRPr="000D2E3D" w:rsidRDefault="000A22AD" w:rsidP="003B4F97">
            <w:r w:rsidRPr="000D2E3D">
              <w:t>Waverley Private Hospital</w:t>
            </w:r>
          </w:p>
        </w:tc>
        <w:tc>
          <w:tcPr>
            <w:tcW w:w="1843" w:type="dxa"/>
          </w:tcPr>
          <w:p w14:paraId="197FB589" w14:textId="26FFC0C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5363F5CD" w14:textId="3C92BE0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8</w:t>
            </w:r>
            <w:r>
              <w:t>79</w:t>
            </w:r>
          </w:p>
        </w:tc>
        <w:tc>
          <w:tcPr>
            <w:tcW w:w="1275" w:type="dxa"/>
          </w:tcPr>
          <w:p w14:paraId="3CD999AE" w14:textId="648FD29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8</w:t>
            </w:r>
            <w:r>
              <w:t>85</w:t>
            </w:r>
          </w:p>
        </w:tc>
      </w:tr>
      <w:tr w:rsidR="000A22AD" w14:paraId="42368DEE"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493A647" w14:textId="29F4002E" w:rsidR="000A22AD" w:rsidRPr="000D2E3D" w:rsidRDefault="000A22AD" w:rsidP="003B4F97">
            <w:r w:rsidRPr="000D2E3D">
              <w:t>St John of God Berwick Hospital</w:t>
            </w:r>
          </w:p>
        </w:tc>
        <w:tc>
          <w:tcPr>
            <w:tcW w:w="1843" w:type="dxa"/>
          </w:tcPr>
          <w:p w14:paraId="5F5EE063" w14:textId="10B7B69C"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55D313B3" w14:textId="72E5469A"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828</w:t>
            </w:r>
          </w:p>
        </w:tc>
        <w:tc>
          <w:tcPr>
            <w:tcW w:w="1275" w:type="dxa"/>
          </w:tcPr>
          <w:p w14:paraId="1DA79CC9" w14:textId="60D26A2B"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837</w:t>
            </w:r>
          </w:p>
        </w:tc>
      </w:tr>
      <w:tr w:rsidR="000A22AD" w14:paraId="05B87842"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21A45B2" w14:textId="033FE6F1" w:rsidR="000A22AD" w:rsidRPr="000D2E3D" w:rsidRDefault="000A22AD" w:rsidP="003B4F97">
            <w:r w:rsidRPr="000D2E3D">
              <w:t>Northpark Private Hospital</w:t>
            </w:r>
          </w:p>
        </w:tc>
        <w:tc>
          <w:tcPr>
            <w:tcW w:w="1843" w:type="dxa"/>
          </w:tcPr>
          <w:p w14:paraId="14F08573" w14:textId="458B4D91"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6A3C40B3" w14:textId="0C2B9F5B"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745</w:t>
            </w:r>
          </w:p>
        </w:tc>
        <w:tc>
          <w:tcPr>
            <w:tcW w:w="1275" w:type="dxa"/>
          </w:tcPr>
          <w:p w14:paraId="248B0E83" w14:textId="008D0ADA"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750</w:t>
            </w:r>
          </w:p>
        </w:tc>
      </w:tr>
      <w:tr w:rsidR="000A22AD" w14:paraId="1D65F673"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DE8614E" w14:textId="0B9ABDFE" w:rsidR="000A22AD" w:rsidRPr="000D2E3D" w:rsidRDefault="000A22AD" w:rsidP="003B4F97">
            <w:r w:rsidRPr="000D2E3D">
              <w:t>St John of God Geelong Hospital</w:t>
            </w:r>
          </w:p>
        </w:tc>
        <w:tc>
          <w:tcPr>
            <w:tcW w:w="1843" w:type="dxa"/>
          </w:tcPr>
          <w:p w14:paraId="16E9C0E2" w14:textId="4A7768ED"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209965E3" w14:textId="62013A04" w:rsidR="000A22AD" w:rsidRDefault="000A22AD" w:rsidP="003B4F97">
            <w:pPr>
              <w:cnfStyle w:val="000000000000" w:firstRow="0" w:lastRow="0" w:firstColumn="0" w:lastColumn="0" w:oddVBand="0" w:evenVBand="0" w:oddHBand="0" w:evenHBand="0" w:firstRowFirstColumn="0" w:firstRowLastColumn="0" w:lastRowFirstColumn="0" w:lastRowLastColumn="0"/>
            </w:pPr>
            <w:r>
              <w:t>548</w:t>
            </w:r>
          </w:p>
        </w:tc>
        <w:tc>
          <w:tcPr>
            <w:tcW w:w="1275" w:type="dxa"/>
          </w:tcPr>
          <w:p w14:paraId="37E66964" w14:textId="641B9733" w:rsidR="000A22AD" w:rsidRDefault="000A22AD" w:rsidP="003B4F97">
            <w:pPr>
              <w:cnfStyle w:val="000000000000" w:firstRow="0" w:lastRow="0" w:firstColumn="0" w:lastColumn="0" w:oddVBand="0" w:evenVBand="0" w:oddHBand="0" w:evenHBand="0" w:firstRowFirstColumn="0" w:firstRowLastColumn="0" w:lastRowFirstColumn="0" w:lastRowLastColumn="0"/>
            </w:pPr>
            <w:r>
              <w:t>553</w:t>
            </w:r>
          </w:p>
        </w:tc>
      </w:tr>
      <w:tr w:rsidR="000A22AD" w14:paraId="471C5391"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DA41112" w14:textId="11846103" w:rsidR="000A22AD" w:rsidRPr="000D2E3D" w:rsidRDefault="000A22AD" w:rsidP="003B4F97">
            <w:r w:rsidRPr="000D2E3D">
              <w:t>Knox Private Hospital</w:t>
            </w:r>
          </w:p>
        </w:tc>
        <w:tc>
          <w:tcPr>
            <w:tcW w:w="1843" w:type="dxa"/>
          </w:tcPr>
          <w:p w14:paraId="1A2FE1C4" w14:textId="1E8A6FA2"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39F4EA5B" w14:textId="3FE94E87" w:rsidR="000A22AD" w:rsidRDefault="000A22AD" w:rsidP="003B4F97">
            <w:pPr>
              <w:cnfStyle w:val="000000000000" w:firstRow="0" w:lastRow="0" w:firstColumn="0" w:lastColumn="0" w:oddVBand="0" w:evenVBand="0" w:oddHBand="0" w:evenHBand="0" w:firstRowFirstColumn="0" w:firstRowLastColumn="0" w:lastRowFirstColumn="0" w:lastRowLastColumn="0"/>
            </w:pPr>
            <w:r>
              <w:t>15</w:t>
            </w:r>
          </w:p>
        </w:tc>
        <w:tc>
          <w:tcPr>
            <w:tcW w:w="1275" w:type="dxa"/>
          </w:tcPr>
          <w:p w14:paraId="03CF69D9" w14:textId="74765F1E" w:rsidR="000A22AD" w:rsidRDefault="000A22AD" w:rsidP="003B4F97">
            <w:pPr>
              <w:cnfStyle w:val="000000000000" w:firstRow="0" w:lastRow="0" w:firstColumn="0" w:lastColumn="0" w:oddVBand="0" w:evenVBand="0" w:oddHBand="0" w:evenHBand="0" w:firstRowFirstColumn="0" w:firstRowLastColumn="0" w:lastRowFirstColumn="0" w:lastRowLastColumn="0"/>
            </w:pPr>
            <w:r>
              <w:t>15</w:t>
            </w:r>
          </w:p>
        </w:tc>
      </w:tr>
      <w:tr w:rsidR="000A22AD" w14:paraId="15EE6F06"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CA54473" w14:textId="7C2BE613" w:rsidR="000A22AD" w:rsidRPr="000D2E3D" w:rsidRDefault="000A22AD" w:rsidP="003B4F97">
            <w:r w:rsidRPr="000D2E3D">
              <w:t>The Bays Hospital (Mornington)</w:t>
            </w:r>
          </w:p>
        </w:tc>
        <w:tc>
          <w:tcPr>
            <w:tcW w:w="1843" w:type="dxa"/>
          </w:tcPr>
          <w:p w14:paraId="0B3FA761" w14:textId="3B26619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2404DF2D" w14:textId="4A799220"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45</w:t>
            </w:r>
            <w:r>
              <w:t>5</w:t>
            </w:r>
          </w:p>
        </w:tc>
        <w:tc>
          <w:tcPr>
            <w:tcW w:w="1275" w:type="dxa"/>
          </w:tcPr>
          <w:p w14:paraId="69F277E5" w14:textId="34E7B409" w:rsidR="000A22AD" w:rsidRDefault="000A22AD" w:rsidP="003B4F97">
            <w:pPr>
              <w:cnfStyle w:val="000000000000" w:firstRow="0" w:lastRow="0" w:firstColumn="0" w:lastColumn="0" w:oddVBand="0" w:evenVBand="0" w:oddHBand="0" w:evenHBand="0" w:firstRowFirstColumn="0" w:firstRowLastColumn="0" w:lastRowFirstColumn="0" w:lastRowLastColumn="0"/>
            </w:pPr>
            <w:r w:rsidRPr="000D2E3D">
              <w:t>4</w:t>
            </w:r>
            <w:r>
              <w:t>61</w:t>
            </w:r>
          </w:p>
        </w:tc>
      </w:tr>
      <w:tr w:rsidR="000A22AD" w14:paraId="17D202C9"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4B60B08E" w14:textId="37F29204" w:rsidR="000A22AD" w:rsidRPr="000D2E3D" w:rsidRDefault="000A22AD" w:rsidP="003B4F97">
            <w:r w:rsidRPr="000D2E3D">
              <w:t>St John of God Ballarat Hospital</w:t>
            </w:r>
          </w:p>
        </w:tc>
        <w:tc>
          <w:tcPr>
            <w:tcW w:w="1843" w:type="dxa"/>
          </w:tcPr>
          <w:p w14:paraId="576202AA" w14:textId="6FD867A3"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660D0DBF" w14:textId="5C0CBD4B"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4</w:t>
            </w:r>
            <w:r>
              <w:t>22</w:t>
            </w:r>
          </w:p>
        </w:tc>
        <w:tc>
          <w:tcPr>
            <w:tcW w:w="1275" w:type="dxa"/>
          </w:tcPr>
          <w:p w14:paraId="1DD537FF" w14:textId="6FC6C16E"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4</w:t>
            </w:r>
            <w:r>
              <w:t>30</w:t>
            </w:r>
          </w:p>
        </w:tc>
      </w:tr>
      <w:tr w:rsidR="000A22AD" w14:paraId="32359187"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8E90D4E" w14:textId="3BED53A8" w:rsidR="000A22AD" w:rsidRPr="000D2E3D" w:rsidRDefault="000A22AD" w:rsidP="003B4F97">
            <w:r w:rsidRPr="000D2E3D">
              <w:t>Epworth Geelong</w:t>
            </w:r>
          </w:p>
        </w:tc>
        <w:tc>
          <w:tcPr>
            <w:tcW w:w="1843" w:type="dxa"/>
          </w:tcPr>
          <w:p w14:paraId="0FB0426E" w14:textId="1AAF1E36"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77F1284F" w14:textId="4B26D0B6"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3</w:t>
            </w:r>
            <w:r>
              <w:t>40</w:t>
            </w:r>
          </w:p>
        </w:tc>
        <w:tc>
          <w:tcPr>
            <w:tcW w:w="1275" w:type="dxa"/>
          </w:tcPr>
          <w:p w14:paraId="79A4614C" w14:textId="2B21C0D1"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3</w:t>
            </w:r>
            <w:r>
              <w:t>44</w:t>
            </w:r>
          </w:p>
        </w:tc>
      </w:tr>
      <w:tr w:rsidR="000A22AD" w14:paraId="32A678B3"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21EF9661" w14:textId="48EEDE94" w:rsidR="000A22AD" w:rsidRPr="000D2E3D" w:rsidRDefault="000A22AD" w:rsidP="003B4F97">
            <w:r w:rsidRPr="000D2E3D">
              <w:t>Peninsula Private Hospital</w:t>
            </w:r>
          </w:p>
        </w:tc>
        <w:tc>
          <w:tcPr>
            <w:tcW w:w="1843" w:type="dxa"/>
          </w:tcPr>
          <w:p w14:paraId="7F68DE14" w14:textId="0EDDA6A4"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751C931C" w14:textId="684E9101"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353</w:t>
            </w:r>
          </w:p>
        </w:tc>
        <w:tc>
          <w:tcPr>
            <w:tcW w:w="1275" w:type="dxa"/>
          </w:tcPr>
          <w:p w14:paraId="64447E19" w14:textId="291DD2BE"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356</w:t>
            </w:r>
          </w:p>
        </w:tc>
      </w:tr>
      <w:tr w:rsidR="000A22AD" w14:paraId="011D8FFB"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0990A5B1" w14:textId="782A94C4" w:rsidR="000A22AD" w:rsidRPr="000D2E3D" w:rsidRDefault="000A22AD" w:rsidP="003B4F97">
            <w:r w:rsidRPr="000D2E3D">
              <w:t>St John of God Bendigo Hospital</w:t>
            </w:r>
          </w:p>
        </w:tc>
        <w:tc>
          <w:tcPr>
            <w:tcW w:w="1843" w:type="dxa"/>
          </w:tcPr>
          <w:p w14:paraId="0D312D2D" w14:textId="149A29ED"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329EE1D4" w14:textId="79473359"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284</w:t>
            </w:r>
          </w:p>
        </w:tc>
        <w:tc>
          <w:tcPr>
            <w:tcW w:w="1275" w:type="dxa"/>
          </w:tcPr>
          <w:p w14:paraId="144A4AA0" w14:textId="3B89DDC2"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28</w:t>
            </w:r>
            <w:r>
              <w:t>9</w:t>
            </w:r>
          </w:p>
        </w:tc>
      </w:tr>
      <w:tr w:rsidR="000A22AD" w14:paraId="3279F647"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C89A4B2" w14:textId="6765C6E5" w:rsidR="000A22AD" w:rsidRPr="000D2E3D" w:rsidRDefault="000A22AD" w:rsidP="003B4F97">
            <w:r w:rsidRPr="000D2E3D">
              <w:t>St Vincent's Private Hospital (Werribee)</w:t>
            </w:r>
          </w:p>
        </w:tc>
        <w:tc>
          <w:tcPr>
            <w:tcW w:w="1843" w:type="dxa"/>
          </w:tcPr>
          <w:p w14:paraId="678013E8" w14:textId="468C1E6D"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Private</w:t>
            </w:r>
          </w:p>
        </w:tc>
        <w:tc>
          <w:tcPr>
            <w:tcW w:w="1276" w:type="dxa"/>
          </w:tcPr>
          <w:p w14:paraId="3788A3EB" w14:textId="08781045"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146</w:t>
            </w:r>
          </w:p>
        </w:tc>
        <w:tc>
          <w:tcPr>
            <w:tcW w:w="1275" w:type="dxa"/>
          </w:tcPr>
          <w:p w14:paraId="100532C9" w14:textId="0114E449"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146</w:t>
            </w:r>
          </w:p>
        </w:tc>
      </w:tr>
      <w:tr w:rsidR="000A22AD" w14:paraId="3D7AD121"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DC76A9F" w14:textId="1986875C" w:rsidR="000A22AD" w:rsidRPr="000D2E3D" w:rsidRDefault="000A22AD" w:rsidP="003B4F97">
            <w:r w:rsidRPr="000D2E3D">
              <w:t>Total public</w:t>
            </w:r>
          </w:p>
        </w:tc>
        <w:tc>
          <w:tcPr>
            <w:tcW w:w="1843" w:type="dxa"/>
          </w:tcPr>
          <w:p w14:paraId="2652384B" w14:textId="77777777"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p>
        </w:tc>
        <w:tc>
          <w:tcPr>
            <w:tcW w:w="1276" w:type="dxa"/>
          </w:tcPr>
          <w:p w14:paraId="3B46699E" w14:textId="590388CC"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60,243</w:t>
            </w:r>
          </w:p>
        </w:tc>
        <w:tc>
          <w:tcPr>
            <w:tcW w:w="1275" w:type="dxa"/>
          </w:tcPr>
          <w:p w14:paraId="174E9A1C" w14:textId="77A3DE2C"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61,125</w:t>
            </w:r>
          </w:p>
        </w:tc>
      </w:tr>
      <w:tr w:rsidR="000A22AD" w14:paraId="4175DD60"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7D41204A" w14:textId="648F4142" w:rsidR="000A22AD" w:rsidRPr="000D2E3D" w:rsidRDefault="000A22AD" w:rsidP="003B4F97">
            <w:r w:rsidRPr="000D2E3D">
              <w:t>Total private</w:t>
            </w:r>
          </w:p>
        </w:tc>
        <w:tc>
          <w:tcPr>
            <w:tcW w:w="1843" w:type="dxa"/>
          </w:tcPr>
          <w:p w14:paraId="4680C0E7" w14:textId="77777777"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p>
        </w:tc>
        <w:tc>
          <w:tcPr>
            <w:tcW w:w="1276" w:type="dxa"/>
          </w:tcPr>
          <w:p w14:paraId="547527DF" w14:textId="66C763CE"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17,3</w:t>
            </w:r>
            <w:r>
              <w:t>43</w:t>
            </w:r>
          </w:p>
        </w:tc>
        <w:tc>
          <w:tcPr>
            <w:tcW w:w="1275" w:type="dxa"/>
          </w:tcPr>
          <w:p w14:paraId="2D877A91" w14:textId="0A4CC615"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17,6</w:t>
            </w:r>
            <w:r>
              <w:t>36</w:t>
            </w:r>
          </w:p>
        </w:tc>
      </w:tr>
      <w:tr w:rsidR="000A22AD" w14:paraId="34EB77B2"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39705193" w14:textId="79124225" w:rsidR="000A22AD" w:rsidRPr="000D2E3D" w:rsidRDefault="000A22AD" w:rsidP="003B4F97">
            <w:r w:rsidRPr="000D2E3D">
              <w:t>Unknown (may include private home birth)</w:t>
            </w:r>
          </w:p>
        </w:tc>
        <w:tc>
          <w:tcPr>
            <w:tcW w:w="1843" w:type="dxa"/>
          </w:tcPr>
          <w:p w14:paraId="24F655F6" w14:textId="77777777"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p>
        </w:tc>
        <w:tc>
          <w:tcPr>
            <w:tcW w:w="1276" w:type="dxa"/>
          </w:tcPr>
          <w:p w14:paraId="194C84E1" w14:textId="4C8071F0"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193</w:t>
            </w:r>
          </w:p>
        </w:tc>
        <w:tc>
          <w:tcPr>
            <w:tcW w:w="1275" w:type="dxa"/>
          </w:tcPr>
          <w:p w14:paraId="27925C4B" w14:textId="769FDE9F"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t>193</w:t>
            </w:r>
          </w:p>
        </w:tc>
      </w:tr>
      <w:tr w:rsidR="000A22AD" w14:paraId="5F8C4D1D" w14:textId="77777777" w:rsidTr="000A22AD">
        <w:tc>
          <w:tcPr>
            <w:cnfStyle w:val="001000000000" w:firstRow="0" w:lastRow="0" w:firstColumn="1" w:lastColumn="0" w:oddVBand="0" w:evenVBand="0" w:oddHBand="0" w:evenHBand="0" w:firstRowFirstColumn="0" w:firstRowLastColumn="0" w:lastRowFirstColumn="0" w:lastRowLastColumn="0"/>
            <w:tcW w:w="5812" w:type="dxa"/>
          </w:tcPr>
          <w:p w14:paraId="17249DC7" w14:textId="6E2C832D" w:rsidR="000A22AD" w:rsidRPr="000D2E3D" w:rsidRDefault="000A22AD" w:rsidP="003B4F97">
            <w:r w:rsidRPr="000D2E3D">
              <w:t>Statewide total</w:t>
            </w:r>
          </w:p>
        </w:tc>
        <w:tc>
          <w:tcPr>
            <w:tcW w:w="1843" w:type="dxa"/>
          </w:tcPr>
          <w:p w14:paraId="72C5A64B" w14:textId="77777777"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p>
        </w:tc>
        <w:tc>
          <w:tcPr>
            <w:tcW w:w="1276" w:type="dxa"/>
          </w:tcPr>
          <w:p w14:paraId="238984A2" w14:textId="3CB15AA5"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77,</w:t>
            </w:r>
            <w:r>
              <w:t>779</w:t>
            </w:r>
          </w:p>
        </w:tc>
        <w:tc>
          <w:tcPr>
            <w:tcW w:w="1275" w:type="dxa"/>
          </w:tcPr>
          <w:p w14:paraId="6DB1F837" w14:textId="7AEF4B2C" w:rsidR="000A22AD" w:rsidRPr="000D2E3D" w:rsidRDefault="000A22AD" w:rsidP="003B4F97">
            <w:pPr>
              <w:cnfStyle w:val="000000000000" w:firstRow="0" w:lastRow="0" w:firstColumn="0" w:lastColumn="0" w:oddVBand="0" w:evenVBand="0" w:oddHBand="0" w:evenHBand="0" w:firstRowFirstColumn="0" w:firstRowLastColumn="0" w:lastRowFirstColumn="0" w:lastRowLastColumn="0"/>
            </w:pPr>
            <w:r w:rsidRPr="000D2E3D">
              <w:t>78,</w:t>
            </w:r>
            <w:r>
              <w:t>954</w:t>
            </w:r>
          </w:p>
        </w:tc>
      </w:tr>
    </w:tbl>
    <w:p w14:paraId="392C87FF" w14:textId="77777777" w:rsidR="000A22AD" w:rsidRPr="005036AA" w:rsidRDefault="000A22AD" w:rsidP="003B4F97">
      <w:pPr>
        <w:pStyle w:val="Footer"/>
        <w:rPr>
          <w:lang w:val="en-GB"/>
        </w:rPr>
      </w:pPr>
      <w:r w:rsidRPr="005036AA">
        <w:rPr>
          <w:lang w:val="en-GB"/>
        </w:rPr>
        <w:t xml:space="preserve">Notes: Excludes babies born </w:t>
      </w:r>
      <w:r w:rsidRPr="005036AA">
        <w:rPr>
          <w:rFonts w:hint="eastAsia"/>
          <w:lang w:val="en-GB"/>
        </w:rPr>
        <w:t>≤</w:t>
      </w:r>
      <w:r w:rsidRPr="005036AA">
        <w:rPr>
          <w:lang w:val="en-GB"/>
        </w:rPr>
        <w:t xml:space="preserve"> 20 weeks’ gestation, all terminations of pregnancy and birthweight </w:t>
      </w:r>
      <w:r w:rsidRPr="005036AA">
        <w:rPr>
          <w:rFonts w:hint="eastAsia"/>
          <w:lang w:val="en-GB"/>
        </w:rPr>
        <w:t>≤</w:t>
      </w:r>
      <w:r w:rsidRPr="005036AA">
        <w:rPr>
          <w:lang w:val="en-GB"/>
        </w:rPr>
        <w:t xml:space="preserve"> 150 g. Babies born before arrival are counted at the hospital the mother and baby are subsequently transported to. Public hospitals with </w:t>
      </w:r>
      <w:r w:rsidRPr="005036AA">
        <w:rPr>
          <w:rFonts w:hint="eastAsia"/>
          <w:lang w:val="en-GB"/>
        </w:rPr>
        <w:t>≤</w:t>
      </w:r>
      <w:r w:rsidRPr="005036AA">
        <w:rPr>
          <w:lang w:val="en-GB"/>
        </w:rPr>
        <w:t xml:space="preserve"> five births are included in ‘Other public hospitals’. Non-maternity public hospitals with occasional births are also included in ‘Other public hospitals’.</w:t>
      </w:r>
    </w:p>
    <w:p w14:paraId="7C6A067E" w14:textId="77777777" w:rsidR="000A22AD" w:rsidRPr="005036AA" w:rsidRDefault="000A22AD" w:rsidP="003B4F97">
      <w:pPr>
        <w:pStyle w:val="Footer"/>
        <w:rPr>
          <w:lang w:val="en-GB"/>
        </w:rPr>
      </w:pPr>
      <w:r w:rsidRPr="005036AA">
        <w:rPr>
          <w:lang w:val="en-GB"/>
        </w:rPr>
        <w:t>* Capability service as at 201</w:t>
      </w:r>
      <w:r>
        <w:rPr>
          <w:lang w:val="en-GB"/>
        </w:rPr>
        <w:t>9</w:t>
      </w:r>
      <w:r w:rsidRPr="005036AA">
        <w:rPr>
          <w:lang w:val="en-GB"/>
        </w:rPr>
        <w:t>–</w:t>
      </w:r>
      <w:r>
        <w:rPr>
          <w:lang w:val="en-GB"/>
        </w:rPr>
        <w:t>20</w:t>
      </w:r>
      <w:r w:rsidRPr="005036AA">
        <w:rPr>
          <w:lang w:val="en-GB"/>
        </w:rPr>
        <w:t>.</w:t>
      </w:r>
    </w:p>
    <w:p w14:paraId="46274DB1" w14:textId="77777777" w:rsidR="00E44209" w:rsidRDefault="00061B4C" w:rsidP="003B4F97">
      <w:pPr>
        <w:sectPr w:rsidR="00E44209" w:rsidSect="001A27C3">
          <w:type w:val="continuous"/>
          <w:pgSz w:w="11906" w:h="16838" w:code="9"/>
          <w:pgMar w:top="3402" w:right="851" w:bottom="1134" w:left="851" w:header="539" w:footer="624" w:gutter="0"/>
          <w:pgNumType w:start="1"/>
          <w:cols w:space="284"/>
          <w:docGrid w:linePitch="360"/>
        </w:sectPr>
      </w:pPr>
      <w:r>
        <w:br w:type="page"/>
      </w:r>
    </w:p>
    <w:p w14:paraId="5B82D8DA" w14:textId="6CDC49DA" w:rsidR="00061B4C" w:rsidRDefault="00061B4C" w:rsidP="003B4F97"/>
    <w:p w14:paraId="5A0A2622" w14:textId="52F7C598" w:rsidR="00E44209" w:rsidRDefault="00E44209" w:rsidP="003B4F97"/>
    <w:p w14:paraId="06643AD4" w14:textId="77777777" w:rsidR="00E44209" w:rsidRDefault="00E44209" w:rsidP="003B4F97"/>
    <w:p w14:paraId="45C5F7DD" w14:textId="1CF5FE4A" w:rsidR="00061B4C" w:rsidRDefault="00061B4C" w:rsidP="00A60C18">
      <w:pPr>
        <w:pStyle w:val="Heading1"/>
        <w:framePr w:wrap="around"/>
      </w:pPr>
      <w:bookmarkStart w:id="21" w:name="_Toc71710129"/>
      <w:r>
        <w:t>Appendix 3: Overview of results</w:t>
      </w:r>
      <w:bookmarkEnd w:id="21"/>
    </w:p>
    <w:p w14:paraId="56C2BCDD" w14:textId="77777777" w:rsidR="00061B4C" w:rsidRDefault="00061B4C" w:rsidP="003B4F97">
      <w:pPr>
        <w:pStyle w:val="Tablechartdiagramheading"/>
      </w:pPr>
      <w:r>
        <w:t>Table 15. Overview of indicator results, 2019–20</w:t>
      </w:r>
    </w:p>
    <w:tbl>
      <w:tblPr>
        <w:tblStyle w:val="TableGrid"/>
        <w:tblW w:w="15163" w:type="dxa"/>
        <w:tblInd w:w="-137" w:type="dxa"/>
        <w:tblBorders>
          <w:top w:val="none" w:sz="0" w:space="0" w:color="auto"/>
          <w:bottom w:val="single" w:sz="4" w:space="0" w:color="auto"/>
          <w:insideH w:val="none" w:sz="0" w:space="0" w:color="auto"/>
        </w:tblBorders>
        <w:tblLayout w:type="fixed"/>
        <w:tblLook w:val="04A0" w:firstRow="1" w:lastRow="0" w:firstColumn="1" w:lastColumn="0" w:noHBand="0" w:noVBand="1"/>
      </w:tblPr>
      <w:tblGrid>
        <w:gridCol w:w="1258"/>
        <w:gridCol w:w="817"/>
        <w:gridCol w:w="682"/>
        <w:gridCol w:w="682"/>
        <w:gridCol w:w="681"/>
        <w:gridCol w:w="682"/>
        <w:gridCol w:w="682"/>
        <w:gridCol w:w="681"/>
        <w:gridCol w:w="682"/>
        <w:gridCol w:w="682"/>
        <w:gridCol w:w="682"/>
        <w:gridCol w:w="681"/>
        <w:gridCol w:w="682"/>
        <w:gridCol w:w="682"/>
        <w:gridCol w:w="681"/>
        <w:gridCol w:w="682"/>
        <w:gridCol w:w="682"/>
        <w:gridCol w:w="681"/>
        <w:gridCol w:w="682"/>
        <w:gridCol w:w="682"/>
        <w:gridCol w:w="682"/>
        <w:gridCol w:w="135"/>
      </w:tblGrid>
      <w:tr w:rsidR="00C63AAA" w:rsidRPr="00956209" w14:paraId="4294A062" w14:textId="77777777" w:rsidTr="000014DE">
        <w:trPr>
          <w:gridAfter w:val="1"/>
          <w:cnfStyle w:val="100000000000" w:firstRow="1" w:lastRow="0" w:firstColumn="0" w:lastColumn="0" w:oddVBand="0" w:evenVBand="0" w:oddHBand="0" w:evenHBand="0" w:firstRowFirstColumn="0" w:firstRowLastColumn="0" w:lastRowFirstColumn="0" w:lastRowLastColumn="0"/>
          <w:wAfter w:w="137" w:type="dxa"/>
          <w:cantSplit/>
          <w:trHeight w:val="1927"/>
          <w:tblHeader/>
        </w:trPr>
        <w:tc>
          <w:tcPr>
            <w:cnfStyle w:val="001000000000" w:firstRow="0" w:lastRow="0" w:firstColumn="1" w:lastColumn="0" w:oddVBand="0" w:evenVBand="0" w:oddHBand="0" w:evenHBand="0" w:firstRowFirstColumn="0" w:firstRowLastColumn="0" w:lastRowFirstColumn="0" w:lastRowLastColumn="0"/>
            <w:tcW w:w="1271" w:type="dxa"/>
            <w:tcBorders>
              <w:bottom w:val="nil"/>
            </w:tcBorders>
            <w:textDirection w:val="btLr"/>
          </w:tcPr>
          <w:p w14:paraId="79CFE8BF" w14:textId="1E626117" w:rsidR="00CC5764" w:rsidRPr="00EE1C90" w:rsidRDefault="00CC5764" w:rsidP="003B4F97">
            <w:pPr>
              <w:rPr>
                <w:b w:val="0"/>
              </w:rPr>
            </w:pPr>
            <w:r w:rsidRPr="00F92DC6">
              <w:t xml:space="preserve">Hospital campus </w:t>
            </w:r>
          </w:p>
        </w:tc>
        <w:tc>
          <w:tcPr>
            <w:tcW w:w="825" w:type="dxa"/>
            <w:tcBorders>
              <w:bottom w:val="nil"/>
            </w:tcBorders>
            <w:textDirection w:val="btLr"/>
          </w:tcPr>
          <w:p w14:paraId="3820E3FE" w14:textId="7CC71B0F" w:rsidR="00CC5764" w:rsidRPr="00BC0403"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EE1C90">
              <w:t>Mat capability level</w:t>
            </w:r>
          </w:p>
        </w:tc>
        <w:tc>
          <w:tcPr>
            <w:tcW w:w="688" w:type="dxa"/>
            <w:tcBorders>
              <w:bottom w:val="nil"/>
            </w:tcBorders>
            <w:textDirection w:val="btLr"/>
          </w:tcPr>
          <w:p w14:paraId="60D763CF" w14:textId="213E9FA2" w:rsidR="00CC5764" w:rsidRPr="0075046B"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BC0403">
              <w:t>Number of births (babies, 2019)</w:t>
            </w:r>
          </w:p>
        </w:tc>
        <w:tc>
          <w:tcPr>
            <w:tcW w:w="688" w:type="dxa"/>
            <w:tcBorders>
              <w:bottom w:val="nil"/>
            </w:tcBorders>
            <w:textDirection w:val="btLr"/>
          </w:tcPr>
          <w:p w14:paraId="421CE28D" w14:textId="107B5EF3" w:rsidR="00CC5764" w:rsidRPr="00E33FFC"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BC0403">
              <w:t>Indicator 1a</w:t>
            </w:r>
          </w:p>
        </w:tc>
        <w:tc>
          <w:tcPr>
            <w:tcW w:w="687" w:type="dxa"/>
            <w:tcBorders>
              <w:bottom w:val="nil"/>
            </w:tcBorders>
            <w:textDirection w:val="btLr"/>
          </w:tcPr>
          <w:p w14:paraId="692C19B4" w14:textId="45168553" w:rsidR="00CC5764" w:rsidRPr="005E4B30"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E33FFC">
              <w:t>Indicator 1bi</w:t>
            </w:r>
          </w:p>
        </w:tc>
        <w:tc>
          <w:tcPr>
            <w:tcW w:w="688" w:type="dxa"/>
            <w:tcBorders>
              <w:bottom w:val="nil"/>
            </w:tcBorders>
            <w:textDirection w:val="btLr"/>
          </w:tcPr>
          <w:p w14:paraId="5BE31077" w14:textId="5FDDFA2F" w:rsidR="00CC5764" w:rsidRPr="00D067A5"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E33FFC">
              <w:t>Indicator 1bii</w:t>
            </w:r>
          </w:p>
        </w:tc>
        <w:tc>
          <w:tcPr>
            <w:tcW w:w="688" w:type="dxa"/>
            <w:tcBorders>
              <w:bottom w:val="nil"/>
            </w:tcBorders>
            <w:textDirection w:val="btLr"/>
          </w:tcPr>
          <w:p w14:paraId="30FB8BA9" w14:textId="6BC17B83" w:rsidR="00CC5764" w:rsidRPr="00D067A5"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837BE2">
              <w:t>Indicator 1ci</w:t>
            </w:r>
          </w:p>
        </w:tc>
        <w:tc>
          <w:tcPr>
            <w:tcW w:w="687" w:type="dxa"/>
            <w:tcBorders>
              <w:bottom w:val="nil"/>
            </w:tcBorders>
            <w:textDirection w:val="btLr"/>
          </w:tcPr>
          <w:p w14:paraId="2AFB8C9B" w14:textId="5441E701" w:rsidR="00CC5764" w:rsidRPr="00D6736D"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D067A5">
              <w:t>Indicator 1cii</w:t>
            </w:r>
          </w:p>
        </w:tc>
        <w:tc>
          <w:tcPr>
            <w:tcW w:w="688" w:type="dxa"/>
            <w:tcBorders>
              <w:bottom w:val="nil"/>
            </w:tcBorders>
            <w:textDirection w:val="btLr"/>
          </w:tcPr>
          <w:p w14:paraId="085C1297" w14:textId="3239834E" w:rsidR="00CC5764" w:rsidRPr="00D6736D"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D067A5">
              <w:t>Indicator 2</w:t>
            </w:r>
          </w:p>
        </w:tc>
        <w:tc>
          <w:tcPr>
            <w:tcW w:w="688" w:type="dxa"/>
            <w:tcBorders>
              <w:bottom w:val="nil"/>
            </w:tcBorders>
            <w:textDirection w:val="btLr"/>
          </w:tcPr>
          <w:p w14:paraId="2E6C009C" w14:textId="2AEC0D3B" w:rsidR="00CC5764" w:rsidRPr="00D6736D"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D6736D">
              <w:t>Indicator 3</w:t>
            </w:r>
          </w:p>
        </w:tc>
        <w:tc>
          <w:tcPr>
            <w:tcW w:w="688" w:type="dxa"/>
            <w:tcBorders>
              <w:bottom w:val="nil"/>
            </w:tcBorders>
            <w:textDirection w:val="btLr"/>
          </w:tcPr>
          <w:p w14:paraId="70F4E37A" w14:textId="22482DEA" w:rsidR="00CC5764" w:rsidRPr="00413E52"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D6736D">
              <w:t>Indicator 5*</w:t>
            </w:r>
          </w:p>
        </w:tc>
        <w:tc>
          <w:tcPr>
            <w:tcW w:w="687" w:type="dxa"/>
            <w:tcBorders>
              <w:bottom w:val="nil"/>
            </w:tcBorders>
            <w:textDirection w:val="btLr"/>
          </w:tcPr>
          <w:p w14:paraId="0642C56F" w14:textId="6C2D1DCE" w:rsidR="00CC5764" w:rsidRPr="00413E52"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413E52">
              <w:t>Indicator 6a*</w:t>
            </w:r>
          </w:p>
        </w:tc>
        <w:tc>
          <w:tcPr>
            <w:tcW w:w="688" w:type="dxa"/>
            <w:tcBorders>
              <w:bottom w:val="nil"/>
            </w:tcBorders>
            <w:textDirection w:val="btLr"/>
          </w:tcPr>
          <w:p w14:paraId="00996447" w14:textId="48E26A4F" w:rsidR="00CC5764" w:rsidRPr="00413E52"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413E52">
              <w:t>Indicator 6b*</w:t>
            </w:r>
          </w:p>
        </w:tc>
        <w:tc>
          <w:tcPr>
            <w:tcW w:w="688" w:type="dxa"/>
            <w:tcBorders>
              <w:bottom w:val="nil"/>
            </w:tcBorders>
            <w:textDirection w:val="btLr"/>
          </w:tcPr>
          <w:p w14:paraId="15E66FC5" w14:textId="091D6123" w:rsidR="00CC5764" w:rsidRPr="00413E52"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413E52">
              <w:t>Indicator 7</w:t>
            </w:r>
          </w:p>
        </w:tc>
        <w:tc>
          <w:tcPr>
            <w:tcW w:w="687" w:type="dxa"/>
            <w:tcBorders>
              <w:bottom w:val="nil"/>
            </w:tcBorders>
            <w:textDirection w:val="btLr"/>
          </w:tcPr>
          <w:p w14:paraId="1445C612" w14:textId="1DE35E27" w:rsidR="00CC5764" w:rsidRPr="00413E52"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413E52">
              <w:t>Indicator 10</w:t>
            </w:r>
          </w:p>
        </w:tc>
        <w:tc>
          <w:tcPr>
            <w:tcW w:w="688" w:type="dxa"/>
            <w:tcBorders>
              <w:bottom w:val="nil"/>
            </w:tcBorders>
            <w:textDirection w:val="btLr"/>
          </w:tcPr>
          <w:p w14:paraId="7B20A5BE" w14:textId="2983B585" w:rsidR="00CC5764" w:rsidRPr="00413E52"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413E52">
              <w:t>Indicator 11a*</w:t>
            </w:r>
          </w:p>
        </w:tc>
        <w:tc>
          <w:tcPr>
            <w:tcW w:w="688" w:type="dxa"/>
            <w:tcBorders>
              <w:bottom w:val="nil"/>
            </w:tcBorders>
            <w:textDirection w:val="btLr"/>
          </w:tcPr>
          <w:p w14:paraId="31749A48" w14:textId="5359536F" w:rsidR="00CC5764" w:rsidRPr="005B37AB"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413E52">
              <w:t>Indicator 11b*</w:t>
            </w:r>
          </w:p>
        </w:tc>
        <w:tc>
          <w:tcPr>
            <w:tcW w:w="687" w:type="dxa"/>
            <w:tcBorders>
              <w:bottom w:val="nil"/>
            </w:tcBorders>
            <w:textDirection w:val="btLr"/>
          </w:tcPr>
          <w:p w14:paraId="3C033170" w14:textId="1E238E90" w:rsidR="00CC5764" w:rsidRPr="0075046B"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5B37AB">
              <w:t>Indicator 12b</w:t>
            </w:r>
          </w:p>
        </w:tc>
        <w:tc>
          <w:tcPr>
            <w:tcW w:w="688" w:type="dxa"/>
            <w:tcBorders>
              <w:bottom w:val="nil"/>
            </w:tcBorders>
            <w:textDirection w:val="btLr"/>
          </w:tcPr>
          <w:p w14:paraId="3D29917C" w14:textId="663D4DF5" w:rsidR="00CC5764" w:rsidRPr="005B37AB" w:rsidRDefault="00CC5764" w:rsidP="003B4F97">
            <w:pPr>
              <w:cnfStyle w:val="100000000000" w:firstRow="1" w:lastRow="0" w:firstColumn="0" w:lastColumn="0" w:oddVBand="0" w:evenVBand="0" w:oddHBand="0" w:evenHBand="0" w:firstRowFirstColumn="0" w:firstRowLastColumn="0" w:lastRowFirstColumn="0" w:lastRowLastColumn="0"/>
              <w:rPr>
                <w:b w:val="0"/>
              </w:rPr>
            </w:pPr>
            <w:r>
              <w:t>Trial i</w:t>
            </w:r>
            <w:r w:rsidRPr="0075046B">
              <w:t>ndicator 13</w:t>
            </w:r>
          </w:p>
        </w:tc>
        <w:tc>
          <w:tcPr>
            <w:tcW w:w="688" w:type="dxa"/>
            <w:tcBorders>
              <w:bottom w:val="nil"/>
            </w:tcBorders>
            <w:textDirection w:val="btLr"/>
          </w:tcPr>
          <w:p w14:paraId="7EBF19A2" w14:textId="2C40FD1D" w:rsidR="00CC5764" w:rsidRPr="005B37AB" w:rsidRDefault="00CC5764" w:rsidP="003B4F97">
            <w:pPr>
              <w:cnfStyle w:val="100000000000" w:firstRow="1" w:lastRow="0" w:firstColumn="0" w:lastColumn="0" w:oddVBand="0" w:evenVBand="0" w:oddHBand="0" w:evenHBand="0" w:firstRowFirstColumn="0" w:firstRowLastColumn="0" w:lastRowFirstColumn="0" w:lastRowLastColumn="0"/>
              <w:rPr>
                <w:b w:val="0"/>
              </w:rPr>
            </w:pPr>
            <w:r w:rsidRPr="005B37AB">
              <w:t>Indicators in most favourable</w:t>
            </w:r>
          </w:p>
        </w:tc>
        <w:tc>
          <w:tcPr>
            <w:tcW w:w="688" w:type="dxa"/>
            <w:tcBorders>
              <w:bottom w:val="nil"/>
            </w:tcBorders>
            <w:textDirection w:val="btLr"/>
          </w:tcPr>
          <w:p w14:paraId="04476905" w14:textId="47403A9E" w:rsidR="00CC5764" w:rsidRPr="005B37AB" w:rsidRDefault="00CC5764" w:rsidP="003B4F97">
            <w:pPr>
              <w:cnfStyle w:val="100000000000" w:firstRow="1" w:lastRow="0" w:firstColumn="0" w:lastColumn="0" w:oddVBand="0" w:evenVBand="0" w:oddHBand="0" w:evenHBand="0" w:firstRowFirstColumn="0" w:firstRowLastColumn="0" w:lastRowFirstColumn="0" w:lastRowLastColumn="0"/>
            </w:pPr>
            <w:r w:rsidRPr="005B37AB">
              <w:t>Indicators in least favourable</w:t>
            </w:r>
          </w:p>
        </w:tc>
      </w:tr>
      <w:tr w:rsidR="00CC5764" w:rsidRPr="00956209" w14:paraId="041B4831"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bottom w:val="single" w:sz="4" w:space="0" w:color="auto"/>
            </w:tcBorders>
          </w:tcPr>
          <w:p w14:paraId="2806B53B" w14:textId="4E33EBF8" w:rsidR="00CC5764" w:rsidRPr="005B37AB" w:rsidRDefault="00CC5764" w:rsidP="00A60C18">
            <w:pPr>
              <w:rPr>
                <w:b w:val="0"/>
              </w:rPr>
            </w:pPr>
            <w:r w:rsidRPr="005B37AB">
              <w:t>Statewide</w:t>
            </w:r>
          </w:p>
        </w:tc>
        <w:tc>
          <w:tcPr>
            <w:tcW w:w="825" w:type="dxa"/>
            <w:tcBorders>
              <w:bottom w:val="single" w:sz="4" w:space="0" w:color="auto"/>
            </w:tcBorders>
          </w:tcPr>
          <w:p w14:paraId="246367C9" w14:textId="38F0707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bottom w:val="single" w:sz="4" w:space="0" w:color="auto"/>
            </w:tcBorders>
          </w:tcPr>
          <w:p w14:paraId="14914B36" w14:textId="7B18851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78,954</w:t>
            </w:r>
          </w:p>
        </w:tc>
        <w:tc>
          <w:tcPr>
            <w:tcW w:w="688" w:type="dxa"/>
            <w:tcBorders>
              <w:bottom w:val="single" w:sz="4" w:space="0" w:color="auto"/>
            </w:tcBorders>
          </w:tcPr>
          <w:p w14:paraId="24FF0B25" w14:textId="76B68BB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17.3%</w:t>
            </w:r>
          </w:p>
        </w:tc>
        <w:tc>
          <w:tcPr>
            <w:tcW w:w="687" w:type="dxa"/>
            <w:tcBorders>
              <w:bottom w:val="single" w:sz="4" w:space="0" w:color="auto"/>
            </w:tcBorders>
          </w:tcPr>
          <w:p w14:paraId="675B4A94" w14:textId="541B971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18.0%</w:t>
            </w:r>
          </w:p>
        </w:tc>
        <w:tc>
          <w:tcPr>
            <w:tcW w:w="688" w:type="dxa"/>
            <w:tcBorders>
              <w:bottom w:val="single" w:sz="4" w:space="0" w:color="auto"/>
            </w:tcBorders>
          </w:tcPr>
          <w:p w14:paraId="3448FC30" w14:textId="4181426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31.6%</w:t>
            </w:r>
          </w:p>
        </w:tc>
        <w:tc>
          <w:tcPr>
            <w:tcW w:w="688" w:type="dxa"/>
            <w:tcBorders>
              <w:bottom w:val="single" w:sz="4" w:space="0" w:color="auto"/>
            </w:tcBorders>
          </w:tcPr>
          <w:p w14:paraId="6EFF90E8" w14:textId="16DE11F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4.2%</w:t>
            </w:r>
          </w:p>
        </w:tc>
        <w:tc>
          <w:tcPr>
            <w:tcW w:w="687" w:type="dxa"/>
            <w:tcBorders>
              <w:bottom w:val="single" w:sz="4" w:space="0" w:color="auto"/>
            </w:tcBorders>
          </w:tcPr>
          <w:p w14:paraId="3BC09674" w14:textId="6064C7D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5.6%</w:t>
            </w:r>
          </w:p>
        </w:tc>
        <w:tc>
          <w:tcPr>
            <w:tcW w:w="688" w:type="dxa"/>
            <w:tcBorders>
              <w:bottom w:val="single" w:sz="4" w:space="0" w:color="auto"/>
            </w:tcBorders>
          </w:tcPr>
          <w:p w14:paraId="2EE3DE91" w14:textId="3D02193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bottom w:val="single" w:sz="4" w:space="0" w:color="auto"/>
            </w:tcBorders>
          </w:tcPr>
          <w:p w14:paraId="04EE3992" w14:textId="37E57B5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23.0%</w:t>
            </w:r>
          </w:p>
        </w:tc>
        <w:tc>
          <w:tcPr>
            <w:tcW w:w="688" w:type="dxa"/>
            <w:tcBorders>
              <w:bottom w:val="single" w:sz="4" w:space="0" w:color="auto"/>
            </w:tcBorders>
          </w:tcPr>
          <w:p w14:paraId="71EBD65B" w14:textId="79B8E0A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1.0</w:t>
            </w:r>
          </w:p>
        </w:tc>
        <w:tc>
          <w:tcPr>
            <w:tcW w:w="687" w:type="dxa"/>
            <w:tcBorders>
              <w:bottom w:val="single" w:sz="4" w:space="0" w:color="auto"/>
            </w:tcBorders>
          </w:tcPr>
          <w:p w14:paraId="7E5AEEA5" w14:textId="448EC3F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2.3%</w:t>
            </w:r>
          </w:p>
        </w:tc>
        <w:tc>
          <w:tcPr>
            <w:tcW w:w="688" w:type="dxa"/>
            <w:tcBorders>
              <w:bottom w:val="single" w:sz="4" w:space="0" w:color="auto"/>
            </w:tcBorders>
          </w:tcPr>
          <w:p w14:paraId="3F180CB6" w14:textId="340123E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bottom w:val="single" w:sz="4" w:space="0" w:color="auto"/>
            </w:tcBorders>
          </w:tcPr>
          <w:p w14:paraId="62B25D09" w14:textId="2ACB968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28.0%</w:t>
            </w:r>
          </w:p>
        </w:tc>
        <w:tc>
          <w:tcPr>
            <w:tcW w:w="687" w:type="dxa"/>
            <w:tcBorders>
              <w:bottom w:val="single" w:sz="4" w:space="0" w:color="auto"/>
            </w:tcBorders>
          </w:tcPr>
          <w:p w14:paraId="618EE5D0" w14:textId="5F5AC70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1.3%</w:t>
            </w:r>
          </w:p>
        </w:tc>
        <w:tc>
          <w:tcPr>
            <w:tcW w:w="688" w:type="dxa"/>
            <w:tcBorders>
              <w:bottom w:val="single" w:sz="4" w:space="0" w:color="auto"/>
            </w:tcBorders>
          </w:tcPr>
          <w:p w14:paraId="02C5A270" w14:textId="38925FC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bottom w:val="single" w:sz="4" w:space="0" w:color="auto"/>
            </w:tcBorders>
          </w:tcPr>
          <w:p w14:paraId="460BFFDE" w14:textId="62709E3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7" w:type="dxa"/>
            <w:tcBorders>
              <w:bottom w:val="single" w:sz="4" w:space="0" w:color="auto"/>
            </w:tcBorders>
          </w:tcPr>
          <w:p w14:paraId="602FC749" w14:textId="1572B72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74.6%</w:t>
            </w:r>
          </w:p>
        </w:tc>
        <w:tc>
          <w:tcPr>
            <w:tcW w:w="688" w:type="dxa"/>
            <w:tcBorders>
              <w:bottom w:val="single" w:sz="4" w:space="0" w:color="auto"/>
            </w:tcBorders>
          </w:tcPr>
          <w:p w14:paraId="5D66FB75" w14:textId="6CE8B00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2.4%</w:t>
            </w:r>
          </w:p>
        </w:tc>
        <w:tc>
          <w:tcPr>
            <w:tcW w:w="688" w:type="dxa"/>
            <w:tcBorders>
              <w:bottom w:val="single" w:sz="4" w:space="0" w:color="auto"/>
            </w:tcBorders>
          </w:tcPr>
          <w:p w14:paraId="52C995FD" w14:textId="35B5CF1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gridSpan w:val="2"/>
            <w:tcBorders>
              <w:bottom w:val="single" w:sz="4" w:space="0" w:color="auto"/>
            </w:tcBorders>
          </w:tcPr>
          <w:p w14:paraId="1A8BE6A0" w14:textId="5994E88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NA</w:t>
            </w:r>
          </w:p>
        </w:tc>
      </w:tr>
      <w:tr w:rsidR="00CC5764" w:rsidRPr="00956209" w14:paraId="03D4445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5369994" w14:textId="5555DA2A" w:rsidR="00CC5764" w:rsidRPr="002E05DB" w:rsidRDefault="00CC5764" w:rsidP="00A60C18">
            <w:pPr>
              <w:rPr>
                <w:b w:val="0"/>
              </w:rPr>
            </w:pPr>
            <w:r w:rsidRPr="002E05DB">
              <w:t>Public hospitals</w:t>
            </w:r>
          </w:p>
        </w:tc>
        <w:tc>
          <w:tcPr>
            <w:tcW w:w="825" w:type="dxa"/>
            <w:tcBorders>
              <w:top w:val="single" w:sz="4" w:space="0" w:color="auto"/>
              <w:bottom w:val="single" w:sz="4" w:space="0" w:color="auto"/>
            </w:tcBorders>
          </w:tcPr>
          <w:p w14:paraId="7AAEB208" w14:textId="599F6BA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1AF0D2FF" w14:textId="53F0C85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61,125</w:t>
            </w:r>
          </w:p>
        </w:tc>
        <w:tc>
          <w:tcPr>
            <w:tcW w:w="688" w:type="dxa"/>
            <w:tcBorders>
              <w:top w:val="single" w:sz="4" w:space="0" w:color="auto"/>
              <w:bottom w:val="single" w:sz="4" w:space="0" w:color="auto"/>
            </w:tcBorders>
          </w:tcPr>
          <w:p w14:paraId="23DB3E4E" w14:textId="5741BA8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11.8%</w:t>
            </w:r>
          </w:p>
        </w:tc>
        <w:tc>
          <w:tcPr>
            <w:tcW w:w="687" w:type="dxa"/>
            <w:tcBorders>
              <w:top w:val="single" w:sz="4" w:space="0" w:color="auto"/>
              <w:bottom w:val="single" w:sz="4" w:space="0" w:color="auto"/>
            </w:tcBorders>
          </w:tcPr>
          <w:p w14:paraId="2CF1FC9F" w14:textId="0F9E4EA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16.9%</w:t>
            </w:r>
          </w:p>
        </w:tc>
        <w:tc>
          <w:tcPr>
            <w:tcW w:w="688" w:type="dxa"/>
            <w:tcBorders>
              <w:top w:val="single" w:sz="4" w:space="0" w:color="auto"/>
              <w:bottom w:val="single" w:sz="4" w:space="0" w:color="auto"/>
            </w:tcBorders>
          </w:tcPr>
          <w:p w14:paraId="5A7521C6" w14:textId="473BFC3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31.2%</w:t>
            </w:r>
          </w:p>
        </w:tc>
        <w:tc>
          <w:tcPr>
            <w:tcW w:w="688" w:type="dxa"/>
            <w:tcBorders>
              <w:top w:val="single" w:sz="4" w:space="0" w:color="auto"/>
              <w:bottom w:val="single" w:sz="4" w:space="0" w:color="auto"/>
            </w:tcBorders>
          </w:tcPr>
          <w:p w14:paraId="5A9D83BE" w14:textId="63478F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4.7%</w:t>
            </w:r>
          </w:p>
        </w:tc>
        <w:tc>
          <w:tcPr>
            <w:tcW w:w="687" w:type="dxa"/>
            <w:tcBorders>
              <w:top w:val="single" w:sz="4" w:space="0" w:color="auto"/>
              <w:bottom w:val="single" w:sz="4" w:space="0" w:color="auto"/>
            </w:tcBorders>
          </w:tcPr>
          <w:p w14:paraId="71C767AD" w14:textId="4B59840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6.5%</w:t>
            </w:r>
          </w:p>
        </w:tc>
        <w:tc>
          <w:tcPr>
            <w:tcW w:w="688" w:type="dxa"/>
            <w:tcBorders>
              <w:top w:val="single" w:sz="4" w:space="0" w:color="auto"/>
              <w:bottom w:val="single" w:sz="4" w:space="0" w:color="auto"/>
            </w:tcBorders>
          </w:tcPr>
          <w:p w14:paraId="44E53DBB" w14:textId="442A1E6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8.1%</w:t>
            </w:r>
          </w:p>
        </w:tc>
        <w:tc>
          <w:tcPr>
            <w:tcW w:w="688" w:type="dxa"/>
            <w:tcBorders>
              <w:top w:val="single" w:sz="4" w:space="0" w:color="auto"/>
              <w:bottom w:val="single" w:sz="4" w:space="0" w:color="auto"/>
            </w:tcBorders>
          </w:tcPr>
          <w:p w14:paraId="5DF096B2" w14:textId="1EDC97C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22.1%</w:t>
            </w:r>
          </w:p>
        </w:tc>
        <w:tc>
          <w:tcPr>
            <w:tcW w:w="688" w:type="dxa"/>
            <w:tcBorders>
              <w:top w:val="single" w:sz="4" w:space="0" w:color="auto"/>
              <w:bottom w:val="single" w:sz="4" w:space="0" w:color="auto"/>
            </w:tcBorders>
          </w:tcPr>
          <w:p w14:paraId="20A09EC7" w14:textId="0FB68E2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7" w:type="dxa"/>
            <w:tcBorders>
              <w:top w:val="single" w:sz="4" w:space="0" w:color="auto"/>
              <w:bottom w:val="single" w:sz="4" w:space="0" w:color="auto"/>
            </w:tcBorders>
          </w:tcPr>
          <w:p w14:paraId="78A66265" w14:textId="697802C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2.4%</w:t>
            </w:r>
          </w:p>
        </w:tc>
        <w:tc>
          <w:tcPr>
            <w:tcW w:w="688" w:type="dxa"/>
            <w:tcBorders>
              <w:top w:val="single" w:sz="4" w:space="0" w:color="auto"/>
              <w:bottom w:val="single" w:sz="4" w:space="0" w:color="auto"/>
            </w:tcBorders>
          </w:tcPr>
          <w:p w14:paraId="2B2C3270" w14:textId="3C0F3DE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4.1%</w:t>
            </w:r>
          </w:p>
        </w:tc>
        <w:tc>
          <w:tcPr>
            <w:tcW w:w="688" w:type="dxa"/>
            <w:tcBorders>
              <w:top w:val="single" w:sz="4" w:space="0" w:color="auto"/>
              <w:bottom w:val="single" w:sz="4" w:space="0" w:color="auto"/>
            </w:tcBorders>
          </w:tcPr>
          <w:p w14:paraId="1B96634D" w14:textId="2FC65D7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26.8%</w:t>
            </w:r>
          </w:p>
        </w:tc>
        <w:tc>
          <w:tcPr>
            <w:tcW w:w="687" w:type="dxa"/>
            <w:tcBorders>
              <w:top w:val="single" w:sz="4" w:space="0" w:color="auto"/>
              <w:bottom w:val="single" w:sz="4" w:space="0" w:color="auto"/>
            </w:tcBorders>
          </w:tcPr>
          <w:p w14:paraId="77908E46" w14:textId="67FCB84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1.3%</w:t>
            </w:r>
          </w:p>
        </w:tc>
        <w:tc>
          <w:tcPr>
            <w:tcW w:w="688" w:type="dxa"/>
            <w:tcBorders>
              <w:top w:val="single" w:sz="4" w:space="0" w:color="auto"/>
              <w:bottom w:val="single" w:sz="4" w:space="0" w:color="auto"/>
            </w:tcBorders>
          </w:tcPr>
          <w:p w14:paraId="4AC0665E" w14:textId="65368D6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80.0%</w:t>
            </w:r>
          </w:p>
        </w:tc>
        <w:tc>
          <w:tcPr>
            <w:tcW w:w="688" w:type="dxa"/>
            <w:tcBorders>
              <w:top w:val="single" w:sz="4" w:space="0" w:color="auto"/>
              <w:bottom w:val="single" w:sz="4" w:space="0" w:color="auto"/>
            </w:tcBorders>
          </w:tcPr>
          <w:p w14:paraId="6FDA4061" w14:textId="78DA994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47.2%</w:t>
            </w:r>
          </w:p>
        </w:tc>
        <w:tc>
          <w:tcPr>
            <w:tcW w:w="687" w:type="dxa"/>
            <w:tcBorders>
              <w:top w:val="single" w:sz="4" w:space="0" w:color="auto"/>
              <w:bottom w:val="single" w:sz="4" w:space="0" w:color="auto"/>
            </w:tcBorders>
          </w:tcPr>
          <w:p w14:paraId="441A0331" w14:textId="753821B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75.8%</w:t>
            </w:r>
          </w:p>
        </w:tc>
        <w:tc>
          <w:tcPr>
            <w:tcW w:w="688" w:type="dxa"/>
            <w:tcBorders>
              <w:top w:val="single" w:sz="4" w:space="0" w:color="auto"/>
              <w:bottom w:val="single" w:sz="4" w:space="0" w:color="auto"/>
            </w:tcBorders>
          </w:tcPr>
          <w:p w14:paraId="67D3EF8E" w14:textId="05728EB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2.9%</w:t>
            </w:r>
          </w:p>
        </w:tc>
        <w:tc>
          <w:tcPr>
            <w:tcW w:w="688" w:type="dxa"/>
            <w:tcBorders>
              <w:top w:val="single" w:sz="4" w:space="0" w:color="auto"/>
              <w:bottom w:val="single" w:sz="4" w:space="0" w:color="auto"/>
            </w:tcBorders>
          </w:tcPr>
          <w:p w14:paraId="489A0B21" w14:textId="16D9307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gridSpan w:val="2"/>
            <w:tcBorders>
              <w:top w:val="single" w:sz="4" w:space="0" w:color="auto"/>
              <w:bottom w:val="single" w:sz="4" w:space="0" w:color="auto"/>
            </w:tcBorders>
          </w:tcPr>
          <w:p w14:paraId="58A9C415" w14:textId="40AA171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NA</w:t>
            </w:r>
          </w:p>
        </w:tc>
      </w:tr>
      <w:tr w:rsidR="00CC5764" w:rsidRPr="00956209" w14:paraId="41BC5353"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A982FD9" w14:textId="6EC03213" w:rsidR="00CC5764" w:rsidRPr="002E05DB" w:rsidRDefault="00CC5764" w:rsidP="00A60C18">
            <w:pPr>
              <w:rPr>
                <w:b w:val="0"/>
              </w:rPr>
            </w:pPr>
            <w:r w:rsidRPr="002E05DB">
              <w:t>Private hospitals</w:t>
            </w:r>
          </w:p>
        </w:tc>
        <w:tc>
          <w:tcPr>
            <w:tcW w:w="825" w:type="dxa"/>
            <w:tcBorders>
              <w:top w:val="single" w:sz="4" w:space="0" w:color="auto"/>
              <w:bottom w:val="single" w:sz="4" w:space="0" w:color="auto"/>
            </w:tcBorders>
          </w:tcPr>
          <w:p w14:paraId="2B705E7E" w14:textId="5E4DE80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10E5C644" w14:textId="6DCC435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17,636</w:t>
            </w:r>
          </w:p>
        </w:tc>
        <w:tc>
          <w:tcPr>
            <w:tcW w:w="688" w:type="dxa"/>
            <w:tcBorders>
              <w:top w:val="single" w:sz="4" w:space="0" w:color="auto"/>
              <w:bottom w:val="single" w:sz="4" w:space="0" w:color="auto"/>
            </w:tcBorders>
          </w:tcPr>
          <w:p w14:paraId="59F3E4E9" w14:textId="503F59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26.5%</w:t>
            </w:r>
          </w:p>
        </w:tc>
        <w:tc>
          <w:tcPr>
            <w:tcW w:w="687" w:type="dxa"/>
            <w:tcBorders>
              <w:top w:val="single" w:sz="4" w:space="0" w:color="auto"/>
              <w:bottom w:val="single" w:sz="4" w:space="0" w:color="auto"/>
            </w:tcBorders>
          </w:tcPr>
          <w:p w14:paraId="7CA1A00C" w14:textId="29511DD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22.0%</w:t>
            </w:r>
          </w:p>
        </w:tc>
        <w:tc>
          <w:tcPr>
            <w:tcW w:w="688" w:type="dxa"/>
            <w:tcBorders>
              <w:top w:val="single" w:sz="4" w:space="0" w:color="auto"/>
              <w:bottom w:val="single" w:sz="4" w:space="0" w:color="auto"/>
            </w:tcBorders>
          </w:tcPr>
          <w:p w14:paraId="5F85F1A8" w14:textId="27F360A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33.2%</w:t>
            </w:r>
          </w:p>
        </w:tc>
        <w:tc>
          <w:tcPr>
            <w:tcW w:w="688" w:type="dxa"/>
            <w:tcBorders>
              <w:top w:val="single" w:sz="4" w:space="0" w:color="auto"/>
              <w:bottom w:val="single" w:sz="4" w:space="0" w:color="auto"/>
            </w:tcBorders>
          </w:tcPr>
          <w:p w14:paraId="30949944" w14:textId="3ED0D24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1.4%</w:t>
            </w:r>
          </w:p>
        </w:tc>
        <w:tc>
          <w:tcPr>
            <w:tcW w:w="687" w:type="dxa"/>
            <w:tcBorders>
              <w:top w:val="single" w:sz="4" w:space="0" w:color="auto"/>
              <w:bottom w:val="single" w:sz="4" w:space="0" w:color="auto"/>
            </w:tcBorders>
          </w:tcPr>
          <w:p w14:paraId="23832D57" w14:textId="6C20745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2.8%</w:t>
            </w:r>
          </w:p>
        </w:tc>
        <w:tc>
          <w:tcPr>
            <w:tcW w:w="688" w:type="dxa"/>
            <w:tcBorders>
              <w:top w:val="single" w:sz="4" w:space="0" w:color="auto"/>
              <w:bottom w:val="single" w:sz="4" w:space="0" w:color="auto"/>
            </w:tcBorders>
          </w:tcPr>
          <w:p w14:paraId="63516388" w14:textId="148F53F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22E0C512" w14:textId="3508532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26.4%</w:t>
            </w:r>
          </w:p>
        </w:tc>
        <w:tc>
          <w:tcPr>
            <w:tcW w:w="688" w:type="dxa"/>
            <w:tcBorders>
              <w:top w:val="single" w:sz="4" w:space="0" w:color="auto"/>
              <w:bottom w:val="single" w:sz="4" w:space="0" w:color="auto"/>
            </w:tcBorders>
          </w:tcPr>
          <w:p w14:paraId="6346FABF" w14:textId="1B69B50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7" w:type="dxa"/>
            <w:tcBorders>
              <w:top w:val="single" w:sz="4" w:space="0" w:color="auto"/>
              <w:bottom w:val="single" w:sz="4" w:space="0" w:color="auto"/>
            </w:tcBorders>
          </w:tcPr>
          <w:p w14:paraId="4F372880" w14:textId="41520B6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1.7%</w:t>
            </w:r>
          </w:p>
        </w:tc>
        <w:tc>
          <w:tcPr>
            <w:tcW w:w="688" w:type="dxa"/>
            <w:tcBorders>
              <w:top w:val="single" w:sz="4" w:space="0" w:color="auto"/>
              <w:bottom w:val="single" w:sz="4" w:space="0" w:color="auto"/>
            </w:tcBorders>
          </w:tcPr>
          <w:p w14:paraId="2ECAB183" w14:textId="038B798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1C6C4BB0" w14:textId="18C2227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59.3%</w:t>
            </w:r>
          </w:p>
        </w:tc>
        <w:tc>
          <w:tcPr>
            <w:tcW w:w="687" w:type="dxa"/>
            <w:tcBorders>
              <w:top w:val="single" w:sz="4" w:space="0" w:color="auto"/>
              <w:bottom w:val="single" w:sz="4" w:space="0" w:color="auto"/>
            </w:tcBorders>
          </w:tcPr>
          <w:p w14:paraId="7AB37E0B" w14:textId="6AB0CA5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1.0%</w:t>
            </w:r>
          </w:p>
        </w:tc>
        <w:tc>
          <w:tcPr>
            <w:tcW w:w="688" w:type="dxa"/>
            <w:tcBorders>
              <w:top w:val="single" w:sz="4" w:space="0" w:color="auto"/>
              <w:bottom w:val="single" w:sz="4" w:space="0" w:color="auto"/>
            </w:tcBorders>
          </w:tcPr>
          <w:p w14:paraId="4CBF02F5" w14:textId="1B4FD57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3DAC2A40" w14:textId="60BCBF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7" w:type="dxa"/>
            <w:tcBorders>
              <w:top w:val="single" w:sz="4" w:space="0" w:color="auto"/>
              <w:bottom w:val="single" w:sz="4" w:space="0" w:color="auto"/>
            </w:tcBorders>
          </w:tcPr>
          <w:p w14:paraId="58CC5F9D" w14:textId="440C3F3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70.9%</w:t>
            </w:r>
          </w:p>
        </w:tc>
        <w:tc>
          <w:tcPr>
            <w:tcW w:w="688" w:type="dxa"/>
            <w:tcBorders>
              <w:top w:val="single" w:sz="4" w:space="0" w:color="auto"/>
              <w:bottom w:val="single" w:sz="4" w:space="0" w:color="auto"/>
            </w:tcBorders>
          </w:tcPr>
          <w:p w14:paraId="4FC89A5F" w14:textId="24E2CC8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0.9%</w:t>
            </w:r>
          </w:p>
        </w:tc>
        <w:tc>
          <w:tcPr>
            <w:tcW w:w="688" w:type="dxa"/>
            <w:tcBorders>
              <w:top w:val="single" w:sz="4" w:space="0" w:color="auto"/>
              <w:bottom w:val="single" w:sz="4" w:space="0" w:color="auto"/>
            </w:tcBorders>
          </w:tcPr>
          <w:p w14:paraId="5DD71217" w14:textId="2BCDD1F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gridSpan w:val="2"/>
            <w:tcBorders>
              <w:top w:val="single" w:sz="4" w:space="0" w:color="auto"/>
              <w:bottom w:val="single" w:sz="4" w:space="0" w:color="auto"/>
            </w:tcBorders>
          </w:tcPr>
          <w:p w14:paraId="1EDDE58F" w14:textId="58443A6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NA</w:t>
            </w:r>
          </w:p>
        </w:tc>
      </w:tr>
      <w:tr w:rsidR="00CC5764" w:rsidRPr="00956209" w14:paraId="1653A504"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C7BD5BB" w14:textId="464630AD" w:rsidR="00CC5764" w:rsidRPr="002E05DB" w:rsidRDefault="00CC5764" w:rsidP="00A60C18">
            <w:pPr>
              <w:rPr>
                <w:b w:val="0"/>
              </w:rPr>
            </w:pPr>
            <w:r w:rsidRPr="002E05DB">
              <w:t>Lower quartile</w:t>
            </w:r>
          </w:p>
        </w:tc>
        <w:tc>
          <w:tcPr>
            <w:tcW w:w="825" w:type="dxa"/>
            <w:tcBorders>
              <w:top w:val="single" w:sz="4" w:space="0" w:color="auto"/>
              <w:bottom w:val="single" w:sz="4" w:space="0" w:color="auto"/>
            </w:tcBorders>
          </w:tcPr>
          <w:p w14:paraId="55C321D4" w14:textId="0DC647B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39F59304" w14:textId="0AB9524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1D15C17E" w14:textId="0295523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11.1%</w:t>
            </w:r>
          </w:p>
        </w:tc>
        <w:tc>
          <w:tcPr>
            <w:tcW w:w="687" w:type="dxa"/>
            <w:tcBorders>
              <w:top w:val="single" w:sz="4" w:space="0" w:color="auto"/>
              <w:bottom w:val="single" w:sz="4" w:space="0" w:color="auto"/>
            </w:tcBorders>
          </w:tcPr>
          <w:p w14:paraId="66ACCBB9" w14:textId="3580EB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14.6%</w:t>
            </w:r>
          </w:p>
        </w:tc>
        <w:tc>
          <w:tcPr>
            <w:tcW w:w="688" w:type="dxa"/>
            <w:tcBorders>
              <w:top w:val="single" w:sz="4" w:space="0" w:color="auto"/>
              <w:bottom w:val="single" w:sz="4" w:space="0" w:color="auto"/>
            </w:tcBorders>
          </w:tcPr>
          <w:p w14:paraId="0E1066F4" w14:textId="2DC6BD2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29.2%</w:t>
            </w:r>
          </w:p>
        </w:tc>
        <w:tc>
          <w:tcPr>
            <w:tcW w:w="688" w:type="dxa"/>
            <w:tcBorders>
              <w:top w:val="single" w:sz="4" w:space="0" w:color="auto"/>
              <w:bottom w:val="single" w:sz="4" w:space="0" w:color="auto"/>
            </w:tcBorders>
          </w:tcPr>
          <w:p w14:paraId="264A63F4" w14:textId="3C5340B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1.2%</w:t>
            </w:r>
          </w:p>
        </w:tc>
        <w:tc>
          <w:tcPr>
            <w:tcW w:w="687" w:type="dxa"/>
            <w:tcBorders>
              <w:top w:val="single" w:sz="4" w:space="0" w:color="auto"/>
              <w:bottom w:val="single" w:sz="4" w:space="0" w:color="auto"/>
            </w:tcBorders>
          </w:tcPr>
          <w:p w14:paraId="1308114B" w14:textId="60E63AC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2.6%</w:t>
            </w:r>
          </w:p>
        </w:tc>
        <w:tc>
          <w:tcPr>
            <w:tcW w:w="688" w:type="dxa"/>
            <w:tcBorders>
              <w:top w:val="single" w:sz="4" w:space="0" w:color="auto"/>
              <w:bottom w:val="single" w:sz="4" w:space="0" w:color="auto"/>
            </w:tcBorders>
          </w:tcPr>
          <w:p w14:paraId="54751AB6" w14:textId="7B6A4BD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3.5%</w:t>
            </w:r>
          </w:p>
        </w:tc>
        <w:tc>
          <w:tcPr>
            <w:tcW w:w="688" w:type="dxa"/>
            <w:tcBorders>
              <w:top w:val="single" w:sz="4" w:space="0" w:color="auto"/>
              <w:bottom w:val="single" w:sz="4" w:space="0" w:color="auto"/>
            </w:tcBorders>
          </w:tcPr>
          <w:p w14:paraId="089B1BC8" w14:textId="37EB9B7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17.6%</w:t>
            </w:r>
          </w:p>
        </w:tc>
        <w:tc>
          <w:tcPr>
            <w:tcW w:w="688" w:type="dxa"/>
            <w:tcBorders>
              <w:top w:val="single" w:sz="4" w:space="0" w:color="auto"/>
              <w:bottom w:val="single" w:sz="4" w:space="0" w:color="auto"/>
            </w:tcBorders>
          </w:tcPr>
          <w:p w14:paraId="03B5DBB9" w14:textId="64B81EE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7" w:type="dxa"/>
            <w:tcBorders>
              <w:top w:val="single" w:sz="4" w:space="0" w:color="auto"/>
              <w:bottom w:val="single" w:sz="4" w:space="0" w:color="auto"/>
            </w:tcBorders>
          </w:tcPr>
          <w:p w14:paraId="77DD6121" w14:textId="0685D19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34ED6473" w14:textId="56C57F1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021E54CD" w14:textId="71AA7AC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12.6%</w:t>
            </w:r>
          </w:p>
        </w:tc>
        <w:tc>
          <w:tcPr>
            <w:tcW w:w="687" w:type="dxa"/>
            <w:tcBorders>
              <w:top w:val="single" w:sz="4" w:space="0" w:color="auto"/>
              <w:bottom w:val="single" w:sz="4" w:space="0" w:color="auto"/>
            </w:tcBorders>
          </w:tcPr>
          <w:p w14:paraId="78523A08" w14:textId="3434750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0.9%</w:t>
            </w:r>
          </w:p>
        </w:tc>
        <w:tc>
          <w:tcPr>
            <w:tcW w:w="688" w:type="dxa"/>
            <w:tcBorders>
              <w:top w:val="single" w:sz="4" w:space="0" w:color="auto"/>
              <w:bottom w:val="single" w:sz="4" w:space="0" w:color="auto"/>
            </w:tcBorders>
          </w:tcPr>
          <w:p w14:paraId="1C574E43" w14:textId="5B79DCC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22B97BB6" w14:textId="6D171B8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7" w:type="dxa"/>
            <w:tcBorders>
              <w:top w:val="single" w:sz="4" w:space="0" w:color="auto"/>
              <w:bottom w:val="single" w:sz="4" w:space="0" w:color="auto"/>
            </w:tcBorders>
          </w:tcPr>
          <w:p w14:paraId="5AA34A02" w14:textId="2A87D91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71.1%</w:t>
            </w:r>
          </w:p>
        </w:tc>
        <w:tc>
          <w:tcPr>
            <w:tcW w:w="688" w:type="dxa"/>
            <w:tcBorders>
              <w:top w:val="single" w:sz="4" w:space="0" w:color="auto"/>
              <w:bottom w:val="single" w:sz="4" w:space="0" w:color="auto"/>
            </w:tcBorders>
          </w:tcPr>
          <w:p w14:paraId="0EE93BCB" w14:textId="38A0397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1.0%</w:t>
            </w:r>
          </w:p>
        </w:tc>
        <w:tc>
          <w:tcPr>
            <w:tcW w:w="688" w:type="dxa"/>
            <w:tcBorders>
              <w:top w:val="single" w:sz="4" w:space="0" w:color="auto"/>
              <w:bottom w:val="single" w:sz="4" w:space="0" w:color="auto"/>
            </w:tcBorders>
          </w:tcPr>
          <w:p w14:paraId="24A79E69" w14:textId="75C9A2E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gridSpan w:val="2"/>
            <w:tcBorders>
              <w:top w:val="single" w:sz="4" w:space="0" w:color="auto"/>
              <w:bottom w:val="single" w:sz="4" w:space="0" w:color="auto"/>
            </w:tcBorders>
          </w:tcPr>
          <w:p w14:paraId="4D74D672" w14:textId="537C8BB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 </w:t>
            </w:r>
            <w:r w:rsidRPr="002E05DB">
              <w:rPr>
                <w:rFonts w:cs="Arial"/>
              </w:rPr>
              <w:t>NA</w:t>
            </w:r>
          </w:p>
        </w:tc>
      </w:tr>
      <w:tr w:rsidR="00CC5764" w:rsidRPr="00956209" w14:paraId="1216498D"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4D9ED71" w14:textId="6C087358" w:rsidR="00CC5764" w:rsidRPr="002E05DB" w:rsidRDefault="00CC5764" w:rsidP="00A60C18">
            <w:pPr>
              <w:rPr>
                <w:b w:val="0"/>
              </w:rPr>
            </w:pPr>
            <w:r w:rsidRPr="002E05DB">
              <w:t>Upper quartile</w:t>
            </w:r>
          </w:p>
        </w:tc>
        <w:tc>
          <w:tcPr>
            <w:tcW w:w="825" w:type="dxa"/>
            <w:tcBorders>
              <w:top w:val="single" w:sz="4" w:space="0" w:color="auto"/>
              <w:bottom w:val="single" w:sz="4" w:space="0" w:color="auto"/>
            </w:tcBorders>
          </w:tcPr>
          <w:p w14:paraId="4776E15D" w14:textId="1B3DF9F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36B09A68" w14:textId="33AA7FD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8" w:type="dxa"/>
            <w:tcBorders>
              <w:top w:val="single" w:sz="4" w:space="0" w:color="auto"/>
              <w:bottom w:val="single" w:sz="4" w:space="0" w:color="auto"/>
            </w:tcBorders>
          </w:tcPr>
          <w:p w14:paraId="302057A8" w14:textId="2EF8686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25.6%</w:t>
            </w:r>
          </w:p>
        </w:tc>
        <w:tc>
          <w:tcPr>
            <w:tcW w:w="687" w:type="dxa"/>
            <w:tcBorders>
              <w:top w:val="single" w:sz="4" w:space="0" w:color="auto"/>
              <w:bottom w:val="single" w:sz="4" w:space="0" w:color="auto"/>
            </w:tcBorders>
          </w:tcPr>
          <w:p w14:paraId="63CF93A2" w14:textId="0AC906F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23.7%</w:t>
            </w:r>
          </w:p>
        </w:tc>
        <w:tc>
          <w:tcPr>
            <w:tcW w:w="688" w:type="dxa"/>
            <w:tcBorders>
              <w:top w:val="single" w:sz="4" w:space="0" w:color="auto"/>
              <w:bottom w:val="single" w:sz="4" w:space="0" w:color="auto"/>
            </w:tcBorders>
          </w:tcPr>
          <w:p w14:paraId="2D5F9242" w14:textId="5D1CEE4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40.4%</w:t>
            </w:r>
          </w:p>
        </w:tc>
        <w:tc>
          <w:tcPr>
            <w:tcW w:w="688" w:type="dxa"/>
            <w:tcBorders>
              <w:top w:val="single" w:sz="4" w:space="0" w:color="auto"/>
              <w:bottom w:val="single" w:sz="4" w:space="0" w:color="auto"/>
            </w:tcBorders>
          </w:tcPr>
          <w:p w14:paraId="467AB0BD" w14:textId="39EDC44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5.6%</w:t>
            </w:r>
          </w:p>
        </w:tc>
        <w:tc>
          <w:tcPr>
            <w:tcW w:w="687" w:type="dxa"/>
            <w:tcBorders>
              <w:top w:val="single" w:sz="4" w:space="0" w:color="auto"/>
              <w:bottom w:val="single" w:sz="4" w:space="0" w:color="auto"/>
            </w:tcBorders>
          </w:tcPr>
          <w:p w14:paraId="1928A82B" w14:textId="718FB14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7.4%</w:t>
            </w:r>
          </w:p>
        </w:tc>
        <w:tc>
          <w:tcPr>
            <w:tcW w:w="688" w:type="dxa"/>
            <w:tcBorders>
              <w:top w:val="single" w:sz="4" w:space="0" w:color="auto"/>
              <w:bottom w:val="single" w:sz="4" w:space="0" w:color="auto"/>
            </w:tcBorders>
          </w:tcPr>
          <w:p w14:paraId="1873AAD1" w14:textId="3090062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9.4%</w:t>
            </w:r>
          </w:p>
        </w:tc>
        <w:tc>
          <w:tcPr>
            <w:tcW w:w="688" w:type="dxa"/>
            <w:tcBorders>
              <w:top w:val="single" w:sz="4" w:space="0" w:color="auto"/>
              <w:bottom w:val="single" w:sz="4" w:space="0" w:color="auto"/>
            </w:tcBorders>
          </w:tcPr>
          <w:p w14:paraId="3B163EE6" w14:textId="20498DB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27.3%</w:t>
            </w:r>
          </w:p>
        </w:tc>
        <w:tc>
          <w:tcPr>
            <w:tcW w:w="688" w:type="dxa"/>
            <w:tcBorders>
              <w:top w:val="single" w:sz="4" w:space="0" w:color="auto"/>
              <w:bottom w:val="single" w:sz="4" w:space="0" w:color="auto"/>
            </w:tcBorders>
          </w:tcPr>
          <w:p w14:paraId="0CAC1F5A" w14:textId="40CD929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NA</w:t>
            </w:r>
          </w:p>
        </w:tc>
        <w:tc>
          <w:tcPr>
            <w:tcW w:w="687" w:type="dxa"/>
            <w:tcBorders>
              <w:top w:val="single" w:sz="4" w:space="0" w:color="auto"/>
              <w:bottom w:val="single" w:sz="4" w:space="0" w:color="auto"/>
            </w:tcBorders>
          </w:tcPr>
          <w:p w14:paraId="07C51309" w14:textId="297EB70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58AFAC59" w14:textId="7D3F61A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2373F40F" w14:textId="039217A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35.4%</w:t>
            </w:r>
          </w:p>
        </w:tc>
        <w:tc>
          <w:tcPr>
            <w:tcW w:w="687" w:type="dxa"/>
            <w:tcBorders>
              <w:top w:val="single" w:sz="4" w:space="0" w:color="auto"/>
              <w:bottom w:val="single" w:sz="4" w:space="0" w:color="auto"/>
            </w:tcBorders>
          </w:tcPr>
          <w:p w14:paraId="7BF6CE78" w14:textId="16A2A01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1.8%</w:t>
            </w:r>
          </w:p>
        </w:tc>
        <w:tc>
          <w:tcPr>
            <w:tcW w:w="688" w:type="dxa"/>
            <w:tcBorders>
              <w:top w:val="single" w:sz="4" w:space="0" w:color="auto"/>
              <w:bottom w:val="single" w:sz="4" w:space="0" w:color="auto"/>
            </w:tcBorders>
          </w:tcPr>
          <w:p w14:paraId="3E05D7E7" w14:textId="77E34E5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64EC48E4" w14:textId="6641593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7" w:type="dxa"/>
            <w:tcBorders>
              <w:top w:val="single" w:sz="4" w:space="0" w:color="auto"/>
              <w:bottom w:val="single" w:sz="4" w:space="0" w:color="auto"/>
            </w:tcBorders>
          </w:tcPr>
          <w:p w14:paraId="543B881E" w14:textId="7408655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80.5%</w:t>
            </w:r>
          </w:p>
        </w:tc>
        <w:tc>
          <w:tcPr>
            <w:tcW w:w="688" w:type="dxa"/>
            <w:tcBorders>
              <w:top w:val="single" w:sz="4" w:space="0" w:color="auto"/>
              <w:bottom w:val="single" w:sz="4" w:space="0" w:color="auto"/>
            </w:tcBorders>
          </w:tcPr>
          <w:p w14:paraId="6BDB166D" w14:textId="012412E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3.0%</w:t>
            </w:r>
          </w:p>
        </w:tc>
        <w:tc>
          <w:tcPr>
            <w:tcW w:w="688" w:type="dxa"/>
            <w:tcBorders>
              <w:top w:val="single" w:sz="4" w:space="0" w:color="auto"/>
              <w:bottom w:val="single" w:sz="4" w:space="0" w:color="auto"/>
            </w:tcBorders>
          </w:tcPr>
          <w:p w14:paraId="4EF856A6" w14:textId="5FF5AAD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rPr>
                <w:rFonts w:ascii="Cambria" w:hAnsi="Cambria" w:cs="Cambria"/>
              </w:rPr>
              <w:t> </w:t>
            </w:r>
            <w:r w:rsidRPr="002E05DB">
              <w:t>NA</w:t>
            </w:r>
          </w:p>
        </w:tc>
        <w:tc>
          <w:tcPr>
            <w:tcW w:w="688" w:type="dxa"/>
            <w:gridSpan w:val="2"/>
            <w:tcBorders>
              <w:top w:val="single" w:sz="4" w:space="0" w:color="auto"/>
              <w:bottom w:val="single" w:sz="4" w:space="0" w:color="auto"/>
            </w:tcBorders>
          </w:tcPr>
          <w:p w14:paraId="2820EC4F" w14:textId="6EA7D72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 </w:t>
            </w:r>
            <w:r w:rsidRPr="002E05DB">
              <w:rPr>
                <w:rFonts w:cs="Arial"/>
              </w:rPr>
              <w:t>NA</w:t>
            </w:r>
          </w:p>
        </w:tc>
      </w:tr>
      <w:tr w:rsidR="0006190E" w:rsidRPr="00956209" w14:paraId="3DD287B9"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EA64F38" w14:textId="37F6627D" w:rsidR="00CC5764" w:rsidRPr="002E05DB" w:rsidRDefault="00CC5764" w:rsidP="00A60C18">
            <w:pPr>
              <w:rPr>
                <w:b w:val="0"/>
              </w:rPr>
            </w:pPr>
            <w:r w:rsidRPr="002E05DB">
              <w:t>The Royal Women's Hospital</w:t>
            </w:r>
          </w:p>
        </w:tc>
        <w:tc>
          <w:tcPr>
            <w:tcW w:w="825" w:type="dxa"/>
            <w:tcBorders>
              <w:top w:val="single" w:sz="4" w:space="0" w:color="auto"/>
              <w:bottom w:val="single" w:sz="4" w:space="0" w:color="auto"/>
            </w:tcBorders>
          </w:tcPr>
          <w:p w14:paraId="0D39F575" w14:textId="022D358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w:t>
            </w:r>
          </w:p>
        </w:tc>
        <w:tc>
          <w:tcPr>
            <w:tcW w:w="688" w:type="dxa"/>
            <w:tcBorders>
              <w:top w:val="single" w:sz="4" w:space="0" w:color="auto"/>
              <w:bottom w:val="single" w:sz="4" w:space="0" w:color="auto"/>
            </w:tcBorders>
          </w:tcPr>
          <w:p w14:paraId="038A4261" w14:textId="1B6BF11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7,779</w:t>
            </w:r>
          </w:p>
        </w:tc>
        <w:tc>
          <w:tcPr>
            <w:tcW w:w="688" w:type="dxa"/>
            <w:tcBorders>
              <w:top w:val="single" w:sz="4" w:space="0" w:color="auto"/>
              <w:bottom w:val="single" w:sz="4" w:space="0" w:color="auto"/>
            </w:tcBorders>
            <w:shd w:val="clear" w:color="auto" w:fill="auto"/>
          </w:tcPr>
          <w:p w14:paraId="6A21318B" w14:textId="170BA4F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11.5%</w:t>
            </w:r>
          </w:p>
        </w:tc>
        <w:tc>
          <w:tcPr>
            <w:tcW w:w="687" w:type="dxa"/>
            <w:tcBorders>
              <w:top w:val="single" w:sz="4" w:space="0" w:color="auto"/>
              <w:bottom w:val="single" w:sz="4" w:space="0" w:color="auto"/>
            </w:tcBorders>
            <w:shd w:val="clear" w:color="auto" w:fill="auto"/>
          </w:tcPr>
          <w:p w14:paraId="16768514" w14:textId="34C38FE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16.2%</w:t>
            </w:r>
          </w:p>
        </w:tc>
        <w:tc>
          <w:tcPr>
            <w:tcW w:w="688" w:type="dxa"/>
            <w:tcBorders>
              <w:top w:val="single" w:sz="4" w:space="0" w:color="auto"/>
              <w:bottom w:val="single" w:sz="4" w:space="0" w:color="auto"/>
            </w:tcBorders>
            <w:shd w:val="clear" w:color="auto" w:fill="auto"/>
          </w:tcPr>
          <w:p w14:paraId="5BDC131A" w14:textId="4D73C53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26.5%</w:t>
            </w:r>
          </w:p>
        </w:tc>
        <w:tc>
          <w:tcPr>
            <w:tcW w:w="688" w:type="dxa"/>
            <w:tcBorders>
              <w:top w:val="single" w:sz="4" w:space="0" w:color="auto"/>
              <w:bottom w:val="single" w:sz="4" w:space="0" w:color="auto"/>
            </w:tcBorders>
            <w:shd w:val="clear" w:color="auto" w:fill="auto"/>
          </w:tcPr>
          <w:p w14:paraId="24D5A72F" w14:textId="6D62A3D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6.4%</w:t>
            </w:r>
          </w:p>
        </w:tc>
        <w:tc>
          <w:tcPr>
            <w:tcW w:w="687" w:type="dxa"/>
            <w:tcBorders>
              <w:top w:val="single" w:sz="4" w:space="0" w:color="auto"/>
              <w:bottom w:val="single" w:sz="4" w:space="0" w:color="auto"/>
            </w:tcBorders>
            <w:shd w:val="clear" w:color="auto" w:fill="auto"/>
          </w:tcPr>
          <w:p w14:paraId="695F3CBF" w14:textId="7C33E0B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6.6%</w:t>
            </w:r>
          </w:p>
        </w:tc>
        <w:tc>
          <w:tcPr>
            <w:tcW w:w="688" w:type="dxa"/>
            <w:tcBorders>
              <w:top w:val="single" w:sz="4" w:space="0" w:color="auto"/>
              <w:bottom w:val="single" w:sz="4" w:space="0" w:color="auto"/>
            </w:tcBorders>
            <w:shd w:val="clear" w:color="auto" w:fill="auto"/>
          </w:tcPr>
          <w:p w14:paraId="6FF6CE6A" w14:textId="6D40D17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8.7%</w:t>
            </w:r>
          </w:p>
        </w:tc>
        <w:tc>
          <w:tcPr>
            <w:tcW w:w="688" w:type="dxa"/>
            <w:tcBorders>
              <w:top w:val="single" w:sz="4" w:space="0" w:color="auto"/>
              <w:bottom w:val="single" w:sz="4" w:space="0" w:color="auto"/>
            </w:tcBorders>
            <w:shd w:val="clear" w:color="auto" w:fill="auto"/>
          </w:tcPr>
          <w:p w14:paraId="15387C3A" w14:textId="6AB11F0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33.9%</w:t>
            </w:r>
          </w:p>
        </w:tc>
        <w:tc>
          <w:tcPr>
            <w:tcW w:w="688" w:type="dxa"/>
            <w:tcBorders>
              <w:top w:val="single" w:sz="4" w:space="0" w:color="auto"/>
              <w:bottom w:val="single" w:sz="4" w:space="0" w:color="auto"/>
            </w:tcBorders>
            <w:shd w:val="clear" w:color="auto" w:fill="auto"/>
          </w:tcPr>
          <w:p w14:paraId="7BB8C7EE" w14:textId="2800CE3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1.0</w:t>
            </w:r>
          </w:p>
        </w:tc>
        <w:tc>
          <w:tcPr>
            <w:tcW w:w="687" w:type="dxa"/>
            <w:tcBorders>
              <w:top w:val="single" w:sz="4" w:space="0" w:color="auto"/>
              <w:bottom w:val="single" w:sz="4" w:space="0" w:color="auto"/>
            </w:tcBorders>
            <w:shd w:val="clear" w:color="auto" w:fill="auto"/>
          </w:tcPr>
          <w:p w14:paraId="4BA6655A" w14:textId="41F449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2.3%</w:t>
            </w:r>
          </w:p>
        </w:tc>
        <w:tc>
          <w:tcPr>
            <w:tcW w:w="688" w:type="dxa"/>
            <w:tcBorders>
              <w:top w:val="single" w:sz="4" w:space="0" w:color="auto"/>
              <w:bottom w:val="single" w:sz="4" w:space="0" w:color="auto"/>
            </w:tcBorders>
            <w:shd w:val="clear" w:color="auto" w:fill="auto"/>
          </w:tcPr>
          <w:p w14:paraId="7DD7AEB5" w14:textId="53BE644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5.3%</w:t>
            </w:r>
          </w:p>
        </w:tc>
        <w:tc>
          <w:tcPr>
            <w:tcW w:w="688" w:type="dxa"/>
            <w:tcBorders>
              <w:top w:val="single" w:sz="4" w:space="0" w:color="auto"/>
              <w:bottom w:val="single" w:sz="4" w:space="0" w:color="auto"/>
            </w:tcBorders>
            <w:shd w:val="clear" w:color="auto" w:fill="auto"/>
          </w:tcPr>
          <w:p w14:paraId="24F5310E" w14:textId="4A19D89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45.5%</w:t>
            </w:r>
          </w:p>
        </w:tc>
        <w:tc>
          <w:tcPr>
            <w:tcW w:w="687" w:type="dxa"/>
            <w:tcBorders>
              <w:top w:val="single" w:sz="4" w:space="0" w:color="auto"/>
              <w:bottom w:val="single" w:sz="4" w:space="0" w:color="auto"/>
            </w:tcBorders>
            <w:shd w:val="clear" w:color="auto" w:fill="auto"/>
          </w:tcPr>
          <w:p w14:paraId="48C09122" w14:textId="5C97597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B831BF">
              <w:t>1.3%</w:t>
            </w:r>
          </w:p>
        </w:tc>
        <w:tc>
          <w:tcPr>
            <w:tcW w:w="688" w:type="dxa"/>
            <w:tcBorders>
              <w:top w:val="single" w:sz="4" w:space="0" w:color="auto"/>
              <w:bottom w:val="single" w:sz="4" w:space="0" w:color="auto"/>
            </w:tcBorders>
            <w:shd w:val="clear" w:color="auto" w:fill="auto"/>
          </w:tcPr>
          <w:p w14:paraId="71B0B62A" w14:textId="355136E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79.4%</w:t>
            </w:r>
          </w:p>
        </w:tc>
        <w:tc>
          <w:tcPr>
            <w:tcW w:w="688" w:type="dxa"/>
            <w:tcBorders>
              <w:top w:val="single" w:sz="4" w:space="0" w:color="auto"/>
              <w:bottom w:val="single" w:sz="4" w:space="0" w:color="auto"/>
            </w:tcBorders>
            <w:shd w:val="clear" w:color="auto" w:fill="auto"/>
          </w:tcPr>
          <w:p w14:paraId="5F39EE5D" w14:textId="07B406A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44.8%</w:t>
            </w:r>
          </w:p>
        </w:tc>
        <w:tc>
          <w:tcPr>
            <w:tcW w:w="687" w:type="dxa"/>
            <w:tcBorders>
              <w:top w:val="single" w:sz="4" w:space="0" w:color="auto"/>
              <w:bottom w:val="single" w:sz="4" w:space="0" w:color="auto"/>
            </w:tcBorders>
            <w:shd w:val="clear" w:color="auto" w:fill="auto"/>
          </w:tcPr>
          <w:p w14:paraId="131BD3C8" w14:textId="206EDF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69.7%</w:t>
            </w:r>
          </w:p>
        </w:tc>
        <w:tc>
          <w:tcPr>
            <w:tcW w:w="688" w:type="dxa"/>
            <w:tcBorders>
              <w:top w:val="single" w:sz="4" w:space="0" w:color="auto"/>
              <w:bottom w:val="single" w:sz="4" w:space="0" w:color="auto"/>
            </w:tcBorders>
            <w:shd w:val="clear" w:color="auto" w:fill="auto"/>
          </w:tcPr>
          <w:p w14:paraId="337B8EA4" w14:textId="58784E4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bCs/>
              </w:rPr>
            </w:pPr>
            <w:r w:rsidRPr="002E05DB">
              <w:t>2.6%</w:t>
            </w:r>
          </w:p>
        </w:tc>
        <w:tc>
          <w:tcPr>
            <w:tcW w:w="688" w:type="dxa"/>
            <w:tcBorders>
              <w:top w:val="single" w:sz="4" w:space="0" w:color="auto"/>
              <w:bottom w:val="single" w:sz="4" w:space="0" w:color="auto"/>
            </w:tcBorders>
          </w:tcPr>
          <w:p w14:paraId="261BF7E1" w14:textId="1A5FEF6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gridSpan w:val="2"/>
            <w:tcBorders>
              <w:top w:val="single" w:sz="4" w:space="0" w:color="auto"/>
              <w:bottom w:val="single" w:sz="4" w:space="0" w:color="auto"/>
            </w:tcBorders>
          </w:tcPr>
          <w:p w14:paraId="1A014576" w14:textId="6D712F8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06190E" w:rsidRPr="00956209" w14:paraId="2FEB80A7"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889F623" w14:textId="453B25B8" w:rsidR="00CC5764" w:rsidRPr="002E05DB" w:rsidRDefault="00CC5764" w:rsidP="00A60C18">
            <w:pPr>
              <w:rPr>
                <w:b w:val="0"/>
              </w:rPr>
            </w:pPr>
            <w:r w:rsidRPr="002E05DB">
              <w:t>Mercy Hospital for Women</w:t>
            </w:r>
          </w:p>
        </w:tc>
        <w:tc>
          <w:tcPr>
            <w:tcW w:w="825" w:type="dxa"/>
            <w:tcBorders>
              <w:top w:val="single" w:sz="4" w:space="0" w:color="auto"/>
              <w:bottom w:val="single" w:sz="4" w:space="0" w:color="auto"/>
            </w:tcBorders>
          </w:tcPr>
          <w:p w14:paraId="3FB48205" w14:textId="0922EF4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w:t>
            </w:r>
          </w:p>
        </w:tc>
        <w:tc>
          <w:tcPr>
            <w:tcW w:w="688" w:type="dxa"/>
            <w:tcBorders>
              <w:top w:val="single" w:sz="4" w:space="0" w:color="auto"/>
              <w:bottom w:val="single" w:sz="4" w:space="0" w:color="auto"/>
            </w:tcBorders>
          </w:tcPr>
          <w:p w14:paraId="0AECC379" w14:textId="1C42D5D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5,886</w:t>
            </w:r>
          </w:p>
        </w:tc>
        <w:tc>
          <w:tcPr>
            <w:tcW w:w="688" w:type="dxa"/>
            <w:tcBorders>
              <w:top w:val="single" w:sz="4" w:space="0" w:color="auto"/>
              <w:bottom w:val="single" w:sz="4" w:space="0" w:color="auto"/>
            </w:tcBorders>
            <w:shd w:val="clear" w:color="auto" w:fill="auto"/>
          </w:tcPr>
          <w:p w14:paraId="3813C1A3" w14:textId="4B13029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12.1%</w:t>
            </w:r>
          </w:p>
        </w:tc>
        <w:tc>
          <w:tcPr>
            <w:tcW w:w="687" w:type="dxa"/>
            <w:tcBorders>
              <w:top w:val="single" w:sz="4" w:space="0" w:color="auto"/>
              <w:bottom w:val="single" w:sz="4" w:space="0" w:color="auto"/>
            </w:tcBorders>
            <w:shd w:val="clear" w:color="auto" w:fill="auto"/>
          </w:tcPr>
          <w:p w14:paraId="68F86B65" w14:textId="3356E7A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15.3%</w:t>
            </w:r>
          </w:p>
        </w:tc>
        <w:tc>
          <w:tcPr>
            <w:tcW w:w="688" w:type="dxa"/>
            <w:tcBorders>
              <w:top w:val="single" w:sz="4" w:space="0" w:color="auto"/>
              <w:bottom w:val="single" w:sz="4" w:space="0" w:color="auto"/>
            </w:tcBorders>
            <w:shd w:val="clear" w:color="auto" w:fill="auto"/>
          </w:tcPr>
          <w:p w14:paraId="1D3CF216" w14:textId="280267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31.4%</w:t>
            </w:r>
          </w:p>
        </w:tc>
        <w:tc>
          <w:tcPr>
            <w:tcW w:w="688" w:type="dxa"/>
            <w:tcBorders>
              <w:top w:val="single" w:sz="4" w:space="0" w:color="auto"/>
              <w:bottom w:val="single" w:sz="4" w:space="0" w:color="auto"/>
            </w:tcBorders>
            <w:shd w:val="clear" w:color="auto" w:fill="auto"/>
          </w:tcPr>
          <w:p w14:paraId="461FFB27" w14:textId="7F411F0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2.1%</w:t>
            </w:r>
          </w:p>
        </w:tc>
        <w:tc>
          <w:tcPr>
            <w:tcW w:w="687" w:type="dxa"/>
            <w:tcBorders>
              <w:top w:val="single" w:sz="4" w:space="0" w:color="auto"/>
              <w:bottom w:val="single" w:sz="4" w:space="0" w:color="auto"/>
            </w:tcBorders>
            <w:shd w:val="clear" w:color="auto" w:fill="auto"/>
          </w:tcPr>
          <w:p w14:paraId="53F2D3BE" w14:textId="005042A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5.0%</w:t>
            </w:r>
          </w:p>
        </w:tc>
        <w:tc>
          <w:tcPr>
            <w:tcW w:w="688" w:type="dxa"/>
            <w:tcBorders>
              <w:top w:val="single" w:sz="4" w:space="0" w:color="auto"/>
              <w:bottom w:val="single" w:sz="4" w:space="0" w:color="auto"/>
            </w:tcBorders>
            <w:shd w:val="clear" w:color="auto" w:fill="auto"/>
          </w:tcPr>
          <w:p w14:paraId="25B2124A" w14:textId="22191AB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6.0%</w:t>
            </w:r>
          </w:p>
        </w:tc>
        <w:tc>
          <w:tcPr>
            <w:tcW w:w="688" w:type="dxa"/>
            <w:tcBorders>
              <w:top w:val="single" w:sz="4" w:space="0" w:color="auto"/>
              <w:bottom w:val="single" w:sz="4" w:space="0" w:color="auto"/>
            </w:tcBorders>
            <w:shd w:val="clear" w:color="auto" w:fill="auto"/>
          </w:tcPr>
          <w:p w14:paraId="3B747ACC" w14:textId="3821C9F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24.2%</w:t>
            </w:r>
          </w:p>
        </w:tc>
        <w:tc>
          <w:tcPr>
            <w:tcW w:w="688" w:type="dxa"/>
            <w:tcBorders>
              <w:top w:val="single" w:sz="4" w:space="0" w:color="auto"/>
              <w:bottom w:val="single" w:sz="4" w:space="0" w:color="auto"/>
            </w:tcBorders>
            <w:shd w:val="clear" w:color="auto" w:fill="auto"/>
          </w:tcPr>
          <w:p w14:paraId="7E97BCBF" w14:textId="034E3D3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0.7</w:t>
            </w:r>
          </w:p>
        </w:tc>
        <w:tc>
          <w:tcPr>
            <w:tcW w:w="687" w:type="dxa"/>
            <w:tcBorders>
              <w:top w:val="single" w:sz="4" w:space="0" w:color="auto"/>
              <w:bottom w:val="single" w:sz="4" w:space="0" w:color="auto"/>
            </w:tcBorders>
            <w:shd w:val="clear" w:color="auto" w:fill="auto"/>
          </w:tcPr>
          <w:p w14:paraId="1E30E705" w14:textId="6B8FF03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2.3%</w:t>
            </w:r>
          </w:p>
        </w:tc>
        <w:tc>
          <w:tcPr>
            <w:tcW w:w="688" w:type="dxa"/>
            <w:tcBorders>
              <w:top w:val="single" w:sz="4" w:space="0" w:color="auto"/>
              <w:bottom w:val="single" w:sz="4" w:space="0" w:color="auto"/>
            </w:tcBorders>
            <w:shd w:val="clear" w:color="auto" w:fill="auto"/>
          </w:tcPr>
          <w:p w14:paraId="551B7991" w14:textId="0BFFBB3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3.0%</w:t>
            </w:r>
          </w:p>
        </w:tc>
        <w:tc>
          <w:tcPr>
            <w:tcW w:w="688" w:type="dxa"/>
            <w:tcBorders>
              <w:top w:val="single" w:sz="4" w:space="0" w:color="auto"/>
              <w:bottom w:val="single" w:sz="4" w:space="0" w:color="auto"/>
            </w:tcBorders>
            <w:shd w:val="clear" w:color="auto" w:fill="auto"/>
          </w:tcPr>
          <w:p w14:paraId="1A1385D9" w14:textId="6CBDE4C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11.5%</w:t>
            </w:r>
          </w:p>
        </w:tc>
        <w:tc>
          <w:tcPr>
            <w:tcW w:w="687" w:type="dxa"/>
            <w:tcBorders>
              <w:top w:val="single" w:sz="4" w:space="0" w:color="auto"/>
              <w:bottom w:val="single" w:sz="4" w:space="0" w:color="auto"/>
            </w:tcBorders>
            <w:shd w:val="clear" w:color="auto" w:fill="auto"/>
          </w:tcPr>
          <w:p w14:paraId="7A0284F5" w14:textId="4BFF72A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w:t>
            </w:r>
          </w:p>
        </w:tc>
        <w:tc>
          <w:tcPr>
            <w:tcW w:w="688" w:type="dxa"/>
            <w:tcBorders>
              <w:top w:val="single" w:sz="4" w:space="0" w:color="auto"/>
              <w:bottom w:val="single" w:sz="4" w:space="0" w:color="auto"/>
            </w:tcBorders>
            <w:shd w:val="clear" w:color="auto" w:fill="auto"/>
          </w:tcPr>
          <w:p w14:paraId="4DB3B4DF" w14:textId="21DF276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84.4%</w:t>
            </w:r>
          </w:p>
        </w:tc>
        <w:tc>
          <w:tcPr>
            <w:tcW w:w="688" w:type="dxa"/>
            <w:tcBorders>
              <w:top w:val="single" w:sz="4" w:space="0" w:color="auto"/>
              <w:bottom w:val="single" w:sz="4" w:space="0" w:color="auto"/>
            </w:tcBorders>
            <w:shd w:val="clear" w:color="auto" w:fill="auto"/>
          </w:tcPr>
          <w:p w14:paraId="022EB13F" w14:textId="08F731A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44.1%</w:t>
            </w:r>
          </w:p>
        </w:tc>
        <w:tc>
          <w:tcPr>
            <w:tcW w:w="687" w:type="dxa"/>
            <w:tcBorders>
              <w:top w:val="single" w:sz="4" w:space="0" w:color="auto"/>
              <w:bottom w:val="single" w:sz="4" w:space="0" w:color="auto"/>
            </w:tcBorders>
            <w:shd w:val="clear" w:color="auto" w:fill="auto"/>
          </w:tcPr>
          <w:p w14:paraId="54527662" w14:textId="0E386C9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67.0%</w:t>
            </w:r>
          </w:p>
        </w:tc>
        <w:tc>
          <w:tcPr>
            <w:tcW w:w="688" w:type="dxa"/>
            <w:tcBorders>
              <w:top w:val="single" w:sz="4" w:space="0" w:color="auto"/>
              <w:bottom w:val="single" w:sz="4" w:space="0" w:color="auto"/>
            </w:tcBorders>
            <w:shd w:val="clear" w:color="auto" w:fill="auto"/>
          </w:tcPr>
          <w:p w14:paraId="7A9465CB" w14:textId="25ABD5E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3.8%</w:t>
            </w:r>
          </w:p>
        </w:tc>
        <w:tc>
          <w:tcPr>
            <w:tcW w:w="688" w:type="dxa"/>
            <w:tcBorders>
              <w:top w:val="single" w:sz="4" w:space="0" w:color="auto"/>
              <w:bottom w:val="single" w:sz="4" w:space="0" w:color="auto"/>
            </w:tcBorders>
          </w:tcPr>
          <w:p w14:paraId="2A120593" w14:textId="4C398CA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106C9061" w14:textId="56D4DF8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06190E" w:rsidRPr="00956209" w14:paraId="4D48E3AD"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3F48C20" w14:textId="114A69FA" w:rsidR="00CC5764" w:rsidRPr="002E05DB" w:rsidRDefault="009D4864" w:rsidP="00A60C18">
            <w:pPr>
              <w:rPr>
                <w:b w:val="0"/>
              </w:rPr>
            </w:pPr>
            <w:r>
              <w:t>Sunshine</w:t>
            </w:r>
            <w:r w:rsidR="00016EA0" w:rsidRPr="00016EA0">
              <w:t xml:space="preserve"> </w:t>
            </w:r>
            <w:r w:rsidR="00CC5764" w:rsidRPr="002E05DB" w:rsidDel="00016EA0">
              <w:t>Hospital</w:t>
            </w:r>
          </w:p>
        </w:tc>
        <w:tc>
          <w:tcPr>
            <w:tcW w:w="825" w:type="dxa"/>
            <w:tcBorders>
              <w:top w:val="single" w:sz="4" w:space="0" w:color="auto"/>
              <w:bottom w:val="single" w:sz="4" w:space="0" w:color="auto"/>
            </w:tcBorders>
          </w:tcPr>
          <w:p w14:paraId="27B063B8" w14:textId="2DADB9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w:t>
            </w:r>
          </w:p>
        </w:tc>
        <w:tc>
          <w:tcPr>
            <w:tcW w:w="688" w:type="dxa"/>
            <w:tcBorders>
              <w:top w:val="single" w:sz="4" w:space="0" w:color="auto"/>
              <w:bottom w:val="single" w:sz="4" w:space="0" w:color="auto"/>
            </w:tcBorders>
          </w:tcPr>
          <w:p w14:paraId="34EE573F" w14:textId="7CAD942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5,875</w:t>
            </w:r>
          </w:p>
        </w:tc>
        <w:tc>
          <w:tcPr>
            <w:tcW w:w="688" w:type="dxa"/>
            <w:tcBorders>
              <w:top w:val="single" w:sz="4" w:space="0" w:color="auto"/>
              <w:bottom w:val="single" w:sz="4" w:space="0" w:color="auto"/>
            </w:tcBorders>
            <w:shd w:val="clear" w:color="auto" w:fill="auto"/>
          </w:tcPr>
          <w:p w14:paraId="3695D7B7" w14:textId="2A1A8FA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9.0%</w:t>
            </w:r>
          </w:p>
        </w:tc>
        <w:tc>
          <w:tcPr>
            <w:tcW w:w="687" w:type="dxa"/>
            <w:tcBorders>
              <w:top w:val="single" w:sz="4" w:space="0" w:color="auto"/>
              <w:bottom w:val="single" w:sz="4" w:space="0" w:color="auto"/>
            </w:tcBorders>
            <w:shd w:val="clear" w:color="auto" w:fill="auto"/>
          </w:tcPr>
          <w:p w14:paraId="2D815A6D" w14:textId="5806366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15.0%</w:t>
            </w:r>
          </w:p>
        </w:tc>
        <w:tc>
          <w:tcPr>
            <w:tcW w:w="688" w:type="dxa"/>
            <w:tcBorders>
              <w:top w:val="single" w:sz="4" w:space="0" w:color="auto"/>
              <w:bottom w:val="single" w:sz="4" w:space="0" w:color="auto"/>
            </w:tcBorders>
            <w:shd w:val="clear" w:color="auto" w:fill="auto"/>
          </w:tcPr>
          <w:p w14:paraId="5676E45C" w14:textId="0162493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31.4%</w:t>
            </w:r>
          </w:p>
        </w:tc>
        <w:tc>
          <w:tcPr>
            <w:tcW w:w="688" w:type="dxa"/>
            <w:tcBorders>
              <w:top w:val="single" w:sz="4" w:space="0" w:color="auto"/>
              <w:bottom w:val="single" w:sz="4" w:space="0" w:color="auto"/>
            </w:tcBorders>
            <w:shd w:val="clear" w:color="auto" w:fill="auto"/>
          </w:tcPr>
          <w:p w14:paraId="2A237251" w14:textId="329E979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10.7%</w:t>
            </w:r>
          </w:p>
        </w:tc>
        <w:tc>
          <w:tcPr>
            <w:tcW w:w="687" w:type="dxa"/>
            <w:tcBorders>
              <w:top w:val="single" w:sz="4" w:space="0" w:color="auto"/>
              <w:bottom w:val="single" w:sz="4" w:space="0" w:color="auto"/>
            </w:tcBorders>
            <w:shd w:val="clear" w:color="auto" w:fill="auto"/>
          </w:tcPr>
          <w:p w14:paraId="2CE55F8C" w14:textId="092B78C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10.1%</w:t>
            </w:r>
          </w:p>
        </w:tc>
        <w:tc>
          <w:tcPr>
            <w:tcW w:w="688" w:type="dxa"/>
            <w:tcBorders>
              <w:top w:val="single" w:sz="4" w:space="0" w:color="auto"/>
              <w:bottom w:val="single" w:sz="4" w:space="0" w:color="auto"/>
            </w:tcBorders>
            <w:shd w:val="clear" w:color="auto" w:fill="auto"/>
          </w:tcPr>
          <w:p w14:paraId="768F5AB1" w14:textId="63C5D46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8.9%</w:t>
            </w:r>
          </w:p>
        </w:tc>
        <w:tc>
          <w:tcPr>
            <w:tcW w:w="688" w:type="dxa"/>
            <w:tcBorders>
              <w:top w:val="single" w:sz="4" w:space="0" w:color="auto"/>
              <w:bottom w:val="single" w:sz="4" w:space="0" w:color="auto"/>
            </w:tcBorders>
            <w:shd w:val="clear" w:color="auto" w:fill="auto"/>
          </w:tcPr>
          <w:p w14:paraId="74973A86" w14:textId="3772750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12.8%</w:t>
            </w:r>
          </w:p>
        </w:tc>
        <w:tc>
          <w:tcPr>
            <w:tcW w:w="688" w:type="dxa"/>
            <w:tcBorders>
              <w:top w:val="single" w:sz="4" w:space="0" w:color="auto"/>
              <w:bottom w:val="single" w:sz="4" w:space="0" w:color="auto"/>
            </w:tcBorders>
            <w:shd w:val="clear" w:color="auto" w:fill="auto"/>
          </w:tcPr>
          <w:p w14:paraId="68AD1B31" w14:textId="3CFF9A0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0.9</w:t>
            </w:r>
          </w:p>
        </w:tc>
        <w:tc>
          <w:tcPr>
            <w:tcW w:w="687" w:type="dxa"/>
            <w:tcBorders>
              <w:top w:val="single" w:sz="4" w:space="0" w:color="auto"/>
              <w:bottom w:val="single" w:sz="4" w:space="0" w:color="auto"/>
            </w:tcBorders>
            <w:shd w:val="clear" w:color="auto" w:fill="auto"/>
          </w:tcPr>
          <w:p w14:paraId="53F91206" w14:textId="34C3EE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2.2%</w:t>
            </w:r>
          </w:p>
        </w:tc>
        <w:tc>
          <w:tcPr>
            <w:tcW w:w="688" w:type="dxa"/>
            <w:tcBorders>
              <w:top w:val="single" w:sz="4" w:space="0" w:color="auto"/>
              <w:bottom w:val="single" w:sz="4" w:space="0" w:color="auto"/>
            </w:tcBorders>
            <w:shd w:val="clear" w:color="auto" w:fill="auto"/>
          </w:tcPr>
          <w:p w14:paraId="15354740" w14:textId="5BAB4C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3.5%</w:t>
            </w:r>
          </w:p>
        </w:tc>
        <w:tc>
          <w:tcPr>
            <w:tcW w:w="688" w:type="dxa"/>
            <w:tcBorders>
              <w:top w:val="single" w:sz="4" w:space="0" w:color="auto"/>
              <w:bottom w:val="single" w:sz="4" w:space="0" w:color="auto"/>
            </w:tcBorders>
            <w:shd w:val="clear" w:color="auto" w:fill="auto"/>
          </w:tcPr>
          <w:p w14:paraId="37FB1846" w14:textId="55A314B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16255F">
              <w:t>24.9%</w:t>
            </w:r>
          </w:p>
        </w:tc>
        <w:tc>
          <w:tcPr>
            <w:tcW w:w="687" w:type="dxa"/>
            <w:tcBorders>
              <w:top w:val="single" w:sz="4" w:space="0" w:color="auto"/>
              <w:bottom w:val="single" w:sz="4" w:space="0" w:color="auto"/>
            </w:tcBorders>
            <w:shd w:val="clear" w:color="auto" w:fill="auto"/>
          </w:tcPr>
          <w:p w14:paraId="36DF0DD9" w14:textId="6C5F2D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3139FC">
              <w:t>0.9%</w:t>
            </w:r>
          </w:p>
        </w:tc>
        <w:tc>
          <w:tcPr>
            <w:tcW w:w="688" w:type="dxa"/>
            <w:tcBorders>
              <w:top w:val="single" w:sz="4" w:space="0" w:color="auto"/>
              <w:bottom w:val="single" w:sz="4" w:space="0" w:color="auto"/>
            </w:tcBorders>
            <w:shd w:val="clear" w:color="auto" w:fill="auto"/>
          </w:tcPr>
          <w:p w14:paraId="2622FE33" w14:textId="1A59442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76.0%</w:t>
            </w:r>
          </w:p>
        </w:tc>
        <w:tc>
          <w:tcPr>
            <w:tcW w:w="688" w:type="dxa"/>
            <w:tcBorders>
              <w:top w:val="single" w:sz="4" w:space="0" w:color="auto"/>
              <w:bottom w:val="single" w:sz="4" w:space="0" w:color="auto"/>
            </w:tcBorders>
            <w:shd w:val="clear" w:color="auto" w:fill="auto"/>
          </w:tcPr>
          <w:p w14:paraId="277E9F21" w14:textId="6D9959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59.6%</w:t>
            </w:r>
          </w:p>
        </w:tc>
        <w:tc>
          <w:tcPr>
            <w:tcW w:w="687" w:type="dxa"/>
            <w:tcBorders>
              <w:top w:val="single" w:sz="4" w:space="0" w:color="auto"/>
              <w:bottom w:val="single" w:sz="4" w:space="0" w:color="auto"/>
            </w:tcBorders>
            <w:shd w:val="clear" w:color="auto" w:fill="auto"/>
          </w:tcPr>
          <w:p w14:paraId="3FAB7C18" w14:textId="2F0C481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87.3%</w:t>
            </w:r>
          </w:p>
        </w:tc>
        <w:tc>
          <w:tcPr>
            <w:tcW w:w="688" w:type="dxa"/>
            <w:tcBorders>
              <w:top w:val="single" w:sz="4" w:space="0" w:color="auto"/>
              <w:bottom w:val="single" w:sz="4" w:space="0" w:color="auto"/>
            </w:tcBorders>
            <w:shd w:val="clear" w:color="auto" w:fill="auto"/>
          </w:tcPr>
          <w:p w14:paraId="30C48D05" w14:textId="05366F1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4.2%</w:t>
            </w:r>
          </w:p>
        </w:tc>
        <w:tc>
          <w:tcPr>
            <w:tcW w:w="688" w:type="dxa"/>
            <w:tcBorders>
              <w:top w:val="single" w:sz="4" w:space="0" w:color="auto"/>
              <w:bottom w:val="single" w:sz="4" w:space="0" w:color="auto"/>
            </w:tcBorders>
          </w:tcPr>
          <w:p w14:paraId="7F62CCA8" w14:textId="1450FCA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gridSpan w:val="2"/>
            <w:tcBorders>
              <w:top w:val="single" w:sz="4" w:space="0" w:color="auto"/>
              <w:bottom w:val="single" w:sz="4" w:space="0" w:color="auto"/>
            </w:tcBorders>
          </w:tcPr>
          <w:p w14:paraId="0C52530D" w14:textId="01F8919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06190E" w:rsidRPr="00956209" w14:paraId="42C64D36"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CDF044F" w14:textId="37F542CA" w:rsidR="00CC5764" w:rsidRPr="002E05DB" w:rsidRDefault="00CC5764" w:rsidP="00A60C18">
            <w:pPr>
              <w:rPr>
                <w:b w:val="0"/>
              </w:rPr>
            </w:pPr>
            <w:r w:rsidRPr="002E05DB">
              <w:t>Monash Medical Centre (Clayton)</w:t>
            </w:r>
          </w:p>
        </w:tc>
        <w:tc>
          <w:tcPr>
            <w:tcW w:w="825" w:type="dxa"/>
            <w:tcBorders>
              <w:top w:val="single" w:sz="4" w:space="0" w:color="auto"/>
              <w:bottom w:val="single" w:sz="4" w:space="0" w:color="auto"/>
            </w:tcBorders>
          </w:tcPr>
          <w:p w14:paraId="42B52D74" w14:textId="5710146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w:t>
            </w:r>
          </w:p>
        </w:tc>
        <w:tc>
          <w:tcPr>
            <w:tcW w:w="688" w:type="dxa"/>
            <w:tcBorders>
              <w:top w:val="single" w:sz="4" w:space="0" w:color="auto"/>
              <w:bottom w:val="single" w:sz="4" w:space="0" w:color="auto"/>
            </w:tcBorders>
          </w:tcPr>
          <w:p w14:paraId="3B9DA491" w14:textId="1EEC90A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4,088</w:t>
            </w:r>
          </w:p>
        </w:tc>
        <w:tc>
          <w:tcPr>
            <w:tcW w:w="688" w:type="dxa"/>
            <w:tcBorders>
              <w:top w:val="single" w:sz="4" w:space="0" w:color="auto"/>
              <w:bottom w:val="single" w:sz="4" w:space="0" w:color="auto"/>
            </w:tcBorders>
            <w:shd w:val="clear" w:color="auto" w:fill="auto"/>
          </w:tcPr>
          <w:p w14:paraId="29BF17F5" w14:textId="74766EE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13.5%</w:t>
            </w:r>
          </w:p>
        </w:tc>
        <w:tc>
          <w:tcPr>
            <w:tcW w:w="687" w:type="dxa"/>
            <w:tcBorders>
              <w:top w:val="single" w:sz="4" w:space="0" w:color="auto"/>
              <w:bottom w:val="single" w:sz="4" w:space="0" w:color="auto"/>
            </w:tcBorders>
            <w:shd w:val="clear" w:color="auto" w:fill="auto"/>
          </w:tcPr>
          <w:p w14:paraId="2306DE35" w14:textId="7E8A312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9.5%</w:t>
            </w:r>
          </w:p>
        </w:tc>
        <w:tc>
          <w:tcPr>
            <w:tcW w:w="688" w:type="dxa"/>
            <w:tcBorders>
              <w:top w:val="single" w:sz="4" w:space="0" w:color="auto"/>
              <w:bottom w:val="single" w:sz="4" w:space="0" w:color="auto"/>
            </w:tcBorders>
            <w:shd w:val="clear" w:color="auto" w:fill="auto"/>
          </w:tcPr>
          <w:p w14:paraId="598766AD" w14:textId="168D2BF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20.1%</w:t>
            </w:r>
          </w:p>
        </w:tc>
        <w:tc>
          <w:tcPr>
            <w:tcW w:w="688" w:type="dxa"/>
            <w:tcBorders>
              <w:top w:val="single" w:sz="4" w:space="0" w:color="auto"/>
              <w:bottom w:val="single" w:sz="4" w:space="0" w:color="auto"/>
            </w:tcBorders>
            <w:shd w:val="clear" w:color="auto" w:fill="auto"/>
          </w:tcPr>
          <w:p w14:paraId="3A7AE95E" w14:textId="40DB96F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1.7%</w:t>
            </w:r>
          </w:p>
        </w:tc>
        <w:tc>
          <w:tcPr>
            <w:tcW w:w="687" w:type="dxa"/>
            <w:tcBorders>
              <w:top w:val="single" w:sz="4" w:space="0" w:color="auto"/>
              <w:bottom w:val="single" w:sz="4" w:space="0" w:color="auto"/>
            </w:tcBorders>
            <w:shd w:val="clear" w:color="auto" w:fill="auto"/>
          </w:tcPr>
          <w:p w14:paraId="185791EB" w14:textId="433C4AF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6.8%</w:t>
            </w:r>
          </w:p>
        </w:tc>
        <w:tc>
          <w:tcPr>
            <w:tcW w:w="688" w:type="dxa"/>
            <w:tcBorders>
              <w:top w:val="single" w:sz="4" w:space="0" w:color="auto"/>
              <w:bottom w:val="single" w:sz="4" w:space="0" w:color="auto"/>
            </w:tcBorders>
            <w:shd w:val="clear" w:color="auto" w:fill="auto"/>
          </w:tcPr>
          <w:p w14:paraId="7285A4E2" w14:textId="7B14C4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9.9%</w:t>
            </w:r>
          </w:p>
        </w:tc>
        <w:tc>
          <w:tcPr>
            <w:tcW w:w="688" w:type="dxa"/>
            <w:tcBorders>
              <w:top w:val="single" w:sz="4" w:space="0" w:color="auto"/>
              <w:bottom w:val="single" w:sz="4" w:space="0" w:color="auto"/>
            </w:tcBorders>
            <w:shd w:val="clear" w:color="auto" w:fill="auto"/>
          </w:tcPr>
          <w:p w14:paraId="0C135B01" w14:textId="66C3CD2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15.8%</w:t>
            </w:r>
          </w:p>
        </w:tc>
        <w:tc>
          <w:tcPr>
            <w:tcW w:w="688" w:type="dxa"/>
            <w:tcBorders>
              <w:top w:val="single" w:sz="4" w:space="0" w:color="auto"/>
              <w:bottom w:val="single" w:sz="4" w:space="0" w:color="auto"/>
            </w:tcBorders>
            <w:shd w:val="clear" w:color="auto" w:fill="auto"/>
          </w:tcPr>
          <w:p w14:paraId="5D96F43A" w14:textId="00A30D4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w:t>
            </w:r>
          </w:p>
        </w:tc>
        <w:tc>
          <w:tcPr>
            <w:tcW w:w="687" w:type="dxa"/>
            <w:tcBorders>
              <w:top w:val="single" w:sz="4" w:space="0" w:color="auto"/>
              <w:bottom w:val="single" w:sz="4" w:space="0" w:color="auto"/>
            </w:tcBorders>
            <w:shd w:val="clear" w:color="auto" w:fill="auto"/>
          </w:tcPr>
          <w:p w14:paraId="03243E20" w14:textId="0A41B6D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w:t>
            </w:r>
          </w:p>
        </w:tc>
        <w:tc>
          <w:tcPr>
            <w:tcW w:w="688" w:type="dxa"/>
            <w:tcBorders>
              <w:top w:val="single" w:sz="4" w:space="0" w:color="auto"/>
              <w:bottom w:val="single" w:sz="4" w:space="0" w:color="auto"/>
            </w:tcBorders>
            <w:shd w:val="clear" w:color="auto" w:fill="auto"/>
          </w:tcPr>
          <w:p w14:paraId="206FF811" w14:textId="160FF94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3.5%</w:t>
            </w:r>
          </w:p>
        </w:tc>
        <w:tc>
          <w:tcPr>
            <w:tcW w:w="688" w:type="dxa"/>
            <w:tcBorders>
              <w:top w:val="single" w:sz="4" w:space="0" w:color="auto"/>
              <w:bottom w:val="single" w:sz="4" w:space="0" w:color="auto"/>
            </w:tcBorders>
            <w:shd w:val="clear" w:color="auto" w:fill="auto"/>
          </w:tcPr>
          <w:p w14:paraId="028C5EA0" w14:textId="7DD9D27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rPr>
                <w:rFonts w:ascii="Cambria" w:hAnsi="Cambria" w:cs="Cambria"/>
              </w:rPr>
              <w:t> </w:t>
            </w:r>
            <w:r w:rsidRPr="002E05DB">
              <w:t>NA</w:t>
            </w:r>
          </w:p>
        </w:tc>
        <w:tc>
          <w:tcPr>
            <w:tcW w:w="687" w:type="dxa"/>
            <w:tcBorders>
              <w:top w:val="single" w:sz="4" w:space="0" w:color="auto"/>
              <w:bottom w:val="single" w:sz="4" w:space="0" w:color="auto"/>
            </w:tcBorders>
            <w:shd w:val="clear" w:color="auto" w:fill="auto"/>
          </w:tcPr>
          <w:p w14:paraId="5E16DE50" w14:textId="286D23D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1.7%</w:t>
            </w:r>
          </w:p>
        </w:tc>
        <w:tc>
          <w:tcPr>
            <w:tcW w:w="688" w:type="dxa"/>
            <w:tcBorders>
              <w:top w:val="single" w:sz="4" w:space="0" w:color="auto"/>
              <w:bottom w:val="single" w:sz="4" w:space="0" w:color="auto"/>
            </w:tcBorders>
            <w:shd w:val="clear" w:color="auto" w:fill="auto"/>
          </w:tcPr>
          <w:p w14:paraId="2E5B9A21" w14:textId="7E0505A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82.1%</w:t>
            </w:r>
          </w:p>
        </w:tc>
        <w:tc>
          <w:tcPr>
            <w:tcW w:w="688" w:type="dxa"/>
            <w:tcBorders>
              <w:top w:val="single" w:sz="4" w:space="0" w:color="auto"/>
              <w:bottom w:val="single" w:sz="4" w:space="0" w:color="auto"/>
            </w:tcBorders>
            <w:shd w:val="clear" w:color="auto" w:fill="auto"/>
          </w:tcPr>
          <w:p w14:paraId="0B34A029" w14:textId="21B614D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46.0%</w:t>
            </w:r>
          </w:p>
        </w:tc>
        <w:tc>
          <w:tcPr>
            <w:tcW w:w="687" w:type="dxa"/>
            <w:tcBorders>
              <w:top w:val="single" w:sz="4" w:space="0" w:color="auto"/>
              <w:bottom w:val="single" w:sz="4" w:space="0" w:color="auto"/>
            </w:tcBorders>
            <w:shd w:val="clear" w:color="auto" w:fill="auto"/>
          </w:tcPr>
          <w:p w14:paraId="7CF0F2E6" w14:textId="614A085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83.8%</w:t>
            </w:r>
          </w:p>
        </w:tc>
        <w:tc>
          <w:tcPr>
            <w:tcW w:w="688" w:type="dxa"/>
            <w:tcBorders>
              <w:top w:val="single" w:sz="4" w:space="0" w:color="auto"/>
              <w:bottom w:val="single" w:sz="4" w:space="0" w:color="auto"/>
            </w:tcBorders>
            <w:shd w:val="clear" w:color="auto" w:fill="auto"/>
          </w:tcPr>
          <w:p w14:paraId="42A34FA0" w14:textId="702DFC9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3.9%</w:t>
            </w:r>
          </w:p>
        </w:tc>
        <w:tc>
          <w:tcPr>
            <w:tcW w:w="688" w:type="dxa"/>
            <w:tcBorders>
              <w:top w:val="single" w:sz="4" w:space="0" w:color="auto"/>
              <w:bottom w:val="single" w:sz="4" w:space="0" w:color="auto"/>
            </w:tcBorders>
          </w:tcPr>
          <w:p w14:paraId="0E328086" w14:textId="2F3F2B2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gridSpan w:val="2"/>
            <w:tcBorders>
              <w:top w:val="single" w:sz="4" w:space="0" w:color="auto"/>
              <w:bottom w:val="single" w:sz="4" w:space="0" w:color="auto"/>
            </w:tcBorders>
          </w:tcPr>
          <w:p w14:paraId="42794E86" w14:textId="2567675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06190E" w:rsidRPr="00956209" w14:paraId="3A625D04"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D42EE57" w14:textId="78CE3B5D" w:rsidR="00CC5764" w:rsidRPr="002E05DB" w:rsidRDefault="00CC5764" w:rsidP="00A60C18">
            <w:pPr>
              <w:rPr>
                <w:b w:val="0"/>
              </w:rPr>
            </w:pPr>
            <w:r w:rsidRPr="002E05DB">
              <w:t>Northern Hospital Epping</w:t>
            </w:r>
          </w:p>
        </w:tc>
        <w:tc>
          <w:tcPr>
            <w:tcW w:w="825" w:type="dxa"/>
            <w:tcBorders>
              <w:top w:val="single" w:sz="4" w:space="0" w:color="auto"/>
              <w:bottom w:val="single" w:sz="4" w:space="0" w:color="auto"/>
            </w:tcBorders>
          </w:tcPr>
          <w:p w14:paraId="1BBE5ED8" w14:textId="1AC8479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714932C6" w14:textId="10700A0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3,557</w:t>
            </w:r>
          </w:p>
        </w:tc>
        <w:tc>
          <w:tcPr>
            <w:tcW w:w="688" w:type="dxa"/>
            <w:tcBorders>
              <w:top w:val="single" w:sz="4" w:space="0" w:color="auto"/>
              <w:bottom w:val="single" w:sz="4" w:space="0" w:color="auto"/>
            </w:tcBorders>
            <w:shd w:val="clear" w:color="auto" w:fill="auto"/>
          </w:tcPr>
          <w:p w14:paraId="202DB983" w14:textId="353CBC8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13.6%</w:t>
            </w:r>
          </w:p>
        </w:tc>
        <w:tc>
          <w:tcPr>
            <w:tcW w:w="687" w:type="dxa"/>
            <w:tcBorders>
              <w:top w:val="single" w:sz="4" w:space="0" w:color="auto"/>
              <w:bottom w:val="single" w:sz="4" w:space="0" w:color="auto"/>
            </w:tcBorders>
            <w:shd w:val="clear" w:color="auto" w:fill="auto"/>
          </w:tcPr>
          <w:p w14:paraId="15329981" w14:textId="7618692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20.6%</w:t>
            </w:r>
          </w:p>
        </w:tc>
        <w:tc>
          <w:tcPr>
            <w:tcW w:w="688" w:type="dxa"/>
            <w:tcBorders>
              <w:top w:val="single" w:sz="4" w:space="0" w:color="auto"/>
              <w:bottom w:val="single" w:sz="4" w:space="0" w:color="auto"/>
            </w:tcBorders>
            <w:shd w:val="clear" w:color="auto" w:fill="auto"/>
          </w:tcPr>
          <w:p w14:paraId="5137A535" w14:textId="21877B5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34.3%</w:t>
            </w:r>
          </w:p>
        </w:tc>
        <w:tc>
          <w:tcPr>
            <w:tcW w:w="688" w:type="dxa"/>
            <w:tcBorders>
              <w:top w:val="single" w:sz="4" w:space="0" w:color="auto"/>
              <w:bottom w:val="single" w:sz="4" w:space="0" w:color="auto"/>
            </w:tcBorders>
            <w:shd w:val="clear" w:color="auto" w:fill="auto"/>
          </w:tcPr>
          <w:p w14:paraId="5EC9B6B2" w14:textId="6592FDC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3.8%</w:t>
            </w:r>
          </w:p>
        </w:tc>
        <w:tc>
          <w:tcPr>
            <w:tcW w:w="687" w:type="dxa"/>
            <w:tcBorders>
              <w:top w:val="single" w:sz="4" w:space="0" w:color="auto"/>
              <w:bottom w:val="single" w:sz="4" w:space="0" w:color="auto"/>
            </w:tcBorders>
            <w:shd w:val="clear" w:color="auto" w:fill="auto"/>
          </w:tcPr>
          <w:p w14:paraId="7B72BFB3" w14:textId="531EF1A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5.8%</w:t>
            </w:r>
          </w:p>
        </w:tc>
        <w:tc>
          <w:tcPr>
            <w:tcW w:w="688" w:type="dxa"/>
            <w:tcBorders>
              <w:top w:val="single" w:sz="4" w:space="0" w:color="auto"/>
              <w:bottom w:val="single" w:sz="4" w:space="0" w:color="auto"/>
            </w:tcBorders>
            <w:shd w:val="clear" w:color="auto" w:fill="auto"/>
          </w:tcPr>
          <w:p w14:paraId="7C312B96" w14:textId="652A0B4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7.2%</w:t>
            </w:r>
          </w:p>
        </w:tc>
        <w:tc>
          <w:tcPr>
            <w:tcW w:w="688" w:type="dxa"/>
            <w:tcBorders>
              <w:top w:val="single" w:sz="4" w:space="0" w:color="auto"/>
              <w:bottom w:val="single" w:sz="4" w:space="0" w:color="auto"/>
            </w:tcBorders>
            <w:shd w:val="clear" w:color="auto" w:fill="auto"/>
          </w:tcPr>
          <w:p w14:paraId="0562198C" w14:textId="1900958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25.3%</w:t>
            </w:r>
          </w:p>
        </w:tc>
        <w:tc>
          <w:tcPr>
            <w:tcW w:w="688" w:type="dxa"/>
            <w:tcBorders>
              <w:top w:val="single" w:sz="4" w:space="0" w:color="auto"/>
              <w:bottom w:val="single" w:sz="4" w:space="0" w:color="auto"/>
            </w:tcBorders>
            <w:shd w:val="clear" w:color="auto" w:fill="auto"/>
          </w:tcPr>
          <w:p w14:paraId="1F7AD3AC" w14:textId="46759FA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1.4</w:t>
            </w:r>
          </w:p>
        </w:tc>
        <w:tc>
          <w:tcPr>
            <w:tcW w:w="687" w:type="dxa"/>
            <w:tcBorders>
              <w:top w:val="single" w:sz="4" w:space="0" w:color="auto"/>
              <w:bottom w:val="single" w:sz="4" w:space="0" w:color="auto"/>
            </w:tcBorders>
            <w:shd w:val="clear" w:color="auto" w:fill="auto"/>
          </w:tcPr>
          <w:p w14:paraId="46172FB9" w14:textId="297BBA2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2.4%</w:t>
            </w:r>
          </w:p>
        </w:tc>
        <w:tc>
          <w:tcPr>
            <w:tcW w:w="688" w:type="dxa"/>
            <w:tcBorders>
              <w:top w:val="single" w:sz="4" w:space="0" w:color="auto"/>
              <w:bottom w:val="single" w:sz="4" w:space="0" w:color="auto"/>
            </w:tcBorders>
            <w:shd w:val="clear" w:color="auto" w:fill="auto"/>
          </w:tcPr>
          <w:p w14:paraId="028E9591" w14:textId="0AA1C2F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4.8%</w:t>
            </w:r>
          </w:p>
        </w:tc>
        <w:tc>
          <w:tcPr>
            <w:tcW w:w="688" w:type="dxa"/>
            <w:tcBorders>
              <w:top w:val="single" w:sz="4" w:space="0" w:color="auto"/>
              <w:bottom w:val="single" w:sz="4" w:space="0" w:color="auto"/>
            </w:tcBorders>
            <w:shd w:val="clear" w:color="auto" w:fill="auto"/>
          </w:tcPr>
          <w:p w14:paraId="330C887C" w14:textId="7AC0375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35.6%</w:t>
            </w:r>
          </w:p>
        </w:tc>
        <w:tc>
          <w:tcPr>
            <w:tcW w:w="687" w:type="dxa"/>
            <w:tcBorders>
              <w:top w:val="single" w:sz="4" w:space="0" w:color="auto"/>
              <w:bottom w:val="single" w:sz="4" w:space="0" w:color="auto"/>
            </w:tcBorders>
            <w:shd w:val="clear" w:color="auto" w:fill="auto"/>
          </w:tcPr>
          <w:p w14:paraId="02DCC85B" w14:textId="3B171F3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1.2%</w:t>
            </w:r>
          </w:p>
        </w:tc>
        <w:tc>
          <w:tcPr>
            <w:tcW w:w="688" w:type="dxa"/>
            <w:tcBorders>
              <w:top w:val="single" w:sz="4" w:space="0" w:color="auto"/>
              <w:bottom w:val="single" w:sz="4" w:space="0" w:color="auto"/>
            </w:tcBorders>
            <w:shd w:val="clear" w:color="auto" w:fill="auto"/>
          </w:tcPr>
          <w:p w14:paraId="6AFF043A" w14:textId="0115D73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78.3%</w:t>
            </w:r>
          </w:p>
        </w:tc>
        <w:tc>
          <w:tcPr>
            <w:tcW w:w="688" w:type="dxa"/>
            <w:tcBorders>
              <w:top w:val="single" w:sz="4" w:space="0" w:color="auto"/>
              <w:bottom w:val="single" w:sz="4" w:space="0" w:color="auto"/>
            </w:tcBorders>
            <w:shd w:val="clear" w:color="auto" w:fill="auto"/>
          </w:tcPr>
          <w:p w14:paraId="5452159D" w14:textId="3DEDA54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57.9%</w:t>
            </w:r>
          </w:p>
        </w:tc>
        <w:tc>
          <w:tcPr>
            <w:tcW w:w="687" w:type="dxa"/>
            <w:tcBorders>
              <w:top w:val="single" w:sz="4" w:space="0" w:color="auto"/>
              <w:bottom w:val="single" w:sz="4" w:space="0" w:color="auto"/>
            </w:tcBorders>
            <w:shd w:val="clear" w:color="auto" w:fill="auto"/>
          </w:tcPr>
          <w:p w14:paraId="6C141235" w14:textId="60EA884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76.9%</w:t>
            </w:r>
          </w:p>
        </w:tc>
        <w:tc>
          <w:tcPr>
            <w:tcW w:w="688" w:type="dxa"/>
            <w:tcBorders>
              <w:top w:val="single" w:sz="4" w:space="0" w:color="auto"/>
              <w:bottom w:val="single" w:sz="4" w:space="0" w:color="auto"/>
            </w:tcBorders>
            <w:shd w:val="clear" w:color="auto" w:fill="auto"/>
          </w:tcPr>
          <w:p w14:paraId="590B63DA" w14:textId="207A2DC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2.2%</w:t>
            </w:r>
          </w:p>
        </w:tc>
        <w:tc>
          <w:tcPr>
            <w:tcW w:w="688" w:type="dxa"/>
            <w:tcBorders>
              <w:top w:val="single" w:sz="4" w:space="0" w:color="auto"/>
              <w:bottom w:val="single" w:sz="4" w:space="0" w:color="auto"/>
            </w:tcBorders>
          </w:tcPr>
          <w:p w14:paraId="250291EA" w14:textId="0A3A46E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6EA4912D" w14:textId="78BE63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06190E" w:rsidRPr="00956209" w14:paraId="4C009318"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C728952" w14:textId="3AF7762D" w:rsidR="00CC5764" w:rsidRPr="002E05DB" w:rsidRDefault="00CC5764" w:rsidP="00A60C18">
            <w:pPr>
              <w:rPr>
                <w:b w:val="0"/>
              </w:rPr>
            </w:pPr>
            <w:r w:rsidRPr="002E05DB">
              <w:t>Frankston Hospital</w:t>
            </w:r>
          </w:p>
        </w:tc>
        <w:tc>
          <w:tcPr>
            <w:tcW w:w="825" w:type="dxa"/>
            <w:tcBorders>
              <w:top w:val="single" w:sz="4" w:space="0" w:color="auto"/>
              <w:bottom w:val="single" w:sz="4" w:space="0" w:color="auto"/>
            </w:tcBorders>
          </w:tcPr>
          <w:p w14:paraId="610AE794" w14:textId="427D729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7A62FBF8" w14:textId="61A1E75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2,926</w:t>
            </w:r>
          </w:p>
        </w:tc>
        <w:tc>
          <w:tcPr>
            <w:tcW w:w="688" w:type="dxa"/>
            <w:tcBorders>
              <w:top w:val="single" w:sz="4" w:space="0" w:color="auto"/>
              <w:bottom w:val="single" w:sz="4" w:space="0" w:color="auto"/>
            </w:tcBorders>
            <w:shd w:val="clear" w:color="auto" w:fill="auto"/>
          </w:tcPr>
          <w:p w14:paraId="426945D1" w14:textId="1B33EDD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18.0%</w:t>
            </w:r>
          </w:p>
        </w:tc>
        <w:tc>
          <w:tcPr>
            <w:tcW w:w="687" w:type="dxa"/>
            <w:tcBorders>
              <w:top w:val="single" w:sz="4" w:space="0" w:color="auto"/>
              <w:bottom w:val="single" w:sz="4" w:space="0" w:color="auto"/>
            </w:tcBorders>
            <w:shd w:val="clear" w:color="auto" w:fill="auto"/>
          </w:tcPr>
          <w:p w14:paraId="5BA82BFB" w14:textId="323700C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17.0%</w:t>
            </w:r>
          </w:p>
        </w:tc>
        <w:tc>
          <w:tcPr>
            <w:tcW w:w="688" w:type="dxa"/>
            <w:tcBorders>
              <w:top w:val="single" w:sz="4" w:space="0" w:color="auto"/>
              <w:bottom w:val="single" w:sz="4" w:space="0" w:color="auto"/>
            </w:tcBorders>
            <w:shd w:val="clear" w:color="auto" w:fill="auto"/>
          </w:tcPr>
          <w:p w14:paraId="5DAC19D8" w14:textId="0326BA2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28.6%</w:t>
            </w:r>
          </w:p>
        </w:tc>
        <w:tc>
          <w:tcPr>
            <w:tcW w:w="688" w:type="dxa"/>
            <w:tcBorders>
              <w:top w:val="single" w:sz="4" w:space="0" w:color="auto"/>
              <w:bottom w:val="single" w:sz="4" w:space="0" w:color="auto"/>
            </w:tcBorders>
            <w:shd w:val="clear" w:color="auto" w:fill="auto"/>
          </w:tcPr>
          <w:p w14:paraId="2E684F42" w14:textId="7FC113E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1.6%</w:t>
            </w:r>
          </w:p>
        </w:tc>
        <w:tc>
          <w:tcPr>
            <w:tcW w:w="687" w:type="dxa"/>
            <w:tcBorders>
              <w:top w:val="single" w:sz="4" w:space="0" w:color="auto"/>
              <w:bottom w:val="single" w:sz="4" w:space="0" w:color="auto"/>
            </w:tcBorders>
            <w:shd w:val="clear" w:color="auto" w:fill="auto"/>
          </w:tcPr>
          <w:p w14:paraId="72B55E01" w14:textId="2D268B8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6.0%</w:t>
            </w:r>
          </w:p>
        </w:tc>
        <w:tc>
          <w:tcPr>
            <w:tcW w:w="688" w:type="dxa"/>
            <w:tcBorders>
              <w:top w:val="single" w:sz="4" w:space="0" w:color="auto"/>
              <w:bottom w:val="single" w:sz="4" w:space="0" w:color="auto"/>
            </w:tcBorders>
            <w:shd w:val="clear" w:color="auto" w:fill="auto"/>
          </w:tcPr>
          <w:p w14:paraId="32E4540F" w14:textId="3AC35A0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9.4%</w:t>
            </w:r>
          </w:p>
        </w:tc>
        <w:tc>
          <w:tcPr>
            <w:tcW w:w="688" w:type="dxa"/>
            <w:tcBorders>
              <w:top w:val="single" w:sz="4" w:space="0" w:color="auto"/>
              <w:bottom w:val="single" w:sz="4" w:space="0" w:color="auto"/>
            </w:tcBorders>
            <w:shd w:val="clear" w:color="auto" w:fill="auto"/>
          </w:tcPr>
          <w:p w14:paraId="7C799B7D" w14:textId="7361FA9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13.2%</w:t>
            </w:r>
          </w:p>
        </w:tc>
        <w:tc>
          <w:tcPr>
            <w:tcW w:w="688" w:type="dxa"/>
            <w:tcBorders>
              <w:top w:val="single" w:sz="4" w:space="0" w:color="auto"/>
              <w:bottom w:val="single" w:sz="4" w:space="0" w:color="auto"/>
            </w:tcBorders>
            <w:shd w:val="clear" w:color="auto" w:fill="auto"/>
          </w:tcPr>
          <w:p w14:paraId="604EF4A8" w14:textId="10D82FB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w:t>
            </w:r>
          </w:p>
        </w:tc>
        <w:tc>
          <w:tcPr>
            <w:tcW w:w="687" w:type="dxa"/>
            <w:tcBorders>
              <w:top w:val="single" w:sz="4" w:space="0" w:color="auto"/>
              <w:bottom w:val="single" w:sz="4" w:space="0" w:color="auto"/>
            </w:tcBorders>
            <w:shd w:val="clear" w:color="auto" w:fill="auto"/>
          </w:tcPr>
          <w:p w14:paraId="500CC0C0" w14:textId="50ABD28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2.8%</w:t>
            </w:r>
          </w:p>
        </w:tc>
        <w:tc>
          <w:tcPr>
            <w:tcW w:w="688" w:type="dxa"/>
            <w:tcBorders>
              <w:top w:val="single" w:sz="4" w:space="0" w:color="auto"/>
              <w:bottom w:val="single" w:sz="4" w:space="0" w:color="auto"/>
            </w:tcBorders>
            <w:shd w:val="clear" w:color="auto" w:fill="auto"/>
          </w:tcPr>
          <w:p w14:paraId="144B58EC" w14:textId="6AB95F3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4.3%</w:t>
            </w:r>
          </w:p>
        </w:tc>
        <w:tc>
          <w:tcPr>
            <w:tcW w:w="688" w:type="dxa"/>
            <w:tcBorders>
              <w:top w:val="single" w:sz="4" w:space="0" w:color="auto"/>
              <w:bottom w:val="single" w:sz="4" w:space="0" w:color="auto"/>
            </w:tcBorders>
            <w:shd w:val="clear" w:color="auto" w:fill="auto"/>
          </w:tcPr>
          <w:p w14:paraId="299F210A" w14:textId="64867B5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35.0%</w:t>
            </w:r>
          </w:p>
        </w:tc>
        <w:tc>
          <w:tcPr>
            <w:tcW w:w="687" w:type="dxa"/>
            <w:tcBorders>
              <w:top w:val="single" w:sz="4" w:space="0" w:color="auto"/>
              <w:bottom w:val="single" w:sz="4" w:space="0" w:color="auto"/>
            </w:tcBorders>
            <w:shd w:val="clear" w:color="auto" w:fill="auto"/>
          </w:tcPr>
          <w:p w14:paraId="58C3452A" w14:textId="1636F24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w:t>
            </w:r>
          </w:p>
        </w:tc>
        <w:tc>
          <w:tcPr>
            <w:tcW w:w="688" w:type="dxa"/>
            <w:tcBorders>
              <w:top w:val="single" w:sz="4" w:space="0" w:color="auto"/>
              <w:bottom w:val="single" w:sz="4" w:space="0" w:color="auto"/>
            </w:tcBorders>
            <w:shd w:val="clear" w:color="auto" w:fill="auto"/>
          </w:tcPr>
          <w:p w14:paraId="56412F81" w14:textId="54F96BA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74.5%</w:t>
            </w:r>
          </w:p>
        </w:tc>
        <w:tc>
          <w:tcPr>
            <w:tcW w:w="688" w:type="dxa"/>
            <w:tcBorders>
              <w:top w:val="single" w:sz="4" w:space="0" w:color="auto"/>
              <w:bottom w:val="single" w:sz="4" w:space="0" w:color="auto"/>
            </w:tcBorders>
            <w:shd w:val="clear" w:color="auto" w:fill="auto"/>
          </w:tcPr>
          <w:p w14:paraId="1DC83A23" w14:textId="7FA4BC8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43.0%</w:t>
            </w:r>
          </w:p>
        </w:tc>
        <w:tc>
          <w:tcPr>
            <w:tcW w:w="687" w:type="dxa"/>
            <w:tcBorders>
              <w:top w:val="single" w:sz="4" w:space="0" w:color="auto"/>
              <w:bottom w:val="single" w:sz="4" w:space="0" w:color="auto"/>
            </w:tcBorders>
            <w:shd w:val="clear" w:color="auto" w:fill="auto"/>
          </w:tcPr>
          <w:p w14:paraId="256B1520" w14:textId="6DE1DB2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80.3%</w:t>
            </w:r>
          </w:p>
        </w:tc>
        <w:tc>
          <w:tcPr>
            <w:tcW w:w="688" w:type="dxa"/>
            <w:tcBorders>
              <w:top w:val="single" w:sz="4" w:space="0" w:color="auto"/>
              <w:bottom w:val="single" w:sz="4" w:space="0" w:color="auto"/>
            </w:tcBorders>
            <w:shd w:val="clear" w:color="auto" w:fill="auto"/>
          </w:tcPr>
          <w:p w14:paraId="1816403F" w14:textId="0CA1BCC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2.7%</w:t>
            </w:r>
          </w:p>
        </w:tc>
        <w:tc>
          <w:tcPr>
            <w:tcW w:w="688" w:type="dxa"/>
            <w:tcBorders>
              <w:top w:val="single" w:sz="4" w:space="0" w:color="auto"/>
              <w:bottom w:val="single" w:sz="4" w:space="0" w:color="auto"/>
            </w:tcBorders>
          </w:tcPr>
          <w:p w14:paraId="28AB7FA3" w14:textId="33D465D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564C6662" w14:textId="765344B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r>
      <w:tr w:rsidR="0006190E" w:rsidRPr="00956209" w14:paraId="1121DBC9"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49A1744" w14:textId="737F097F" w:rsidR="00CC5764" w:rsidRPr="002E05DB" w:rsidRDefault="00CC5764" w:rsidP="00A60C18">
            <w:pPr>
              <w:rPr>
                <w:b w:val="0"/>
              </w:rPr>
            </w:pPr>
            <w:r w:rsidRPr="002E05DB">
              <w:t>Box Hill Hospital</w:t>
            </w:r>
          </w:p>
        </w:tc>
        <w:tc>
          <w:tcPr>
            <w:tcW w:w="825" w:type="dxa"/>
            <w:tcBorders>
              <w:top w:val="single" w:sz="4" w:space="0" w:color="auto"/>
              <w:bottom w:val="single" w:sz="4" w:space="0" w:color="auto"/>
            </w:tcBorders>
          </w:tcPr>
          <w:p w14:paraId="167B5583" w14:textId="6B9C4D3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148C32D9" w14:textId="664A149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2,599</w:t>
            </w:r>
          </w:p>
        </w:tc>
        <w:tc>
          <w:tcPr>
            <w:tcW w:w="688" w:type="dxa"/>
            <w:tcBorders>
              <w:top w:val="single" w:sz="4" w:space="0" w:color="auto"/>
              <w:bottom w:val="single" w:sz="4" w:space="0" w:color="auto"/>
            </w:tcBorders>
            <w:shd w:val="clear" w:color="auto" w:fill="auto"/>
          </w:tcPr>
          <w:p w14:paraId="61876168" w14:textId="43058D5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10.3%</w:t>
            </w:r>
          </w:p>
        </w:tc>
        <w:tc>
          <w:tcPr>
            <w:tcW w:w="687" w:type="dxa"/>
            <w:tcBorders>
              <w:top w:val="single" w:sz="4" w:space="0" w:color="auto"/>
              <w:bottom w:val="single" w:sz="4" w:space="0" w:color="auto"/>
            </w:tcBorders>
            <w:shd w:val="clear" w:color="auto" w:fill="auto"/>
          </w:tcPr>
          <w:p w14:paraId="21B0C3ED" w14:textId="470C5FA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21.5%</w:t>
            </w:r>
          </w:p>
        </w:tc>
        <w:tc>
          <w:tcPr>
            <w:tcW w:w="688" w:type="dxa"/>
            <w:tcBorders>
              <w:top w:val="single" w:sz="4" w:space="0" w:color="auto"/>
              <w:bottom w:val="single" w:sz="4" w:space="0" w:color="auto"/>
            </w:tcBorders>
            <w:shd w:val="clear" w:color="auto" w:fill="auto"/>
          </w:tcPr>
          <w:p w14:paraId="15591937" w14:textId="40BE7F1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34.2%</w:t>
            </w:r>
          </w:p>
        </w:tc>
        <w:tc>
          <w:tcPr>
            <w:tcW w:w="688" w:type="dxa"/>
            <w:tcBorders>
              <w:top w:val="single" w:sz="4" w:space="0" w:color="auto"/>
              <w:bottom w:val="single" w:sz="4" w:space="0" w:color="auto"/>
            </w:tcBorders>
            <w:shd w:val="clear" w:color="auto" w:fill="auto"/>
          </w:tcPr>
          <w:p w14:paraId="16291CB6" w14:textId="671E144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3.6%</w:t>
            </w:r>
          </w:p>
        </w:tc>
        <w:tc>
          <w:tcPr>
            <w:tcW w:w="687" w:type="dxa"/>
            <w:tcBorders>
              <w:top w:val="single" w:sz="4" w:space="0" w:color="auto"/>
              <w:bottom w:val="single" w:sz="4" w:space="0" w:color="auto"/>
            </w:tcBorders>
            <w:shd w:val="clear" w:color="auto" w:fill="auto"/>
          </w:tcPr>
          <w:p w14:paraId="423F41C4" w14:textId="07FDDFB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4.9%</w:t>
            </w:r>
          </w:p>
        </w:tc>
        <w:tc>
          <w:tcPr>
            <w:tcW w:w="688" w:type="dxa"/>
            <w:tcBorders>
              <w:top w:val="single" w:sz="4" w:space="0" w:color="auto"/>
              <w:bottom w:val="single" w:sz="4" w:space="0" w:color="auto"/>
            </w:tcBorders>
            <w:shd w:val="clear" w:color="auto" w:fill="auto"/>
          </w:tcPr>
          <w:p w14:paraId="0FCAD944" w14:textId="317C07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9.8%</w:t>
            </w:r>
          </w:p>
        </w:tc>
        <w:tc>
          <w:tcPr>
            <w:tcW w:w="688" w:type="dxa"/>
            <w:tcBorders>
              <w:top w:val="single" w:sz="4" w:space="0" w:color="auto"/>
              <w:bottom w:val="single" w:sz="4" w:space="0" w:color="auto"/>
            </w:tcBorders>
            <w:shd w:val="clear" w:color="auto" w:fill="auto"/>
          </w:tcPr>
          <w:p w14:paraId="73FDD01B" w14:textId="7E42719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27.3%</w:t>
            </w:r>
          </w:p>
        </w:tc>
        <w:tc>
          <w:tcPr>
            <w:tcW w:w="688" w:type="dxa"/>
            <w:tcBorders>
              <w:top w:val="single" w:sz="4" w:space="0" w:color="auto"/>
              <w:bottom w:val="single" w:sz="4" w:space="0" w:color="auto"/>
            </w:tcBorders>
            <w:shd w:val="clear" w:color="auto" w:fill="auto"/>
          </w:tcPr>
          <w:p w14:paraId="6B2583CF" w14:textId="560DB9E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w:t>
            </w:r>
          </w:p>
        </w:tc>
        <w:tc>
          <w:tcPr>
            <w:tcW w:w="687" w:type="dxa"/>
            <w:tcBorders>
              <w:top w:val="single" w:sz="4" w:space="0" w:color="auto"/>
              <w:bottom w:val="single" w:sz="4" w:space="0" w:color="auto"/>
            </w:tcBorders>
            <w:shd w:val="clear" w:color="auto" w:fill="auto"/>
          </w:tcPr>
          <w:p w14:paraId="193E7A89" w14:textId="67A298E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3.3%</w:t>
            </w:r>
          </w:p>
        </w:tc>
        <w:tc>
          <w:tcPr>
            <w:tcW w:w="688" w:type="dxa"/>
            <w:tcBorders>
              <w:top w:val="single" w:sz="4" w:space="0" w:color="auto"/>
              <w:bottom w:val="single" w:sz="4" w:space="0" w:color="auto"/>
            </w:tcBorders>
            <w:shd w:val="clear" w:color="auto" w:fill="auto"/>
          </w:tcPr>
          <w:p w14:paraId="0CEFA7A0" w14:textId="63D1C8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4.4%</w:t>
            </w:r>
          </w:p>
        </w:tc>
        <w:tc>
          <w:tcPr>
            <w:tcW w:w="688" w:type="dxa"/>
            <w:tcBorders>
              <w:top w:val="single" w:sz="4" w:space="0" w:color="auto"/>
              <w:bottom w:val="single" w:sz="4" w:space="0" w:color="auto"/>
            </w:tcBorders>
            <w:shd w:val="clear" w:color="auto" w:fill="auto"/>
          </w:tcPr>
          <w:p w14:paraId="60FE4E09" w14:textId="0206329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35.1%</w:t>
            </w:r>
          </w:p>
        </w:tc>
        <w:tc>
          <w:tcPr>
            <w:tcW w:w="687" w:type="dxa"/>
            <w:tcBorders>
              <w:top w:val="single" w:sz="4" w:space="0" w:color="auto"/>
              <w:bottom w:val="single" w:sz="4" w:space="0" w:color="auto"/>
            </w:tcBorders>
            <w:shd w:val="clear" w:color="auto" w:fill="auto"/>
          </w:tcPr>
          <w:p w14:paraId="17048FDB" w14:textId="42CEAA8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1.2%</w:t>
            </w:r>
          </w:p>
        </w:tc>
        <w:tc>
          <w:tcPr>
            <w:tcW w:w="688" w:type="dxa"/>
            <w:tcBorders>
              <w:top w:val="single" w:sz="4" w:space="0" w:color="auto"/>
              <w:bottom w:val="single" w:sz="4" w:space="0" w:color="auto"/>
            </w:tcBorders>
            <w:shd w:val="clear" w:color="auto" w:fill="auto"/>
          </w:tcPr>
          <w:p w14:paraId="250F7D35" w14:textId="0D70222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78.2%</w:t>
            </w:r>
          </w:p>
        </w:tc>
        <w:tc>
          <w:tcPr>
            <w:tcW w:w="688" w:type="dxa"/>
            <w:tcBorders>
              <w:top w:val="single" w:sz="4" w:space="0" w:color="auto"/>
              <w:bottom w:val="single" w:sz="4" w:space="0" w:color="auto"/>
            </w:tcBorders>
            <w:shd w:val="clear" w:color="auto" w:fill="auto"/>
          </w:tcPr>
          <w:p w14:paraId="5E431A04" w14:textId="21DB3CB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49.2%</w:t>
            </w:r>
          </w:p>
        </w:tc>
        <w:tc>
          <w:tcPr>
            <w:tcW w:w="687" w:type="dxa"/>
            <w:tcBorders>
              <w:top w:val="single" w:sz="4" w:space="0" w:color="auto"/>
              <w:bottom w:val="single" w:sz="4" w:space="0" w:color="auto"/>
            </w:tcBorders>
            <w:shd w:val="clear" w:color="auto" w:fill="auto"/>
          </w:tcPr>
          <w:p w14:paraId="4F49FB65" w14:textId="72B4E65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78.2%</w:t>
            </w:r>
          </w:p>
        </w:tc>
        <w:tc>
          <w:tcPr>
            <w:tcW w:w="688" w:type="dxa"/>
            <w:tcBorders>
              <w:top w:val="single" w:sz="4" w:space="0" w:color="auto"/>
              <w:bottom w:val="single" w:sz="4" w:space="0" w:color="auto"/>
            </w:tcBorders>
            <w:shd w:val="clear" w:color="auto" w:fill="auto"/>
          </w:tcPr>
          <w:p w14:paraId="643E39C4" w14:textId="20F551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3.1%</w:t>
            </w:r>
          </w:p>
        </w:tc>
        <w:tc>
          <w:tcPr>
            <w:tcW w:w="688" w:type="dxa"/>
            <w:tcBorders>
              <w:top w:val="single" w:sz="4" w:space="0" w:color="auto"/>
              <w:bottom w:val="single" w:sz="4" w:space="0" w:color="auto"/>
            </w:tcBorders>
          </w:tcPr>
          <w:p w14:paraId="423AF982" w14:textId="7E3FAB8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c>
          <w:tcPr>
            <w:tcW w:w="688" w:type="dxa"/>
            <w:gridSpan w:val="2"/>
            <w:tcBorders>
              <w:top w:val="single" w:sz="4" w:space="0" w:color="auto"/>
              <w:bottom w:val="single" w:sz="4" w:space="0" w:color="auto"/>
            </w:tcBorders>
          </w:tcPr>
          <w:p w14:paraId="6B82B9E1" w14:textId="6BA3A00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06190E" w:rsidRPr="00956209" w14:paraId="70159E80"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9FC6554" w14:textId="1A36BB58" w:rsidR="00CC5764" w:rsidRPr="002E05DB" w:rsidRDefault="00CC5764" w:rsidP="00A60C18">
            <w:pPr>
              <w:rPr>
                <w:b w:val="0"/>
              </w:rPr>
            </w:pPr>
            <w:r w:rsidRPr="002E05DB">
              <w:t>University Hospital Geelong</w:t>
            </w:r>
          </w:p>
        </w:tc>
        <w:tc>
          <w:tcPr>
            <w:tcW w:w="825" w:type="dxa"/>
            <w:tcBorders>
              <w:top w:val="single" w:sz="4" w:space="0" w:color="auto"/>
              <w:bottom w:val="single" w:sz="4" w:space="0" w:color="auto"/>
            </w:tcBorders>
          </w:tcPr>
          <w:p w14:paraId="62C840D3" w14:textId="40BDEAA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376BBB7D" w14:textId="50DFA75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2,563</w:t>
            </w:r>
          </w:p>
        </w:tc>
        <w:tc>
          <w:tcPr>
            <w:tcW w:w="688" w:type="dxa"/>
            <w:tcBorders>
              <w:top w:val="single" w:sz="4" w:space="0" w:color="auto"/>
              <w:bottom w:val="single" w:sz="4" w:space="0" w:color="auto"/>
            </w:tcBorders>
            <w:shd w:val="clear" w:color="auto" w:fill="auto"/>
          </w:tcPr>
          <w:p w14:paraId="3B048646" w14:textId="2F228D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6.3%</w:t>
            </w:r>
          </w:p>
        </w:tc>
        <w:tc>
          <w:tcPr>
            <w:tcW w:w="687" w:type="dxa"/>
            <w:tcBorders>
              <w:top w:val="single" w:sz="4" w:space="0" w:color="auto"/>
              <w:bottom w:val="single" w:sz="4" w:space="0" w:color="auto"/>
            </w:tcBorders>
            <w:shd w:val="clear" w:color="auto" w:fill="auto"/>
          </w:tcPr>
          <w:p w14:paraId="379FF96E" w14:textId="5B8A995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20.5%</w:t>
            </w:r>
          </w:p>
        </w:tc>
        <w:tc>
          <w:tcPr>
            <w:tcW w:w="688" w:type="dxa"/>
            <w:tcBorders>
              <w:top w:val="single" w:sz="4" w:space="0" w:color="auto"/>
              <w:bottom w:val="single" w:sz="4" w:space="0" w:color="auto"/>
            </w:tcBorders>
            <w:shd w:val="clear" w:color="auto" w:fill="auto"/>
          </w:tcPr>
          <w:p w14:paraId="0F30CE2D" w14:textId="6F28B7F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33.4%</w:t>
            </w:r>
          </w:p>
        </w:tc>
        <w:tc>
          <w:tcPr>
            <w:tcW w:w="688" w:type="dxa"/>
            <w:tcBorders>
              <w:top w:val="single" w:sz="4" w:space="0" w:color="auto"/>
              <w:bottom w:val="single" w:sz="4" w:space="0" w:color="auto"/>
            </w:tcBorders>
            <w:shd w:val="clear" w:color="auto" w:fill="auto"/>
          </w:tcPr>
          <w:p w14:paraId="5E624653" w14:textId="0825EB5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5.1%</w:t>
            </w:r>
          </w:p>
        </w:tc>
        <w:tc>
          <w:tcPr>
            <w:tcW w:w="687" w:type="dxa"/>
            <w:tcBorders>
              <w:top w:val="single" w:sz="4" w:space="0" w:color="auto"/>
              <w:bottom w:val="single" w:sz="4" w:space="0" w:color="auto"/>
            </w:tcBorders>
            <w:shd w:val="clear" w:color="auto" w:fill="auto"/>
          </w:tcPr>
          <w:p w14:paraId="7B30BDE8" w14:textId="31C1A75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4.1%</w:t>
            </w:r>
          </w:p>
        </w:tc>
        <w:tc>
          <w:tcPr>
            <w:tcW w:w="688" w:type="dxa"/>
            <w:tcBorders>
              <w:top w:val="single" w:sz="4" w:space="0" w:color="auto"/>
              <w:bottom w:val="single" w:sz="4" w:space="0" w:color="auto"/>
            </w:tcBorders>
            <w:shd w:val="clear" w:color="auto" w:fill="auto"/>
          </w:tcPr>
          <w:p w14:paraId="17F272BB" w14:textId="6D3DACC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11.8%</w:t>
            </w:r>
          </w:p>
        </w:tc>
        <w:tc>
          <w:tcPr>
            <w:tcW w:w="688" w:type="dxa"/>
            <w:tcBorders>
              <w:top w:val="single" w:sz="4" w:space="0" w:color="auto"/>
              <w:bottom w:val="single" w:sz="4" w:space="0" w:color="auto"/>
            </w:tcBorders>
            <w:shd w:val="clear" w:color="auto" w:fill="auto"/>
          </w:tcPr>
          <w:p w14:paraId="4B2836BE" w14:textId="721AA8B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23.7%</w:t>
            </w:r>
          </w:p>
        </w:tc>
        <w:tc>
          <w:tcPr>
            <w:tcW w:w="688" w:type="dxa"/>
            <w:tcBorders>
              <w:top w:val="single" w:sz="4" w:space="0" w:color="auto"/>
              <w:bottom w:val="single" w:sz="4" w:space="0" w:color="auto"/>
            </w:tcBorders>
            <w:shd w:val="clear" w:color="auto" w:fill="auto"/>
          </w:tcPr>
          <w:p w14:paraId="60C8E373" w14:textId="03C7142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w:t>
            </w:r>
          </w:p>
        </w:tc>
        <w:tc>
          <w:tcPr>
            <w:tcW w:w="687" w:type="dxa"/>
            <w:tcBorders>
              <w:top w:val="single" w:sz="4" w:space="0" w:color="auto"/>
              <w:bottom w:val="single" w:sz="4" w:space="0" w:color="auto"/>
            </w:tcBorders>
            <w:shd w:val="clear" w:color="auto" w:fill="auto"/>
          </w:tcPr>
          <w:p w14:paraId="15CA971C" w14:textId="075DD5E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2.8%</w:t>
            </w:r>
          </w:p>
        </w:tc>
        <w:tc>
          <w:tcPr>
            <w:tcW w:w="688" w:type="dxa"/>
            <w:tcBorders>
              <w:top w:val="single" w:sz="4" w:space="0" w:color="auto"/>
              <w:bottom w:val="single" w:sz="4" w:space="0" w:color="auto"/>
            </w:tcBorders>
            <w:shd w:val="clear" w:color="auto" w:fill="auto"/>
          </w:tcPr>
          <w:p w14:paraId="1813C8F8" w14:textId="35E379F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4.8%</w:t>
            </w:r>
          </w:p>
        </w:tc>
        <w:tc>
          <w:tcPr>
            <w:tcW w:w="688" w:type="dxa"/>
            <w:tcBorders>
              <w:top w:val="single" w:sz="4" w:space="0" w:color="auto"/>
              <w:bottom w:val="single" w:sz="4" w:space="0" w:color="auto"/>
            </w:tcBorders>
            <w:shd w:val="clear" w:color="auto" w:fill="auto"/>
          </w:tcPr>
          <w:p w14:paraId="4A11839F" w14:textId="72CB1FB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5.1%</w:t>
            </w:r>
          </w:p>
        </w:tc>
        <w:tc>
          <w:tcPr>
            <w:tcW w:w="687" w:type="dxa"/>
            <w:tcBorders>
              <w:top w:val="single" w:sz="4" w:space="0" w:color="auto"/>
              <w:bottom w:val="single" w:sz="4" w:space="0" w:color="auto"/>
            </w:tcBorders>
            <w:shd w:val="clear" w:color="auto" w:fill="auto"/>
          </w:tcPr>
          <w:p w14:paraId="1CF34713" w14:textId="758DB78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w:t>
            </w:r>
          </w:p>
        </w:tc>
        <w:tc>
          <w:tcPr>
            <w:tcW w:w="688" w:type="dxa"/>
            <w:tcBorders>
              <w:top w:val="single" w:sz="4" w:space="0" w:color="auto"/>
              <w:bottom w:val="single" w:sz="4" w:space="0" w:color="auto"/>
            </w:tcBorders>
            <w:shd w:val="clear" w:color="auto" w:fill="auto"/>
          </w:tcPr>
          <w:p w14:paraId="3BFA755A" w14:textId="58C5B6E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79.5%</w:t>
            </w:r>
          </w:p>
        </w:tc>
        <w:tc>
          <w:tcPr>
            <w:tcW w:w="688" w:type="dxa"/>
            <w:tcBorders>
              <w:top w:val="single" w:sz="4" w:space="0" w:color="auto"/>
              <w:bottom w:val="single" w:sz="4" w:space="0" w:color="auto"/>
            </w:tcBorders>
            <w:shd w:val="clear" w:color="auto" w:fill="auto"/>
          </w:tcPr>
          <w:p w14:paraId="1274C22F" w14:textId="340619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43.3%</w:t>
            </w:r>
          </w:p>
        </w:tc>
        <w:tc>
          <w:tcPr>
            <w:tcW w:w="687" w:type="dxa"/>
            <w:tcBorders>
              <w:top w:val="single" w:sz="4" w:space="0" w:color="auto"/>
              <w:bottom w:val="single" w:sz="4" w:space="0" w:color="auto"/>
            </w:tcBorders>
            <w:shd w:val="clear" w:color="auto" w:fill="auto"/>
          </w:tcPr>
          <w:p w14:paraId="244A394D" w14:textId="69085BD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79.1%</w:t>
            </w:r>
          </w:p>
        </w:tc>
        <w:tc>
          <w:tcPr>
            <w:tcW w:w="688" w:type="dxa"/>
            <w:tcBorders>
              <w:top w:val="single" w:sz="4" w:space="0" w:color="auto"/>
              <w:bottom w:val="single" w:sz="4" w:space="0" w:color="auto"/>
            </w:tcBorders>
            <w:shd w:val="clear" w:color="auto" w:fill="auto"/>
          </w:tcPr>
          <w:p w14:paraId="4E85099A" w14:textId="00B7B9B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2.7%</w:t>
            </w:r>
          </w:p>
        </w:tc>
        <w:tc>
          <w:tcPr>
            <w:tcW w:w="688" w:type="dxa"/>
            <w:tcBorders>
              <w:top w:val="single" w:sz="4" w:space="0" w:color="auto"/>
              <w:bottom w:val="single" w:sz="4" w:space="0" w:color="auto"/>
            </w:tcBorders>
          </w:tcPr>
          <w:p w14:paraId="60CE2F7C" w14:textId="235BA7C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c>
          <w:tcPr>
            <w:tcW w:w="688" w:type="dxa"/>
            <w:gridSpan w:val="2"/>
            <w:tcBorders>
              <w:top w:val="single" w:sz="4" w:space="0" w:color="auto"/>
              <w:bottom w:val="single" w:sz="4" w:space="0" w:color="auto"/>
            </w:tcBorders>
          </w:tcPr>
          <w:p w14:paraId="6100A061" w14:textId="0E41178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06190E" w:rsidRPr="00956209" w14:paraId="19481D53"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4C6BB08" w14:textId="7231446A" w:rsidR="00CC5764" w:rsidRPr="002E05DB" w:rsidRDefault="00CC5764" w:rsidP="00A60C18">
            <w:pPr>
              <w:rPr>
                <w:b w:val="0"/>
              </w:rPr>
            </w:pPr>
            <w:r w:rsidRPr="002E05DB">
              <w:t>Wodonga Hospital</w:t>
            </w:r>
          </w:p>
        </w:tc>
        <w:tc>
          <w:tcPr>
            <w:tcW w:w="825" w:type="dxa"/>
            <w:tcBorders>
              <w:top w:val="single" w:sz="4" w:space="0" w:color="auto"/>
              <w:bottom w:val="single" w:sz="4" w:space="0" w:color="auto"/>
            </w:tcBorders>
          </w:tcPr>
          <w:p w14:paraId="2701E1D2" w14:textId="671A83F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0E410CCF" w14:textId="7F44864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1,671</w:t>
            </w:r>
          </w:p>
        </w:tc>
        <w:tc>
          <w:tcPr>
            <w:tcW w:w="688" w:type="dxa"/>
            <w:tcBorders>
              <w:top w:val="single" w:sz="4" w:space="0" w:color="auto"/>
              <w:bottom w:val="single" w:sz="4" w:space="0" w:color="auto"/>
            </w:tcBorders>
            <w:shd w:val="clear" w:color="auto" w:fill="auto"/>
          </w:tcPr>
          <w:p w14:paraId="70951AAB" w14:textId="02E0F1F9" w:rsidR="00CC5764" w:rsidRPr="004C58DA" w:rsidRDefault="00CC5764" w:rsidP="00A60C18">
            <w:pPr>
              <w:cnfStyle w:val="000000000000" w:firstRow="0" w:lastRow="0" w:firstColumn="0" w:lastColumn="0" w:oddVBand="0" w:evenVBand="0" w:oddHBand="0" w:evenHBand="0" w:firstRowFirstColumn="0" w:firstRowLastColumn="0" w:lastRowFirstColumn="0" w:lastRowLastColumn="0"/>
            </w:pPr>
            <w:r w:rsidRPr="004C58DA">
              <w:t>11.1%</w:t>
            </w:r>
          </w:p>
        </w:tc>
        <w:tc>
          <w:tcPr>
            <w:tcW w:w="687" w:type="dxa"/>
            <w:tcBorders>
              <w:top w:val="single" w:sz="4" w:space="0" w:color="auto"/>
              <w:bottom w:val="single" w:sz="4" w:space="0" w:color="auto"/>
            </w:tcBorders>
            <w:shd w:val="clear" w:color="auto" w:fill="auto"/>
          </w:tcPr>
          <w:p w14:paraId="232CF82D" w14:textId="0AAF815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9.5%</w:t>
            </w:r>
          </w:p>
        </w:tc>
        <w:tc>
          <w:tcPr>
            <w:tcW w:w="688" w:type="dxa"/>
            <w:tcBorders>
              <w:top w:val="single" w:sz="4" w:space="0" w:color="auto"/>
              <w:bottom w:val="single" w:sz="4" w:space="0" w:color="auto"/>
            </w:tcBorders>
            <w:shd w:val="clear" w:color="auto" w:fill="auto"/>
          </w:tcPr>
          <w:p w14:paraId="0F39991D" w14:textId="0A020D6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27.8%</w:t>
            </w:r>
          </w:p>
        </w:tc>
        <w:tc>
          <w:tcPr>
            <w:tcW w:w="688" w:type="dxa"/>
            <w:tcBorders>
              <w:top w:val="single" w:sz="4" w:space="0" w:color="auto"/>
              <w:bottom w:val="single" w:sz="4" w:space="0" w:color="auto"/>
            </w:tcBorders>
            <w:shd w:val="clear" w:color="auto" w:fill="auto"/>
          </w:tcPr>
          <w:p w14:paraId="2FB39AF1" w14:textId="0BC8D94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3.1%</w:t>
            </w:r>
          </w:p>
        </w:tc>
        <w:tc>
          <w:tcPr>
            <w:tcW w:w="687" w:type="dxa"/>
            <w:tcBorders>
              <w:top w:val="single" w:sz="4" w:space="0" w:color="auto"/>
              <w:bottom w:val="single" w:sz="4" w:space="0" w:color="auto"/>
            </w:tcBorders>
            <w:shd w:val="clear" w:color="auto" w:fill="auto"/>
          </w:tcPr>
          <w:p w14:paraId="184BEC3D" w14:textId="3343BA6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4.0%</w:t>
            </w:r>
          </w:p>
        </w:tc>
        <w:tc>
          <w:tcPr>
            <w:tcW w:w="688" w:type="dxa"/>
            <w:tcBorders>
              <w:top w:val="single" w:sz="4" w:space="0" w:color="auto"/>
              <w:bottom w:val="single" w:sz="4" w:space="0" w:color="auto"/>
            </w:tcBorders>
            <w:shd w:val="clear" w:color="auto" w:fill="auto"/>
          </w:tcPr>
          <w:p w14:paraId="33B2AE16" w14:textId="4852FD4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9.9%</w:t>
            </w:r>
          </w:p>
        </w:tc>
        <w:tc>
          <w:tcPr>
            <w:tcW w:w="688" w:type="dxa"/>
            <w:tcBorders>
              <w:top w:val="single" w:sz="4" w:space="0" w:color="auto"/>
              <w:bottom w:val="single" w:sz="4" w:space="0" w:color="auto"/>
            </w:tcBorders>
            <w:shd w:val="clear" w:color="auto" w:fill="auto"/>
          </w:tcPr>
          <w:p w14:paraId="68CD583C" w14:textId="32CAEDF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30.8%</w:t>
            </w:r>
          </w:p>
        </w:tc>
        <w:tc>
          <w:tcPr>
            <w:tcW w:w="688" w:type="dxa"/>
            <w:tcBorders>
              <w:top w:val="single" w:sz="4" w:space="0" w:color="auto"/>
              <w:bottom w:val="single" w:sz="4" w:space="0" w:color="auto"/>
            </w:tcBorders>
            <w:shd w:val="clear" w:color="auto" w:fill="auto"/>
          </w:tcPr>
          <w:p w14:paraId="28BED243" w14:textId="2E17C6D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w:t>
            </w:r>
          </w:p>
        </w:tc>
        <w:tc>
          <w:tcPr>
            <w:tcW w:w="687" w:type="dxa"/>
            <w:tcBorders>
              <w:top w:val="single" w:sz="4" w:space="0" w:color="auto"/>
              <w:bottom w:val="single" w:sz="4" w:space="0" w:color="auto"/>
            </w:tcBorders>
            <w:shd w:val="clear" w:color="auto" w:fill="auto"/>
          </w:tcPr>
          <w:p w14:paraId="3B950D5C" w14:textId="6134031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2.0%</w:t>
            </w:r>
          </w:p>
        </w:tc>
        <w:tc>
          <w:tcPr>
            <w:tcW w:w="688" w:type="dxa"/>
            <w:tcBorders>
              <w:top w:val="single" w:sz="4" w:space="0" w:color="auto"/>
              <w:bottom w:val="single" w:sz="4" w:space="0" w:color="auto"/>
            </w:tcBorders>
            <w:shd w:val="clear" w:color="auto" w:fill="auto"/>
          </w:tcPr>
          <w:p w14:paraId="602E6507" w14:textId="2367732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2.9%</w:t>
            </w:r>
          </w:p>
        </w:tc>
        <w:tc>
          <w:tcPr>
            <w:tcW w:w="688" w:type="dxa"/>
            <w:tcBorders>
              <w:top w:val="single" w:sz="4" w:space="0" w:color="auto"/>
              <w:bottom w:val="single" w:sz="4" w:space="0" w:color="auto"/>
            </w:tcBorders>
            <w:shd w:val="clear" w:color="auto" w:fill="auto"/>
          </w:tcPr>
          <w:p w14:paraId="6EE698E1" w14:textId="52B98B4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490FC8">
              <w:t>12.7%</w:t>
            </w:r>
          </w:p>
        </w:tc>
        <w:tc>
          <w:tcPr>
            <w:tcW w:w="687" w:type="dxa"/>
            <w:tcBorders>
              <w:top w:val="single" w:sz="4" w:space="0" w:color="auto"/>
              <w:bottom w:val="single" w:sz="4" w:space="0" w:color="auto"/>
            </w:tcBorders>
            <w:shd w:val="clear" w:color="auto" w:fill="auto"/>
          </w:tcPr>
          <w:p w14:paraId="1F83D9B0" w14:textId="332173D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1.2%</w:t>
            </w:r>
          </w:p>
        </w:tc>
        <w:tc>
          <w:tcPr>
            <w:tcW w:w="688" w:type="dxa"/>
            <w:tcBorders>
              <w:top w:val="single" w:sz="4" w:space="0" w:color="auto"/>
              <w:bottom w:val="single" w:sz="4" w:space="0" w:color="auto"/>
            </w:tcBorders>
            <w:shd w:val="clear" w:color="auto" w:fill="auto"/>
          </w:tcPr>
          <w:p w14:paraId="204308C9" w14:textId="2565F6C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85.5%</w:t>
            </w:r>
          </w:p>
        </w:tc>
        <w:tc>
          <w:tcPr>
            <w:tcW w:w="688" w:type="dxa"/>
            <w:tcBorders>
              <w:top w:val="single" w:sz="4" w:space="0" w:color="auto"/>
              <w:bottom w:val="single" w:sz="4" w:space="0" w:color="auto"/>
            </w:tcBorders>
            <w:shd w:val="clear" w:color="auto" w:fill="auto"/>
          </w:tcPr>
          <w:p w14:paraId="46B4C450" w14:textId="53B89A1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49.0%</w:t>
            </w:r>
          </w:p>
        </w:tc>
        <w:tc>
          <w:tcPr>
            <w:tcW w:w="687" w:type="dxa"/>
            <w:tcBorders>
              <w:top w:val="single" w:sz="4" w:space="0" w:color="auto"/>
              <w:bottom w:val="single" w:sz="4" w:space="0" w:color="auto"/>
            </w:tcBorders>
            <w:shd w:val="clear" w:color="auto" w:fill="auto"/>
          </w:tcPr>
          <w:p w14:paraId="1FDBFADF" w14:textId="6BFD2D5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63.1%</w:t>
            </w:r>
          </w:p>
        </w:tc>
        <w:tc>
          <w:tcPr>
            <w:tcW w:w="688" w:type="dxa"/>
            <w:tcBorders>
              <w:top w:val="single" w:sz="4" w:space="0" w:color="auto"/>
              <w:bottom w:val="single" w:sz="4" w:space="0" w:color="auto"/>
            </w:tcBorders>
            <w:shd w:val="clear" w:color="auto" w:fill="auto"/>
          </w:tcPr>
          <w:p w14:paraId="5533ED44" w14:textId="6AC2390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1.9%</w:t>
            </w:r>
          </w:p>
        </w:tc>
        <w:tc>
          <w:tcPr>
            <w:tcW w:w="688" w:type="dxa"/>
            <w:tcBorders>
              <w:top w:val="single" w:sz="4" w:space="0" w:color="auto"/>
              <w:bottom w:val="single" w:sz="4" w:space="0" w:color="auto"/>
            </w:tcBorders>
          </w:tcPr>
          <w:p w14:paraId="442222A5" w14:textId="38129F4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6C97DEB8" w14:textId="3D75498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06190E" w:rsidRPr="00956209" w14:paraId="53B59526"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EE8EF13" w14:textId="57936922" w:rsidR="00CC5764" w:rsidRPr="002E05DB" w:rsidRDefault="00CC5764" w:rsidP="00A60C18">
            <w:pPr>
              <w:rPr>
                <w:b w:val="0"/>
              </w:rPr>
            </w:pPr>
            <w:r w:rsidRPr="002E05DB">
              <w:t>Bendigo Hospital</w:t>
            </w:r>
          </w:p>
        </w:tc>
        <w:tc>
          <w:tcPr>
            <w:tcW w:w="825" w:type="dxa"/>
            <w:tcBorders>
              <w:top w:val="single" w:sz="4" w:space="0" w:color="auto"/>
              <w:bottom w:val="single" w:sz="4" w:space="0" w:color="auto"/>
            </w:tcBorders>
          </w:tcPr>
          <w:p w14:paraId="39288B36" w14:textId="4D351F0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63717241" w14:textId="09F556E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1,612</w:t>
            </w:r>
          </w:p>
        </w:tc>
        <w:tc>
          <w:tcPr>
            <w:tcW w:w="688" w:type="dxa"/>
            <w:tcBorders>
              <w:top w:val="single" w:sz="4" w:space="0" w:color="auto"/>
              <w:bottom w:val="single" w:sz="4" w:space="0" w:color="auto"/>
            </w:tcBorders>
            <w:shd w:val="clear" w:color="auto" w:fill="auto"/>
          </w:tcPr>
          <w:p w14:paraId="12390713" w14:textId="24135DD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16.5%</w:t>
            </w:r>
          </w:p>
        </w:tc>
        <w:tc>
          <w:tcPr>
            <w:tcW w:w="687" w:type="dxa"/>
            <w:tcBorders>
              <w:top w:val="single" w:sz="4" w:space="0" w:color="auto"/>
              <w:bottom w:val="single" w:sz="4" w:space="0" w:color="auto"/>
            </w:tcBorders>
            <w:shd w:val="clear" w:color="auto" w:fill="auto"/>
          </w:tcPr>
          <w:p w14:paraId="30D1271D" w14:textId="1604DCD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13.2%</w:t>
            </w:r>
          </w:p>
        </w:tc>
        <w:tc>
          <w:tcPr>
            <w:tcW w:w="688" w:type="dxa"/>
            <w:tcBorders>
              <w:top w:val="single" w:sz="4" w:space="0" w:color="auto"/>
              <w:bottom w:val="single" w:sz="4" w:space="0" w:color="auto"/>
            </w:tcBorders>
            <w:shd w:val="clear" w:color="auto" w:fill="auto"/>
          </w:tcPr>
          <w:p w14:paraId="62D65AC0" w14:textId="53994A7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26.8%</w:t>
            </w:r>
          </w:p>
        </w:tc>
        <w:tc>
          <w:tcPr>
            <w:tcW w:w="688" w:type="dxa"/>
            <w:tcBorders>
              <w:top w:val="single" w:sz="4" w:space="0" w:color="auto"/>
              <w:bottom w:val="single" w:sz="4" w:space="0" w:color="auto"/>
            </w:tcBorders>
            <w:shd w:val="clear" w:color="auto" w:fill="auto"/>
          </w:tcPr>
          <w:p w14:paraId="54646213" w14:textId="3AC9DA8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E35259">
              <w:t>4.2%</w:t>
            </w:r>
          </w:p>
        </w:tc>
        <w:tc>
          <w:tcPr>
            <w:tcW w:w="687" w:type="dxa"/>
            <w:tcBorders>
              <w:top w:val="single" w:sz="4" w:space="0" w:color="auto"/>
              <w:bottom w:val="single" w:sz="4" w:space="0" w:color="auto"/>
            </w:tcBorders>
            <w:shd w:val="clear" w:color="auto" w:fill="auto"/>
          </w:tcPr>
          <w:p w14:paraId="2A134314" w14:textId="6CD1EC3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6.3%</w:t>
            </w:r>
          </w:p>
        </w:tc>
        <w:tc>
          <w:tcPr>
            <w:tcW w:w="688" w:type="dxa"/>
            <w:tcBorders>
              <w:top w:val="single" w:sz="4" w:space="0" w:color="auto"/>
              <w:bottom w:val="single" w:sz="4" w:space="0" w:color="auto"/>
            </w:tcBorders>
            <w:shd w:val="clear" w:color="auto" w:fill="auto"/>
          </w:tcPr>
          <w:p w14:paraId="40011761" w14:textId="4C61205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11.4%</w:t>
            </w:r>
          </w:p>
        </w:tc>
        <w:tc>
          <w:tcPr>
            <w:tcW w:w="688" w:type="dxa"/>
            <w:tcBorders>
              <w:top w:val="single" w:sz="4" w:space="0" w:color="auto"/>
              <w:bottom w:val="single" w:sz="4" w:space="0" w:color="auto"/>
            </w:tcBorders>
            <w:shd w:val="clear" w:color="auto" w:fill="auto"/>
          </w:tcPr>
          <w:p w14:paraId="04EAB829" w14:textId="4522F31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22.2%</w:t>
            </w:r>
          </w:p>
        </w:tc>
        <w:tc>
          <w:tcPr>
            <w:tcW w:w="688" w:type="dxa"/>
            <w:tcBorders>
              <w:top w:val="single" w:sz="4" w:space="0" w:color="auto"/>
              <w:bottom w:val="single" w:sz="4" w:space="0" w:color="auto"/>
            </w:tcBorders>
            <w:shd w:val="clear" w:color="auto" w:fill="auto"/>
          </w:tcPr>
          <w:p w14:paraId="3BA7C128" w14:textId="68D47D6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w:t>
            </w:r>
          </w:p>
        </w:tc>
        <w:tc>
          <w:tcPr>
            <w:tcW w:w="687" w:type="dxa"/>
            <w:tcBorders>
              <w:top w:val="single" w:sz="4" w:space="0" w:color="auto"/>
              <w:bottom w:val="single" w:sz="4" w:space="0" w:color="auto"/>
            </w:tcBorders>
            <w:shd w:val="clear" w:color="auto" w:fill="auto"/>
          </w:tcPr>
          <w:p w14:paraId="2DA9E137" w14:textId="3ADB3C7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w:t>
            </w:r>
          </w:p>
        </w:tc>
        <w:tc>
          <w:tcPr>
            <w:tcW w:w="688" w:type="dxa"/>
            <w:tcBorders>
              <w:top w:val="single" w:sz="4" w:space="0" w:color="auto"/>
              <w:bottom w:val="single" w:sz="4" w:space="0" w:color="auto"/>
            </w:tcBorders>
            <w:shd w:val="clear" w:color="auto" w:fill="auto"/>
          </w:tcPr>
          <w:p w14:paraId="6931D1F8" w14:textId="07ABAAF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5.8%</w:t>
            </w:r>
          </w:p>
        </w:tc>
        <w:tc>
          <w:tcPr>
            <w:tcW w:w="688" w:type="dxa"/>
            <w:tcBorders>
              <w:top w:val="single" w:sz="4" w:space="0" w:color="auto"/>
              <w:bottom w:val="single" w:sz="4" w:space="0" w:color="auto"/>
            </w:tcBorders>
            <w:shd w:val="clear" w:color="auto" w:fill="auto"/>
          </w:tcPr>
          <w:p w14:paraId="375112E0" w14:textId="5FCA009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490FC8">
              <w:t>20.5%</w:t>
            </w:r>
          </w:p>
        </w:tc>
        <w:tc>
          <w:tcPr>
            <w:tcW w:w="687" w:type="dxa"/>
            <w:tcBorders>
              <w:top w:val="single" w:sz="4" w:space="0" w:color="auto"/>
              <w:bottom w:val="single" w:sz="4" w:space="0" w:color="auto"/>
            </w:tcBorders>
            <w:shd w:val="clear" w:color="auto" w:fill="auto"/>
          </w:tcPr>
          <w:p w14:paraId="3C4DF7E9" w14:textId="6384C82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2.5%</w:t>
            </w:r>
          </w:p>
        </w:tc>
        <w:tc>
          <w:tcPr>
            <w:tcW w:w="688" w:type="dxa"/>
            <w:tcBorders>
              <w:top w:val="single" w:sz="4" w:space="0" w:color="auto"/>
              <w:bottom w:val="single" w:sz="4" w:space="0" w:color="auto"/>
            </w:tcBorders>
            <w:shd w:val="clear" w:color="auto" w:fill="auto"/>
          </w:tcPr>
          <w:p w14:paraId="162C8C00" w14:textId="77FEE48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78.8%</w:t>
            </w:r>
          </w:p>
        </w:tc>
        <w:tc>
          <w:tcPr>
            <w:tcW w:w="688" w:type="dxa"/>
            <w:tcBorders>
              <w:top w:val="single" w:sz="4" w:space="0" w:color="auto"/>
              <w:bottom w:val="single" w:sz="4" w:space="0" w:color="auto"/>
            </w:tcBorders>
            <w:shd w:val="clear" w:color="auto" w:fill="auto"/>
          </w:tcPr>
          <w:p w14:paraId="4603941F" w14:textId="08919B2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52.3%</w:t>
            </w:r>
          </w:p>
        </w:tc>
        <w:tc>
          <w:tcPr>
            <w:tcW w:w="687" w:type="dxa"/>
            <w:tcBorders>
              <w:top w:val="single" w:sz="4" w:space="0" w:color="auto"/>
              <w:bottom w:val="single" w:sz="4" w:space="0" w:color="auto"/>
            </w:tcBorders>
            <w:shd w:val="clear" w:color="auto" w:fill="auto"/>
          </w:tcPr>
          <w:p w14:paraId="125644FA" w14:textId="54FB1E0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77.6%</w:t>
            </w:r>
          </w:p>
        </w:tc>
        <w:tc>
          <w:tcPr>
            <w:tcW w:w="688" w:type="dxa"/>
            <w:tcBorders>
              <w:top w:val="single" w:sz="4" w:space="0" w:color="auto"/>
              <w:bottom w:val="single" w:sz="4" w:space="0" w:color="auto"/>
            </w:tcBorders>
            <w:shd w:val="clear" w:color="auto" w:fill="auto"/>
          </w:tcPr>
          <w:p w14:paraId="12A0EAE3" w14:textId="40BC0F7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2.1%</w:t>
            </w:r>
          </w:p>
        </w:tc>
        <w:tc>
          <w:tcPr>
            <w:tcW w:w="688" w:type="dxa"/>
            <w:tcBorders>
              <w:top w:val="single" w:sz="4" w:space="0" w:color="auto"/>
              <w:bottom w:val="single" w:sz="4" w:space="0" w:color="auto"/>
            </w:tcBorders>
          </w:tcPr>
          <w:p w14:paraId="425FC58E" w14:textId="09A9498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6F2AB02D" w14:textId="3E7693F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06190E" w:rsidRPr="00956209" w14:paraId="34D16709"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26FCF82" w14:textId="4D52B531" w:rsidR="00CC5764" w:rsidRPr="002E05DB" w:rsidRDefault="00CC5764" w:rsidP="00A60C18">
            <w:pPr>
              <w:rPr>
                <w:b w:val="0"/>
              </w:rPr>
            </w:pPr>
            <w:r w:rsidRPr="002E05DB">
              <w:t>Ballarat Base Hospital</w:t>
            </w:r>
          </w:p>
        </w:tc>
        <w:tc>
          <w:tcPr>
            <w:tcW w:w="825" w:type="dxa"/>
            <w:tcBorders>
              <w:top w:val="single" w:sz="4" w:space="0" w:color="auto"/>
              <w:bottom w:val="single" w:sz="4" w:space="0" w:color="auto"/>
            </w:tcBorders>
          </w:tcPr>
          <w:p w14:paraId="7678928D" w14:textId="78FE09F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0A9B33BF" w14:textId="44D0470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1,474</w:t>
            </w:r>
          </w:p>
        </w:tc>
        <w:tc>
          <w:tcPr>
            <w:tcW w:w="688" w:type="dxa"/>
            <w:tcBorders>
              <w:top w:val="single" w:sz="4" w:space="0" w:color="auto"/>
              <w:bottom w:val="single" w:sz="4" w:space="0" w:color="auto"/>
            </w:tcBorders>
            <w:shd w:val="clear" w:color="auto" w:fill="auto"/>
          </w:tcPr>
          <w:p w14:paraId="7F1CD810" w14:textId="0541C7B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28.7%</w:t>
            </w:r>
          </w:p>
        </w:tc>
        <w:tc>
          <w:tcPr>
            <w:tcW w:w="687" w:type="dxa"/>
            <w:tcBorders>
              <w:top w:val="single" w:sz="4" w:space="0" w:color="auto"/>
              <w:bottom w:val="single" w:sz="4" w:space="0" w:color="auto"/>
            </w:tcBorders>
            <w:shd w:val="clear" w:color="auto" w:fill="auto"/>
          </w:tcPr>
          <w:p w14:paraId="1099C810" w14:textId="479767B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50041C">
              <w:t>14.6%</w:t>
            </w:r>
          </w:p>
        </w:tc>
        <w:tc>
          <w:tcPr>
            <w:tcW w:w="688" w:type="dxa"/>
            <w:tcBorders>
              <w:top w:val="single" w:sz="4" w:space="0" w:color="auto"/>
              <w:bottom w:val="single" w:sz="4" w:space="0" w:color="auto"/>
            </w:tcBorders>
            <w:shd w:val="clear" w:color="auto" w:fill="auto"/>
          </w:tcPr>
          <w:p w14:paraId="769CD72A" w14:textId="1673703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31.0%</w:t>
            </w:r>
          </w:p>
        </w:tc>
        <w:tc>
          <w:tcPr>
            <w:tcW w:w="688" w:type="dxa"/>
            <w:tcBorders>
              <w:top w:val="single" w:sz="4" w:space="0" w:color="auto"/>
              <w:bottom w:val="single" w:sz="4" w:space="0" w:color="auto"/>
            </w:tcBorders>
            <w:shd w:val="clear" w:color="auto" w:fill="auto"/>
          </w:tcPr>
          <w:p w14:paraId="79F75FCA" w14:textId="65A59EF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2.2%</w:t>
            </w:r>
          </w:p>
        </w:tc>
        <w:tc>
          <w:tcPr>
            <w:tcW w:w="687" w:type="dxa"/>
            <w:tcBorders>
              <w:top w:val="single" w:sz="4" w:space="0" w:color="auto"/>
              <w:bottom w:val="single" w:sz="4" w:space="0" w:color="auto"/>
            </w:tcBorders>
            <w:shd w:val="clear" w:color="auto" w:fill="auto"/>
          </w:tcPr>
          <w:p w14:paraId="2222BA33" w14:textId="1DCF41A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4.4%</w:t>
            </w:r>
          </w:p>
        </w:tc>
        <w:tc>
          <w:tcPr>
            <w:tcW w:w="688" w:type="dxa"/>
            <w:tcBorders>
              <w:top w:val="single" w:sz="4" w:space="0" w:color="auto"/>
              <w:bottom w:val="single" w:sz="4" w:space="0" w:color="auto"/>
            </w:tcBorders>
            <w:shd w:val="clear" w:color="auto" w:fill="auto"/>
          </w:tcPr>
          <w:p w14:paraId="294E0D12" w14:textId="331706D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11.6%</w:t>
            </w:r>
          </w:p>
        </w:tc>
        <w:tc>
          <w:tcPr>
            <w:tcW w:w="688" w:type="dxa"/>
            <w:tcBorders>
              <w:top w:val="single" w:sz="4" w:space="0" w:color="auto"/>
              <w:bottom w:val="single" w:sz="4" w:space="0" w:color="auto"/>
            </w:tcBorders>
            <w:shd w:val="clear" w:color="auto" w:fill="auto"/>
          </w:tcPr>
          <w:p w14:paraId="32583D83" w14:textId="156EA8D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26.3%</w:t>
            </w:r>
          </w:p>
        </w:tc>
        <w:tc>
          <w:tcPr>
            <w:tcW w:w="688" w:type="dxa"/>
            <w:tcBorders>
              <w:top w:val="single" w:sz="4" w:space="0" w:color="auto"/>
              <w:bottom w:val="single" w:sz="4" w:space="0" w:color="auto"/>
            </w:tcBorders>
            <w:shd w:val="clear" w:color="auto" w:fill="auto"/>
          </w:tcPr>
          <w:p w14:paraId="7E3C997C" w14:textId="5150438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w:t>
            </w:r>
          </w:p>
        </w:tc>
        <w:tc>
          <w:tcPr>
            <w:tcW w:w="687" w:type="dxa"/>
            <w:tcBorders>
              <w:top w:val="single" w:sz="4" w:space="0" w:color="auto"/>
              <w:bottom w:val="single" w:sz="4" w:space="0" w:color="auto"/>
            </w:tcBorders>
            <w:shd w:val="clear" w:color="auto" w:fill="auto"/>
          </w:tcPr>
          <w:p w14:paraId="75D93483" w14:textId="0F3B82D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3.1%</w:t>
            </w:r>
          </w:p>
        </w:tc>
        <w:tc>
          <w:tcPr>
            <w:tcW w:w="688" w:type="dxa"/>
            <w:tcBorders>
              <w:top w:val="single" w:sz="4" w:space="0" w:color="auto"/>
              <w:bottom w:val="single" w:sz="4" w:space="0" w:color="auto"/>
            </w:tcBorders>
            <w:shd w:val="clear" w:color="auto" w:fill="auto"/>
          </w:tcPr>
          <w:p w14:paraId="28C07935" w14:textId="7916273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6.1%</w:t>
            </w:r>
          </w:p>
        </w:tc>
        <w:tc>
          <w:tcPr>
            <w:tcW w:w="688" w:type="dxa"/>
            <w:tcBorders>
              <w:top w:val="single" w:sz="4" w:space="0" w:color="auto"/>
              <w:bottom w:val="single" w:sz="4" w:space="0" w:color="auto"/>
            </w:tcBorders>
            <w:shd w:val="clear" w:color="auto" w:fill="auto"/>
          </w:tcPr>
          <w:p w14:paraId="7AF6A437" w14:textId="61EAADD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12.3%</w:t>
            </w:r>
          </w:p>
        </w:tc>
        <w:tc>
          <w:tcPr>
            <w:tcW w:w="687" w:type="dxa"/>
            <w:tcBorders>
              <w:top w:val="single" w:sz="4" w:space="0" w:color="auto"/>
              <w:bottom w:val="single" w:sz="4" w:space="0" w:color="auto"/>
            </w:tcBorders>
            <w:shd w:val="clear" w:color="auto" w:fill="auto"/>
          </w:tcPr>
          <w:p w14:paraId="6306DA7F" w14:textId="031CC52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3139FC">
              <w:t>1.8%</w:t>
            </w:r>
          </w:p>
        </w:tc>
        <w:tc>
          <w:tcPr>
            <w:tcW w:w="688" w:type="dxa"/>
            <w:tcBorders>
              <w:top w:val="single" w:sz="4" w:space="0" w:color="auto"/>
              <w:bottom w:val="single" w:sz="4" w:space="0" w:color="auto"/>
            </w:tcBorders>
            <w:shd w:val="clear" w:color="auto" w:fill="auto"/>
          </w:tcPr>
          <w:p w14:paraId="18F9388B" w14:textId="01C39EF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79.7%</w:t>
            </w:r>
          </w:p>
        </w:tc>
        <w:tc>
          <w:tcPr>
            <w:tcW w:w="688" w:type="dxa"/>
            <w:tcBorders>
              <w:top w:val="single" w:sz="4" w:space="0" w:color="auto"/>
              <w:bottom w:val="single" w:sz="4" w:space="0" w:color="auto"/>
            </w:tcBorders>
            <w:shd w:val="clear" w:color="auto" w:fill="auto"/>
          </w:tcPr>
          <w:p w14:paraId="2BFAF062" w14:textId="48B7307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54.8%</w:t>
            </w:r>
          </w:p>
        </w:tc>
        <w:tc>
          <w:tcPr>
            <w:tcW w:w="687" w:type="dxa"/>
            <w:tcBorders>
              <w:top w:val="single" w:sz="4" w:space="0" w:color="auto"/>
              <w:bottom w:val="single" w:sz="4" w:space="0" w:color="auto"/>
            </w:tcBorders>
            <w:shd w:val="clear" w:color="auto" w:fill="auto"/>
          </w:tcPr>
          <w:p w14:paraId="54E4A8CE" w14:textId="36CC47C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82.7%</w:t>
            </w:r>
          </w:p>
        </w:tc>
        <w:tc>
          <w:tcPr>
            <w:tcW w:w="688" w:type="dxa"/>
            <w:tcBorders>
              <w:top w:val="single" w:sz="4" w:space="0" w:color="auto"/>
              <w:bottom w:val="single" w:sz="4" w:space="0" w:color="auto"/>
            </w:tcBorders>
            <w:shd w:val="clear" w:color="auto" w:fill="auto"/>
          </w:tcPr>
          <w:p w14:paraId="632CD26E" w14:textId="55EA99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1.4%</w:t>
            </w:r>
          </w:p>
        </w:tc>
        <w:tc>
          <w:tcPr>
            <w:tcW w:w="688" w:type="dxa"/>
            <w:tcBorders>
              <w:top w:val="single" w:sz="4" w:space="0" w:color="auto"/>
              <w:bottom w:val="single" w:sz="4" w:space="0" w:color="auto"/>
            </w:tcBorders>
          </w:tcPr>
          <w:p w14:paraId="4991BFDE" w14:textId="23FF4A7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777A95CA" w14:textId="13D7910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w:t>
            </w:r>
          </w:p>
        </w:tc>
      </w:tr>
      <w:tr w:rsidR="0006190E" w:rsidRPr="00956209" w14:paraId="45ED1DB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E938CB5" w14:textId="4FE40B1E" w:rsidR="00CC5764" w:rsidRPr="002E05DB" w:rsidRDefault="00CC5764" w:rsidP="00A60C18">
            <w:pPr>
              <w:rPr>
                <w:b w:val="0"/>
              </w:rPr>
            </w:pPr>
            <w:r w:rsidRPr="002E05DB">
              <w:t>Goulburn Valley Health (Shepparton)</w:t>
            </w:r>
          </w:p>
        </w:tc>
        <w:tc>
          <w:tcPr>
            <w:tcW w:w="825" w:type="dxa"/>
            <w:tcBorders>
              <w:top w:val="single" w:sz="4" w:space="0" w:color="auto"/>
              <w:bottom w:val="single" w:sz="4" w:space="0" w:color="auto"/>
            </w:tcBorders>
          </w:tcPr>
          <w:p w14:paraId="2D89F870" w14:textId="7A8B599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210C9DC2" w14:textId="4EF99C1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968</w:t>
            </w:r>
          </w:p>
        </w:tc>
        <w:tc>
          <w:tcPr>
            <w:tcW w:w="688" w:type="dxa"/>
            <w:tcBorders>
              <w:top w:val="single" w:sz="4" w:space="0" w:color="auto"/>
              <w:bottom w:val="single" w:sz="4" w:space="0" w:color="auto"/>
            </w:tcBorders>
            <w:shd w:val="clear" w:color="auto" w:fill="auto"/>
          </w:tcPr>
          <w:p w14:paraId="7C0CD05F" w14:textId="58E6509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5.2%</w:t>
            </w:r>
          </w:p>
        </w:tc>
        <w:tc>
          <w:tcPr>
            <w:tcW w:w="687" w:type="dxa"/>
            <w:tcBorders>
              <w:top w:val="single" w:sz="4" w:space="0" w:color="auto"/>
              <w:bottom w:val="single" w:sz="4" w:space="0" w:color="auto"/>
            </w:tcBorders>
            <w:shd w:val="clear" w:color="auto" w:fill="auto"/>
          </w:tcPr>
          <w:p w14:paraId="12A2D5DC" w14:textId="16AF4F3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21.9%</w:t>
            </w:r>
          </w:p>
        </w:tc>
        <w:tc>
          <w:tcPr>
            <w:tcW w:w="688" w:type="dxa"/>
            <w:tcBorders>
              <w:top w:val="single" w:sz="4" w:space="0" w:color="auto"/>
              <w:bottom w:val="single" w:sz="4" w:space="0" w:color="auto"/>
            </w:tcBorders>
            <w:shd w:val="clear" w:color="auto" w:fill="auto"/>
          </w:tcPr>
          <w:p w14:paraId="0BF30A74" w14:textId="5E7F6D1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41.2%</w:t>
            </w:r>
          </w:p>
        </w:tc>
        <w:tc>
          <w:tcPr>
            <w:tcW w:w="688" w:type="dxa"/>
            <w:tcBorders>
              <w:top w:val="single" w:sz="4" w:space="0" w:color="auto"/>
              <w:bottom w:val="single" w:sz="4" w:space="0" w:color="auto"/>
            </w:tcBorders>
            <w:shd w:val="clear" w:color="auto" w:fill="auto"/>
          </w:tcPr>
          <w:p w14:paraId="05E4BA18" w14:textId="5989D3D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4.9%</w:t>
            </w:r>
          </w:p>
        </w:tc>
        <w:tc>
          <w:tcPr>
            <w:tcW w:w="687" w:type="dxa"/>
            <w:tcBorders>
              <w:top w:val="single" w:sz="4" w:space="0" w:color="auto"/>
              <w:bottom w:val="single" w:sz="4" w:space="0" w:color="auto"/>
            </w:tcBorders>
            <w:shd w:val="clear" w:color="auto" w:fill="auto"/>
          </w:tcPr>
          <w:p w14:paraId="32C3D5CE" w14:textId="1790C4F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1.4%</w:t>
            </w:r>
          </w:p>
        </w:tc>
        <w:tc>
          <w:tcPr>
            <w:tcW w:w="688" w:type="dxa"/>
            <w:tcBorders>
              <w:top w:val="single" w:sz="4" w:space="0" w:color="auto"/>
              <w:bottom w:val="single" w:sz="4" w:space="0" w:color="auto"/>
            </w:tcBorders>
            <w:shd w:val="clear" w:color="auto" w:fill="auto"/>
          </w:tcPr>
          <w:p w14:paraId="1DEE0453" w14:textId="27DFD8E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14.9%</w:t>
            </w:r>
          </w:p>
        </w:tc>
        <w:tc>
          <w:tcPr>
            <w:tcW w:w="688" w:type="dxa"/>
            <w:tcBorders>
              <w:top w:val="single" w:sz="4" w:space="0" w:color="auto"/>
              <w:bottom w:val="single" w:sz="4" w:space="0" w:color="auto"/>
            </w:tcBorders>
            <w:shd w:val="clear" w:color="auto" w:fill="auto"/>
          </w:tcPr>
          <w:p w14:paraId="4F289860" w14:textId="51909B6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835CEE">
              <w:t>17.6%</w:t>
            </w:r>
          </w:p>
        </w:tc>
        <w:tc>
          <w:tcPr>
            <w:tcW w:w="688" w:type="dxa"/>
            <w:tcBorders>
              <w:top w:val="single" w:sz="4" w:space="0" w:color="auto"/>
              <w:bottom w:val="single" w:sz="4" w:space="0" w:color="auto"/>
            </w:tcBorders>
            <w:shd w:val="clear" w:color="auto" w:fill="auto"/>
          </w:tcPr>
          <w:p w14:paraId="636A8BDD" w14:textId="33A608C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w:t>
            </w:r>
          </w:p>
        </w:tc>
        <w:tc>
          <w:tcPr>
            <w:tcW w:w="687" w:type="dxa"/>
            <w:tcBorders>
              <w:top w:val="single" w:sz="4" w:space="0" w:color="auto"/>
              <w:bottom w:val="single" w:sz="4" w:space="0" w:color="auto"/>
            </w:tcBorders>
            <w:shd w:val="clear" w:color="auto" w:fill="auto"/>
          </w:tcPr>
          <w:p w14:paraId="09849A32" w14:textId="03AB455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1.7%</w:t>
            </w:r>
          </w:p>
        </w:tc>
        <w:tc>
          <w:tcPr>
            <w:tcW w:w="688" w:type="dxa"/>
            <w:tcBorders>
              <w:top w:val="single" w:sz="4" w:space="0" w:color="auto"/>
              <w:bottom w:val="single" w:sz="4" w:space="0" w:color="auto"/>
            </w:tcBorders>
            <w:shd w:val="clear" w:color="auto" w:fill="auto"/>
          </w:tcPr>
          <w:p w14:paraId="3F1C1BC6" w14:textId="5C8EB6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4.0%</w:t>
            </w:r>
          </w:p>
        </w:tc>
        <w:tc>
          <w:tcPr>
            <w:tcW w:w="688" w:type="dxa"/>
            <w:tcBorders>
              <w:top w:val="single" w:sz="4" w:space="0" w:color="auto"/>
              <w:bottom w:val="single" w:sz="4" w:space="0" w:color="auto"/>
            </w:tcBorders>
            <w:shd w:val="clear" w:color="auto" w:fill="auto"/>
          </w:tcPr>
          <w:p w14:paraId="346249D5" w14:textId="69EBD09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490FC8">
              <w:t>20.2%</w:t>
            </w:r>
          </w:p>
        </w:tc>
        <w:tc>
          <w:tcPr>
            <w:tcW w:w="687" w:type="dxa"/>
            <w:tcBorders>
              <w:top w:val="single" w:sz="4" w:space="0" w:color="auto"/>
              <w:bottom w:val="single" w:sz="4" w:space="0" w:color="auto"/>
            </w:tcBorders>
            <w:shd w:val="clear" w:color="auto" w:fill="auto"/>
          </w:tcPr>
          <w:p w14:paraId="39B72E1F" w14:textId="16AE1AF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w:t>
            </w:r>
          </w:p>
        </w:tc>
        <w:tc>
          <w:tcPr>
            <w:tcW w:w="688" w:type="dxa"/>
            <w:tcBorders>
              <w:top w:val="single" w:sz="4" w:space="0" w:color="auto"/>
              <w:bottom w:val="single" w:sz="4" w:space="0" w:color="auto"/>
            </w:tcBorders>
            <w:shd w:val="clear" w:color="auto" w:fill="auto"/>
          </w:tcPr>
          <w:p w14:paraId="43712883" w14:textId="304CE4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69.6%</w:t>
            </w:r>
          </w:p>
        </w:tc>
        <w:tc>
          <w:tcPr>
            <w:tcW w:w="688" w:type="dxa"/>
            <w:tcBorders>
              <w:top w:val="single" w:sz="4" w:space="0" w:color="auto"/>
              <w:bottom w:val="single" w:sz="4" w:space="0" w:color="auto"/>
            </w:tcBorders>
            <w:shd w:val="clear" w:color="auto" w:fill="auto"/>
          </w:tcPr>
          <w:p w14:paraId="672C0DD8" w14:textId="10DE1EE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42.6%</w:t>
            </w:r>
          </w:p>
        </w:tc>
        <w:tc>
          <w:tcPr>
            <w:tcW w:w="687" w:type="dxa"/>
            <w:tcBorders>
              <w:top w:val="single" w:sz="4" w:space="0" w:color="auto"/>
              <w:bottom w:val="single" w:sz="4" w:space="0" w:color="auto"/>
            </w:tcBorders>
            <w:shd w:val="clear" w:color="auto" w:fill="auto"/>
          </w:tcPr>
          <w:p w14:paraId="201BF2A9" w14:textId="34547D1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0F32AD">
              <w:t>74.0%</w:t>
            </w:r>
          </w:p>
        </w:tc>
        <w:tc>
          <w:tcPr>
            <w:tcW w:w="688" w:type="dxa"/>
            <w:tcBorders>
              <w:top w:val="single" w:sz="4" w:space="0" w:color="auto"/>
              <w:bottom w:val="single" w:sz="4" w:space="0" w:color="auto"/>
            </w:tcBorders>
            <w:shd w:val="clear" w:color="auto" w:fill="auto"/>
          </w:tcPr>
          <w:p w14:paraId="6B38F30A" w14:textId="284F371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2.1%</w:t>
            </w:r>
          </w:p>
        </w:tc>
        <w:tc>
          <w:tcPr>
            <w:tcW w:w="688" w:type="dxa"/>
            <w:tcBorders>
              <w:top w:val="single" w:sz="4" w:space="0" w:color="auto"/>
              <w:bottom w:val="single" w:sz="4" w:space="0" w:color="auto"/>
            </w:tcBorders>
          </w:tcPr>
          <w:p w14:paraId="02D0C8F0" w14:textId="02014A7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1EB94DDF" w14:textId="0693952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06190E" w:rsidRPr="00956209" w14:paraId="6FAD76DB"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DF56701" w14:textId="66CD9052" w:rsidR="00CC5764" w:rsidRPr="002E05DB" w:rsidRDefault="00CC5764" w:rsidP="00A60C18">
            <w:pPr>
              <w:rPr>
                <w:b w:val="0"/>
              </w:rPr>
            </w:pPr>
            <w:r w:rsidRPr="002E05DB">
              <w:t>Latrobe Regional Hospital</w:t>
            </w:r>
          </w:p>
        </w:tc>
        <w:tc>
          <w:tcPr>
            <w:tcW w:w="825" w:type="dxa"/>
            <w:tcBorders>
              <w:top w:val="single" w:sz="4" w:space="0" w:color="auto"/>
              <w:bottom w:val="single" w:sz="4" w:space="0" w:color="auto"/>
            </w:tcBorders>
          </w:tcPr>
          <w:p w14:paraId="5A7D6B47" w14:textId="77268F7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tcBorders>
              <w:top w:val="single" w:sz="4" w:space="0" w:color="auto"/>
              <w:bottom w:val="single" w:sz="4" w:space="0" w:color="auto"/>
            </w:tcBorders>
          </w:tcPr>
          <w:p w14:paraId="18895B70" w14:textId="1D5BAD0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850</w:t>
            </w:r>
          </w:p>
        </w:tc>
        <w:tc>
          <w:tcPr>
            <w:tcW w:w="688" w:type="dxa"/>
            <w:tcBorders>
              <w:top w:val="single" w:sz="4" w:space="0" w:color="auto"/>
              <w:bottom w:val="single" w:sz="4" w:space="0" w:color="auto"/>
            </w:tcBorders>
            <w:shd w:val="clear" w:color="auto" w:fill="auto"/>
          </w:tcPr>
          <w:p w14:paraId="68858697" w14:textId="610A319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7.5%</w:t>
            </w:r>
          </w:p>
        </w:tc>
        <w:tc>
          <w:tcPr>
            <w:tcW w:w="687" w:type="dxa"/>
            <w:tcBorders>
              <w:top w:val="single" w:sz="4" w:space="0" w:color="auto"/>
              <w:bottom w:val="single" w:sz="4" w:space="0" w:color="auto"/>
            </w:tcBorders>
            <w:shd w:val="clear" w:color="auto" w:fill="auto"/>
          </w:tcPr>
          <w:p w14:paraId="658943D1" w14:textId="5F1C9F2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18.4%</w:t>
            </w:r>
          </w:p>
        </w:tc>
        <w:tc>
          <w:tcPr>
            <w:tcW w:w="688" w:type="dxa"/>
            <w:tcBorders>
              <w:top w:val="single" w:sz="4" w:space="0" w:color="auto"/>
              <w:bottom w:val="single" w:sz="4" w:space="0" w:color="auto"/>
            </w:tcBorders>
            <w:shd w:val="clear" w:color="auto" w:fill="auto"/>
          </w:tcPr>
          <w:p w14:paraId="5DFB9785" w14:textId="68138C3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33.8%</w:t>
            </w:r>
          </w:p>
        </w:tc>
        <w:tc>
          <w:tcPr>
            <w:tcW w:w="688" w:type="dxa"/>
            <w:tcBorders>
              <w:top w:val="single" w:sz="4" w:space="0" w:color="auto"/>
              <w:bottom w:val="single" w:sz="4" w:space="0" w:color="auto"/>
            </w:tcBorders>
            <w:shd w:val="clear" w:color="auto" w:fill="auto"/>
          </w:tcPr>
          <w:p w14:paraId="17F0A70E" w14:textId="50F5FD8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4.5%</w:t>
            </w:r>
          </w:p>
        </w:tc>
        <w:tc>
          <w:tcPr>
            <w:tcW w:w="687" w:type="dxa"/>
            <w:tcBorders>
              <w:top w:val="single" w:sz="4" w:space="0" w:color="auto"/>
              <w:bottom w:val="single" w:sz="4" w:space="0" w:color="auto"/>
            </w:tcBorders>
            <w:shd w:val="clear" w:color="auto" w:fill="auto"/>
          </w:tcPr>
          <w:p w14:paraId="0645807B" w14:textId="080C1A0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4.3%</w:t>
            </w:r>
          </w:p>
        </w:tc>
        <w:tc>
          <w:tcPr>
            <w:tcW w:w="688" w:type="dxa"/>
            <w:tcBorders>
              <w:top w:val="single" w:sz="4" w:space="0" w:color="auto"/>
              <w:bottom w:val="single" w:sz="4" w:space="0" w:color="auto"/>
            </w:tcBorders>
            <w:shd w:val="clear" w:color="auto" w:fill="auto"/>
          </w:tcPr>
          <w:p w14:paraId="335EB198" w14:textId="5350682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14.7%</w:t>
            </w:r>
          </w:p>
        </w:tc>
        <w:tc>
          <w:tcPr>
            <w:tcW w:w="688" w:type="dxa"/>
            <w:tcBorders>
              <w:top w:val="single" w:sz="4" w:space="0" w:color="auto"/>
              <w:bottom w:val="single" w:sz="4" w:space="0" w:color="auto"/>
            </w:tcBorders>
            <w:shd w:val="clear" w:color="auto" w:fill="auto"/>
          </w:tcPr>
          <w:p w14:paraId="52CFF5ED" w14:textId="4EB8443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25.0%</w:t>
            </w:r>
          </w:p>
        </w:tc>
        <w:tc>
          <w:tcPr>
            <w:tcW w:w="688" w:type="dxa"/>
            <w:tcBorders>
              <w:top w:val="single" w:sz="4" w:space="0" w:color="auto"/>
              <w:bottom w:val="single" w:sz="4" w:space="0" w:color="auto"/>
            </w:tcBorders>
            <w:shd w:val="clear" w:color="auto" w:fill="auto"/>
          </w:tcPr>
          <w:p w14:paraId="0F1A598C" w14:textId="0E1D8D4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w:t>
            </w:r>
          </w:p>
        </w:tc>
        <w:tc>
          <w:tcPr>
            <w:tcW w:w="687" w:type="dxa"/>
            <w:tcBorders>
              <w:top w:val="single" w:sz="4" w:space="0" w:color="auto"/>
              <w:bottom w:val="single" w:sz="4" w:space="0" w:color="auto"/>
            </w:tcBorders>
            <w:shd w:val="clear" w:color="auto" w:fill="auto"/>
          </w:tcPr>
          <w:p w14:paraId="00E9F82D" w14:textId="1EC0D4F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2.1%</w:t>
            </w:r>
          </w:p>
        </w:tc>
        <w:tc>
          <w:tcPr>
            <w:tcW w:w="688" w:type="dxa"/>
            <w:tcBorders>
              <w:top w:val="single" w:sz="4" w:space="0" w:color="auto"/>
              <w:bottom w:val="single" w:sz="4" w:space="0" w:color="auto"/>
            </w:tcBorders>
            <w:shd w:val="clear" w:color="auto" w:fill="auto"/>
          </w:tcPr>
          <w:p w14:paraId="2AE27F2F" w14:textId="66B63C0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3.5%</w:t>
            </w:r>
          </w:p>
        </w:tc>
        <w:tc>
          <w:tcPr>
            <w:tcW w:w="688" w:type="dxa"/>
            <w:tcBorders>
              <w:top w:val="single" w:sz="4" w:space="0" w:color="auto"/>
              <w:bottom w:val="single" w:sz="4" w:space="0" w:color="auto"/>
            </w:tcBorders>
            <w:shd w:val="clear" w:color="auto" w:fill="auto"/>
          </w:tcPr>
          <w:p w14:paraId="4E3607B0" w14:textId="782AAD6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490FC8">
              <w:t>15.7%</w:t>
            </w:r>
          </w:p>
        </w:tc>
        <w:tc>
          <w:tcPr>
            <w:tcW w:w="687" w:type="dxa"/>
            <w:tcBorders>
              <w:top w:val="single" w:sz="4" w:space="0" w:color="auto"/>
              <w:bottom w:val="single" w:sz="4" w:space="0" w:color="auto"/>
            </w:tcBorders>
            <w:shd w:val="clear" w:color="auto" w:fill="auto"/>
          </w:tcPr>
          <w:p w14:paraId="09D1D993" w14:textId="184ABA0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1.8%</w:t>
            </w:r>
          </w:p>
        </w:tc>
        <w:tc>
          <w:tcPr>
            <w:tcW w:w="688" w:type="dxa"/>
            <w:tcBorders>
              <w:top w:val="single" w:sz="4" w:space="0" w:color="auto"/>
              <w:bottom w:val="single" w:sz="4" w:space="0" w:color="auto"/>
            </w:tcBorders>
            <w:shd w:val="clear" w:color="auto" w:fill="auto"/>
          </w:tcPr>
          <w:p w14:paraId="5294841D" w14:textId="05CFA38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69.8%</w:t>
            </w:r>
          </w:p>
        </w:tc>
        <w:tc>
          <w:tcPr>
            <w:tcW w:w="688" w:type="dxa"/>
            <w:tcBorders>
              <w:top w:val="single" w:sz="4" w:space="0" w:color="auto"/>
              <w:bottom w:val="single" w:sz="4" w:space="0" w:color="auto"/>
            </w:tcBorders>
            <w:shd w:val="clear" w:color="auto" w:fill="auto"/>
          </w:tcPr>
          <w:p w14:paraId="269D30B7" w14:textId="09C1CEC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52.6%</w:t>
            </w:r>
          </w:p>
        </w:tc>
        <w:tc>
          <w:tcPr>
            <w:tcW w:w="687" w:type="dxa"/>
            <w:tcBorders>
              <w:top w:val="single" w:sz="4" w:space="0" w:color="auto"/>
              <w:bottom w:val="single" w:sz="4" w:space="0" w:color="auto"/>
            </w:tcBorders>
            <w:shd w:val="clear" w:color="auto" w:fill="auto"/>
          </w:tcPr>
          <w:p w14:paraId="7762B0B2" w14:textId="6B26ACD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62.8%</w:t>
            </w:r>
          </w:p>
        </w:tc>
        <w:tc>
          <w:tcPr>
            <w:tcW w:w="688" w:type="dxa"/>
            <w:tcBorders>
              <w:top w:val="single" w:sz="4" w:space="0" w:color="auto"/>
              <w:bottom w:val="single" w:sz="4" w:space="0" w:color="auto"/>
            </w:tcBorders>
            <w:shd w:val="clear" w:color="auto" w:fill="auto"/>
          </w:tcPr>
          <w:p w14:paraId="2021A32A" w14:textId="45C19A4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2.2%</w:t>
            </w:r>
          </w:p>
        </w:tc>
        <w:tc>
          <w:tcPr>
            <w:tcW w:w="688" w:type="dxa"/>
            <w:tcBorders>
              <w:top w:val="single" w:sz="4" w:space="0" w:color="auto"/>
              <w:bottom w:val="single" w:sz="4" w:space="0" w:color="auto"/>
            </w:tcBorders>
          </w:tcPr>
          <w:p w14:paraId="457D3788" w14:textId="2F49994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c>
          <w:tcPr>
            <w:tcW w:w="688" w:type="dxa"/>
            <w:gridSpan w:val="2"/>
            <w:tcBorders>
              <w:top w:val="single" w:sz="4" w:space="0" w:color="auto"/>
              <w:bottom w:val="single" w:sz="4" w:space="0" w:color="auto"/>
            </w:tcBorders>
          </w:tcPr>
          <w:p w14:paraId="6FC83BDD" w14:textId="3588E9D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06190E" w:rsidRPr="00956209" w14:paraId="5740A71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8A5E3E3" w14:textId="607FC2C8" w:rsidR="00CC5764" w:rsidRPr="002E05DB" w:rsidRDefault="00CC5764" w:rsidP="00A60C18">
            <w:pPr>
              <w:rPr>
                <w:b w:val="0"/>
              </w:rPr>
            </w:pPr>
            <w:r w:rsidRPr="002E05DB">
              <w:t>Werribee Mercy Hospital</w:t>
            </w:r>
          </w:p>
        </w:tc>
        <w:tc>
          <w:tcPr>
            <w:tcW w:w="825" w:type="dxa"/>
            <w:tcBorders>
              <w:top w:val="single" w:sz="4" w:space="0" w:color="auto"/>
              <w:bottom w:val="single" w:sz="4" w:space="0" w:color="auto"/>
            </w:tcBorders>
          </w:tcPr>
          <w:p w14:paraId="7F243E13" w14:textId="20605F2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2C6E4B1A" w14:textId="2C2F359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3,897</w:t>
            </w:r>
          </w:p>
        </w:tc>
        <w:tc>
          <w:tcPr>
            <w:tcW w:w="688" w:type="dxa"/>
            <w:tcBorders>
              <w:top w:val="single" w:sz="4" w:space="0" w:color="auto"/>
              <w:bottom w:val="single" w:sz="4" w:space="0" w:color="auto"/>
            </w:tcBorders>
            <w:shd w:val="clear" w:color="auto" w:fill="auto"/>
          </w:tcPr>
          <w:p w14:paraId="1E43E303" w14:textId="2A285E5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7.6%</w:t>
            </w:r>
          </w:p>
        </w:tc>
        <w:tc>
          <w:tcPr>
            <w:tcW w:w="687" w:type="dxa"/>
            <w:tcBorders>
              <w:top w:val="single" w:sz="4" w:space="0" w:color="auto"/>
              <w:bottom w:val="single" w:sz="4" w:space="0" w:color="auto"/>
            </w:tcBorders>
            <w:shd w:val="clear" w:color="auto" w:fill="auto"/>
          </w:tcPr>
          <w:p w14:paraId="2D68B744" w14:textId="69B8F49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28.3%</w:t>
            </w:r>
          </w:p>
        </w:tc>
        <w:tc>
          <w:tcPr>
            <w:tcW w:w="688" w:type="dxa"/>
            <w:tcBorders>
              <w:top w:val="single" w:sz="4" w:space="0" w:color="auto"/>
              <w:bottom w:val="single" w:sz="4" w:space="0" w:color="auto"/>
            </w:tcBorders>
            <w:shd w:val="clear" w:color="auto" w:fill="auto"/>
          </w:tcPr>
          <w:p w14:paraId="254B88FE" w14:textId="778B564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43.9%</w:t>
            </w:r>
          </w:p>
        </w:tc>
        <w:tc>
          <w:tcPr>
            <w:tcW w:w="688" w:type="dxa"/>
            <w:tcBorders>
              <w:top w:val="single" w:sz="4" w:space="0" w:color="auto"/>
              <w:bottom w:val="single" w:sz="4" w:space="0" w:color="auto"/>
            </w:tcBorders>
            <w:shd w:val="clear" w:color="auto" w:fill="auto"/>
          </w:tcPr>
          <w:p w14:paraId="5DD33138" w14:textId="37791E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56334D">
              <w:t>5.6%</w:t>
            </w:r>
          </w:p>
        </w:tc>
        <w:tc>
          <w:tcPr>
            <w:tcW w:w="687" w:type="dxa"/>
            <w:tcBorders>
              <w:top w:val="single" w:sz="4" w:space="0" w:color="auto"/>
              <w:bottom w:val="single" w:sz="4" w:space="0" w:color="auto"/>
            </w:tcBorders>
            <w:shd w:val="clear" w:color="auto" w:fill="auto"/>
          </w:tcPr>
          <w:p w14:paraId="0A140CFC" w14:textId="3C8B972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8.8%</w:t>
            </w:r>
          </w:p>
        </w:tc>
        <w:tc>
          <w:tcPr>
            <w:tcW w:w="688" w:type="dxa"/>
            <w:tcBorders>
              <w:top w:val="single" w:sz="4" w:space="0" w:color="auto"/>
              <w:bottom w:val="single" w:sz="4" w:space="0" w:color="auto"/>
            </w:tcBorders>
            <w:shd w:val="clear" w:color="auto" w:fill="auto"/>
          </w:tcPr>
          <w:p w14:paraId="3E42D8A5" w14:textId="5233B68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5.7%</w:t>
            </w:r>
          </w:p>
        </w:tc>
        <w:tc>
          <w:tcPr>
            <w:tcW w:w="688" w:type="dxa"/>
            <w:tcBorders>
              <w:top w:val="single" w:sz="4" w:space="0" w:color="auto"/>
              <w:bottom w:val="single" w:sz="4" w:space="0" w:color="auto"/>
            </w:tcBorders>
            <w:shd w:val="clear" w:color="auto" w:fill="auto"/>
          </w:tcPr>
          <w:p w14:paraId="257DF527" w14:textId="24EEF5D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15.9%</w:t>
            </w:r>
          </w:p>
        </w:tc>
        <w:tc>
          <w:tcPr>
            <w:tcW w:w="688" w:type="dxa"/>
            <w:tcBorders>
              <w:top w:val="single" w:sz="4" w:space="0" w:color="auto"/>
              <w:bottom w:val="single" w:sz="4" w:space="0" w:color="auto"/>
            </w:tcBorders>
            <w:shd w:val="clear" w:color="auto" w:fill="auto"/>
          </w:tcPr>
          <w:p w14:paraId="6C32B062" w14:textId="7E5A494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w:t>
            </w:r>
          </w:p>
        </w:tc>
        <w:tc>
          <w:tcPr>
            <w:tcW w:w="687" w:type="dxa"/>
            <w:tcBorders>
              <w:top w:val="single" w:sz="4" w:space="0" w:color="auto"/>
              <w:bottom w:val="single" w:sz="4" w:space="0" w:color="auto"/>
            </w:tcBorders>
            <w:shd w:val="clear" w:color="auto" w:fill="auto"/>
          </w:tcPr>
          <w:p w14:paraId="6FA589EC" w14:textId="68B9A1D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2.4%</w:t>
            </w:r>
          </w:p>
        </w:tc>
        <w:tc>
          <w:tcPr>
            <w:tcW w:w="688" w:type="dxa"/>
            <w:tcBorders>
              <w:top w:val="single" w:sz="4" w:space="0" w:color="auto"/>
              <w:bottom w:val="single" w:sz="4" w:space="0" w:color="auto"/>
            </w:tcBorders>
            <w:shd w:val="clear" w:color="auto" w:fill="auto"/>
          </w:tcPr>
          <w:p w14:paraId="3CA91959" w14:textId="3481F9B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3.5%</w:t>
            </w:r>
          </w:p>
        </w:tc>
        <w:tc>
          <w:tcPr>
            <w:tcW w:w="688" w:type="dxa"/>
            <w:tcBorders>
              <w:top w:val="single" w:sz="4" w:space="0" w:color="auto"/>
              <w:bottom w:val="single" w:sz="4" w:space="0" w:color="auto"/>
            </w:tcBorders>
            <w:shd w:val="clear" w:color="auto" w:fill="auto"/>
          </w:tcPr>
          <w:p w14:paraId="3E3E337D" w14:textId="7954AD3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12.4%</w:t>
            </w:r>
          </w:p>
        </w:tc>
        <w:tc>
          <w:tcPr>
            <w:tcW w:w="687" w:type="dxa"/>
            <w:tcBorders>
              <w:top w:val="single" w:sz="4" w:space="0" w:color="auto"/>
              <w:bottom w:val="single" w:sz="4" w:space="0" w:color="auto"/>
            </w:tcBorders>
            <w:shd w:val="clear" w:color="auto" w:fill="auto"/>
          </w:tcPr>
          <w:p w14:paraId="734A192D" w14:textId="40857CA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0.5%</w:t>
            </w:r>
          </w:p>
        </w:tc>
        <w:tc>
          <w:tcPr>
            <w:tcW w:w="688" w:type="dxa"/>
            <w:tcBorders>
              <w:top w:val="single" w:sz="4" w:space="0" w:color="auto"/>
              <w:bottom w:val="single" w:sz="4" w:space="0" w:color="auto"/>
            </w:tcBorders>
            <w:shd w:val="clear" w:color="auto" w:fill="auto"/>
          </w:tcPr>
          <w:p w14:paraId="7CB4BA39" w14:textId="5C0D027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78.8%</w:t>
            </w:r>
          </w:p>
        </w:tc>
        <w:tc>
          <w:tcPr>
            <w:tcW w:w="688" w:type="dxa"/>
            <w:tcBorders>
              <w:top w:val="single" w:sz="4" w:space="0" w:color="auto"/>
              <w:bottom w:val="single" w:sz="4" w:space="0" w:color="auto"/>
            </w:tcBorders>
            <w:shd w:val="clear" w:color="auto" w:fill="auto"/>
          </w:tcPr>
          <w:p w14:paraId="3C5905AF" w14:textId="7A25691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50.0%</w:t>
            </w:r>
          </w:p>
        </w:tc>
        <w:tc>
          <w:tcPr>
            <w:tcW w:w="687" w:type="dxa"/>
            <w:tcBorders>
              <w:top w:val="single" w:sz="4" w:space="0" w:color="auto"/>
              <w:bottom w:val="single" w:sz="4" w:space="0" w:color="auto"/>
            </w:tcBorders>
            <w:shd w:val="clear" w:color="auto" w:fill="auto"/>
          </w:tcPr>
          <w:p w14:paraId="3E3BD07C" w14:textId="083DCF4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70.4%</w:t>
            </w:r>
          </w:p>
        </w:tc>
        <w:tc>
          <w:tcPr>
            <w:tcW w:w="688" w:type="dxa"/>
            <w:tcBorders>
              <w:top w:val="single" w:sz="4" w:space="0" w:color="auto"/>
              <w:bottom w:val="single" w:sz="4" w:space="0" w:color="auto"/>
            </w:tcBorders>
            <w:shd w:val="clear" w:color="auto" w:fill="auto"/>
          </w:tcPr>
          <w:p w14:paraId="17B9EA95" w14:textId="4646BA7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2.2%</w:t>
            </w:r>
          </w:p>
        </w:tc>
        <w:tc>
          <w:tcPr>
            <w:tcW w:w="688" w:type="dxa"/>
            <w:tcBorders>
              <w:top w:val="single" w:sz="4" w:space="0" w:color="auto"/>
              <w:bottom w:val="single" w:sz="4" w:space="0" w:color="auto"/>
            </w:tcBorders>
          </w:tcPr>
          <w:p w14:paraId="52691F2F" w14:textId="226CBDA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25DE2BBD" w14:textId="40B56A2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w:t>
            </w:r>
          </w:p>
        </w:tc>
      </w:tr>
      <w:tr w:rsidR="00CC5764" w:rsidRPr="00956209" w14:paraId="5D2B0A1F"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F7B1F8B" w14:textId="0AB5CE2F" w:rsidR="00CC5764" w:rsidRPr="002E05DB" w:rsidRDefault="00CC5764" w:rsidP="00A60C18">
            <w:pPr>
              <w:rPr>
                <w:b w:val="0"/>
              </w:rPr>
            </w:pPr>
            <w:r w:rsidRPr="002E05DB">
              <w:t>Dandenong Hospital</w:t>
            </w:r>
          </w:p>
        </w:tc>
        <w:tc>
          <w:tcPr>
            <w:tcW w:w="825" w:type="dxa"/>
            <w:tcBorders>
              <w:top w:val="single" w:sz="4" w:space="0" w:color="auto"/>
              <w:bottom w:val="single" w:sz="4" w:space="0" w:color="auto"/>
            </w:tcBorders>
          </w:tcPr>
          <w:p w14:paraId="2175F3F6" w14:textId="7BB3922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451CDD63" w14:textId="32FABB0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2,633</w:t>
            </w:r>
          </w:p>
        </w:tc>
        <w:tc>
          <w:tcPr>
            <w:tcW w:w="688" w:type="dxa"/>
            <w:tcBorders>
              <w:top w:val="single" w:sz="4" w:space="0" w:color="auto"/>
              <w:bottom w:val="single" w:sz="4" w:space="0" w:color="auto"/>
            </w:tcBorders>
          </w:tcPr>
          <w:p w14:paraId="7F660191" w14:textId="57E60C3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5.8%</w:t>
            </w:r>
          </w:p>
        </w:tc>
        <w:tc>
          <w:tcPr>
            <w:tcW w:w="687" w:type="dxa"/>
            <w:tcBorders>
              <w:top w:val="single" w:sz="4" w:space="0" w:color="auto"/>
              <w:bottom w:val="single" w:sz="4" w:space="0" w:color="auto"/>
            </w:tcBorders>
          </w:tcPr>
          <w:p w14:paraId="07571961" w14:textId="2F70039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13.5%</w:t>
            </w:r>
          </w:p>
        </w:tc>
        <w:tc>
          <w:tcPr>
            <w:tcW w:w="688" w:type="dxa"/>
            <w:tcBorders>
              <w:top w:val="single" w:sz="4" w:space="0" w:color="auto"/>
              <w:bottom w:val="single" w:sz="4" w:space="0" w:color="auto"/>
            </w:tcBorders>
          </w:tcPr>
          <w:p w14:paraId="337561E6" w14:textId="774738C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29.9%</w:t>
            </w:r>
          </w:p>
        </w:tc>
        <w:tc>
          <w:tcPr>
            <w:tcW w:w="688" w:type="dxa"/>
            <w:tcBorders>
              <w:top w:val="single" w:sz="4" w:space="0" w:color="auto"/>
              <w:bottom w:val="single" w:sz="4" w:space="0" w:color="auto"/>
            </w:tcBorders>
          </w:tcPr>
          <w:p w14:paraId="39398F38" w14:textId="025A4AF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5.6%</w:t>
            </w:r>
          </w:p>
        </w:tc>
        <w:tc>
          <w:tcPr>
            <w:tcW w:w="687" w:type="dxa"/>
            <w:tcBorders>
              <w:top w:val="single" w:sz="4" w:space="0" w:color="auto"/>
              <w:bottom w:val="single" w:sz="4" w:space="0" w:color="auto"/>
            </w:tcBorders>
          </w:tcPr>
          <w:p w14:paraId="703828F0" w14:textId="5CF9C3C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8.3%</w:t>
            </w:r>
          </w:p>
        </w:tc>
        <w:tc>
          <w:tcPr>
            <w:tcW w:w="688" w:type="dxa"/>
            <w:tcBorders>
              <w:top w:val="single" w:sz="4" w:space="0" w:color="auto"/>
              <w:bottom w:val="single" w:sz="4" w:space="0" w:color="auto"/>
            </w:tcBorders>
          </w:tcPr>
          <w:p w14:paraId="358777F9" w14:textId="74D9C83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6.9%</w:t>
            </w:r>
          </w:p>
        </w:tc>
        <w:tc>
          <w:tcPr>
            <w:tcW w:w="688" w:type="dxa"/>
            <w:tcBorders>
              <w:top w:val="single" w:sz="4" w:space="0" w:color="auto"/>
              <w:bottom w:val="single" w:sz="4" w:space="0" w:color="auto"/>
            </w:tcBorders>
          </w:tcPr>
          <w:p w14:paraId="29125DCE" w14:textId="61E406E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27.3%</w:t>
            </w:r>
          </w:p>
        </w:tc>
        <w:tc>
          <w:tcPr>
            <w:tcW w:w="688" w:type="dxa"/>
            <w:tcBorders>
              <w:top w:val="single" w:sz="4" w:space="0" w:color="auto"/>
              <w:bottom w:val="single" w:sz="4" w:space="0" w:color="auto"/>
            </w:tcBorders>
          </w:tcPr>
          <w:p w14:paraId="40A57337" w14:textId="03E8D87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1.7</w:t>
            </w:r>
          </w:p>
        </w:tc>
        <w:tc>
          <w:tcPr>
            <w:tcW w:w="687" w:type="dxa"/>
            <w:tcBorders>
              <w:top w:val="single" w:sz="4" w:space="0" w:color="auto"/>
              <w:bottom w:val="single" w:sz="4" w:space="0" w:color="auto"/>
            </w:tcBorders>
          </w:tcPr>
          <w:p w14:paraId="2641D47B" w14:textId="16C4B78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1.8%</w:t>
            </w:r>
          </w:p>
        </w:tc>
        <w:tc>
          <w:tcPr>
            <w:tcW w:w="688" w:type="dxa"/>
            <w:tcBorders>
              <w:top w:val="single" w:sz="4" w:space="0" w:color="auto"/>
              <w:bottom w:val="single" w:sz="4" w:space="0" w:color="auto"/>
            </w:tcBorders>
          </w:tcPr>
          <w:p w14:paraId="468141CF" w14:textId="13C08FC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3.6%</w:t>
            </w:r>
          </w:p>
        </w:tc>
        <w:tc>
          <w:tcPr>
            <w:tcW w:w="688" w:type="dxa"/>
            <w:tcBorders>
              <w:top w:val="single" w:sz="4" w:space="0" w:color="auto"/>
              <w:bottom w:val="single" w:sz="4" w:space="0" w:color="auto"/>
            </w:tcBorders>
          </w:tcPr>
          <w:p w14:paraId="67C674D8" w14:textId="5D589CC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36.1%</w:t>
            </w:r>
          </w:p>
        </w:tc>
        <w:tc>
          <w:tcPr>
            <w:tcW w:w="687" w:type="dxa"/>
            <w:tcBorders>
              <w:top w:val="single" w:sz="4" w:space="0" w:color="auto"/>
              <w:bottom w:val="single" w:sz="4" w:space="0" w:color="auto"/>
            </w:tcBorders>
          </w:tcPr>
          <w:p w14:paraId="437D69B8" w14:textId="2B84910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0.8%</w:t>
            </w:r>
          </w:p>
        </w:tc>
        <w:tc>
          <w:tcPr>
            <w:tcW w:w="688" w:type="dxa"/>
            <w:tcBorders>
              <w:top w:val="single" w:sz="4" w:space="0" w:color="auto"/>
              <w:bottom w:val="single" w:sz="4" w:space="0" w:color="auto"/>
            </w:tcBorders>
          </w:tcPr>
          <w:p w14:paraId="3D4D9D39" w14:textId="17BCC5F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81.4%</w:t>
            </w:r>
          </w:p>
        </w:tc>
        <w:tc>
          <w:tcPr>
            <w:tcW w:w="688" w:type="dxa"/>
            <w:tcBorders>
              <w:top w:val="single" w:sz="4" w:space="0" w:color="auto"/>
              <w:bottom w:val="single" w:sz="4" w:space="0" w:color="auto"/>
            </w:tcBorders>
          </w:tcPr>
          <w:p w14:paraId="65956454" w14:textId="400330F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74706"/>
              </w:rPr>
            </w:pPr>
            <w:r w:rsidRPr="002E05DB">
              <w:t>61.6%</w:t>
            </w:r>
          </w:p>
        </w:tc>
        <w:tc>
          <w:tcPr>
            <w:tcW w:w="687" w:type="dxa"/>
            <w:tcBorders>
              <w:top w:val="single" w:sz="4" w:space="0" w:color="auto"/>
              <w:bottom w:val="single" w:sz="4" w:space="0" w:color="auto"/>
            </w:tcBorders>
          </w:tcPr>
          <w:p w14:paraId="2F36D571" w14:textId="557AD30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76.2%</w:t>
            </w:r>
          </w:p>
        </w:tc>
        <w:tc>
          <w:tcPr>
            <w:tcW w:w="688" w:type="dxa"/>
            <w:tcBorders>
              <w:top w:val="single" w:sz="4" w:space="0" w:color="auto"/>
              <w:bottom w:val="single" w:sz="4" w:space="0" w:color="auto"/>
            </w:tcBorders>
          </w:tcPr>
          <w:p w14:paraId="65A70B3E" w14:textId="63FE25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w:t>
            </w:r>
          </w:p>
        </w:tc>
        <w:tc>
          <w:tcPr>
            <w:tcW w:w="688" w:type="dxa"/>
            <w:tcBorders>
              <w:top w:val="single" w:sz="4" w:space="0" w:color="auto"/>
              <w:bottom w:val="single" w:sz="4" w:space="0" w:color="auto"/>
            </w:tcBorders>
          </w:tcPr>
          <w:p w14:paraId="54673665" w14:textId="27ECEDC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gridSpan w:val="2"/>
            <w:tcBorders>
              <w:top w:val="single" w:sz="4" w:space="0" w:color="auto"/>
              <w:bottom w:val="single" w:sz="4" w:space="0" w:color="auto"/>
            </w:tcBorders>
          </w:tcPr>
          <w:p w14:paraId="169E979C" w14:textId="476AC89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CC5764" w:rsidRPr="00956209" w14:paraId="3DC399E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7B6CD7B" w14:textId="7D8906EE" w:rsidR="00CC5764" w:rsidRPr="002E05DB" w:rsidRDefault="00CC5764" w:rsidP="00A60C18">
            <w:pPr>
              <w:rPr>
                <w:b w:val="0"/>
              </w:rPr>
            </w:pPr>
            <w:r w:rsidRPr="002E05DB">
              <w:t>Casey Hospital</w:t>
            </w:r>
          </w:p>
        </w:tc>
        <w:tc>
          <w:tcPr>
            <w:tcW w:w="825" w:type="dxa"/>
            <w:tcBorders>
              <w:top w:val="single" w:sz="4" w:space="0" w:color="auto"/>
              <w:bottom w:val="single" w:sz="4" w:space="0" w:color="auto"/>
            </w:tcBorders>
          </w:tcPr>
          <w:p w14:paraId="4AF5C69E" w14:textId="0CDBD16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51D17A8E" w14:textId="67FCF01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2,491</w:t>
            </w:r>
          </w:p>
        </w:tc>
        <w:tc>
          <w:tcPr>
            <w:tcW w:w="688" w:type="dxa"/>
            <w:tcBorders>
              <w:top w:val="single" w:sz="4" w:space="0" w:color="auto"/>
              <w:bottom w:val="single" w:sz="4" w:space="0" w:color="auto"/>
            </w:tcBorders>
          </w:tcPr>
          <w:p w14:paraId="6C578DA6" w14:textId="6D94CCB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6.7%</w:t>
            </w:r>
          </w:p>
        </w:tc>
        <w:tc>
          <w:tcPr>
            <w:tcW w:w="687" w:type="dxa"/>
            <w:tcBorders>
              <w:top w:val="single" w:sz="4" w:space="0" w:color="auto"/>
              <w:bottom w:val="single" w:sz="4" w:space="0" w:color="auto"/>
            </w:tcBorders>
          </w:tcPr>
          <w:p w14:paraId="75E20101" w14:textId="007DB70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16.8%</w:t>
            </w:r>
          </w:p>
        </w:tc>
        <w:tc>
          <w:tcPr>
            <w:tcW w:w="688" w:type="dxa"/>
            <w:tcBorders>
              <w:top w:val="single" w:sz="4" w:space="0" w:color="auto"/>
              <w:bottom w:val="single" w:sz="4" w:space="0" w:color="auto"/>
            </w:tcBorders>
          </w:tcPr>
          <w:p w14:paraId="7A4D6C2F" w14:textId="71E39D2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31.0%</w:t>
            </w:r>
          </w:p>
        </w:tc>
        <w:tc>
          <w:tcPr>
            <w:tcW w:w="688" w:type="dxa"/>
            <w:tcBorders>
              <w:top w:val="single" w:sz="4" w:space="0" w:color="auto"/>
              <w:bottom w:val="single" w:sz="4" w:space="0" w:color="auto"/>
            </w:tcBorders>
          </w:tcPr>
          <w:p w14:paraId="073C4BC7" w14:textId="441197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4.0%</w:t>
            </w:r>
          </w:p>
        </w:tc>
        <w:tc>
          <w:tcPr>
            <w:tcW w:w="687" w:type="dxa"/>
            <w:tcBorders>
              <w:top w:val="single" w:sz="4" w:space="0" w:color="auto"/>
              <w:bottom w:val="single" w:sz="4" w:space="0" w:color="auto"/>
            </w:tcBorders>
          </w:tcPr>
          <w:p w14:paraId="2F33B8C8" w14:textId="71DD7D1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7.3%</w:t>
            </w:r>
          </w:p>
        </w:tc>
        <w:tc>
          <w:tcPr>
            <w:tcW w:w="688" w:type="dxa"/>
            <w:tcBorders>
              <w:top w:val="single" w:sz="4" w:space="0" w:color="auto"/>
              <w:bottom w:val="single" w:sz="4" w:space="0" w:color="auto"/>
            </w:tcBorders>
          </w:tcPr>
          <w:p w14:paraId="6E449FEE" w14:textId="5915606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4.5%</w:t>
            </w:r>
          </w:p>
        </w:tc>
        <w:tc>
          <w:tcPr>
            <w:tcW w:w="688" w:type="dxa"/>
            <w:tcBorders>
              <w:top w:val="single" w:sz="4" w:space="0" w:color="auto"/>
              <w:bottom w:val="single" w:sz="4" w:space="0" w:color="auto"/>
            </w:tcBorders>
          </w:tcPr>
          <w:p w14:paraId="59B84E0B" w14:textId="2420495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26.9%</w:t>
            </w:r>
          </w:p>
        </w:tc>
        <w:tc>
          <w:tcPr>
            <w:tcW w:w="688" w:type="dxa"/>
            <w:tcBorders>
              <w:top w:val="single" w:sz="4" w:space="0" w:color="auto"/>
              <w:bottom w:val="single" w:sz="4" w:space="0" w:color="auto"/>
            </w:tcBorders>
          </w:tcPr>
          <w:p w14:paraId="0E96DB15" w14:textId="05A9E34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1.1</w:t>
            </w:r>
          </w:p>
        </w:tc>
        <w:tc>
          <w:tcPr>
            <w:tcW w:w="687" w:type="dxa"/>
            <w:tcBorders>
              <w:top w:val="single" w:sz="4" w:space="0" w:color="auto"/>
              <w:bottom w:val="single" w:sz="4" w:space="0" w:color="auto"/>
            </w:tcBorders>
          </w:tcPr>
          <w:p w14:paraId="4C5F7B5C" w14:textId="6181B4E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1.9%</w:t>
            </w:r>
          </w:p>
        </w:tc>
        <w:tc>
          <w:tcPr>
            <w:tcW w:w="688" w:type="dxa"/>
            <w:tcBorders>
              <w:top w:val="single" w:sz="4" w:space="0" w:color="auto"/>
              <w:bottom w:val="single" w:sz="4" w:space="0" w:color="auto"/>
            </w:tcBorders>
          </w:tcPr>
          <w:p w14:paraId="060C643F" w14:textId="4805B0A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4.2%</w:t>
            </w:r>
          </w:p>
        </w:tc>
        <w:tc>
          <w:tcPr>
            <w:tcW w:w="688" w:type="dxa"/>
            <w:tcBorders>
              <w:top w:val="single" w:sz="4" w:space="0" w:color="auto"/>
              <w:bottom w:val="single" w:sz="4" w:space="0" w:color="auto"/>
            </w:tcBorders>
          </w:tcPr>
          <w:p w14:paraId="246E86FA" w14:textId="1D579D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45.4%</w:t>
            </w:r>
          </w:p>
        </w:tc>
        <w:tc>
          <w:tcPr>
            <w:tcW w:w="687" w:type="dxa"/>
            <w:tcBorders>
              <w:top w:val="single" w:sz="4" w:space="0" w:color="auto"/>
              <w:bottom w:val="single" w:sz="4" w:space="0" w:color="auto"/>
            </w:tcBorders>
          </w:tcPr>
          <w:p w14:paraId="3F3CE03D" w14:textId="45427B1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E65A52">
              <w:t>1.3%</w:t>
            </w:r>
          </w:p>
        </w:tc>
        <w:tc>
          <w:tcPr>
            <w:tcW w:w="688" w:type="dxa"/>
            <w:tcBorders>
              <w:top w:val="single" w:sz="4" w:space="0" w:color="auto"/>
              <w:bottom w:val="single" w:sz="4" w:space="0" w:color="auto"/>
            </w:tcBorders>
          </w:tcPr>
          <w:p w14:paraId="1D735F93" w14:textId="2277F1C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82.9%</w:t>
            </w:r>
          </w:p>
        </w:tc>
        <w:tc>
          <w:tcPr>
            <w:tcW w:w="688" w:type="dxa"/>
            <w:tcBorders>
              <w:top w:val="single" w:sz="4" w:space="0" w:color="auto"/>
              <w:bottom w:val="single" w:sz="4" w:space="0" w:color="auto"/>
            </w:tcBorders>
          </w:tcPr>
          <w:p w14:paraId="6E2654F4" w14:textId="6E8408E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51.6%</w:t>
            </w:r>
          </w:p>
        </w:tc>
        <w:tc>
          <w:tcPr>
            <w:tcW w:w="687" w:type="dxa"/>
            <w:tcBorders>
              <w:top w:val="single" w:sz="4" w:space="0" w:color="auto"/>
              <w:bottom w:val="single" w:sz="4" w:space="0" w:color="auto"/>
            </w:tcBorders>
          </w:tcPr>
          <w:p w14:paraId="4F960A94" w14:textId="5A56986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74.6%</w:t>
            </w:r>
          </w:p>
        </w:tc>
        <w:tc>
          <w:tcPr>
            <w:tcW w:w="688" w:type="dxa"/>
            <w:tcBorders>
              <w:top w:val="single" w:sz="4" w:space="0" w:color="auto"/>
              <w:bottom w:val="single" w:sz="4" w:space="0" w:color="auto"/>
            </w:tcBorders>
          </w:tcPr>
          <w:p w14:paraId="4A20A602" w14:textId="4721857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2.9%</w:t>
            </w:r>
          </w:p>
        </w:tc>
        <w:tc>
          <w:tcPr>
            <w:tcW w:w="688" w:type="dxa"/>
            <w:tcBorders>
              <w:top w:val="single" w:sz="4" w:space="0" w:color="auto"/>
              <w:bottom w:val="single" w:sz="4" w:space="0" w:color="auto"/>
            </w:tcBorders>
          </w:tcPr>
          <w:p w14:paraId="618D7730" w14:textId="6C098B6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0B224BD3" w14:textId="4535ED9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w:t>
            </w:r>
          </w:p>
        </w:tc>
      </w:tr>
      <w:tr w:rsidR="00CC5764" w:rsidRPr="00956209" w14:paraId="5426EF8A"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8256A50" w14:textId="40E7DD52" w:rsidR="00CC5764" w:rsidRPr="002E05DB" w:rsidRDefault="00CC5764" w:rsidP="00A60C18">
            <w:pPr>
              <w:rPr>
                <w:b w:val="0"/>
              </w:rPr>
            </w:pPr>
            <w:r w:rsidRPr="002E05DB">
              <w:t>Angliss Hospital</w:t>
            </w:r>
          </w:p>
        </w:tc>
        <w:tc>
          <w:tcPr>
            <w:tcW w:w="825" w:type="dxa"/>
            <w:tcBorders>
              <w:top w:val="single" w:sz="4" w:space="0" w:color="auto"/>
              <w:bottom w:val="single" w:sz="4" w:space="0" w:color="auto"/>
            </w:tcBorders>
          </w:tcPr>
          <w:p w14:paraId="4E6C8569" w14:textId="1A22601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3446DAD9" w14:textId="33CE23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2,215</w:t>
            </w:r>
          </w:p>
        </w:tc>
        <w:tc>
          <w:tcPr>
            <w:tcW w:w="688" w:type="dxa"/>
            <w:tcBorders>
              <w:top w:val="single" w:sz="4" w:space="0" w:color="auto"/>
              <w:bottom w:val="single" w:sz="4" w:space="0" w:color="auto"/>
            </w:tcBorders>
          </w:tcPr>
          <w:p w14:paraId="1D46782C" w14:textId="063EA08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9.8%</w:t>
            </w:r>
          </w:p>
        </w:tc>
        <w:tc>
          <w:tcPr>
            <w:tcW w:w="687" w:type="dxa"/>
            <w:tcBorders>
              <w:top w:val="single" w:sz="4" w:space="0" w:color="auto"/>
              <w:bottom w:val="single" w:sz="4" w:space="0" w:color="auto"/>
            </w:tcBorders>
          </w:tcPr>
          <w:p w14:paraId="337CF272" w14:textId="2BA1D0E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19.7%</w:t>
            </w:r>
          </w:p>
        </w:tc>
        <w:tc>
          <w:tcPr>
            <w:tcW w:w="688" w:type="dxa"/>
            <w:tcBorders>
              <w:top w:val="single" w:sz="4" w:space="0" w:color="auto"/>
              <w:bottom w:val="single" w:sz="4" w:space="0" w:color="auto"/>
            </w:tcBorders>
          </w:tcPr>
          <w:p w14:paraId="5B6DDDAC" w14:textId="79D7468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36.1%</w:t>
            </w:r>
          </w:p>
        </w:tc>
        <w:tc>
          <w:tcPr>
            <w:tcW w:w="688" w:type="dxa"/>
            <w:tcBorders>
              <w:top w:val="single" w:sz="4" w:space="0" w:color="auto"/>
              <w:bottom w:val="single" w:sz="4" w:space="0" w:color="auto"/>
            </w:tcBorders>
          </w:tcPr>
          <w:p w14:paraId="20DDFCA8" w14:textId="52B91CA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4.7%</w:t>
            </w:r>
          </w:p>
        </w:tc>
        <w:tc>
          <w:tcPr>
            <w:tcW w:w="687" w:type="dxa"/>
            <w:tcBorders>
              <w:top w:val="single" w:sz="4" w:space="0" w:color="auto"/>
              <w:bottom w:val="single" w:sz="4" w:space="0" w:color="auto"/>
            </w:tcBorders>
          </w:tcPr>
          <w:p w14:paraId="7F328574" w14:textId="228E1A4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6.4%</w:t>
            </w:r>
          </w:p>
        </w:tc>
        <w:tc>
          <w:tcPr>
            <w:tcW w:w="688" w:type="dxa"/>
            <w:tcBorders>
              <w:top w:val="single" w:sz="4" w:space="0" w:color="auto"/>
              <w:bottom w:val="single" w:sz="4" w:space="0" w:color="auto"/>
            </w:tcBorders>
          </w:tcPr>
          <w:p w14:paraId="5036BDD5" w14:textId="4091D75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6.5%</w:t>
            </w:r>
          </w:p>
        </w:tc>
        <w:tc>
          <w:tcPr>
            <w:tcW w:w="688" w:type="dxa"/>
            <w:tcBorders>
              <w:top w:val="single" w:sz="4" w:space="0" w:color="auto"/>
              <w:bottom w:val="single" w:sz="4" w:space="0" w:color="auto"/>
            </w:tcBorders>
          </w:tcPr>
          <w:p w14:paraId="5F1D769C" w14:textId="35FE6F5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13.6%</w:t>
            </w:r>
          </w:p>
        </w:tc>
        <w:tc>
          <w:tcPr>
            <w:tcW w:w="688" w:type="dxa"/>
            <w:tcBorders>
              <w:top w:val="single" w:sz="4" w:space="0" w:color="auto"/>
              <w:bottom w:val="single" w:sz="4" w:space="0" w:color="auto"/>
            </w:tcBorders>
          </w:tcPr>
          <w:p w14:paraId="085C1D89" w14:textId="7D01E41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0.9</w:t>
            </w:r>
          </w:p>
        </w:tc>
        <w:tc>
          <w:tcPr>
            <w:tcW w:w="687" w:type="dxa"/>
            <w:tcBorders>
              <w:top w:val="single" w:sz="4" w:space="0" w:color="auto"/>
              <w:bottom w:val="single" w:sz="4" w:space="0" w:color="auto"/>
            </w:tcBorders>
          </w:tcPr>
          <w:p w14:paraId="50E5C299" w14:textId="4C98733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3.2%</w:t>
            </w:r>
          </w:p>
        </w:tc>
        <w:tc>
          <w:tcPr>
            <w:tcW w:w="688" w:type="dxa"/>
            <w:tcBorders>
              <w:top w:val="single" w:sz="4" w:space="0" w:color="auto"/>
              <w:bottom w:val="single" w:sz="4" w:space="0" w:color="auto"/>
            </w:tcBorders>
          </w:tcPr>
          <w:p w14:paraId="19673968" w14:textId="0F88E09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3.7%</w:t>
            </w:r>
          </w:p>
        </w:tc>
        <w:tc>
          <w:tcPr>
            <w:tcW w:w="688" w:type="dxa"/>
            <w:tcBorders>
              <w:top w:val="single" w:sz="4" w:space="0" w:color="auto"/>
              <w:bottom w:val="single" w:sz="4" w:space="0" w:color="auto"/>
            </w:tcBorders>
          </w:tcPr>
          <w:p w14:paraId="28120BBF" w14:textId="111DECD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7446E9">
              <w:t>27.5%</w:t>
            </w:r>
          </w:p>
        </w:tc>
        <w:tc>
          <w:tcPr>
            <w:tcW w:w="687" w:type="dxa"/>
            <w:tcBorders>
              <w:top w:val="single" w:sz="4" w:space="0" w:color="auto"/>
              <w:bottom w:val="single" w:sz="4" w:space="0" w:color="auto"/>
            </w:tcBorders>
          </w:tcPr>
          <w:p w14:paraId="5759645E" w14:textId="4414772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1.6%</w:t>
            </w:r>
          </w:p>
        </w:tc>
        <w:tc>
          <w:tcPr>
            <w:tcW w:w="688" w:type="dxa"/>
            <w:tcBorders>
              <w:top w:val="single" w:sz="4" w:space="0" w:color="auto"/>
              <w:bottom w:val="single" w:sz="4" w:space="0" w:color="auto"/>
            </w:tcBorders>
          </w:tcPr>
          <w:p w14:paraId="1B6C5D04" w14:textId="602B2A9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83.6%</w:t>
            </w:r>
          </w:p>
        </w:tc>
        <w:tc>
          <w:tcPr>
            <w:tcW w:w="688" w:type="dxa"/>
            <w:tcBorders>
              <w:top w:val="single" w:sz="4" w:space="0" w:color="auto"/>
              <w:bottom w:val="single" w:sz="4" w:space="0" w:color="auto"/>
            </w:tcBorders>
          </w:tcPr>
          <w:p w14:paraId="27392764" w14:textId="730CE6F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56.2%</w:t>
            </w:r>
          </w:p>
        </w:tc>
        <w:tc>
          <w:tcPr>
            <w:tcW w:w="687" w:type="dxa"/>
            <w:tcBorders>
              <w:top w:val="single" w:sz="4" w:space="0" w:color="auto"/>
              <w:bottom w:val="single" w:sz="4" w:space="0" w:color="auto"/>
            </w:tcBorders>
          </w:tcPr>
          <w:p w14:paraId="56A8DF00" w14:textId="5106BB2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B4144B">
              <w:t>71.9%</w:t>
            </w:r>
          </w:p>
        </w:tc>
        <w:tc>
          <w:tcPr>
            <w:tcW w:w="688" w:type="dxa"/>
            <w:tcBorders>
              <w:top w:val="single" w:sz="4" w:space="0" w:color="auto"/>
              <w:bottom w:val="single" w:sz="4" w:space="0" w:color="auto"/>
            </w:tcBorders>
          </w:tcPr>
          <w:p w14:paraId="277FDB44" w14:textId="0A476E9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3.0%</w:t>
            </w:r>
          </w:p>
        </w:tc>
        <w:tc>
          <w:tcPr>
            <w:tcW w:w="688" w:type="dxa"/>
            <w:tcBorders>
              <w:top w:val="single" w:sz="4" w:space="0" w:color="auto"/>
              <w:bottom w:val="single" w:sz="4" w:space="0" w:color="auto"/>
            </w:tcBorders>
          </w:tcPr>
          <w:p w14:paraId="6F0B987E" w14:textId="716B388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2AE5FCFB" w14:textId="3964756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r>
      <w:tr w:rsidR="00CC5764" w:rsidRPr="00956209" w14:paraId="2424BF9F"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E5DDA54" w14:textId="5DF99D1B" w:rsidR="00CC5764" w:rsidRPr="002E05DB" w:rsidRDefault="00CC5764" w:rsidP="00A60C18">
            <w:pPr>
              <w:rPr>
                <w:b w:val="0"/>
              </w:rPr>
            </w:pPr>
            <w:r w:rsidRPr="002E05DB">
              <w:t>Women's at Sandringham</w:t>
            </w:r>
          </w:p>
        </w:tc>
        <w:tc>
          <w:tcPr>
            <w:tcW w:w="825" w:type="dxa"/>
            <w:tcBorders>
              <w:top w:val="single" w:sz="4" w:space="0" w:color="auto"/>
              <w:bottom w:val="single" w:sz="4" w:space="0" w:color="auto"/>
            </w:tcBorders>
          </w:tcPr>
          <w:p w14:paraId="218DBADC" w14:textId="4C0CEBB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55465B85" w14:textId="26BC0D0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1,584</w:t>
            </w:r>
          </w:p>
        </w:tc>
        <w:tc>
          <w:tcPr>
            <w:tcW w:w="688" w:type="dxa"/>
            <w:tcBorders>
              <w:top w:val="single" w:sz="4" w:space="0" w:color="auto"/>
              <w:bottom w:val="single" w:sz="4" w:space="0" w:color="auto"/>
            </w:tcBorders>
          </w:tcPr>
          <w:p w14:paraId="0731CFBE" w14:textId="174C597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14.1%</w:t>
            </w:r>
          </w:p>
        </w:tc>
        <w:tc>
          <w:tcPr>
            <w:tcW w:w="687" w:type="dxa"/>
            <w:tcBorders>
              <w:top w:val="single" w:sz="4" w:space="0" w:color="auto"/>
              <w:bottom w:val="single" w:sz="4" w:space="0" w:color="auto"/>
            </w:tcBorders>
          </w:tcPr>
          <w:p w14:paraId="1CFB5802" w14:textId="67115CE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12.1%</w:t>
            </w:r>
          </w:p>
        </w:tc>
        <w:tc>
          <w:tcPr>
            <w:tcW w:w="688" w:type="dxa"/>
            <w:tcBorders>
              <w:top w:val="single" w:sz="4" w:space="0" w:color="auto"/>
              <w:bottom w:val="single" w:sz="4" w:space="0" w:color="auto"/>
            </w:tcBorders>
          </w:tcPr>
          <w:p w14:paraId="716C101A" w14:textId="20271ED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24.6%</w:t>
            </w:r>
          </w:p>
        </w:tc>
        <w:tc>
          <w:tcPr>
            <w:tcW w:w="688" w:type="dxa"/>
            <w:tcBorders>
              <w:top w:val="single" w:sz="4" w:space="0" w:color="auto"/>
              <w:bottom w:val="single" w:sz="4" w:space="0" w:color="auto"/>
            </w:tcBorders>
          </w:tcPr>
          <w:p w14:paraId="59B2AB4E" w14:textId="17D69B5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6.4%</w:t>
            </w:r>
          </w:p>
        </w:tc>
        <w:tc>
          <w:tcPr>
            <w:tcW w:w="687" w:type="dxa"/>
            <w:tcBorders>
              <w:top w:val="single" w:sz="4" w:space="0" w:color="auto"/>
              <w:bottom w:val="single" w:sz="4" w:space="0" w:color="auto"/>
            </w:tcBorders>
          </w:tcPr>
          <w:p w14:paraId="3662C4E6" w14:textId="1F11F06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7.5%</w:t>
            </w:r>
          </w:p>
        </w:tc>
        <w:tc>
          <w:tcPr>
            <w:tcW w:w="688" w:type="dxa"/>
            <w:tcBorders>
              <w:top w:val="single" w:sz="4" w:space="0" w:color="auto"/>
              <w:bottom w:val="single" w:sz="4" w:space="0" w:color="auto"/>
            </w:tcBorders>
          </w:tcPr>
          <w:p w14:paraId="0628852C" w14:textId="0E41A30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3.9%</w:t>
            </w:r>
          </w:p>
        </w:tc>
        <w:tc>
          <w:tcPr>
            <w:tcW w:w="688" w:type="dxa"/>
            <w:tcBorders>
              <w:top w:val="single" w:sz="4" w:space="0" w:color="auto"/>
              <w:bottom w:val="single" w:sz="4" w:space="0" w:color="auto"/>
            </w:tcBorders>
          </w:tcPr>
          <w:p w14:paraId="5B89A5C0" w14:textId="0717E8B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20.8%</w:t>
            </w:r>
          </w:p>
        </w:tc>
        <w:tc>
          <w:tcPr>
            <w:tcW w:w="688" w:type="dxa"/>
            <w:tcBorders>
              <w:top w:val="single" w:sz="4" w:space="0" w:color="auto"/>
              <w:bottom w:val="single" w:sz="4" w:space="0" w:color="auto"/>
            </w:tcBorders>
          </w:tcPr>
          <w:p w14:paraId="4AA89C81" w14:textId="3B47453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1.1</w:t>
            </w:r>
          </w:p>
        </w:tc>
        <w:tc>
          <w:tcPr>
            <w:tcW w:w="687" w:type="dxa"/>
            <w:tcBorders>
              <w:top w:val="single" w:sz="4" w:space="0" w:color="auto"/>
              <w:bottom w:val="single" w:sz="4" w:space="0" w:color="auto"/>
            </w:tcBorders>
          </w:tcPr>
          <w:p w14:paraId="4188CDF7" w14:textId="38362FA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3.1%</w:t>
            </w:r>
          </w:p>
        </w:tc>
        <w:tc>
          <w:tcPr>
            <w:tcW w:w="688" w:type="dxa"/>
            <w:tcBorders>
              <w:top w:val="single" w:sz="4" w:space="0" w:color="auto"/>
              <w:bottom w:val="single" w:sz="4" w:space="0" w:color="auto"/>
            </w:tcBorders>
          </w:tcPr>
          <w:p w14:paraId="3852530C" w14:textId="11D01FF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7.0%</w:t>
            </w:r>
          </w:p>
        </w:tc>
        <w:tc>
          <w:tcPr>
            <w:tcW w:w="688" w:type="dxa"/>
            <w:tcBorders>
              <w:top w:val="single" w:sz="4" w:space="0" w:color="auto"/>
              <w:bottom w:val="single" w:sz="4" w:space="0" w:color="auto"/>
            </w:tcBorders>
          </w:tcPr>
          <w:p w14:paraId="4948D6CA" w14:textId="78674D4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195C06">
              <w:t>25.8%</w:t>
            </w:r>
          </w:p>
        </w:tc>
        <w:tc>
          <w:tcPr>
            <w:tcW w:w="687" w:type="dxa"/>
            <w:tcBorders>
              <w:top w:val="single" w:sz="4" w:space="0" w:color="auto"/>
              <w:bottom w:val="single" w:sz="4" w:space="0" w:color="auto"/>
            </w:tcBorders>
          </w:tcPr>
          <w:p w14:paraId="0A64DEA6" w14:textId="2E0D658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2.0%</w:t>
            </w:r>
          </w:p>
        </w:tc>
        <w:tc>
          <w:tcPr>
            <w:tcW w:w="688" w:type="dxa"/>
            <w:tcBorders>
              <w:top w:val="single" w:sz="4" w:space="0" w:color="auto"/>
              <w:bottom w:val="single" w:sz="4" w:space="0" w:color="auto"/>
            </w:tcBorders>
          </w:tcPr>
          <w:p w14:paraId="5ABE42EC" w14:textId="52FBDA4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78.2%</w:t>
            </w:r>
          </w:p>
        </w:tc>
        <w:tc>
          <w:tcPr>
            <w:tcW w:w="688" w:type="dxa"/>
            <w:tcBorders>
              <w:top w:val="single" w:sz="4" w:space="0" w:color="auto"/>
              <w:bottom w:val="single" w:sz="4" w:space="0" w:color="auto"/>
            </w:tcBorders>
          </w:tcPr>
          <w:p w14:paraId="501A2F8D" w14:textId="22F2D76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47.0%</w:t>
            </w:r>
          </w:p>
        </w:tc>
        <w:tc>
          <w:tcPr>
            <w:tcW w:w="687" w:type="dxa"/>
            <w:tcBorders>
              <w:top w:val="single" w:sz="4" w:space="0" w:color="auto"/>
              <w:bottom w:val="single" w:sz="4" w:space="0" w:color="auto"/>
            </w:tcBorders>
          </w:tcPr>
          <w:p w14:paraId="179F0992" w14:textId="593D4D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86.6%</w:t>
            </w:r>
          </w:p>
        </w:tc>
        <w:tc>
          <w:tcPr>
            <w:tcW w:w="688" w:type="dxa"/>
            <w:tcBorders>
              <w:top w:val="single" w:sz="4" w:space="0" w:color="auto"/>
              <w:bottom w:val="single" w:sz="4" w:space="0" w:color="auto"/>
            </w:tcBorders>
          </w:tcPr>
          <w:p w14:paraId="4B3ED53E" w14:textId="1FC2AB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2.3%</w:t>
            </w:r>
          </w:p>
        </w:tc>
        <w:tc>
          <w:tcPr>
            <w:tcW w:w="688" w:type="dxa"/>
            <w:tcBorders>
              <w:top w:val="single" w:sz="4" w:space="0" w:color="auto"/>
              <w:bottom w:val="single" w:sz="4" w:space="0" w:color="auto"/>
            </w:tcBorders>
          </w:tcPr>
          <w:p w14:paraId="448795FF" w14:textId="0A3ACA1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209235C0" w14:textId="0C676D6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r>
      <w:tr w:rsidR="00CC5764" w:rsidRPr="00956209" w14:paraId="3515113F"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65C0943" w14:textId="76DC15B3" w:rsidR="00CC5764" w:rsidRPr="002E05DB" w:rsidRDefault="00CC5764" w:rsidP="00A60C18">
            <w:pPr>
              <w:rPr>
                <w:b w:val="0"/>
              </w:rPr>
            </w:pPr>
            <w:r w:rsidRPr="002E05DB">
              <w:t>West Gippsland Hospital</w:t>
            </w:r>
          </w:p>
        </w:tc>
        <w:tc>
          <w:tcPr>
            <w:tcW w:w="825" w:type="dxa"/>
            <w:tcBorders>
              <w:top w:val="single" w:sz="4" w:space="0" w:color="auto"/>
              <w:bottom w:val="single" w:sz="4" w:space="0" w:color="auto"/>
            </w:tcBorders>
          </w:tcPr>
          <w:p w14:paraId="33DC066A" w14:textId="743970B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1AEED764" w14:textId="5AA5B32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893</w:t>
            </w:r>
          </w:p>
        </w:tc>
        <w:tc>
          <w:tcPr>
            <w:tcW w:w="688" w:type="dxa"/>
            <w:tcBorders>
              <w:top w:val="single" w:sz="4" w:space="0" w:color="auto"/>
              <w:bottom w:val="single" w:sz="4" w:space="0" w:color="auto"/>
            </w:tcBorders>
          </w:tcPr>
          <w:p w14:paraId="57C9EAB9" w14:textId="21D7ED6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20.0%</w:t>
            </w:r>
          </w:p>
        </w:tc>
        <w:tc>
          <w:tcPr>
            <w:tcW w:w="687" w:type="dxa"/>
            <w:tcBorders>
              <w:top w:val="single" w:sz="4" w:space="0" w:color="auto"/>
              <w:bottom w:val="single" w:sz="4" w:space="0" w:color="auto"/>
            </w:tcBorders>
          </w:tcPr>
          <w:p w14:paraId="783E9B69" w14:textId="73BBBF1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10.3%</w:t>
            </w:r>
          </w:p>
        </w:tc>
        <w:tc>
          <w:tcPr>
            <w:tcW w:w="688" w:type="dxa"/>
            <w:tcBorders>
              <w:top w:val="single" w:sz="4" w:space="0" w:color="auto"/>
              <w:bottom w:val="single" w:sz="4" w:space="0" w:color="auto"/>
            </w:tcBorders>
          </w:tcPr>
          <w:p w14:paraId="14DD140B" w14:textId="049ECF6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26.5%</w:t>
            </w:r>
          </w:p>
        </w:tc>
        <w:tc>
          <w:tcPr>
            <w:tcW w:w="688" w:type="dxa"/>
            <w:tcBorders>
              <w:top w:val="single" w:sz="4" w:space="0" w:color="auto"/>
              <w:bottom w:val="single" w:sz="4" w:space="0" w:color="auto"/>
            </w:tcBorders>
          </w:tcPr>
          <w:p w14:paraId="00569815" w14:textId="5B87EB4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1.4%</w:t>
            </w:r>
          </w:p>
        </w:tc>
        <w:tc>
          <w:tcPr>
            <w:tcW w:w="687" w:type="dxa"/>
            <w:tcBorders>
              <w:top w:val="single" w:sz="4" w:space="0" w:color="auto"/>
              <w:bottom w:val="single" w:sz="4" w:space="0" w:color="auto"/>
            </w:tcBorders>
          </w:tcPr>
          <w:p w14:paraId="151505F1" w14:textId="085AC1F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3.7%</w:t>
            </w:r>
          </w:p>
        </w:tc>
        <w:tc>
          <w:tcPr>
            <w:tcW w:w="688" w:type="dxa"/>
            <w:tcBorders>
              <w:top w:val="single" w:sz="4" w:space="0" w:color="auto"/>
              <w:bottom w:val="single" w:sz="4" w:space="0" w:color="auto"/>
            </w:tcBorders>
          </w:tcPr>
          <w:p w14:paraId="6291BDC0" w14:textId="1CD0D8A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11.5%</w:t>
            </w:r>
          </w:p>
        </w:tc>
        <w:tc>
          <w:tcPr>
            <w:tcW w:w="688" w:type="dxa"/>
            <w:tcBorders>
              <w:top w:val="single" w:sz="4" w:space="0" w:color="auto"/>
              <w:bottom w:val="single" w:sz="4" w:space="0" w:color="auto"/>
            </w:tcBorders>
          </w:tcPr>
          <w:p w14:paraId="0C2956BC" w14:textId="1314856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8.3%</w:t>
            </w:r>
          </w:p>
        </w:tc>
        <w:tc>
          <w:tcPr>
            <w:tcW w:w="688" w:type="dxa"/>
            <w:tcBorders>
              <w:top w:val="single" w:sz="4" w:space="0" w:color="auto"/>
              <w:bottom w:val="single" w:sz="4" w:space="0" w:color="auto"/>
            </w:tcBorders>
          </w:tcPr>
          <w:p w14:paraId="28F12A23" w14:textId="154E176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0.8</w:t>
            </w:r>
          </w:p>
        </w:tc>
        <w:tc>
          <w:tcPr>
            <w:tcW w:w="687" w:type="dxa"/>
            <w:tcBorders>
              <w:top w:val="single" w:sz="4" w:space="0" w:color="auto"/>
              <w:bottom w:val="single" w:sz="4" w:space="0" w:color="auto"/>
            </w:tcBorders>
          </w:tcPr>
          <w:p w14:paraId="46EA5143" w14:textId="6FE5C97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w:t>
            </w:r>
          </w:p>
        </w:tc>
        <w:tc>
          <w:tcPr>
            <w:tcW w:w="688" w:type="dxa"/>
            <w:tcBorders>
              <w:top w:val="single" w:sz="4" w:space="0" w:color="auto"/>
              <w:bottom w:val="single" w:sz="4" w:space="0" w:color="auto"/>
            </w:tcBorders>
          </w:tcPr>
          <w:p w14:paraId="263C5B4C" w14:textId="5D6E2F9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5.1%</w:t>
            </w:r>
          </w:p>
        </w:tc>
        <w:tc>
          <w:tcPr>
            <w:tcW w:w="688" w:type="dxa"/>
            <w:tcBorders>
              <w:top w:val="single" w:sz="4" w:space="0" w:color="auto"/>
              <w:bottom w:val="single" w:sz="4" w:space="0" w:color="auto"/>
            </w:tcBorders>
          </w:tcPr>
          <w:p w14:paraId="748731EC" w14:textId="6724CCE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28.6%</w:t>
            </w:r>
          </w:p>
        </w:tc>
        <w:tc>
          <w:tcPr>
            <w:tcW w:w="687" w:type="dxa"/>
            <w:tcBorders>
              <w:top w:val="single" w:sz="4" w:space="0" w:color="auto"/>
              <w:bottom w:val="single" w:sz="4" w:space="0" w:color="auto"/>
            </w:tcBorders>
          </w:tcPr>
          <w:p w14:paraId="0193173C" w14:textId="09D6CA3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1.2%</w:t>
            </w:r>
          </w:p>
        </w:tc>
        <w:tc>
          <w:tcPr>
            <w:tcW w:w="688" w:type="dxa"/>
            <w:tcBorders>
              <w:top w:val="single" w:sz="4" w:space="0" w:color="auto"/>
              <w:bottom w:val="single" w:sz="4" w:space="0" w:color="auto"/>
            </w:tcBorders>
          </w:tcPr>
          <w:p w14:paraId="02EF0CE0" w14:textId="1017535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84.3%</w:t>
            </w:r>
          </w:p>
        </w:tc>
        <w:tc>
          <w:tcPr>
            <w:tcW w:w="688" w:type="dxa"/>
            <w:tcBorders>
              <w:top w:val="single" w:sz="4" w:space="0" w:color="auto"/>
              <w:bottom w:val="single" w:sz="4" w:space="0" w:color="auto"/>
            </w:tcBorders>
          </w:tcPr>
          <w:p w14:paraId="27CDAA12" w14:textId="69E57B3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55.7%</w:t>
            </w:r>
          </w:p>
        </w:tc>
        <w:tc>
          <w:tcPr>
            <w:tcW w:w="687" w:type="dxa"/>
            <w:tcBorders>
              <w:top w:val="single" w:sz="4" w:space="0" w:color="auto"/>
              <w:bottom w:val="single" w:sz="4" w:space="0" w:color="auto"/>
            </w:tcBorders>
          </w:tcPr>
          <w:p w14:paraId="18023876" w14:textId="23B4A67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80.2%</w:t>
            </w:r>
          </w:p>
        </w:tc>
        <w:tc>
          <w:tcPr>
            <w:tcW w:w="688" w:type="dxa"/>
            <w:tcBorders>
              <w:top w:val="single" w:sz="4" w:space="0" w:color="auto"/>
              <w:bottom w:val="single" w:sz="4" w:space="0" w:color="auto"/>
            </w:tcBorders>
          </w:tcPr>
          <w:p w14:paraId="283CCFBD" w14:textId="64626FD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4.1%</w:t>
            </w:r>
          </w:p>
        </w:tc>
        <w:tc>
          <w:tcPr>
            <w:tcW w:w="688" w:type="dxa"/>
            <w:tcBorders>
              <w:top w:val="single" w:sz="4" w:space="0" w:color="auto"/>
              <w:bottom w:val="single" w:sz="4" w:space="0" w:color="auto"/>
            </w:tcBorders>
          </w:tcPr>
          <w:p w14:paraId="3FFA3EB8" w14:textId="2F6900F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7E44EBC0" w14:textId="6A57D61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CC5764" w:rsidRPr="00956209" w14:paraId="19AAD324"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9B7E73B" w14:textId="14ADA7CF" w:rsidR="00CC5764" w:rsidRPr="002E05DB" w:rsidRDefault="00CC5764" w:rsidP="00A60C18">
            <w:pPr>
              <w:rPr>
                <w:b w:val="0"/>
              </w:rPr>
            </w:pPr>
            <w:r w:rsidRPr="002E05DB">
              <w:t>Mildura Base Hospital</w:t>
            </w:r>
          </w:p>
        </w:tc>
        <w:tc>
          <w:tcPr>
            <w:tcW w:w="825" w:type="dxa"/>
            <w:tcBorders>
              <w:top w:val="single" w:sz="4" w:space="0" w:color="auto"/>
              <w:bottom w:val="single" w:sz="4" w:space="0" w:color="auto"/>
            </w:tcBorders>
          </w:tcPr>
          <w:p w14:paraId="3F2E7B74" w14:textId="650B785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7542F3BE" w14:textId="041511D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847</w:t>
            </w:r>
          </w:p>
        </w:tc>
        <w:tc>
          <w:tcPr>
            <w:tcW w:w="688" w:type="dxa"/>
            <w:tcBorders>
              <w:top w:val="single" w:sz="4" w:space="0" w:color="auto"/>
              <w:bottom w:val="single" w:sz="4" w:space="0" w:color="auto"/>
            </w:tcBorders>
          </w:tcPr>
          <w:p w14:paraId="248DC1BA" w14:textId="3759B28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6.9%</w:t>
            </w:r>
          </w:p>
        </w:tc>
        <w:tc>
          <w:tcPr>
            <w:tcW w:w="687" w:type="dxa"/>
            <w:tcBorders>
              <w:top w:val="single" w:sz="4" w:space="0" w:color="auto"/>
              <w:bottom w:val="single" w:sz="4" w:space="0" w:color="auto"/>
            </w:tcBorders>
          </w:tcPr>
          <w:p w14:paraId="6D4DC03A" w14:textId="0722CDF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15.4%</w:t>
            </w:r>
          </w:p>
        </w:tc>
        <w:tc>
          <w:tcPr>
            <w:tcW w:w="688" w:type="dxa"/>
            <w:tcBorders>
              <w:top w:val="single" w:sz="4" w:space="0" w:color="auto"/>
              <w:bottom w:val="single" w:sz="4" w:space="0" w:color="auto"/>
            </w:tcBorders>
          </w:tcPr>
          <w:p w14:paraId="5AD47218" w14:textId="5D437BC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37.6%</w:t>
            </w:r>
          </w:p>
        </w:tc>
        <w:tc>
          <w:tcPr>
            <w:tcW w:w="688" w:type="dxa"/>
            <w:tcBorders>
              <w:top w:val="single" w:sz="4" w:space="0" w:color="auto"/>
              <w:bottom w:val="single" w:sz="4" w:space="0" w:color="auto"/>
            </w:tcBorders>
          </w:tcPr>
          <w:p w14:paraId="2329FAD5" w14:textId="00F06A5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6.9%</w:t>
            </w:r>
          </w:p>
        </w:tc>
        <w:tc>
          <w:tcPr>
            <w:tcW w:w="687" w:type="dxa"/>
            <w:tcBorders>
              <w:top w:val="single" w:sz="4" w:space="0" w:color="auto"/>
              <w:bottom w:val="single" w:sz="4" w:space="0" w:color="auto"/>
            </w:tcBorders>
          </w:tcPr>
          <w:p w14:paraId="1C887760" w14:textId="222C7EC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11.1%</w:t>
            </w:r>
          </w:p>
        </w:tc>
        <w:tc>
          <w:tcPr>
            <w:tcW w:w="688" w:type="dxa"/>
            <w:tcBorders>
              <w:top w:val="single" w:sz="4" w:space="0" w:color="auto"/>
              <w:bottom w:val="single" w:sz="4" w:space="0" w:color="auto"/>
            </w:tcBorders>
          </w:tcPr>
          <w:p w14:paraId="3A5867FB" w14:textId="20082C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7.0%</w:t>
            </w:r>
          </w:p>
        </w:tc>
        <w:tc>
          <w:tcPr>
            <w:tcW w:w="688" w:type="dxa"/>
            <w:tcBorders>
              <w:top w:val="single" w:sz="4" w:space="0" w:color="auto"/>
              <w:bottom w:val="single" w:sz="4" w:space="0" w:color="auto"/>
            </w:tcBorders>
          </w:tcPr>
          <w:p w14:paraId="6C99D44F" w14:textId="749B37E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28.6%</w:t>
            </w:r>
          </w:p>
        </w:tc>
        <w:tc>
          <w:tcPr>
            <w:tcW w:w="688" w:type="dxa"/>
            <w:tcBorders>
              <w:top w:val="single" w:sz="4" w:space="0" w:color="auto"/>
              <w:bottom w:val="single" w:sz="4" w:space="0" w:color="auto"/>
            </w:tcBorders>
          </w:tcPr>
          <w:p w14:paraId="6472C984" w14:textId="01BD678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1.1</w:t>
            </w:r>
          </w:p>
        </w:tc>
        <w:tc>
          <w:tcPr>
            <w:tcW w:w="687" w:type="dxa"/>
            <w:tcBorders>
              <w:top w:val="single" w:sz="4" w:space="0" w:color="auto"/>
              <w:bottom w:val="single" w:sz="4" w:space="0" w:color="auto"/>
            </w:tcBorders>
          </w:tcPr>
          <w:p w14:paraId="22A9BFAC" w14:textId="5A38D7B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w:t>
            </w:r>
          </w:p>
        </w:tc>
        <w:tc>
          <w:tcPr>
            <w:tcW w:w="688" w:type="dxa"/>
            <w:tcBorders>
              <w:top w:val="single" w:sz="4" w:space="0" w:color="auto"/>
              <w:bottom w:val="single" w:sz="4" w:space="0" w:color="auto"/>
            </w:tcBorders>
          </w:tcPr>
          <w:p w14:paraId="652AE07B" w14:textId="51B974F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4.3%</w:t>
            </w:r>
          </w:p>
        </w:tc>
        <w:tc>
          <w:tcPr>
            <w:tcW w:w="688" w:type="dxa"/>
            <w:tcBorders>
              <w:top w:val="single" w:sz="4" w:space="0" w:color="auto"/>
              <w:bottom w:val="single" w:sz="4" w:space="0" w:color="auto"/>
            </w:tcBorders>
          </w:tcPr>
          <w:p w14:paraId="38F2B4F6" w14:textId="52C9B3A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28.7%</w:t>
            </w:r>
          </w:p>
        </w:tc>
        <w:tc>
          <w:tcPr>
            <w:tcW w:w="687" w:type="dxa"/>
            <w:tcBorders>
              <w:top w:val="single" w:sz="4" w:space="0" w:color="auto"/>
              <w:bottom w:val="single" w:sz="4" w:space="0" w:color="auto"/>
            </w:tcBorders>
          </w:tcPr>
          <w:p w14:paraId="521518E2" w14:textId="1EFEBC4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2.5%</w:t>
            </w:r>
          </w:p>
        </w:tc>
        <w:tc>
          <w:tcPr>
            <w:tcW w:w="688" w:type="dxa"/>
            <w:tcBorders>
              <w:top w:val="single" w:sz="4" w:space="0" w:color="auto"/>
              <w:bottom w:val="single" w:sz="4" w:space="0" w:color="auto"/>
            </w:tcBorders>
          </w:tcPr>
          <w:p w14:paraId="0E6875F0" w14:textId="2D8AC89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588137E0" w14:textId="403F056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NA</w:t>
            </w:r>
            <w:r w:rsidRPr="002E05DB">
              <w:rPr>
                <w:rFonts w:ascii="Cambria" w:hAnsi="Cambria" w:cs="Cambria"/>
              </w:rPr>
              <w:t> </w:t>
            </w:r>
          </w:p>
        </w:tc>
        <w:tc>
          <w:tcPr>
            <w:tcW w:w="687" w:type="dxa"/>
            <w:tcBorders>
              <w:top w:val="single" w:sz="4" w:space="0" w:color="auto"/>
              <w:bottom w:val="single" w:sz="4" w:space="0" w:color="auto"/>
            </w:tcBorders>
          </w:tcPr>
          <w:p w14:paraId="70497559" w14:textId="4CC010F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65.6%</w:t>
            </w:r>
          </w:p>
        </w:tc>
        <w:tc>
          <w:tcPr>
            <w:tcW w:w="688" w:type="dxa"/>
            <w:tcBorders>
              <w:top w:val="single" w:sz="4" w:space="0" w:color="auto"/>
              <w:bottom w:val="single" w:sz="4" w:space="0" w:color="auto"/>
            </w:tcBorders>
          </w:tcPr>
          <w:p w14:paraId="4D27C387" w14:textId="7F58DDC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B917D7">
              <w:t>1.0%</w:t>
            </w:r>
          </w:p>
        </w:tc>
        <w:tc>
          <w:tcPr>
            <w:tcW w:w="688" w:type="dxa"/>
            <w:tcBorders>
              <w:top w:val="single" w:sz="4" w:space="0" w:color="auto"/>
              <w:bottom w:val="single" w:sz="4" w:space="0" w:color="auto"/>
            </w:tcBorders>
          </w:tcPr>
          <w:p w14:paraId="0984F6FA" w14:textId="0F40FEA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c>
          <w:tcPr>
            <w:tcW w:w="688" w:type="dxa"/>
            <w:gridSpan w:val="2"/>
            <w:tcBorders>
              <w:top w:val="single" w:sz="4" w:space="0" w:color="auto"/>
              <w:bottom w:val="single" w:sz="4" w:space="0" w:color="auto"/>
            </w:tcBorders>
          </w:tcPr>
          <w:p w14:paraId="4D037BA2" w14:textId="4B75FAC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r>
      <w:tr w:rsidR="00CC5764" w:rsidRPr="00956209" w14:paraId="301EFE2D"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35D5EE2" w14:textId="0821666E" w:rsidR="00CC5764" w:rsidRPr="002E05DB" w:rsidRDefault="00CC5764" w:rsidP="00A60C18">
            <w:pPr>
              <w:rPr>
                <w:b w:val="0"/>
              </w:rPr>
            </w:pPr>
            <w:r w:rsidRPr="002E05DB">
              <w:t>Northeast Health Wangaratta</w:t>
            </w:r>
          </w:p>
        </w:tc>
        <w:tc>
          <w:tcPr>
            <w:tcW w:w="825" w:type="dxa"/>
            <w:tcBorders>
              <w:top w:val="single" w:sz="4" w:space="0" w:color="auto"/>
              <w:bottom w:val="single" w:sz="4" w:space="0" w:color="auto"/>
            </w:tcBorders>
          </w:tcPr>
          <w:p w14:paraId="100DEC1B" w14:textId="046332C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01277FC9" w14:textId="6CA095B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699</w:t>
            </w:r>
          </w:p>
        </w:tc>
        <w:tc>
          <w:tcPr>
            <w:tcW w:w="688" w:type="dxa"/>
            <w:tcBorders>
              <w:top w:val="single" w:sz="4" w:space="0" w:color="auto"/>
              <w:bottom w:val="single" w:sz="4" w:space="0" w:color="auto"/>
            </w:tcBorders>
          </w:tcPr>
          <w:p w14:paraId="635DE96E" w14:textId="679CBD5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13.9%</w:t>
            </w:r>
          </w:p>
        </w:tc>
        <w:tc>
          <w:tcPr>
            <w:tcW w:w="687" w:type="dxa"/>
            <w:tcBorders>
              <w:top w:val="single" w:sz="4" w:space="0" w:color="auto"/>
              <w:bottom w:val="single" w:sz="4" w:space="0" w:color="auto"/>
            </w:tcBorders>
          </w:tcPr>
          <w:p w14:paraId="24D10FA2" w14:textId="031872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14.6%</w:t>
            </w:r>
          </w:p>
        </w:tc>
        <w:tc>
          <w:tcPr>
            <w:tcW w:w="688" w:type="dxa"/>
            <w:tcBorders>
              <w:top w:val="single" w:sz="4" w:space="0" w:color="auto"/>
              <w:bottom w:val="single" w:sz="4" w:space="0" w:color="auto"/>
            </w:tcBorders>
          </w:tcPr>
          <w:p w14:paraId="035183A9" w14:textId="5BDCF09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38.8%</w:t>
            </w:r>
          </w:p>
        </w:tc>
        <w:tc>
          <w:tcPr>
            <w:tcW w:w="688" w:type="dxa"/>
            <w:tcBorders>
              <w:top w:val="single" w:sz="4" w:space="0" w:color="auto"/>
              <w:bottom w:val="single" w:sz="4" w:space="0" w:color="auto"/>
            </w:tcBorders>
          </w:tcPr>
          <w:p w14:paraId="69349AA5" w14:textId="460762D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1.9%</w:t>
            </w:r>
          </w:p>
        </w:tc>
        <w:tc>
          <w:tcPr>
            <w:tcW w:w="687" w:type="dxa"/>
            <w:tcBorders>
              <w:top w:val="single" w:sz="4" w:space="0" w:color="auto"/>
              <w:bottom w:val="single" w:sz="4" w:space="0" w:color="auto"/>
            </w:tcBorders>
          </w:tcPr>
          <w:p w14:paraId="221DAB40" w14:textId="2468D97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9.1%</w:t>
            </w:r>
          </w:p>
        </w:tc>
        <w:tc>
          <w:tcPr>
            <w:tcW w:w="688" w:type="dxa"/>
            <w:tcBorders>
              <w:top w:val="single" w:sz="4" w:space="0" w:color="auto"/>
              <w:bottom w:val="single" w:sz="4" w:space="0" w:color="auto"/>
            </w:tcBorders>
          </w:tcPr>
          <w:p w14:paraId="673F71AB" w14:textId="656B2C2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7.5%</w:t>
            </w:r>
          </w:p>
        </w:tc>
        <w:tc>
          <w:tcPr>
            <w:tcW w:w="688" w:type="dxa"/>
            <w:tcBorders>
              <w:top w:val="single" w:sz="4" w:space="0" w:color="auto"/>
              <w:bottom w:val="single" w:sz="4" w:space="0" w:color="auto"/>
            </w:tcBorders>
          </w:tcPr>
          <w:p w14:paraId="07F8888A" w14:textId="5B8AAFE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0.0%</w:t>
            </w:r>
          </w:p>
        </w:tc>
        <w:tc>
          <w:tcPr>
            <w:tcW w:w="688" w:type="dxa"/>
            <w:tcBorders>
              <w:top w:val="single" w:sz="4" w:space="0" w:color="auto"/>
              <w:bottom w:val="single" w:sz="4" w:space="0" w:color="auto"/>
            </w:tcBorders>
          </w:tcPr>
          <w:p w14:paraId="649ABA52" w14:textId="6C3AF1DE" w:rsidR="00CC5764" w:rsidRPr="002E05DB" w:rsidRDefault="0E445979"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1EEAD1BB" w14:textId="669F621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w:t>
            </w:r>
          </w:p>
        </w:tc>
        <w:tc>
          <w:tcPr>
            <w:tcW w:w="688" w:type="dxa"/>
            <w:tcBorders>
              <w:top w:val="single" w:sz="4" w:space="0" w:color="auto"/>
              <w:bottom w:val="single" w:sz="4" w:space="0" w:color="auto"/>
            </w:tcBorders>
          </w:tcPr>
          <w:p w14:paraId="317CA2AA" w14:textId="0B838BA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3.1%</w:t>
            </w:r>
          </w:p>
        </w:tc>
        <w:tc>
          <w:tcPr>
            <w:tcW w:w="688" w:type="dxa"/>
            <w:tcBorders>
              <w:top w:val="single" w:sz="4" w:space="0" w:color="auto"/>
              <w:bottom w:val="single" w:sz="4" w:space="0" w:color="auto"/>
            </w:tcBorders>
          </w:tcPr>
          <w:p w14:paraId="15792249" w14:textId="5090C0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195C06">
              <w:t>19.8%</w:t>
            </w:r>
          </w:p>
        </w:tc>
        <w:tc>
          <w:tcPr>
            <w:tcW w:w="687" w:type="dxa"/>
            <w:tcBorders>
              <w:top w:val="single" w:sz="4" w:space="0" w:color="auto"/>
              <w:bottom w:val="single" w:sz="4" w:space="0" w:color="auto"/>
            </w:tcBorders>
          </w:tcPr>
          <w:p w14:paraId="63250BC8" w14:textId="5C2D82B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1.6%</w:t>
            </w:r>
          </w:p>
        </w:tc>
        <w:tc>
          <w:tcPr>
            <w:tcW w:w="688" w:type="dxa"/>
            <w:tcBorders>
              <w:top w:val="single" w:sz="4" w:space="0" w:color="auto"/>
              <w:bottom w:val="single" w:sz="4" w:space="0" w:color="auto"/>
            </w:tcBorders>
          </w:tcPr>
          <w:p w14:paraId="1F41D984" w14:textId="58FC8A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85.2%</w:t>
            </w:r>
          </w:p>
        </w:tc>
        <w:tc>
          <w:tcPr>
            <w:tcW w:w="688" w:type="dxa"/>
            <w:tcBorders>
              <w:top w:val="single" w:sz="4" w:space="0" w:color="auto"/>
              <w:bottom w:val="single" w:sz="4" w:space="0" w:color="auto"/>
            </w:tcBorders>
          </w:tcPr>
          <w:p w14:paraId="3C4258F9" w14:textId="6B51EA4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51.0%</w:t>
            </w:r>
          </w:p>
        </w:tc>
        <w:tc>
          <w:tcPr>
            <w:tcW w:w="687" w:type="dxa"/>
            <w:tcBorders>
              <w:top w:val="single" w:sz="4" w:space="0" w:color="auto"/>
              <w:bottom w:val="single" w:sz="4" w:space="0" w:color="auto"/>
            </w:tcBorders>
          </w:tcPr>
          <w:p w14:paraId="585C0EE3" w14:textId="4094DAB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87.4%</w:t>
            </w:r>
          </w:p>
        </w:tc>
        <w:tc>
          <w:tcPr>
            <w:tcW w:w="688" w:type="dxa"/>
            <w:tcBorders>
              <w:top w:val="single" w:sz="4" w:space="0" w:color="auto"/>
              <w:bottom w:val="single" w:sz="4" w:space="0" w:color="auto"/>
            </w:tcBorders>
          </w:tcPr>
          <w:p w14:paraId="5EB410C6" w14:textId="2997785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2.0%</w:t>
            </w:r>
          </w:p>
        </w:tc>
        <w:tc>
          <w:tcPr>
            <w:tcW w:w="688" w:type="dxa"/>
            <w:tcBorders>
              <w:top w:val="single" w:sz="4" w:space="0" w:color="auto"/>
              <w:bottom w:val="single" w:sz="4" w:space="0" w:color="auto"/>
            </w:tcBorders>
          </w:tcPr>
          <w:p w14:paraId="3CF474DD" w14:textId="32EFB37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09342292" w14:textId="30C48F4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r>
      <w:tr w:rsidR="00CC5764" w:rsidRPr="00956209" w14:paraId="032FD591"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DDD2904" w14:textId="42412452" w:rsidR="00CC5764" w:rsidRPr="002E05DB" w:rsidRDefault="00CC5764" w:rsidP="00A60C18">
            <w:pPr>
              <w:rPr>
                <w:b w:val="0"/>
              </w:rPr>
            </w:pPr>
            <w:r w:rsidRPr="002E05DB">
              <w:t>Warrnambool Base Hospital</w:t>
            </w:r>
          </w:p>
        </w:tc>
        <w:tc>
          <w:tcPr>
            <w:tcW w:w="825" w:type="dxa"/>
            <w:tcBorders>
              <w:top w:val="single" w:sz="4" w:space="0" w:color="auto"/>
              <w:bottom w:val="single" w:sz="4" w:space="0" w:color="auto"/>
            </w:tcBorders>
          </w:tcPr>
          <w:p w14:paraId="387B6FBF" w14:textId="581B471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727ABE70" w14:textId="298212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683</w:t>
            </w:r>
          </w:p>
        </w:tc>
        <w:tc>
          <w:tcPr>
            <w:tcW w:w="688" w:type="dxa"/>
            <w:tcBorders>
              <w:top w:val="single" w:sz="4" w:space="0" w:color="auto"/>
              <w:bottom w:val="single" w:sz="4" w:space="0" w:color="auto"/>
            </w:tcBorders>
          </w:tcPr>
          <w:p w14:paraId="69E8B689" w14:textId="7E0D4C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19.4%</w:t>
            </w:r>
          </w:p>
        </w:tc>
        <w:tc>
          <w:tcPr>
            <w:tcW w:w="687" w:type="dxa"/>
            <w:tcBorders>
              <w:top w:val="single" w:sz="4" w:space="0" w:color="auto"/>
              <w:bottom w:val="single" w:sz="4" w:space="0" w:color="auto"/>
            </w:tcBorders>
          </w:tcPr>
          <w:p w14:paraId="1FAF9CAF" w14:textId="5F46A3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8.7%</w:t>
            </w:r>
          </w:p>
        </w:tc>
        <w:tc>
          <w:tcPr>
            <w:tcW w:w="688" w:type="dxa"/>
            <w:tcBorders>
              <w:top w:val="single" w:sz="4" w:space="0" w:color="auto"/>
              <w:bottom w:val="single" w:sz="4" w:space="0" w:color="auto"/>
            </w:tcBorders>
          </w:tcPr>
          <w:p w14:paraId="2F1AA32B" w14:textId="33FBCE4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24.1%</w:t>
            </w:r>
          </w:p>
        </w:tc>
        <w:tc>
          <w:tcPr>
            <w:tcW w:w="688" w:type="dxa"/>
            <w:tcBorders>
              <w:top w:val="single" w:sz="4" w:space="0" w:color="auto"/>
              <w:bottom w:val="single" w:sz="4" w:space="0" w:color="auto"/>
            </w:tcBorders>
          </w:tcPr>
          <w:p w14:paraId="2BF267F0" w14:textId="5E26478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4.4%</w:t>
            </w:r>
          </w:p>
        </w:tc>
        <w:tc>
          <w:tcPr>
            <w:tcW w:w="687" w:type="dxa"/>
            <w:tcBorders>
              <w:top w:val="single" w:sz="4" w:space="0" w:color="auto"/>
              <w:bottom w:val="single" w:sz="4" w:space="0" w:color="auto"/>
            </w:tcBorders>
          </w:tcPr>
          <w:p w14:paraId="0D8A2853" w14:textId="7D92BA9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9.4%</w:t>
            </w:r>
          </w:p>
        </w:tc>
        <w:tc>
          <w:tcPr>
            <w:tcW w:w="688" w:type="dxa"/>
            <w:tcBorders>
              <w:top w:val="single" w:sz="4" w:space="0" w:color="auto"/>
              <w:bottom w:val="single" w:sz="4" w:space="0" w:color="auto"/>
            </w:tcBorders>
          </w:tcPr>
          <w:p w14:paraId="0839AC3B" w14:textId="010C332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7.4%</w:t>
            </w:r>
          </w:p>
        </w:tc>
        <w:tc>
          <w:tcPr>
            <w:tcW w:w="688" w:type="dxa"/>
            <w:tcBorders>
              <w:top w:val="single" w:sz="4" w:space="0" w:color="auto"/>
              <w:bottom w:val="single" w:sz="4" w:space="0" w:color="auto"/>
            </w:tcBorders>
          </w:tcPr>
          <w:p w14:paraId="27911021" w14:textId="4C1431C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0.0%</w:t>
            </w:r>
          </w:p>
        </w:tc>
        <w:tc>
          <w:tcPr>
            <w:tcW w:w="688" w:type="dxa"/>
            <w:tcBorders>
              <w:top w:val="single" w:sz="4" w:space="0" w:color="auto"/>
              <w:bottom w:val="single" w:sz="4" w:space="0" w:color="auto"/>
            </w:tcBorders>
          </w:tcPr>
          <w:p w14:paraId="03247A6A" w14:textId="3DC6260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1.0</w:t>
            </w:r>
          </w:p>
        </w:tc>
        <w:tc>
          <w:tcPr>
            <w:tcW w:w="687" w:type="dxa"/>
            <w:tcBorders>
              <w:top w:val="single" w:sz="4" w:space="0" w:color="auto"/>
              <w:bottom w:val="single" w:sz="4" w:space="0" w:color="auto"/>
            </w:tcBorders>
          </w:tcPr>
          <w:p w14:paraId="2978DF5E" w14:textId="75AE19E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w:t>
            </w:r>
          </w:p>
        </w:tc>
        <w:tc>
          <w:tcPr>
            <w:tcW w:w="688" w:type="dxa"/>
            <w:tcBorders>
              <w:top w:val="single" w:sz="4" w:space="0" w:color="auto"/>
              <w:bottom w:val="single" w:sz="4" w:space="0" w:color="auto"/>
            </w:tcBorders>
          </w:tcPr>
          <w:p w14:paraId="1D1DEF19" w14:textId="3324D60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3.5%</w:t>
            </w:r>
          </w:p>
        </w:tc>
        <w:tc>
          <w:tcPr>
            <w:tcW w:w="688" w:type="dxa"/>
            <w:tcBorders>
              <w:top w:val="single" w:sz="4" w:space="0" w:color="auto"/>
              <w:bottom w:val="single" w:sz="4" w:space="0" w:color="auto"/>
            </w:tcBorders>
          </w:tcPr>
          <w:p w14:paraId="206A4350" w14:textId="273401B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31.4%</w:t>
            </w:r>
          </w:p>
        </w:tc>
        <w:tc>
          <w:tcPr>
            <w:tcW w:w="687" w:type="dxa"/>
            <w:tcBorders>
              <w:top w:val="single" w:sz="4" w:space="0" w:color="auto"/>
              <w:bottom w:val="single" w:sz="4" w:space="0" w:color="auto"/>
            </w:tcBorders>
          </w:tcPr>
          <w:p w14:paraId="27A51481" w14:textId="1133B42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1.0%</w:t>
            </w:r>
          </w:p>
        </w:tc>
        <w:tc>
          <w:tcPr>
            <w:tcW w:w="688" w:type="dxa"/>
            <w:tcBorders>
              <w:top w:val="single" w:sz="4" w:space="0" w:color="auto"/>
              <w:bottom w:val="single" w:sz="4" w:space="0" w:color="auto"/>
            </w:tcBorders>
          </w:tcPr>
          <w:p w14:paraId="0310546F" w14:textId="07925B9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82.3%</w:t>
            </w:r>
          </w:p>
        </w:tc>
        <w:tc>
          <w:tcPr>
            <w:tcW w:w="688" w:type="dxa"/>
            <w:tcBorders>
              <w:top w:val="single" w:sz="4" w:space="0" w:color="auto"/>
              <w:bottom w:val="single" w:sz="4" w:space="0" w:color="auto"/>
            </w:tcBorders>
          </w:tcPr>
          <w:p w14:paraId="2483E950" w14:textId="14D05E2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48.7%</w:t>
            </w:r>
          </w:p>
        </w:tc>
        <w:tc>
          <w:tcPr>
            <w:tcW w:w="687" w:type="dxa"/>
            <w:tcBorders>
              <w:top w:val="single" w:sz="4" w:space="0" w:color="auto"/>
              <w:bottom w:val="single" w:sz="4" w:space="0" w:color="auto"/>
            </w:tcBorders>
          </w:tcPr>
          <w:p w14:paraId="739A6460" w14:textId="18B92E7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CE20B9">
              <w:t>74.3%</w:t>
            </w:r>
          </w:p>
        </w:tc>
        <w:tc>
          <w:tcPr>
            <w:tcW w:w="688" w:type="dxa"/>
            <w:tcBorders>
              <w:top w:val="single" w:sz="4" w:space="0" w:color="auto"/>
              <w:bottom w:val="single" w:sz="4" w:space="0" w:color="auto"/>
            </w:tcBorders>
          </w:tcPr>
          <w:p w14:paraId="05099E34" w14:textId="1338C12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2.1%</w:t>
            </w:r>
          </w:p>
        </w:tc>
        <w:tc>
          <w:tcPr>
            <w:tcW w:w="688" w:type="dxa"/>
            <w:tcBorders>
              <w:top w:val="single" w:sz="4" w:space="0" w:color="auto"/>
              <w:bottom w:val="single" w:sz="4" w:space="0" w:color="auto"/>
            </w:tcBorders>
          </w:tcPr>
          <w:p w14:paraId="5D06F6F2" w14:textId="0356F6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6F3C9BBF" w14:textId="3A328DA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r>
      <w:tr w:rsidR="00CC5764" w:rsidRPr="00956209" w14:paraId="2E4CB560"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896F561" w14:textId="40704E27" w:rsidR="00CC5764" w:rsidRPr="002E05DB" w:rsidRDefault="00CC5764" w:rsidP="00A60C18">
            <w:pPr>
              <w:rPr>
                <w:b w:val="0"/>
              </w:rPr>
            </w:pPr>
            <w:r w:rsidRPr="002E05DB">
              <w:t>Sale Hospital</w:t>
            </w:r>
          </w:p>
        </w:tc>
        <w:tc>
          <w:tcPr>
            <w:tcW w:w="825" w:type="dxa"/>
            <w:tcBorders>
              <w:top w:val="single" w:sz="4" w:space="0" w:color="auto"/>
              <w:bottom w:val="single" w:sz="4" w:space="0" w:color="auto"/>
            </w:tcBorders>
          </w:tcPr>
          <w:p w14:paraId="0250662E" w14:textId="2F7300E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616CA151" w14:textId="69F5F2A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373</w:t>
            </w:r>
          </w:p>
        </w:tc>
        <w:tc>
          <w:tcPr>
            <w:tcW w:w="688" w:type="dxa"/>
            <w:tcBorders>
              <w:top w:val="single" w:sz="4" w:space="0" w:color="auto"/>
              <w:bottom w:val="single" w:sz="4" w:space="0" w:color="auto"/>
            </w:tcBorders>
          </w:tcPr>
          <w:p w14:paraId="1F757985" w14:textId="1B6C04D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0.0%</w:t>
            </w:r>
          </w:p>
        </w:tc>
        <w:tc>
          <w:tcPr>
            <w:tcW w:w="687" w:type="dxa"/>
            <w:tcBorders>
              <w:top w:val="single" w:sz="4" w:space="0" w:color="auto"/>
              <w:bottom w:val="single" w:sz="4" w:space="0" w:color="auto"/>
            </w:tcBorders>
          </w:tcPr>
          <w:p w14:paraId="78C3ACAB" w14:textId="1A0230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17.7%</w:t>
            </w:r>
          </w:p>
        </w:tc>
        <w:tc>
          <w:tcPr>
            <w:tcW w:w="688" w:type="dxa"/>
            <w:tcBorders>
              <w:top w:val="single" w:sz="4" w:space="0" w:color="auto"/>
              <w:bottom w:val="single" w:sz="4" w:space="0" w:color="auto"/>
            </w:tcBorders>
          </w:tcPr>
          <w:p w14:paraId="05C415A9" w14:textId="6106BA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51.7%</w:t>
            </w:r>
          </w:p>
        </w:tc>
        <w:tc>
          <w:tcPr>
            <w:tcW w:w="688" w:type="dxa"/>
            <w:tcBorders>
              <w:top w:val="single" w:sz="4" w:space="0" w:color="auto"/>
              <w:bottom w:val="single" w:sz="4" w:space="0" w:color="auto"/>
            </w:tcBorders>
          </w:tcPr>
          <w:p w14:paraId="4E7F997C" w14:textId="5A2502B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0.0%</w:t>
            </w:r>
          </w:p>
        </w:tc>
        <w:tc>
          <w:tcPr>
            <w:tcW w:w="687" w:type="dxa"/>
            <w:tcBorders>
              <w:top w:val="single" w:sz="4" w:space="0" w:color="auto"/>
              <w:bottom w:val="single" w:sz="4" w:space="0" w:color="auto"/>
            </w:tcBorders>
          </w:tcPr>
          <w:p w14:paraId="10300084" w14:textId="58E721C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8" w:type="dxa"/>
            <w:tcBorders>
              <w:top w:val="single" w:sz="4" w:space="0" w:color="auto"/>
              <w:bottom w:val="single" w:sz="4" w:space="0" w:color="auto"/>
            </w:tcBorders>
          </w:tcPr>
          <w:p w14:paraId="1C9092F5" w14:textId="360747E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7.0%</w:t>
            </w:r>
          </w:p>
        </w:tc>
        <w:tc>
          <w:tcPr>
            <w:tcW w:w="688" w:type="dxa"/>
            <w:tcBorders>
              <w:top w:val="single" w:sz="4" w:space="0" w:color="auto"/>
              <w:bottom w:val="single" w:sz="4" w:space="0" w:color="auto"/>
            </w:tcBorders>
          </w:tcPr>
          <w:p w14:paraId="71629406" w14:textId="505D36E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14.3%</w:t>
            </w:r>
          </w:p>
        </w:tc>
        <w:tc>
          <w:tcPr>
            <w:tcW w:w="688" w:type="dxa"/>
            <w:tcBorders>
              <w:top w:val="single" w:sz="4" w:space="0" w:color="auto"/>
              <w:bottom w:val="single" w:sz="4" w:space="0" w:color="auto"/>
            </w:tcBorders>
          </w:tcPr>
          <w:p w14:paraId="6DD58DE8" w14:textId="230F8C7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2E05DB">
              <w:t>1.9</w:t>
            </w:r>
          </w:p>
        </w:tc>
        <w:tc>
          <w:tcPr>
            <w:tcW w:w="687" w:type="dxa"/>
            <w:tcBorders>
              <w:top w:val="single" w:sz="4" w:space="0" w:color="auto"/>
              <w:bottom w:val="single" w:sz="4" w:space="0" w:color="auto"/>
            </w:tcBorders>
          </w:tcPr>
          <w:p w14:paraId="34B1F47E" w14:textId="268D72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2.9%</w:t>
            </w:r>
          </w:p>
        </w:tc>
        <w:tc>
          <w:tcPr>
            <w:tcW w:w="688" w:type="dxa"/>
            <w:tcBorders>
              <w:top w:val="single" w:sz="4" w:space="0" w:color="auto"/>
              <w:bottom w:val="single" w:sz="4" w:space="0" w:color="auto"/>
            </w:tcBorders>
          </w:tcPr>
          <w:p w14:paraId="29FD5F50" w14:textId="1B5E148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2.9%</w:t>
            </w:r>
          </w:p>
        </w:tc>
        <w:tc>
          <w:tcPr>
            <w:tcW w:w="688" w:type="dxa"/>
            <w:tcBorders>
              <w:top w:val="single" w:sz="4" w:space="0" w:color="auto"/>
              <w:bottom w:val="single" w:sz="4" w:space="0" w:color="auto"/>
            </w:tcBorders>
          </w:tcPr>
          <w:p w14:paraId="783E5C39" w14:textId="034544E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33.3%</w:t>
            </w:r>
          </w:p>
        </w:tc>
        <w:tc>
          <w:tcPr>
            <w:tcW w:w="687" w:type="dxa"/>
            <w:tcBorders>
              <w:top w:val="single" w:sz="4" w:space="0" w:color="auto"/>
              <w:bottom w:val="single" w:sz="4" w:space="0" w:color="auto"/>
            </w:tcBorders>
          </w:tcPr>
          <w:p w14:paraId="0B64E096" w14:textId="1371E41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E65A52">
              <w:t>1.3%</w:t>
            </w:r>
          </w:p>
        </w:tc>
        <w:tc>
          <w:tcPr>
            <w:tcW w:w="688" w:type="dxa"/>
            <w:tcBorders>
              <w:top w:val="single" w:sz="4" w:space="0" w:color="auto"/>
              <w:bottom w:val="single" w:sz="4" w:space="0" w:color="auto"/>
            </w:tcBorders>
          </w:tcPr>
          <w:p w14:paraId="380880EE" w14:textId="1347C50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85.2%</w:t>
            </w:r>
          </w:p>
        </w:tc>
        <w:tc>
          <w:tcPr>
            <w:tcW w:w="688" w:type="dxa"/>
            <w:tcBorders>
              <w:top w:val="single" w:sz="4" w:space="0" w:color="auto"/>
              <w:bottom w:val="single" w:sz="4" w:space="0" w:color="auto"/>
            </w:tcBorders>
          </w:tcPr>
          <w:p w14:paraId="39470B45" w14:textId="435DC43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68.0%</w:t>
            </w:r>
          </w:p>
        </w:tc>
        <w:tc>
          <w:tcPr>
            <w:tcW w:w="687" w:type="dxa"/>
            <w:tcBorders>
              <w:top w:val="single" w:sz="4" w:space="0" w:color="auto"/>
              <w:bottom w:val="single" w:sz="4" w:space="0" w:color="auto"/>
            </w:tcBorders>
          </w:tcPr>
          <w:p w14:paraId="7588239D" w14:textId="7F3DD17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77.2%</w:t>
            </w:r>
          </w:p>
        </w:tc>
        <w:tc>
          <w:tcPr>
            <w:tcW w:w="688" w:type="dxa"/>
            <w:tcBorders>
              <w:top w:val="single" w:sz="4" w:space="0" w:color="auto"/>
              <w:bottom w:val="single" w:sz="4" w:space="0" w:color="auto"/>
            </w:tcBorders>
          </w:tcPr>
          <w:p w14:paraId="02CB3E2B" w14:textId="019AA23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1.9%</w:t>
            </w:r>
          </w:p>
        </w:tc>
        <w:tc>
          <w:tcPr>
            <w:tcW w:w="688" w:type="dxa"/>
            <w:tcBorders>
              <w:top w:val="single" w:sz="4" w:space="0" w:color="auto"/>
              <w:bottom w:val="single" w:sz="4" w:space="0" w:color="auto"/>
            </w:tcBorders>
          </w:tcPr>
          <w:p w14:paraId="4A1C9C1C" w14:textId="244F0BD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gridSpan w:val="2"/>
            <w:tcBorders>
              <w:top w:val="single" w:sz="4" w:space="0" w:color="auto"/>
              <w:bottom w:val="single" w:sz="4" w:space="0" w:color="auto"/>
            </w:tcBorders>
          </w:tcPr>
          <w:p w14:paraId="469DC99F" w14:textId="0786702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r>
      <w:tr w:rsidR="00CC5764" w:rsidRPr="00956209" w14:paraId="564BAD2C"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1DFB54A" w14:textId="4B8A6CB7" w:rsidR="00CC5764" w:rsidRPr="002E05DB" w:rsidRDefault="00CC5764" w:rsidP="00A60C18">
            <w:pPr>
              <w:rPr>
                <w:b w:val="0"/>
              </w:rPr>
            </w:pPr>
            <w:r w:rsidRPr="002E05DB">
              <w:t>Wimmera Base Hospital</w:t>
            </w:r>
          </w:p>
        </w:tc>
        <w:tc>
          <w:tcPr>
            <w:tcW w:w="825" w:type="dxa"/>
            <w:tcBorders>
              <w:top w:val="single" w:sz="4" w:space="0" w:color="auto"/>
              <w:bottom w:val="single" w:sz="4" w:space="0" w:color="auto"/>
            </w:tcBorders>
          </w:tcPr>
          <w:p w14:paraId="2E3AC5F4" w14:textId="18797C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tcBorders>
              <w:top w:val="single" w:sz="4" w:space="0" w:color="auto"/>
              <w:bottom w:val="single" w:sz="4" w:space="0" w:color="auto"/>
            </w:tcBorders>
          </w:tcPr>
          <w:p w14:paraId="1FC8F50A" w14:textId="0799503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295</w:t>
            </w:r>
          </w:p>
        </w:tc>
        <w:tc>
          <w:tcPr>
            <w:tcW w:w="688" w:type="dxa"/>
            <w:tcBorders>
              <w:top w:val="single" w:sz="4" w:space="0" w:color="auto"/>
              <w:bottom w:val="single" w:sz="4" w:space="0" w:color="auto"/>
            </w:tcBorders>
          </w:tcPr>
          <w:p w14:paraId="7B6D3A79" w14:textId="1FA76F7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25.0%</w:t>
            </w:r>
          </w:p>
        </w:tc>
        <w:tc>
          <w:tcPr>
            <w:tcW w:w="687" w:type="dxa"/>
            <w:tcBorders>
              <w:top w:val="single" w:sz="4" w:space="0" w:color="auto"/>
              <w:bottom w:val="single" w:sz="4" w:space="0" w:color="auto"/>
            </w:tcBorders>
          </w:tcPr>
          <w:p w14:paraId="28693CDA" w14:textId="756B795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17.0%</w:t>
            </w:r>
          </w:p>
        </w:tc>
        <w:tc>
          <w:tcPr>
            <w:tcW w:w="688" w:type="dxa"/>
            <w:tcBorders>
              <w:top w:val="single" w:sz="4" w:space="0" w:color="auto"/>
              <w:bottom w:val="single" w:sz="4" w:space="0" w:color="auto"/>
            </w:tcBorders>
          </w:tcPr>
          <w:p w14:paraId="68504BA3" w14:textId="371A4A3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40.4%</w:t>
            </w:r>
          </w:p>
        </w:tc>
        <w:tc>
          <w:tcPr>
            <w:tcW w:w="688" w:type="dxa"/>
            <w:tcBorders>
              <w:top w:val="single" w:sz="4" w:space="0" w:color="auto"/>
              <w:bottom w:val="single" w:sz="4" w:space="0" w:color="auto"/>
            </w:tcBorders>
          </w:tcPr>
          <w:p w14:paraId="6B72A140" w14:textId="069E94A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2.0%</w:t>
            </w:r>
          </w:p>
        </w:tc>
        <w:tc>
          <w:tcPr>
            <w:tcW w:w="687" w:type="dxa"/>
            <w:tcBorders>
              <w:top w:val="single" w:sz="4" w:space="0" w:color="auto"/>
              <w:bottom w:val="single" w:sz="4" w:space="0" w:color="auto"/>
            </w:tcBorders>
          </w:tcPr>
          <w:p w14:paraId="27A109D0" w14:textId="0CB873C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8" w:type="dxa"/>
            <w:tcBorders>
              <w:top w:val="single" w:sz="4" w:space="0" w:color="auto"/>
              <w:bottom w:val="single" w:sz="4" w:space="0" w:color="auto"/>
            </w:tcBorders>
          </w:tcPr>
          <w:p w14:paraId="68024A40" w14:textId="1B3E4ED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14.0%</w:t>
            </w:r>
          </w:p>
        </w:tc>
        <w:tc>
          <w:tcPr>
            <w:tcW w:w="688" w:type="dxa"/>
            <w:tcBorders>
              <w:top w:val="single" w:sz="4" w:space="0" w:color="auto"/>
              <w:bottom w:val="single" w:sz="4" w:space="0" w:color="auto"/>
            </w:tcBorders>
          </w:tcPr>
          <w:p w14:paraId="3AE76359" w14:textId="40646F9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20.0%</w:t>
            </w:r>
          </w:p>
        </w:tc>
        <w:tc>
          <w:tcPr>
            <w:tcW w:w="688" w:type="dxa"/>
            <w:tcBorders>
              <w:top w:val="single" w:sz="4" w:space="0" w:color="auto"/>
              <w:bottom w:val="single" w:sz="4" w:space="0" w:color="auto"/>
            </w:tcBorders>
          </w:tcPr>
          <w:p w14:paraId="59DB2EF6" w14:textId="77F1B9E2" w:rsidR="00CC5764" w:rsidRPr="002E05DB" w:rsidRDefault="2BB77F21"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48A58735" w14:textId="6916692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1.7%</w:t>
            </w:r>
          </w:p>
        </w:tc>
        <w:tc>
          <w:tcPr>
            <w:tcW w:w="688" w:type="dxa"/>
            <w:tcBorders>
              <w:top w:val="single" w:sz="4" w:space="0" w:color="auto"/>
              <w:bottom w:val="single" w:sz="4" w:space="0" w:color="auto"/>
            </w:tcBorders>
          </w:tcPr>
          <w:p w14:paraId="1140CF0E" w14:textId="1BCBCCD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3.5%</w:t>
            </w:r>
          </w:p>
        </w:tc>
        <w:tc>
          <w:tcPr>
            <w:tcW w:w="688" w:type="dxa"/>
            <w:tcBorders>
              <w:top w:val="single" w:sz="4" w:space="0" w:color="auto"/>
              <w:bottom w:val="single" w:sz="4" w:space="0" w:color="auto"/>
            </w:tcBorders>
          </w:tcPr>
          <w:p w14:paraId="7E53F48B" w14:textId="747F04C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195C06">
              <w:t>15.2%</w:t>
            </w:r>
          </w:p>
        </w:tc>
        <w:tc>
          <w:tcPr>
            <w:tcW w:w="687" w:type="dxa"/>
            <w:tcBorders>
              <w:top w:val="single" w:sz="4" w:space="0" w:color="auto"/>
              <w:bottom w:val="single" w:sz="4" w:space="0" w:color="auto"/>
            </w:tcBorders>
          </w:tcPr>
          <w:p w14:paraId="75D97BFE" w14:textId="47E69BC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1.4%</w:t>
            </w:r>
          </w:p>
        </w:tc>
        <w:tc>
          <w:tcPr>
            <w:tcW w:w="688" w:type="dxa"/>
            <w:tcBorders>
              <w:top w:val="single" w:sz="4" w:space="0" w:color="auto"/>
              <w:bottom w:val="single" w:sz="4" w:space="0" w:color="auto"/>
            </w:tcBorders>
          </w:tcPr>
          <w:p w14:paraId="3376B716" w14:textId="74F42E7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97.4%</w:t>
            </w:r>
          </w:p>
        </w:tc>
        <w:tc>
          <w:tcPr>
            <w:tcW w:w="688" w:type="dxa"/>
            <w:tcBorders>
              <w:top w:val="single" w:sz="4" w:space="0" w:color="auto"/>
              <w:bottom w:val="single" w:sz="4" w:space="0" w:color="auto"/>
            </w:tcBorders>
          </w:tcPr>
          <w:p w14:paraId="6C5A8B8D" w14:textId="56A8468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65.8%</w:t>
            </w:r>
          </w:p>
        </w:tc>
        <w:tc>
          <w:tcPr>
            <w:tcW w:w="687" w:type="dxa"/>
            <w:tcBorders>
              <w:top w:val="single" w:sz="4" w:space="0" w:color="auto"/>
              <w:bottom w:val="single" w:sz="4" w:space="0" w:color="auto"/>
            </w:tcBorders>
          </w:tcPr>
          <w:p w14:paraId="68A881C7" w14:textId="10A6901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57.0%</w:t>
            </w:r>
          </w:p>
        </w:tc>
        <w:tc>
          <w:tcPr>
            <w:tcW w:w="688" w:type="dxa"/>
            <w:tcBorders>
              <w:top w:val="single" w:sz="4" w:space="0" w:color="auto"/>
              <w:bottom w:val="single" w:sz="4" w:space="0" w:color="auto"/>
            </w:tcBorders>
          </w:tcPr>
          <w:p w14:paraId="23879C51" w14:textId="60F1D30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2.4%</w:t>
            </w:r>
          </w:p>
        </w:tc>
        <w:tc>
          <w:tcPr>
            <w:tcW w:w="688" w:type="dxa"/>
            <w:tcBorders>
              <w:top w:val="single" w:sz="4" w:space="0" w:color="auto"/>
              <w:bottom w:val="single" w:sz="4" w:space="0" w:color="auto"/>
            </w:tcBorders>
          </w:tcPr>
          <w:p w14:paraId="24848DEB" w14:textId="3838F71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0C453695" w14:textId="7C6B7DB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CC5764" w:rsidRPr="00956209" w14:paraId="45C5CBBE"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9D36F71" w14:textId="42C22826" w:rsidR="00CC5764" w:rsidRPr="002E05DB" w:rsidRDefault="00CC5764" w:rsidP="00A60C18">
            <w:pPr>
              <w:rPr>
                <w:b w:val="0"/>
              </w:rPr>
            </w:pPr>
            <w:r w:rsidRPr="002E05DB">
              <w:t>Bacchus Marsh &amp; Melton Regional Hospital</w:t>
            </w:r>
          </w:p>
        </w:tc>
        <w:tc>
          <w:tcPr>
            <w:tcW w:w="825" w:type="dxa"/>
            <w:tcBorders>
              <w:top w:val="single" w:sz="4" w:space="0" w:color="auto"/>
              <w:bottom w:val="single" w:sz="4" w:space="0" w:color="auto"/>
            </w:tcBorders>
          </w:tcPr>
          <w:p w14:paraId="1F672D47" w14:textId="2D8B17D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5440AD7F" w14:textId="4C1E6B5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477</w:t>
            </w:r>
          </w:p>
        </w:tc>
        <w:tc>
          <w:tcPr>
            <w:tcW w:w="688" w:type="dxa"/>
            <w:tcBorders>
              <w:top w:val="single" w:sz="4" w:space="0" w:color="auto"/>
              <w:bottom w:val="single" w:sz="4" w:space="0" w:color="auto"/>
            </w:tcBorders>
          </w:tcPr>
          <w:p w14:paraId="504CBD86" w14:textId="4609F44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11.4%</w:t>
            </w:r>
          </w:p>
        </w:tc>
        <w:tc>
          <w:tcPr>
            <w:tcW w:w="687" w:type="dxa"/>
            <w:tcBorders>
              <w:top w:val="single" w:sz="4" w:space="0" w:color="auto"/>
              <w:bottom w:val="single" w:sz="4" w:space="0" w:color="auto"/>
            </w:tcBorders>
          </w:tcPr>
          <w:p w14:paraId="2B0F9619" w14:textId="06EE112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20.9%</w:t>
            </w:r>
          </w:p>
        </w:tc>
        <w:tc>
          <w:tcPr>
            <w:tcW w:w="688" w:type="dxa"/>
            <w:tcBorders>
              <w:top w:val="single" w:sz="4" w:space="0" w:color="auto"/>
              <w:bottom w:val="single" w:sz="4" w:space="0" w:color="auto"/>
            </w:tcBorders>
          </w:tcPr>
          <w:p w14:paraId="0FFDFD73" w14:textId="7615D8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25.3%</w:t>
            </w:r>
          </w:p>
        </w:tc>
        <w:tc>
          <w:tcPr>
            <w:tcW w:w="688" w:type="dxa"/>
            <w:tcBorders>
              <w:top w:val="single" w:sz="4" w:space="0" w:color="auto"/>
              <w:bottom w:val="single" w:sz="4" w:space="0" w:color="auto"/>
            </w:tcBorders>
          </w:tcPr>
          <w:p w14:paraId="1DF0D961" w14:textId="3F0EF3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7.6%</w:t>
            </w:r>
          </w:p>
        </w:tc>
        <w:tc>
          <w:tcPr>
            <w:tcW w:w="687" w:type="dxa"/>
            <w:tcBorders>
              <w:top w:val="single" w:sz="4" w:space="0" w:color="auto"/>
              <w:bottom w:val="single" w:sz="4" w:space="0" w:color="auto"/>
            </w:tcBorders>
          </w:tcPr>
          <w:p w14:paraId="3BD02559" w14:textId="3BA10C2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4.3%</w:t>
            </w:r>
          </w:p>
        </w:tc>
        <w:tc>
          <w:tcPr>
            <w:tcW w:w="688" w:type="dxa"/>
            <w:tcBorders>
              <w:top w:val="single" w:sz="4" w:space="0" w:color="auto"/>
              <w:bottom w:val="single" w:sz="4" w:space="0" w:color="auto"/>
            </w:tcBorders>
          </w:tcPr>
          <w:p w14:paraId="3B358945" w14:textId="2C5C486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4.1%</w:t>
            </w:r>
          </w:p>
        </w:tc>
        <w:tc>
          <w:tcPr>
            <w:tcW w:w="688" w:type="dxa"/>
            <w:tcBorders>
              <w:top w:val="single" w:sz="4" w:space="0" w:color="auto"/>
              <w:bottom w:val="single" w:sz="4" w:space="0" w:color="auto"/>
            </w:tcBorders>
          </w:tcPr>
          <w:p w14:paraId="0FDFEFEA" w14:textId="6B516FA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33.3%</w:t>
            </w:r>
          </w:p>
        </w:tc>
        <w:tc>
          <w:tcPr>
            <w:tcW w:w="688" w:type="dxa"/>
            <w:tcBorders>
              <w:top w:val="single" w:sz="4" w:space="0" w:color="auto"/>
              <w:bottom w:val="single" w:sz="4" w:space="0" w:color="auto"/>
            </w:tcBorders>
          </w:tcPr>
          <w:p w14:paraId="1D03A14D" w14:textId="167C7C91" w:rsidR="00CC5764" w:rsidRPr="002E05DB" w:rsidRDefault="16AF8307"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2F4FD0C7" w14:textId="4BC91F9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1.9%</w:t>
            </w:r>
          </w:p>
        </w:tc>
        <w:tc>
          <w:tcPr>
            <w:tcW w:w="688" w:type="dxa"/>
            <w:tcBorders>
              <w:top w:val="single" w:sz="4" w:space="0" w:color="auto"/>
              <w:bottom w:val="single" w:sz="4" w:space="0" w:color="auto"/>
            </w:tcBorders>
          </w:tcPr>
          <w:p w14:paraId="240938E9" w14:textId="7DCDE8C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3.8%</w:t>
            </w:r>
          </w:p>
        </w:tc>
        <w:tc>
          <w:tcPr>
            <w:tcW w:w="688" w:type="dxa"/>
            <w:tcBorders>
              <w:top w:val="single" w:sz="4" w:space="0" w:color="auto"/>
              <w:bottom w:val="single" w:sz="4" w:space="0" w:color="auto"/>
            </w:tcBorders>
          </w:tcPr>
          <w:p w14:paraId="10D91B96" w14:textId="5F67FCF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195C06">
              <w:t>25.4%</w:t>
            </w:r>
          </w:p>
        </w:tc>
        <w:tc>
          <w:tcPr>
            <w:tcW w:w="687" w:type="dxa"/>
            <w:tcBorders>
              <w:top w:val="single" w:sz="4" w:space="0" w:color="auto"/>
              <w:bottom w:val="single" w:sz="4" w:space="0" w:color="auto"/>
            </w:tcBorders>
          </w:tcPr>
          <w:p w14:paraId="74041445" w14:textId="3360BED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0.7%</w:t>
            </w:r>
          </w:p>
        </w:tc>
        <w:tc>
          <w:tcPr>
            <w:tcW w:w="688" w:type="dxa"/>
            <w:tcBorders>
              <w:top w:val="single" w:sz="4" w:space="0" w:color="auto"/>
              <w:bottom w:val="single" w:sz="4" w:space="0" w:color="auto"/>
            </w:tcBorders>
          </w:tcPr>
          <w:p w14:paraId="5B8A7F8B" w14:textId="2186048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91.0%</w:t>
            </w:r>
          </w:p>
        </w:tc>
        <w:tc>
          <w:tcPr>
            <w:tcW w:w="688" w:type="dxa"/>
            <w:tcBorders>
              <w:top w:val="single" w:sz="4" w:space="0" w:color="auto"/>
              <w:bottom w:val="single" w:sz="4" w:space="0" w:color="auto"/>
            </w:tcBorders>
          </w:tcPr>
          <w:p w14:paraId="6B4BE7A9" w14:textId="2D68F21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64.9%</w:t>
            </w:r>
          </w:p>
        </w:tc>
        <w:tc>
          <w:tcPr>
            <w:tcW w:w="687" w:type="dxa"/>
            <w:tcBorders>
              <w:top w:val="single" w:sz="4" w:space="0" w:color="auto"/>
              <w:bottom w:val="single" w:sz="4" w:space="0" w:color="auto"/>
            </w:tcBorders>
          </w:tcPr>
          <w:p w14:paraId="5A033B60" w14:textId="2E1BE23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78.8%</w:t>
            </w:r>
          </w:p>
        </w:tc>
        <w:tc>
          <w:tcPr>
            <w:tcW w:w="688" w:type="dxa"/>
            <w:tcBorders>
              <w:top w:val="single" w:sz="4" w:space="0" w:color="auto"/>
              <w:bottom w:val="single" w:sz="4" w:space="0" w:color="auto"/>
            </w:tcBorders>
          </w:tcPr>
          <w:p w14:paraId="4909AAD1" w14:textId="7EC19EC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3.1%</w:t>
            </w:r>
          </w:p>
        </w:tc>
        <w:tc>
          <w:tcPr>
            <w:tcW w:w="688" w:type="dxa"/>
            <w:tcBorders>
              <w:top w:val="single" w:sz="4" w:space="0" w:color="auto"/>
              <w:bottom w:val="single" w:sz="4" w:space="0" w:color="auto"/>
            </w:tcBorders>
          </w:tcPr>
          <w:p w14:paraId="12EADEB5" w14:textId="64F654B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c>
          <w:tcPr>
            <w:tcW w:w="688" w:type="dxa"/>
            <w:gridSpan w:val="2"/>
            <w:tcBorders>
              <w:top w:val="single" w:sz="4" w:space="0" w:color="auto"/>
              <w:bottom w:val="single" w:sz="4" w:space="0" w:color="auto"/>
            </w:tcBorders>
          </w:tcPr>
          <w:p w14:paraId="576E83DE" w14:textId="591C27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CC5764" w:rsidRPr="00956209" w14:paraId="103C91DF"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1C05638" w14:textId="25C7BB0E" w:rsidR="00CC5764" w:rsidRPr="002E05DB" w:rsidRDefault="00CC5764" w:rsidP="00A60C18">
            <w:pPr>
              <w:rPr>
                <w:b w:val="0"/>
              </w:rPr>
            </w:pPr>
            <w:r w:rsidRPr="002E05DB">
              <w:t>Echuca Hospital</w:t>
            </w:r>
          </w:p>
        </w:tc>
        <w:tc>
          <w:tcPr>
            <w:tcW w:w="825" w:type="dxa"/>
            <w:tcBorders>
              <w:top w:val="single" w:sz="4" w:space="0" w:color="auto"/>
              <w:bottom w:val="single" w:sz="4" w:space="0" w:color="auto"/>
            </w:tcBorders>
          </w:tcPr>
          <w:p w14:paraId="7AB8871E" w14:textId="7A5FDA3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142495F1" w14:textId="4A43001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394</w:t>
            </w:r>
          </w:p>
        </w:tc>
        <w:tc>
          <w:tcPr>
            <w:tcW w:w="688" w:type="dxa"/>
            <w:tcBorders>
              <w:top w:val="single" w:sz="4" w:space="0" w:color="auto"/>
              <w:bottom w:val="single" w:sz="4" w:space="0" w:color="auto"/>
            </w:tcBorders>
          </w:tcPr>
          <w:p w14:paraId="5A9904C2" w14:textId="07674E4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12.7%</w:t>
            </w:r>
          </w:p>
        </w:tc>
        <w:tc>
          <w:tcPr>
            <w:tcW w:w="687" w:type="dxa"/>
            <w:tcBorders>
              <w:top w:val="single" w:sz="4" w:space="0" w:color="auto"/>
              <w:bottom w:val="single" w:sz="4" w:space="0" w:color="auto"/>
            </w:tcBorders>
          </w:tcPr>
          <w:p w14:paraId="3B5867E2" w14:textId="2133683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38.0%</w:t>
            </w:r>
          </w:p>
        </w:tc>
        <w:tc>
          <w:tcPr>
            <w:tcW w:w="688" w:type="dxa"/>
            <w:tcBorders>
              <w:top w:val="single" w:sz="4" w:space="0" w:color="auto"/>
              <w:bottom w:val="single" w:sz="4" w:space="0" w:color="auto"/>
            </w:tcBorders>
          </w:tcPr>
          <w:p w14:paraId="49962809" w14:textId="4C31DF1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38.1%</w:t>
            </w:r>
          </w:p>
        </w:tc>
        <w:tc>
          <w:tcPr>
            <w:tcW w:w="688" w:type="dxa"/>
            <w:tcBorders>
              <w:top w:val="single" w:sz="4" w:space="0" w:color="auto"/>
              <w:bottom w:val="single" w:sz="4" w:space="0" w:color="auto"/>
            </w:tcBorders>
          </w:tcPr>
          <w:p w14:paraId="208AC06E" w14:textId="30478E4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1.9%</w:t>
            </w:r>
          </w:p>
        </w:tc>
        <w:tc>
          <w:tcPr>
            <w:tcW w:w="687" w:type="dxa"/>
            <w:tcBorders>
              <w:top w:val="single" w:sz="4" w:space="0" w:color="auto"/>
              <w:bottom w:val="single" w:sz="4" w:space="0" w:color="auto"/>
            </w:tcBorders>
          </w:tcPr>
          <w:p w14:paraId="060509AA" w14:textId="44292FD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8.6%</w:t>
            </w:r>
          </w:p>
        </w:tc>
        <w:tc>
          <w:tcPr>
            <w:tcW w:w="688" w:type="dxa"/>
            <w:tcBorders>
              <w:top w:val="single" w:sz="4" w:space="0" w:color="auto"/>
              <w:bottom w:val="single" w:sz="4" w:space="0" w:color="auto"/>
            </w:tcBorders>
          </w:tcPr>
          <w:p w14:paraId="0A508019" w14:textId="7B1D88A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7B510F">
              <w:t>3.5%</w:t>
            </w:r>
          </w:p>
        </w:tc>
        <w:tc>
          <w:tcPr>
            <w:tcW w:w="688" w:type="dxa"/>
            <w:tcBorders>
              <w:top w:val="single" w:sz="4" w:space="0" w:color="auto"/>
              <w:bottom w:val="single" w:sz="4" w:space="0" w:color="auto"/>
            </w:tcBorders>
          </w:tcPr>
          <w:p w14:paraId="4D4F018B" w14:textId="37111D7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14.3%</w:t>
            </w:r>
          </w:p>
        </w:tc>
        <w:tc>
          <w:tcPr>
            <w:tcW w:w="688" w:type="dxa"/>
            <w:tcBorders>
              <w:top w:val="single" w:sz="4" w:space="0" w:color="auto"/>
              <w:bottom w:val="single" w:sz="4" w:space="0" w:color="auto"/>
            </w:tcBorders>
          </w:tcPr>
          <w:p w14:paraId="6AFB0FC1" w14:textId="39D1CFF9" w:rsidR="00CC5764" w:rsidRPr="002E05DB" w:rsidRDefault="5DD603AB"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3C984C49" w14:textId="73D9E21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w:t>
            </w:r>
          </w:p>
        </w:tc>
        <w:tc>
          <w:tcPr>
            <w:tcW w:w="688" w:type="dxa"/>
            <w:tcBorders>
              <w:top w:val="single" w:sz="4" w:space="0" w:color="auto"/>
              <w:bottom w:val="single" w:sz="4" w:space="0" w:color="auto"/>
            </w:tcBorders>
          </w:tcPr>
          <w:p w14:paraId="39B35906" w14:textId="08C3004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1.8%</w:t>
            </w:r>
          </w:p>
        </w:tc>
        <w:tc>
          <w:tcPr>
            <w:tcW w:w="688" w:type="dxa"/>
            <w:tcBorders>
              <w:top w:val="single" w:sz="4" w:space="0" w:color="auto"/>
              <w:bottom w:val="single" w:sz="4" w:space="0" w:color="auto"/>
            </w:tcBorders>
          </w:tcPr>
          <w:p w14:paraId="306B001D" w14:textId="3BEF0DC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6942CA">
              <w:t>17.2%</w:t>
            </w:r>
          </w:p>
        </w:tc>
        <w:tc>
          <w:tcPr>
            <w:tcW w:w="687" w:type="dxa"/>
            <w:tcBorders>
              <w:top w:val="single" w:sz="4" w:space="0" w:color="auto"/>
              <w:bottom w:val="single" w:sz="4" w:space="0" w:color="auto"/>
            </w:tcBorders>
          </w:tcPr>
          <w:p w14:paraId="13F03693" w14:textId="5CF108B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1.0%</w:t>
            </w:r>
          </w:p>
        </w:tc>
        <w:tc>
          <w:tcPr>
            <w:tcW w:w="688" w:type="dxa"/>
            <w:tcBorders>
              <w:top w:val="single" w:sz="4" w:space="0" w:color="auto"/>
              <w:bottom w:val="single" w:sz="4" w:space="0" w:color="auto"/>
            </w:tcBorders>
          </w:tcPr>
          <w:p w14:paraId="016A574F" w14:textId="25E7A0B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86.7%</w:t>
            </w:r>
          </w:p>
        </w:tc>
        <w:tc>
          <w:tcPr>
            <w:tcW w:w="688" w:type="dxa"/>
            <w:tcBorders>
              <w:top w:val="single" w:sz="4" w:space="0" w:color="auto"/>
              <w:bottom w:val="single" w:sz="4" w:space="0" w:color="auto"/>
            </w:tcBorders>
          </w:tcPr>
          <w:p w14:paraId="67A42420" w14:textId="420D05E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59.0%</w:t>
            </w:r>
          </w:p>
        </w:tc>
        <w:tc>
          <w:tcPr>
            <w:tcW w:w="687" w:type="dxa"/>
            <w:tcBorders>
              <w:top w:val="single" w:sz="4" w:space="0" w:color="auto"/>
              <w:bottom w:val="single" w:sz="4" w:space="0" w:color="auto"/>
            </w:tcBorders>
          </w:tcPr>
          <w:p w14:paraId="1F0AC2D5" w14:textId="08A7AFE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76.1%</w:t>
            </w:r>
          </w:p>
        </w:tc>
        <w:tc>
          <w:tcPr>
            <w:tcW w:w="688" w:type="dxa"/>
            <w:tcBorders>
              <w:top w:val="single" w:sz="4" w:space="0" w:color="auto"/>
              <w:bottom w:val="single" w:sz="4" w:space="0" w:color="auto"/>
            </w:tcBorders>
          </w:tcPr>
          <w:p w14:paraId="7AE13733" w14:textId="241413F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3.1%</w:t>
            </w:r>
          </w:p>
        </w:tc>
        <w:tc>
          <w:tcPr>
            <w:tcW w:w="688" w:type="dxa"/>
            <w:tcBorders>
              <w:top w:val="single" w:sz="4" w:space="0" w:color="auto"/>
              <w:bottom w:val="single" w:sz="4" w:space="0" w:color="auto"/>
            </w:tcBorders>
          </w:tcPr>
          <w:p w14:paraId="2D0F86DB" w14:textId="314F163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47B5459E" w14:textId="421519B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CC5764" w:rsidRPr="00956209" w14:paraId="5A8D1196"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058FA1EF" w14:textId="3E898A54" w:rsidR="00CC5764" w:rsidRPr="002E05DB" w:rsidRDefault="00CC5764" w:rsidP="00A60C18">
            <w:pPr>
              <w:rPr>
                <w:b w:val="0"/>
              </w:rPr>
            </w:pPr>
            <w:r w:rsidRPr="002E05DB">
              <w:t>Bairnsdale Hospital</w:t>
            </w:r>
          </w:p>
        </w:tc>
        <w:tc>
          <w:tcPr>
            <w:tcW w:w="825" w:type="dxa"/>
            <w:tcBorders>
              <w:top w:val="single" w:sz="4" w:space="0" w:color="auto"/>
              <w:bottom w:val="single" w:sz="4" w:space="0" w:color="auto"/>
            </w:tcBorders>
          </w:tcPr>
          <w:p w14:paraId="7243F5AF" w14:textId="3D8C9F7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34352CB1" w14:textId="56CE881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305</w:t>
            </w:r>
          </w:p>
        </w:tc>
        <w:tc>
          <w:tcPr>
            <w:tcW w:w="688" w:type="dxa"/>
            <w:tcBorders>
              <w:top w:val="single" w:sz="4" w:space="0" w:color="auto"/>
              <w:bottom w:val="single" w:sz="4" w:space="0" w:color="auto"/>
            </w:tcBorders>
          </w:tcPr>
          <w:p w14:paraId="77004E5A" w14:textId="4C48083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0.0%</w:t>
            </w:r>
          </w:p>
        </w:tc>
        <w:tc>
          <w:tcPr>
            <w:tcW w:w="687" w:type="dxa"/>
            <w:tcBorders>
              <w:top w:val="single" w:sz="4" w:space="0" w:color="auto"/>
              <w:bottom w:val="single" w:sz="4" w:space="0" w:color="auto"/>
            </w:tcBorders>
          </w:tcPr>
          <w:p w14:paraId="61CABA8B" w14:textId="026F02D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24.2%</w:t>
            </w:r>
          </w:p>
        </w:tc>
        <w:tc>
          <w:tcPr>
            <w:tcW w:w="688" w:type="dxa"/>
            <w:tcBorders>
              <w:top w:val="single" w:sz="4" w:space="0" w:color="auto"/>
              <w:bottom w:val="single" w:sz="4" w:space="0" w:color="auto"/>
            </w:tcBorders>
          </w:tcPr>
          <w:p w14:paraId="39635D68" w14:textId="77CDA19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34.2%</w:t>
            </w:r>
          </w:p>
        </w:tc>
        <w:tc>
          <w:tcPr>
            <w:tcW w:w="688" w:type="dxa"/>
            <w:tcBorders>
              <w:top w:val="single" w:sz="4" w:space="0" w:color="auto"/>
              <w:bottom w:val="single" w:sz="4" w:space="0" w:color="auto"/>
            </w:tcBorders>
          </w:tcPr>
          <w:p w14:paraId="340342BD" w14:textId="26BC03E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2.0%</w:t>
            </w:r>
          </w:p>
        </w:tc>
        <w:tc>
          <w:tcPr>
            <w:tcW w:w="687" w:type="dxa"/>
            <w:tcBorders>
              <w:top w:val="single" w:sz="4" w:space="0" w:color="auto"/>
              <w:bottom w:val="single" w:sz="4" w:space="0" w:color="auto"/>
            </w:tcBorders>
          </w:tcPr>
          <w:p w14:paraId="7C240BF9" w14:textId="15EDB52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3.8%</w:t>
            </w:r>
          </w:p>
        </w:tc>
        <w:tc>
          <w:tcPr>
            <w:tcW w:w="688" w:type="dxa"/>
            <w:tcBorders>
              <w:top w:val="single" w:sz="4" w:space="0" w:color="auto"/>
              <w:bottom w:val="single" w:sz="4" w:space="0" w:color="auto"/>
            </w:tcBorders>
          </w:tcPr>
          <w:p w14:paraId="0DEC3BF5" w14:textId="5B4BF1B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4.4%</w:t>
            </w:r>
          </w:p>
        </w:tc>
        <w:tc>
          <w:tcPr>
            <w:tcW w:w="688" w:type="dxa"/>
            <w:tcBorders>
              <w:top w:val="single" w:sz="4" w:space="0" w:color="auto"/>
              <w:bottom w:val="single" w:sz="4" w:space="0" w:color="auto"/>
            </w:tcBorders>
          </w:tcPr>
          <w:p w14:paraId="3AC4DA14" w14:textId="0B84AAB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8" w:type="dxa"/>
            <w:tcBorders>
              <w:top w:val="single" w:sz="4" w:space="0" w:color="auto"/>
              <w:bottom w:val="single" w:sz="4" w:space="0" w:color="auto"/>
            </w:tcBorders>
          </w:tcPr>
          <w:p w14:paraId="2CEF1453" w14:textId="50689638" w:rsidR="00CC5764" w:rsidRPr="002E05DB" w:rsidRDefault="2B7D5911"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6AEB6C92" w14:textId="3C3BD1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w:t>
            </w:r>
          </w:p>
        </w:tc>
        <w:tc>
          <w:tcPr>
            <w:tcW w:w="688" w:type="dxa"/>
            <w:tcBorders>
              <w:top w:val="single" w:sz="4" w:space="0" w:color="auto"/>
              <w:bottom w:val="single" w:sz="4" w:space="0" w:color="auto"/>
            </w:tcBorders>
          </w:tcPr>
          <w:p w14:paraId="64B1149F" w14:textId="5DE19E6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0.4%</w:t>
            </w:r>
          </w:p>
        </w:tc>
        <w:tc>
          <w:tcPr>
            <w:tcW w:w="688" w:type="dxa"/>
            <w:tcBorders>
              <w:top w:val="single" w:sz="4" w:space="0" w:color="auto"/>
              <w:bottom w:val="single" w:sz="4" w:space="0" w:color="auto"/>
            </w:tcBorders>
          </w:tcPr>
          <w:p w14:paraId="78711411" w14:textId="3385B8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10.5%</w:t>
            </w:r>
          </w:p>
        </w:tc>
        <w:tc>
          <w:tcPr>
            <w:tcW w:w="687" w:type="dxa"/>
            <w:tcBorders>
              <w:top w:val="single" w:sz="4" w:space="0" w:color="auto"/>
              <w:bottom w:val="single" w:sz="4" w:space="0" w:color="auto"/>
            </w:tcBorders>
          </w:tcPr>
          <w:p w14:paraId="251BB721" w14:textId="2C0492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A60268">
              <w:t>1.3%</w:t>
            </w:r>
          </w:p>
        </w:tc>
        <w:tc>
          <w:tcPr>
            <w:tcW w:w="688" w:type="dxa"/>
            <w:tcBorders>
              <w:top w:val="single" w:sz="4" w:space="0" w:color="auto"/>
              <w:bottom w:val="single" w:sz="4" w:space="0" w:color="auto"/>
            </w:tcBorders>
          </w:tcPr>
          <w:p w14:paraId="334D36A5" w14:textId="4675C7B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74.1%</w:t>
            </w:r>
          </w:p>
        </w:tc>
        <w:tc>
          <w:tcPr>
            <w:tcW w:w="688" w:type="dxa"/>
            <w:tcBorders>
              <w:top w:val="single" w:sz="4" w:space="0" w:color="auto"/>
              <w:bottom w:val="single" w:sz="4" w:space="0" w:color="auto"/>
            </w:tcBorders>
          </w:tcPr>
          <w:p w14:paraId="3436209F" w14:textId="2F7C8C2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44.2%</w:t>
            </w:r>
          </w:p>
        </w:tc>
        <w:tc>
          <w:tcPr>
            <w:tcW w:w="687" w:type="dxa"/>
            <w:tcBorders>
              <w:top w:val="single" w:sz="4" w:space="0" w:color="auto"/>
              <w:bottom w:val="single" w:sz="4" w:space="0" w:color="auto"/>
            </w:tcBorders>
          </w:tcPr>
          <w:p w14:paraId="1B8E54F2" w14:textId="581A977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76.1%</w:t>
            </w:r>
          </w:p>
        </w:tc>
        <w:tc>
          <w:tcPr>
            <w:tcW w:w="688" w:type="dxa"/>
            <w:tcBorders>
              <w:top w:val="single" w:sz="4" w:space="0" w:color="auto"/>
              <w:bottom w:val="single" w:sz="4" w:space="0" w:color="auto"/>
            </w:tcBorders>
          </w:tcPr>
          <w:p w14:paraId="3E5D91F2" w14:textId="0F320A3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2.0%</w:t>
            </w:r>
          </w:p>
        </w:tc>
        <w:tc>
          <w:tcPr>
            <w:tcW w:w="688" w:type="dxa"/>
            <w:tcBorders>
              <w:top w:val="single" w:sz="4" w:space="0" w:color="auto"/>
              <w:bottom w:val="single" w:sz="4" w:space="0" w:color="auto"/>
            </w:tcBorders>
          </w:tcPr>
          <w:p w14:paraId="26B4B613" w14:textId="0DBE09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7DB9C37A" w14:textId="4E6E900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CC5764" w:rsidRPr="00956209" w14:paraId="46DDEE21"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C2FF64D" w14:textId="0298B8B0" w:rsidR="00CC5764" w:rsidRPr="002E05DB" w:rsidRDefault="00CC5764" w:rsidP="00A60C18">
            <w:pPr>
              <w:rPr>
                <w:b w:val="0"/>
              </w:rPr>
            </w:pPr>
            <w:r w:rsidRPr="002E05DB">
              <w:t>Kilmore &amp; District Hospital</w:t>
            </w:r>
          </w:p>
        </w:tc>
        <w:tc>
          <w:tcPr>
            <w:tcW w:w="825" w:type="dxa"/>
            <w:tcBorders>
              <w:top w:val="single" w:sz="4" w:space="0" w:color="auto"/>
              <w:bottom w:val="single" w:sz="4" w:space="0" w:color="auto"/>
            </w:tcBorders>
          </w:tcPr>
          <w:p w14:paraId="3708BC91" w14:textId="37F1DE6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6536E349" w14:textId="54ECE9A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181</w:t>
            </w:r>
          </w:p>
        </w:tc>
        <w:tc>
          <w:tcPr>
            <w:tcW w:w="688" w:type="dxa"/>
            <w:tcBorders>
              <w:top w:val="single" w:sz="4" w:space="0" w:color="auto"/>
              <w:bottom w:val="single" w:sz="4" w:space="0" w:color="auto"/>
            </w:tcBorders>
          </w:tcPr>
          <w:p w14:paraId="05BA54D8" w14:textId="1FCDC32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11.8%</w:t>
            </w:r>
          </w:p>
        </w:tc>
        <w:tc>
          <w:tcPr>
            <w:tcW w:w="687" w:type="dxa"/>
            <w:tcBorders>
              <w:top w:val="single" w:sz="4" w:space="0" w:color="auto"/>
              <w:bottom w:val="single" w:sz="4" w:space="0" w:color="auto"/>
            </w:tcBorders>
          </w:tcPr>
          <w:p w14:paraId="58559678" w14:textId="33C399B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30.8%</w:t>
            </w:r>
          </w:p>
        </w:tc>
        <w:tc>
          <w:tcPr>
            <w:tcW w:w="688" w:type="dxa"/>
            <w:tcBorders>
              <w:top w:val="single" w:sz="4" w:space="0" w:color="auto"/>
              <w:bottom w:val="single" w:sz="4" w:space="0" w:color="auto"/>
            </w:tcBorders>
          </w:tcPr>
          <w:p w14:paraId="667A55AE" w14:textId="71EBC07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33.3%</w:t>
            </w:r>
          </w:p>
        </w:tc>
        <w:tc>
          <w:tcPr>
            <w:tcW w:w="688" w:type="dxa"/>
            <w:tcBorders>
              <w:top w:val="single" w:sz="4" w:space="0" w:color="auto"/>
              <w:bottom w:val="single" w:sz="4" w:space="0" w:color="auto"/>
            </w:tcBorders>
          </w:tcPr>
          <w:p w14:paraId="7E35D71D" w14:textId="7C4372A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7" w:type="dxa"/>
            <w:tcBorders>
              <w:top w:val="single" w:sz="4" w:space="0" w:color="auto"/>
              <w:bottom w:val="single" w:sz="4" w:space="0" w:color="auto"/>
            </w:tcBorders>
          </w:tcPr>
          <w:p w14:paraId="728A6ABE" w14:textId="4292D11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6.3%</w:t>
            </w:r>
          </w:p>
        </w:tc>
        <w:tc>
          <w:tcPr>
            <w:tcW w:w="688" w:type="dxa"/>
            <w:tcBorders>
              <w:top w:val="single" w:sz="4" w:space="0" w:color="auto"/>
              <w:bottom w:val="single" w:sz="4" w:space="0" w:color="auto"/>
            </w:tcBorders>
          </w:tcPr>
          <w:p w14:paraId="432DFAED" w14:textId="156BC6B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7B510F">
              <w:t>3.0%</w:t>
            </w:r>
          </w:p>
        </w:tc>
        <w:tc>
          <w:tcPr>
            <w:tcW w:w="688" w:type="dxa"/>
            <w:tcBorders>
              <w:top w:val="single" w:sz="4" w:space="0" w:color="auto"/>
              <w:bottom w:val="single" w:sz="4" w:space="0" w:color="auto"/>
            </w:tcBorders>
          </w:tcPr>
          <w:p w14:paraId="56003255" w14:textId="62B2CA7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50.0%</w:t>
            </w:r>
          </w:p>
        </w:tc>
        <w:tc>
          <w:tcPr>
            <w:tcW w:w="688" w:type="dxa"/>
            <w:tcBorders>
              <w:top w:val="single" w:sz="4" w:space="0" w:color="auto"/>
              <w:bottom w:val="single" w:sz="4" w:space="0" w:color="auto"/>
            </w:tcBorders>
          </w:tcPr>
          <w:p w14:paraId="6097D7B8" w14:textId="000D563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0.8</w:t>
            </w:r>
          </w:p>
        </w:tc>
        <w:tc>
          <w:tcPr>
            <w:tcW w:w="687" w:type="dxa"/>
            <w:tcBorders>
              <w:top w:val="single" w:sz="4" w:space="0" w:color="auto"/>
              <w:bottom w:val="single" w:sz="4" w:space="0" w:color="auto"/>
            </w:tcBorders>
          </w:tcPr>
          <w:p w14:paraId="3C3B9CD0" w14:textId="1AB0B3C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w:t>
            </w:r>
          </w:p>
        </w:tc>
        <w:tc>
          <w:tcPr>
            <w:tcW w:w="688" w:type="dxa"/>
            <w:tcBorders>
              <w:top w:val="single" w:sz="4" w:space="0" w:color="auto"/>
              <w:bottom w:val="single" w:sz="4" w:space="0" w:color="auto"/>
            </w:tcBorders>
          </w:tcPr>
          <w:p w14:paraId="55FBB1C6" w14:textId="07ECA2B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w:t>
            </w:r>
          </w:p>
        </w:tc>
        <w:tc>
          <w:tcPr>
            <w:tcW w:w="688" w:type="dxa"/>
            <w:tcBorders>
              <w:top w:val="single" w:sz="4" w:space="0" w:color="auto"/>
              <w:bottom w:val="single" w:sz="4" w:space="0" w:color="auto"/>
            </w:tcBorders>
          </w:tcPr>
          <w:p w14:paraId="33DFED72" w14:textId="1C2A54E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6942CA">
              <w:t>18.2%</w:t>
            </w:r>
          </w:p>
        </w:tc>
        <w:tc>
          <w:tcPr>
            <w:tcW w:w="687" w:type="dxa"/>
            <w:tcBorders>
              <w:top w:val="single" w:sz="4" w:space="0" w:color="auto"/>
              <w:bottom w:val="single" w:sz="4" w:space="0" w:color="auto"/>
            </w:tcBorders>
          </w:tcPr>
          <w:p w14:paraId="30A4F333" w14:textId="1F08EA8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1.2%</w:t>
            </w:r>
          </w:p>
        </w:tc>
        <w:tc>
          <w:tcPr>
            <w:tcW w:w="688" w:type="dxa"/>
            <w:tcBorders>
              <w:top w:val="single" w:sz="4" w:space="0" w:color="auto"/>
              <w:bottom w:val="single" w:sz="4" w:space="0" w:color="auto"/>
            </w:tcBorders>
          </w:tcPr>
          <w:p w14:paraId="4312BBA0" w14:textId="3419A70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83.7%</w:t>
            </w:r>
          </w:p>
        </w:tc>
        <w:tc>
          <w:tcPr>
            <w:tcW w:w="688" w:type="dxa"/>
            <w:tcBorders>
              <w:top w:val="single" w:sz="4" w:space="0" w:color="auto"/>
              <w:bottom w:val="single" w:sz="4" w:space="0" w:color="auto"/>
            </w:tcBorders>
          </w:tcPr>
          <w:p w14:paraId="40B4C9A2" w14:textId="572A7EC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53.2%</w:t>
            </w:r>
          </w:p>
        </w:tc>
        <w:tc>
          <w:tcPr>
            <w:tcW w:w="687" w:type="dxa"/>
            <w:tcBorders>
              <w:top w:val="single" w:sz="4" w:space="0" w:color="auto"/>
              <w:bottom w:val="single" w:sz="4" w:space="0" w:color="auto"/>
            </w:tcBorders>
          </w:tcPr>
          <w:p w14:paraId="72A823E4" w14:textId="144F048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75.6%</w:t>
            </w:r>
          </w:p>
        </w:tc>
        <w:tc>
          <w:tcPr>
            <w:tcW w:w="688" w:type="dxa"/>
            <w:tcBorders>
              <w:top w:val="single" w:sz="4" w:space="0" w:color="auto"/>
              <w:bottom w:val="single" w:sz="4" w:space="0" w:color="auto"/>
            </w:tcBorders>
          </w:tcPr>
          <w:p w14:paraId="3775CC14" w14:textId="366CA76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3.9%</w:t>
            </w:r>
          </w:p>
        </w:tc>
        <w:tc>
          <w:tcPr>
            <w:tcW w:w="688" w:type="dxa"/>
            <w:tcBorders>
              <w:top w:val="single" w:sz="4" w:space="0" w:color="auto"/>
              <w:bottom w:val="single" w:sz="4" w:space="0" w:color="auto"/>
            </w:tcBorders>
          </w:tcPr>
          <w:p w14:paraId="3D22E49F" w14:textId="015FBCE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w:t>
            </w:r>
          </w:p>
        </w:tc>
        <w:tc>
          <w:tcPr>
            <w:tcW w:w="688" w:type="dxa"/>
            <w:gridSpan w:val="2"/>
            <w:tcBorders>
              <w:top w:val="single" w:sz="4" w:space="0" w:color="auto"/>
              <w:bottom w:val="single" w:sz="4" w:space="0" w:color="auto"/>
            </w:tcBorders>
          </w:tcPr>
          <w:p w14:paraId="7EA97AEE" w14:textId="50DF3F5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CC5764" w:rsidRPr="00956209" w14:paraId="574C023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FC697FB" w14:textId="1F8CC5E5" w:rsidR="00CC5764" w:rsidRPr="002E05DB" w:rsidRDefault="00CC5764" w:rsidP="00A60C18">
            <w:pPr>
              <w:rPr>
                <w:b w:val="0"/>
              </w:rPr>
            </w:pPr>
            <w:r w:rsidRPr="002E05DB">
              <w:t>Swan Hill Hospital</w:t>
            </w:r>
          </w:p>
        </w:tc>
        <w:tc>
          <w:tcPr>
            <w:tcW w:w="825" w:type="dxa"/>
            <w:tcBorders>
              <w:top w:val="single" w:sz="4" w:space="0" w:color="auto"/>
              <w:bottom w:val="single" w:sz="4" w:space="0" w:color="auto"/>
            </w:tcBorders>
          </w:tcPr>
          <w:p w14:paraId="00C17E16" w14:textId="76909B5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1A0EB5E3" w14:textId="24A508F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164</w:t>
            </w:r>
          </w:p>
        </w:tc>
        <w:tc>
          <w:tcPr>
            <w:tcW w:w="688" w:type="dxa"/>
            <w:tcBorders>
              <w:top w:val="single" w:sz="4" w:space="0" w:color="auto"/>
              <w:bottom w:val="single" w:sz="4" w:space="0" w:color="auto"/>
            </w:tcBorders>
          </w:tcPr>
          <w:p w14:paraId="4164792B" w14:textId="6A55BEF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7.4%</w:t>
            </w:r>
          </w:p>
        </w:tc>
        <w:tc>
          <w:tcPr>
            <w:tcW w:w="687" w:type="dxa"/>
            <w:tcBorders>
              <w:top w:val="single" w:sz="4" w:space="0" w:color="auto"/>
              <w:bottom w:val="single" w:sz="4" w:space="0" w:color="auto"/>
            </w:tcBorders>
          </w:tcPr>
          <w:p w14:paraId="46893256" w14:textId="768C4F1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20.5%</w:t>
            </w:r>
          </w:p>
        </w:tc>
        <w:tc>
          <w:tcPr>
            <w:tcW w:w="688" w:type="dxa"/>
            <w:tcBorders>
              <w:top w:val="single" w:sz="4" w:space="0" w:color="auto"/>
              <w:bottom w:val="single" w:sz="4" w:space="0" w:color="auto"/>
            </w:tcBorders>
          </w:tcPr>
          <w:p w14:paraId="185CE8F5" w14:textId="7FC3102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29.4%</w:t>
            </w:r>
          </w:p>
        </w:tc>
        <w:tc>
          <w:tcPr>
            <w:tcW w:w="688" w:type="dxa"/>
            <w:tcBorders>
              <w:top w:val="single" w:sz="4" w:space="0" w:color="auto"/>
              <w:bottom w:val="single" w:sz="4" w:space="0" w:color="auto"/>
            </w:tcBorders>
          </w:tcPr>
          <w:p w14:paraId="3F61BF11" w14:textId="794E95A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9.7%</w:t>
            </w:r>
          </w:p>
        </w:tc>
        <w:tc>
          <w:tcPr>
            <w:tcW w:w="687" w:type="dxa"/>
            <w:tcBorders>
              <w:top w:val="single" w:sz="4" w:space="0" w:color="auto"/>
              <w:bottom w:val="single" w:sz="4" w:space="0" w:color="auto"/>
            </w:tcBorders>
          </w:tcPr>
          <w:p w14:paraId="23EBD4A1" w14:textId="56D1305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6.3%</w:t>
            </w:r>
          </w:p>
        </w:tc>
        <w:tc>
          <w:tcPr>
            <w:tcW w:w="688" w:type="dxa"/>
            <w:tcBorders>
              <w:top w:val="single" w:sz="4" w:space="0" w:color="auto"/>
              <w:bottom w:val="single" w:sz="4" w:space="0" w:color="auto"/>
            </w:tcBorders>
          </w:tcPr>
          <w:p w14:paraId="2948FC15" w14:textId="32395F3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7B510F">
              <w:t>2.7%</w:t>
            </w:r>
          </w:p>
        </w:tc>
        <w:tc>
          <w:tcPr>
            <w:tcW w:w="688" w:type="dxa"/>
            <w:tcBorders>
              <w:top w:val="single" w:sz="4" w:space="0" w:color="auto"/>
              <w:bottom w:val="single" w:sz="4" w:space="0" w:color="auto"/>
            </w:tcBorders>
          </w:tcPr>
          <w:p w14:paraId="6FFB7211" w14:textId="5E077FE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8" w:type="dxa"/>
            <w:tcBorders>
              <w:top w:val="single" w:sz="4" w:space="0" w:color="auto"/>
              <w:bottom w:val="single" w:sz="4" w:space="0" w:color="auto"/>
            </w:tcBorders>
          </w:tcPr>
          <w:p w14:paraId="1C53D81C" w14:textId="1EC7F5FC" w:rsidR="00CC5764" w:rsidRPr="002E05DB" w:rsidRDefault="67B467CF"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57966D3B" w14:textId="7CD5A18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w:t>
            </w:r>
          </w:p>
        </w:tc>
        <w:tc>
          <w:tcPr>
            <w:tcW w:w="688" w:type="dxa"/>
            <w:tcBorders>
              <w:top w:val="single" w:sz="4" w:space="0" w:color="auto"/>
              <w:bottom w:val="single" w:sz="4" w:space="0" w:color="auto"/>
            </w:tcBorders>
          </w:tcPr>
          <w:p w14:paraId="40E96014" w14:textId="2AA20D8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2.7%</w:t>
            </w:r>
          </w:p>
        </w:tc>
        <w:tc>
          <w:tcPr>
            <w:tcW w:w="688" w:type="dxa"/>
            <w:tcBorders>
              <w:top w:val="single" w:sz="4" w:space="0" w:color="auto"/>
              <w:bottom w:val="single" w:sz="4" w:space="0" w:color="auto"/>
            </w:tcBorders>
          </w:tcPr>
          <w:p w14:paraId="5417AB78" w14:textId="25EF013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677A0D18">
              <w:t>12.5%</w:t>
            </w:r>
          </w:p>
        </w:tc>
        <w:tc>
          <w:tcPr>
            <w:tcW w:w="687" w:type="dxa"/>
            <w:tcBorders>
              <w:top w:val="single" w:sz="4" w:space="0" w:color="auto"/>
              <w:bottom w:val="single" w:sz="4" w:space="0" w:color="auto"/>
            </w:tcBorders>
          </w:tcPr>
          <w:p w14:paraId="2B19EA05" w14:textId="5D0F564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A60268">
              <w:t>1.3%</w:t>
            </w:r>
          </w:p>
        </w:tc>
        <w:tc>
          <w:tcPr>
            <w:tcW w:w="688" w:type="dxa"/>
            <w:tcBorders>
              <w:top w:val="single" w:sz="4" w:space="0" w:color="auto"/>
              <w:bottom w:val="single" w:sz="4" w:space="0" w:color="auto"/>
            </w:tcBorders>
          </w:tcPr>
          <w:p w14:paraId="1C3389FA" w14:textId="306DC8D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81.5%</w:t>
            </w:r>
          </w:p>
        </w:tc>
        <w:tc>
          <w:tcPr>
            <w:tcW w:w="688" w:type="dxa"/>
            <w:tcBorders>
              <w:top w:val="single" w:sz="4" w:space="0" w:color="auto"/>
              <w:bottom w:val="single" w:sz="4" w:space="0" w:color="auto"/>
            </w:tcBorders>
          </w:tcPr>
          <w:p w14:paraId="0040EC3A" w14:textId="7EBDF0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72.0%</w:t>
            </w:r>
          </w:p>
        </w:tc>
        <w:tc>
          <w:tcPr>
            <w:tcW w:w="687" w:type="dxa"/>
            <w:tcBorders>
              <w:top w:val="single" w:sz="4" w:space="0" w:color="auto"/>
              <w:bottom w:val="single" w:sz="4" w:space="0" w:color="auto"/>
            </w:tcBorders>
          </w:tcPr>
          <w:p w14:paraId="55B32D95" w14:textId="57CA45D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80.5%</w:t>
            </w:r>
          </w:p>
        </w:tc>
        <w:tc>
          <w:tcPr>
            <w:tcW w:w="688" w:type="dxa"/>
            <w:tcBorders>
              <w:top w:val="single" w:sz="4" w:space="0" w:color="auto"/>
              <w:bottom w:val="single" w:sz="4" w:space="0" w:color="auto"/>
            </w:tcBorders>
          </w:tcPr>
          <w:p w14:paraId="55E89607" w14:textId="05E5998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C27E0F">
              <w:t>2.4%</w:t>
            </w:r>
          </w:p>
        </w:tc>
        <w:tc>
          <w:tcPr>
            <w:tcW w:w="688" w:type="dxa"/>
            <w:tcBorders>
              <w:top w:val="single" w:sz="4" w:space="0" w:color="auto"/>
              <w:bottom w:val="single" w:sz="4" w:space="0" w:color="auto"/>
            </w:tcBorders>
          </w:tcPr>
          <w:p w14:paraId="56D07E28" w14:textId="543F9CC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1784A8CA" w14:textId="276E0B6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r>
      <w:tr w:rsidR="00CC5764" w:rsidRPr="00956209" w14:paraId="6B3D28E2"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1ABD2DC" w14:textId="2E07D507" w:rsidR="00CC5764" w:rsidRPr="002E05DB" w:rsidRDefault="00CC5764" w:rsidP="00A60C18">
            <w:pPr>
              <w:rPr>
                <w:b w:val="0"/>
              </w:rPr>
            </w:pPr>
            <w:r w:rsidRPr="002E05DB">
              <w:t>Leongatha Hospital</w:t>
            </w:r>
          </w:p>
        </w:tc>
        <w:tc>
          <w:tcPr>
            <w:tcW w:w="825" w:type="dxa"/>
            <w:tcBorders>
              <w:top w:val="single" w:sz="4" w:space="0" w:color="auto"/>
              <w:bottom w:val="single" w:sz="4" w:space="0" w:color="auto"/>
            </w:tcBorders>
          </w:tcPr>
          <w:p w14:paraId="17C525A7" w14:textId="7D843FB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01424872" w14:textId="558E197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154</w:t>
            </w:r>
          </w:p>
        </w:tc>
        <w:tc>
          <w:tcPr>
            <w:tcW w:w="688" w:type="dxa"/>
            <w:tcBorders>
              <w:top w:val="single" w:sz="4" w:space="0" w:color="auto"/>
              <w:bottom w:val="single" w:sz="4" w:space="0" w:color="auto"/>
            </w:tcBorders>
          </w:tcPr>
          <w:p w14:paraId="66E1E98B" w14:textId="4773C1F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16.0%</w:t>
            </w:r>
          </w:p>
        </w:tc>
        <w:tc>
          <w:tcPr>
            <w:tcW w:w="687" w:type="dxa"/>
            <w:tcBorders>
              <w:top w:val="single" w:sz="4" w:space="0" w:color="auto"/>
              <w:bottom w:val="single" w:sz="4" w:space="0" w:color="auto"/>
            </w:tcBorders>
          </w:tcPr>
          <w:p w14:paraId="03C9792E" w14:textId="3EE53BD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14.8%</w:t>
            </w:r>
          </w:p>
        </w:tc>
        <w:tc>
          <w:tcPr>
            <w:tcW w:w="688" w:type="dxa"/>
            <w:tcBorders>
              <w:top w:val="single" w:sz="4" w:space="0" w:color="auto"/>
              <w:bottom w:val="single" w:sz="4" w:space="0" w:color="auto"/>
            </w:tcBorders>
          </w:tcPr>
          <w:p w14:paraId="633A8611" w14:textId="7B3534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54.5%</w:t>
            </w:r>
          </w:p>
        </w:tc>
        <w:tc>
          <w:tcPr>
            <w:tcW w:w="688" w:type="dxa"/>
            <w:tcBorders>
              <w:top w:val="single" w:sz="4" w:space="0" w:color="auto"/>
              <w:bottom w:val="single" w:sz="4" w:space="0" w:color="auto"/>
            </w:tcBorders>
          </w:tcPr>
          <w:p w14:paraId="57362865" w14:textId="431B5A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7.7%</w:t>
            </w:r>
          </w:p>
        </w:tc>
        <w:tc>
          <w:tcPr>
            <w:tcW w:w="687" w:type="dxa"/>
            <w:tcBorders>
              <w:top w:val="single" w:sz="4" w:space="0" w:color="auto"/>
              <w:bottom w:val="single" w:sz="4" w:space="0" w:color="auto"/>
            </w:tcBorders>
          </w:tcPr>
          <w:p w14:paraId="53B88BF3" w14:textId="0B63111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69DDBA46" w14:textId="729260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5.3%</w:t>
            </w:r>
          </w:p>
        </w:tc>
        <w:tc>
          <w:tcPr>
            <w:tcW w:w="688" w:type="dxa"/>
            <w:tcBorders>
              <w:top w:val="single" w:sz="4" w:space="0" w:color="auto"/>
              <w:bottom w:val="single" w:sz="4" w:space="0" w:color="auto"/>
            </w:tcBorders>
          </w:tcPr>
          <w:p w14:paraId="7A3FF6D4" w14:textId="7484C9A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02ED1656" w14:textId="32A5FE33" w:rsidR="00CC5764" w:rsidRPr="002E05DB" w:rsidRDefault="2E98A944"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5C7E8355" w14:textId="3964015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1.9%</w:t>
            </w:r>
          </w:p>
        </w:tc>
        <w:tc>
          <w:tcPr>
            <w:tcW w:w="688" w:type="dxa"/>
            <w:tcBorders>
              <w:top w:val="single" w:sz="4" w:space="0" w:color="auto"/>
              <w:bottom w:val="single" w:sz="4" w:space="0" w:color="auto"/>
            </w:tcBorders>
          </w:tcPr>
          <w:p w14:paraId="7C814685" w14:textId="4C94ADE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2.6%</w:t>
            </w:r>
          </w:p>
        </w:tc>
        <w:tc>
          <w:tcPr>
            <w:tcW w:w="688" w:type="dxa"/>
            <w:tcBorders>
              <w:top w:val="single" w:sz="4" w:space="0" w:color="auto"/>
              <w:bottom w:val="single" w:sz="4" w:space="0" w:color="auto"/>
            </w:tcBorders>
          </w:tcPr>
          <w:p w14:paraId="067B49B7" w14:textId="7EE0CA2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0.0%</w:t>
            </w:r>
          </w:p>
        </w:tc>
        <w:tc>
          <w:tcPr>
            <w:tcW w:w="687" w:type="dxa"/>
            <w:tcBorders>
              <w:top w:val="single" w:sz="4" w:space="0" w:color="auto"/>
              <w:bottom w:val="single" w:sz="4" w:space="0" w:color="auto"/>
            </w:tcBorders>
          </w:tcPr>
          <w:p w14:paraId="42C7AC73" w14:textId="10B7A2A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2.1%</w:t>
            </w:r>
          </w:p>
        </w:tc>
        <w:tc>
          <w:tcPr>
            <w:tcW w:w="688" w:type="dxa"/>
            <w:tcBorders>
              <w:top w:val="single" w:sz="4" w:space="0" w:color="auto"/>
              <w:bottom w:val="single" w:sz="4" w:space="0" w:color="auto"/>
            </w:tcBorders>
          </w:tcPr>
          <w:p w14:paraId="012F8FBF" w14:textId="6FE7463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18AA4F4E" w14:textId="167DA79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NA</w:t>
            </w:r>
            <w:r w:rsidRPr="002E05DB">
              <w:rPr>
                <w:rFonts w:ascii="Cambria" w:hAnsi="Cambria" w:cs="Cambria"/>
              </w:rPr>
              <w:t> </w:t>
            </w:r>
          </w:p>
        </w:tc>
        <w:tc>
          <w:tcPr>
            <w:tcW w:w="687" w:type="dxa"/>
            <w:tcBorders>
              <w:top w:val="single" w:sz="4" w:space="0" w:color="auto"/>
              <w:bottom w:val="single" w:sz="4" w:space="0" w:color="auto"/>
            </w:tcBorders>
          </w:tcPr>
          <w:p w14:paraId="58B130A9" w14:textId="6D9400C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77.3%</w:t>
            </w:r>
          </w:p>
        </w:tc>
        <w:tc>
          <w:tcPr>
            <w:tcW w:w="688" w:type="dxa"/>
            <w:tcBorders>
              <w:top w:val="single" w:sz="4" w:space="0" w:color="auto"/>
              <w:bottom w:val="single" w:sz="4" w:space="0" w:color="auto"/>
            </w:tcBorders>
          </w:tcPr>
          <w:p w14:paraId="20A4BA1F" w14:textId="61EEF52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2.6%</w:t>
            </w:r>
          </w:p>
        </w:tc>
        <w:tc>
          <w:tcPr>
            <w:tcW w:w="688" w:type="dxa"/>
            <w:tcBorders>
              <w:top w:val="single" w:sz="4" w:space="0" w:color="auto"/>
              <w:bottom w:val="single" w:sz="4" w:space="0" w:color="auto"/>
            </w:tcBorders>
          </w:tcPr>
          <w:p w14:paraId="6A84F6A6" w14:textId="2741081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w:t>
            </w:r>
          </w:p>
        </w:tc>
        <w:tc>
          <w:tcPr>
            <w:tcW w:w="688" w:type="dxa"/>
            <w:gridSpan w:val="2"/>
            <w:tcBorders>
              <w:top w:val="single" w:sz="4" w:space="0" w:color="auto"/>
              <w:bottom w:val="single" w:sz="4" w:space="0" w:color="auto"/>
            </w:tcBorders>
          </w:tcPr>
          <w:p w14:paraId="09F731C6" w14:textId="04DFD8B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r>
      <w:tr w:rsidR="00CC5764" w:rsidRPr="00956209" w14:paraId="776CD19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A03724E" w14:textId="1A8971BF" w:rsidR="00CC5764" w:rsidRPr="002E05DB" w:rsidRDefault="00CC5764" w:rsidP="00A60C18">
            <w:pPr>
              <w:rPr>
                <w:b w:val="0"/>
              </w:rPr>
            </w:pPr>
            <w:r w:rsidRPr="002E05DB">
              <w:t>Wonthaggi Hospital</w:t>
            </w:r>
          </w:p>
        </w:tc>
        <w:tc>
          <w:tcPr>
            <w:tcW w:w="825" w:type="dxa"/>
            <w:tcBorders>
              <w:top w:val="single" w:sz="4" w:space="0" w:color="auto"/>
              <w:bottom w:val="single" w:sz="4" w:space="0" w:color="auto"/>
            </w:tcBorders>
          </w:tcPr>
          <w:p w14:paraId="1144DB87" w14:textId="25DD65A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19A67E92" w14:textId="3990C90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146</w:t>
            </w:r>
          </w:p>
        </w:tc>
        <w:tc>
          <w:tcPr>
            <w:tcW w:w="688" w:type="dxa"/>
            <w:tcBorders>
              <w:top w:val="single" w:sz="4" w:space="0" w:color="auto"/>
              <w:bottom w:val="single" w:sz="4" w:space="0" w:color="auto"/>
            </w:tcBorders>
          </w:tcPr>
          <w:p w14:paraId="2352672E" w14:textId="027BD3F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21.1%</w:t>
            </w:r>
          </w:p>
        </w:tc>
        <w:tc>
          <w:tcPr>
            <w:tcW w:w="687" w:type="dxa"/>
            <w:tcBorders>
              <w:top w:val="single" w:sz="4" w:space="0" w:color="auto"/>
              <w:bottom w:val="single" w:sz="4" w:space="0" w:color="auto"/>
            </w:tcBorders>
          </w:tcPr>
          <w:p w14:paraId="2B4D15C5" w14:textId="637FE28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11.5%</w:t>
            </w:r>
          </w:p>
        </w:tc>
        <w:tc>
          <w:tcPr>
            <w:tcW w:w="688" w:type="dxa"/>
            <w:tcBorders>
              <w:top w:val="single" w:sz="4" w:space="0" w:color="auto"/>
              <w:bottom w:val="single" w:sz="4" w:space="0" w:color="auto"/>
            </w:tcBorders>
          </w:tcPr>
          <w:p w14:paraId="4748FA09" w14:textId="3C22448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44.0%</w:t>
            </w:r>
          </w:p>
        </w:tc>
        <w:tc>
          <w:tcPr>
            <w:tcW w:w="688" w:type="dxa"/>
            <w:tcBorders>
              <w:top w:val="single" w:sz="4" w:space="0" w:color="auto"/>
              <w:bottom w:val="single" w:sz="4" w:space="0" w:color="auto"/>
            </w:tcBorders>
          </w:tcPr>
          <w:p w14:paraId="55AD1272" w14:textId="09AC376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7.4%</w:t>
            </w:r>
          </w:p>
        </w:tc>
        <w:tc>
          <w:tcPr>
            <w:tcW w:w="687" w:type="dxa"/>
            <w:tcBorders>
              <w:top w:val="single" w:sz="4" w:space="0" w:color="auto"/>
              <w:bottom w:val="single" w:sz="4" w:space="0" w:color="auto"/>
            </w:tcBorders>
          </w:tcPr>
          <w:p w14:paraId="6BA97DD2" w14:textId="2ED63905"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0.0%</w:t>
            </w:r>
          </w:p>
        </w:tc>
        <w:tc>
          <w:tcPr>
            <w:tcW w:w="688" w:type="dxa"/>
            <w:tcBorders>
              <w:top w:val="single" w:sz="4" w:space="0" w:color="auto"/>
              <w:bottom w:val="single" w:sz="4" w:space="0" w:color="auto"/>
            </w:tcBorders>
          </w:tcPr>
          <w:p w14:paraId="604CDC65" w14:textId="6B563D0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8.7%</w:t>
            </w:r>
          </w:p>
        </w:tc>
        <w:tc>
          <w:tcPr>
            <w:tcW w:w="688" w:type="dxa"/>
            <w:tcBorders>
              <w:top w:val="single" w:sz="4" w:space="0" w:color="auto"/>
              <w:bottom w:val="single" w:sz="4" w:space="0" w:color="auto"/>
            </w:tcBorders>
          </w:tcPr>
          <w:p w14:paraId="7FAFF950" w14:textId="6670D31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1CFC5E1D" w14:textId="7D0250F0" w:rsidR="00CC5764" w:rsidRPr="002E05DB" w:rsidRDefault="05278D78"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18B32F51" w14:textId="09BD451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5.0%</w:t>
            </w:r>
          </w:p>
        </w:tc>
        <w:tc>
          <w:tcPr>
            <w:tcW w:w="688" w:type="dxa"/>
            <w:tcBorders>
              <w:top w:val="single" w:sz="4" w:space="0" w:color="auto"/>
              <w:bottom w:val="single" w:sz="4" w:space="0" w:color="auto"/>
            </w:tcBorders>
          </w:tcPr>
          <w:p w14:paraId="2D2AF36B" w14:textId="3D10D40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2.5%</w:t>
            </w:r>
          </w:p>
        </w:tc>
        <w:tc>
          <w:tcPr>
            <w:tcW w:w="688" w:type="dxa"/>
            <w:tcBorders>
              <w:top w:val="single" w:sz="4" w:space="0" w:color="auto"/>
              <w:bottom w:val="single" w:sz="4" w:space="0" w:color="auto"/>
            </w:tcBorders>
          </w:tcPr>
          <w:p w14:paraId="63C9242A" w14:textId="49A30BB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6942CA">
              <w:t>17.4%</w:t>
            </w:r>
          </w:p>
        </w:tc>
        <w:tc>
          <w:tcPr>
            <w:tcW w:w="687" w:type="dxa"/>
            <w:tcBorders>
              <w:top w:val="single" w:sz="4" w:space="0" w:color="auto"/>
              <w:bottom w:val="single" w:sz="4" w:space="0" w:color="auto"/>
            </w:tcBorders>
          </w:tcPr>
          <w:p w14:paraId="367D465C" w14:textId="0F05A9B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1.4%</w:t>
            </w:r>
          </w:p>
        </w:tc>
        <w:tc>
          <w:tcPr>
            <w:tcW w:w="688" w:type="dxa"/>
            <w:tcBorders>
              <w:top w:val="single" w:sz="4" w:space="0" w:color="auto"/>
              <w:bottom w:val="single" w:sz="4" w:space="0" w:color="auto"/>
            </w:tcBorders>
          </w:tcPr>
          <w:p w14:paraId="7F010EDC" w14:textId="674CFF2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93.8%</w:t>
            </w:r>
          </w:p>
        </w:tc>
        <w:tc>
          <w:tcPr>
            <w:tcW w:w="688" w:type="dxa"/>
            <w:tcBorders>
              <w:top w:val="single" w:sz="4" w:space="0" w:color="auto"/>
              <w:bottom w:val="single" w:sz="4" w:space="0" w:color="auto"/>
            </w:tcBorders>
          </w:tcPr>
          <w:p w14:paraId="66A40D26" w14:textId="0FE5C9C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71.9%</w:t>
            </w:r>
          </w:p>
        </w:tc>
        <w:tc>
          <w:tcPr>
            <w:tcW w:w="687" w:type="dxa"/>
            <w:tcBorders>
              <w:top w:val="single" w:sz="4" w:space="0" w:color="auto"/>
              <w:bottom w:val="single" w:sz="4" w:space="0" w:color="auto"/>
            </w:tcBorders>
          </w:tcPr>
          <w:p w14:paraId="3E995521" w14:textId="7D7975E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76.0%</w:t>
            </w:r>
          </w:p>
        </w:tc>
        <w:tc>
          <w:tcPr>
            <w:tcW w:w="688" w:type="dxa"/>
            <w:tcBorders>
              <w:top w:val="single" w:sz="4" w:space="0" w:color="auto"/>
              <w:bottom w:val="single" w:sz="4" w:space="0" w:color="auto"/>
            </w:tcBorders>
          </w:tcPr>
          <w:p w14:paraId="1B63A32A" w14:textId="37AD371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4.8%</w:t>
            </w:r>
          </w:p>
        </w:tc>
        <w:tc>
          <w:tcPr>
            <w:tcW w:w="688" w:type="dxa"/>
            <w:tcBorders>
              <w:top w:val="single" w:sz="4" w:space="0" w:color="auto"/>
              <w:bottom w:val="single" w:sz="4" w:space="0" w:color="auto"/>
            </w:tcBorders>
          </w:tcPr>
          <w:p w14:paraId="5877435F" w14:textId="0B2790A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7260676E" w14:textId="07E41C1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r>
      <w:tr w:rsidR="00CC5764" w:rsidRPr="00956209" w14:paraId="35793994"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A178C66" w14:textId="5516B9FB" w:rsidR="00CC5764" w:rsidRPr="002E05DB" w:rsidRDefault="00CC5764" w:rsidP="00A60C18">
            <w:pPr>
              <w:rPr>
                <w:b w:val="0"/>
              </w:rPr>
            </w:pPr>
            <w:r w:rsidRPr="002E05DB">
              <w:t>Colac Hospital</w:t>
            </w:r>
          </w:p>
        </w:tc>
        <w:tc>
          <w:tcPr>
            <w:tcW w:w="825" w:type="dxa"/>
            <w:tcBorders>
              <w:top w:val="single" w:sz="4" w:space="0" w:color="auto"/>
              <w:bottom w:val="single" w:sz="4" w:space="0" w:color="auto"/>
            </w:tcBorders>
          </w:tcPr>
          <w:p w14:paraId="1471F142" w14:textId="63E9B64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72414066" w14:textId="1803022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131</w:t>
            </w:r>
          </w:p>
        </w:tc>
        <w:tc>
          <w:tcPr>
            <w:tcW w:w="688" w:type="dxa"/>
            <w:tcBorders>
              <w:top w:val="single" w:sz="4" w:space="0" w:color="auto"/>
              <w:bottom w:val="single" w:sz="4" w:space="0" w:color="auto"/>
            </w:tcBorders>
          </w:tcPr>
          <w:p w14:paraId="4C507793" w14:textId="4675B69B"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0.0%</w:t>
            </w:r>
          </w:p>
        </w:tc>
        <w:tc>
          <w:tcPr>
            <w:tcW w:w="687" w:type="dxa"/>
            <w:tcBorders>
              <w:top w:val="single" w:sz="4" w:space="0" w:color="auto"/>
              <w:bottom w:val="single" w:sz="4" w:space="0" w:color="auto"/>
            </w:tcBorders>
          </w:tcPr>
          <w:p w14:paraId="4608193F" w14:textId="2CEB337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12.5%</w:t>
            </w:r>
          </w:p>
        </w:tc>
        <w:tc>
          <w:tcPr>
            <w:tcW w:w="688" w:type="dxa"/>
            <w:tcBorders>
              <w:top w:val="single" w:sz="4" w:space="0" w:color="auto"/>
              <w:bottom w:val="single" w:sz="4" w:space="0" w:color="auto"/>
            </w:tcBorders>
          </w:tcPr>
          <w:p w14:paraId="3FBD4D5E" w14:textId="56236B2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47.6%</w:t>
            </w:r>
          </w:p>
        </w:tc>
        <w:tc>
          <w:tcPr>
            <w:tcW w:w="688" w:type="dxa"/>
            <w:tcBorders>
              <w:top w:val="single" w:sz="4" w:space="0" w:color="auto"/>
              <w:bottom w:val="single" w:sz="4" w:space="0" w:color="auto"/>
            </w:tcBorders>
          </w:tcPr>
          <w:p w14:paraId="5C4DF3ED" w14:textId="27D26CB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7" w:type="dxa"/>
            <w:tcBorders>
              <w:top w:val="single" w:sz="4" w:space="0" w:color="auto"/>
              <w:bottom w:val="single" w:sz="4" w:space="0" w:color="auto"/>
            </w:tcBorders>
          </w:tcPr>
          <w:p w14:paraId="3593B0B4" w14:textId="4EA289F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18.2%</w:t>
            </w:r>
          </w:p>
        </w:tc>
        <w:tc>
          <w:tcPr>
            <w:tcW w:w="688" w:type="dxa"/>
            <w:tcBorders>
              <w:top w:val="single" w:sz="4" w:space="0" w:color="auto"/>
              <w:bottom w:val="single" w:sz="4" w:space="0" w:color="auto"/>
            </w:tcBorders>
          </w:tcPr>
          <w:p w14:paraId="7DEEA88D" w14:textId="4C94AE5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4.6%</w:t>
            </w:r>
          </w:p>
        </w:tc>
        <w:tc>
          <w:tcPr>
            <w:tcW w:w="688" w:type="dxa"/>
            <w:tcBorders>
              <w:top w:val="single" w:sz="4" w:space="0" w:color="auto"/>
              <w:bottom w:val="single" w:sz="4" w:space="0" w:color="auto"/>
            </w:tcBorders>
          </w:tcPr>
          <w:p w14:paraId="47C52E25" w14:textId="7EF1FE7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100.0%</w:t>
            </w:r>
          </w:p>
        </w:tc>
        <w:tc>
          <w:tcPr>
            <w:tcW w:w="688" w:type="dxa"/>
            <w:tcBorders>
              <w:top w:val="single" w:sz="4" w:space="0" w:color="auto"/>
              <w:bottom w:val="single" w:sz="4" w:space="0" w:color="auto"/>
            </w:tcBorders>
          </w:tcPr>
          <w:p w14:paraId="72882445" w14:textId="15608D68" w:rsidR="00CC5764" w:rsidRPr="002E05DB" w:rsidRDefault="75BF29E2"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6BE45B4F" w14:textId="0DCF2D3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4.1%</w:t>
            </w:r>
          </w:p>
        </w:tc>
        <w:tc>
          <w:tcPr>
            <w:tcW w:w="688" w:type="dxa"/>
            <w:tcBorders>
              <w:top w:val="single" w:sz="4" w:space="0" w:color="auto"/>
              <w:bottom w:val="single" w:sz="4" w:space="0" w:color="auto"/>
            </w:tcBorders>
          </w:tcPr>
          <w:p w14:paraId="328FC370" w14:textId="6006668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1.7%</w:t>
            </w:r>
          </w:p>
        </w:tc>
        <w:tc>
          <w:tcPr>
            <w:tcW w:w="688" w:type="dxa"/>
            <w:tcBorders>
              <w:top w:val="single" w:sz="4" w:space="0" w:color="auto"/>
              <w:bottom w:val="single" w:sz="4" w:space="0" w:color="auto"/>
            </w:tcBorders>
          </w:tcPr>
          <w:p w14:paraId="50495C27" w14:textId="70992BA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36.4%</w:t>
            </w:r>
          </w:p>
        </w:tc>
        <w:tc>
          <w:tcPr>
            <w:tcW w:w="687" w:type="dxa"/>
            <w:tcBorders>
              <w:top w:val="single" w:sz="4" w:space="0" w:color="auto"/>
              <w:bottom w:val="single" w:sz="4" w:space="0" w:color="auto"/>
            </w:tcBorders>
          </w:tcPr>
          <w:p w14:paraId="2961346A" w14:textId="3F2D80B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0.8%</w:t>
            </w:r>
          </w:p>
        </w:tc>
        <w:tc>
          <w:tcPr>
            <w:tcW w:w="688" w:type="dxa"/>
            <w:tcBorders>
              <w:top w:val="single" w:sz="4" w:space="0" w:color="auto"/>
              <w:bottom w:val="single" w:sz="4" w:space="0" w:color="auto"/>
            </w:tcBorders>
          </w:tcPr>
          <w:p w14:paraId="11247DBC" w14:textId="4FB093E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89.3%</w:t>
            </w:r>
          </w:p>
        </w:tc>
        <w:tc>
          <w:tcPr>
            <w:tcW w:w="688" w:type="dxa"/>
            <w:tcBorders>
              <w:top w:val="single" w:sz="4" w:space="0" w:color="auto"/>
              <w:bottom w:val="single" w:sz="4" w:space="0" w:color="auto"/>
            </w:tcBorders>
          </w:tcPr>
          <w:p w14:paraId="3FF843C1" w14:textId="4427A69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51.9%</w:t>
            </w:r>
          </w:p>
        </w:tc>
        <w:tc>
          <w:tcPr>
            <w:tcW w:w="687" w:type="dxa"/>
            <w:tcBorders>
              <w:top w:val="single" w:sz="4" w:space="0" w:color="auto"/>
              <w:bottom w:val="single" w:sz="4" w:space="0" w:color="auto"/>
            </w:tcBorders>
          </w:tcPr>
          <w:p w14:paraId="324C0E44" w14:textId="402ED13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39A27EA">
              <w:t>80.2%</w:t>
            </w:r>
          </w:p>
        </w:tc>
        <w:tc>
          <w:tcPr>
            <w:tcW w:w="688" w:type="dxa"/>
            <w:tcBorders>
              <w:top w:val="single" w:sz="4" w:space="0" w:color="auto"/>
              <w:bottom w:val="single" w:sz="4" w:space="0" w:color="auto"/>
            </w:tcBorders>
          </w:tcPr>
          <w:p w14:paraId="2ACC27A9" w14:textId="5F1DD79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3.1%</w:t>
            </w:r>
          </w:p>
        </w:tc>
        <w:tc>
          <w:tcPr>
            <w:tcW w:w="688" w:type="dxa"/>
            <w:tcBorders>
              <w:top w:val="single" w:sz="4" w:space="0" w:color="auto"/>
              <w:bottom w:val="single" w:sz="4" w:space="0" w:color="auto"/>
            </w:tcBorders>
          </w:tcPr>
          <w:p w14:paraId="751A59E1" w14:textId="16E4B22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c>
          <w:tcPr>
            <w:tcW w:w="688" w:type="dxa"/>
            <w:gridSpan w:val="2"/>
            <w:tcBorders>
              <w:top w:val="single" w:sz="4" w:space="0" w:color="auto"/>
              <w:bottom w:val="single" w:sz="4" w:space="0" w:color="auto"/>
            </w:tcBorders>
          </w:tcPr>
          <w:p w14:paraId="0EF704A0" w14:textId="5E93EE3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4</w:t>
            </w:r>
          </w:p>
        </w:tc>
      </w:tr>
      <w:tr w:rsidR="00CC5764" w:rsidRPr="00956209" w14:paraId="15FDC342"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AACDB86" w14:textId="6C25AE15" w:rsidR="00CC5764" w:rsidRPr="002E05DB" w:rsidRDefault="00CC5764" w:rsidP="00A60C18">
            <w:pPr>
              <w:rPr>
                <w:b w:val="0"/>
              </w:rPr>
            </w:pPr>
            <w:r w:rsidRPr="002E05DB">
              <w:t>Hamilton Base Hospital</w:t>
            </w:r>
          </w:p>
        </w:tc>
        <w:tc>
          <w:tcPr>
            <w:tcW w:w="825" w:type="dxa"/>
            <w:tcBorders>
              <w:top w:val="single" w:sz="4" w:space="0" w:color="auto"/>
              <w:bottom w:val="single" w:sz="4" w:space="0" w:color="auto"/>
            </w:tcBorders>
          </w:tcPr>
          <w:p w14:paraId="646E83F6" w14:textId="7C94452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7EC95DDD" w14:textId="5F2CD33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126</w:t>
            </w:r>
          </w:p>
        </w:tc>
        <w:tc>
          <w:tcPr>
            <w:tcW w:w="688" w:type="dxa"/>
            <w:tcBorders>
              <w:top w:val="single" w:sz="4" w:space="0" w:color="auto"/>
              <w:bottom w:val="single" w:sz="4" w:space="0" w:color="auto"/>
            </w:tcBorders>
          </w:tcPr>
          <w:p w14:paraId="0E22DDE6" w14:textId="55B0935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rPr>
                <w:rFonts w:ascii="Cambria" w:hAnsi="Cambria" w:cs="Cambria"/>
              </w:rPr>
              <w:t> </w:t>
            </w:r>
            <w:r w:rsidRPr="002E05DB">
              <w:t>NA</w:t>
            </w:r>
          </w:p>
        </w:tc>
        <w:tc>
          <w:tcPr>
            <w:tcW w:w="687" w:type="dxa"/>
            <w:tcBorders>
              <w:top w:val="single" w:sz="4" w:space="0" w:color="auto"/>
              <w:bottom w:val="single" w:sz="4" w:space="0" w:color="auto"/>
            </w:tcBorders>
          </w:tcPr>
          <w:p w14:paraId="6AA788B5" w14:textId="7210613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21.1%</w:t>
            </w:r>
          </w:p>
        </w:tc>
        <w:tc>
          <w:tcPr>
            <w:tcW w:w="688" w:type="dxa"/>
            <w:tcBorders>
              <w:top w:val="single" w:sz="4" w:space="0" w:color="auto"/>
              <w:bottom w:val="single" w:sz="4" w:space="0" w:color="auto"/>
            </w:tcBorders>
          </w:tcPr>
          <w:p w14:paraId="383484E3" w14:textId="796D7BAD"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36.4%</w:t>
            </w:r>
          </w:p>
        </w:tc>
        <w:tc>
          <w:tcPr>
            <w:tcW w:w="688" w:type="dxa"/>
            <w:tcBorders>
              <w:top w:val="single" w:sz="4" w:space="0" w:color="auto"/>
              <w:bottom w:val="single" w:sz="4" w:space="0" w:color="auto"/>
            </w:tcBorders>
          </w:tcPr>
          <w:p w14:paraId="51DAB8FA" w14:textId="782E84D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6.7%</w:t>
            </w:r>
          </w:p>
        </w:tc>
        <w:tc>
          <w:tcPr>
            <w:tcW w:w="687" w:type="dxa"/>
            <w:tcBorders>
              <w:top w:val="single" w:sz="4" w:space="0" w:color="auto"/>
              <w:bottom w:val="single" w:sz="4" w:space="0" w:color="auto"/>
            </w:tcBorders>
          </w:tcPr>
          <w:p w14:paraId="4EF737B8" w14:textId="2BAA589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14.3%</w:t>
            </w:r>
          </w:p>
        </w:tc>
        <w:tc>
          <w:tcPr>
            <w:tcW w:w="688" w:type="dxa"/>
            <w:tcBorders>
              <w:top w:val="single" w:sz="4" w:space="0" w:color="auto"/>
              <w:bottom w:val="single" w:sz="4" w:space="0" w:color="auto"/>
            </w:tcBorders>
          </w:tcPr>
          <w:p w14:paraId="7D217312" w14:textId="411451E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3.9%</w:t>
            </w:r>
          </w:p>
        </w:tc>
        <w:tc>
          <w:tcPr>
            <w:tcW w:w="688" w:type="dxa"/>
            <w:tcBorders>
              <w:top w:val="single" w:sz="4" w:space="0" w:color="auto"/>
              <w:bottom w:val="single" w:sz="4" w:space="0" w:color="auto"/>
            </w:tcBorders>
          </w:tcPr>
          <w:p w14:paraId="07486298" w14:textId="43979AC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7EFB07CE" w14:textId="0349965A" w:rsidR="00CC5764" w:rsidRPr="002E05DB" w:rsidRDefault="5F06B2BD"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7F675894" w14:textId="170A1B9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0.0%</w:t>
            </w:r>
          </w:p>
        </w:tc>
        <w:tc>
          <w:tcPr>
            <w:tcW w:w="688" w:type="dxa"/>
            <w:tcBorders>
              <w:top w:val="single" w:sz="4" w:space="0" w:color="auto"/>
              <w:bottom w:val="single" w:sz="4" w:space="0" w:color="auto"/>
            </w:tcBorders>
          </w:tcPr>
          <w:p w14:paraId="3ABE1197" w14:textId="79D23FE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0.0%</w:t>
            </w:r>
          </w:p>
        </w:tc>
        <w:tc>
          <w:tcPr>
            <w:tcW w:w="688" w:type="dxa"/>
            <w:tcBorders>
              <w:top w:val="single" w:sz="4" w:space="0" w:color="auto"/>
              <w:bottom w:val="single" w:sz="4" w:space="0" w:color="auto"/>
            </w:tcBorders>
          </w:tcPr>
          <w:p w14:paraId="28B59005" w14:textId="11EA9A60"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E05DB">
              <w:t>8.3%</w:t>
            </w:r>
          </w:p>
        </w:tc>
        <w:tc>
          <w:tcPr>
            <w:tcW w:w="687" w:type="dxa"/>
            <w:tcBorders>
              <w:top w:val="single" w:sz="4" w:space="0" w:color="auto"/>
              <w:bottom w:val="single" w:sz="4" w:space="0" w:color="auto"/>
            </w:tcBorders>
          </w:tcPr>
          <w:p w14:paraId="5862D234" w14:textId="7031085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0.8%</w:t>
            </w:r>
          </w:p>
        </w:tc>
        <w:tc>
          <w:tcPr>
            <w:tcW w:w="688" w:type="dxa"/>
            <w:tcBorders>
              <w:top w:val="single" w:sz="4" w:space="0" w:color="auto"/>
              <w:bottom w:val="single" w:sz="4" w:space="0" w:color="auto"/>
            </w:tcBorders>
          </w:tcPr>
          <w:p w14:paraId="6226EC2E" w14:textId="241A365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89.3%</w:t>
            </w:r>
          </w:p>
        </w:tc>
        <w:tc>
          <w:tcPr>
            <w:tcW w:w="688" w:type="dxa"/>
            <w:tcBorders>
              <w:top w:val="single" w:sz="4" w:space="0" w:color="auto"/>
              <w:bottom w:val="single" w:sz="4" w:space="0" w:color="auto"/>
            </w:tcBorders>
          </w:tcPr>
          <w:p w14:paraId="0A3F9202" w14:textId="1CA48DB1"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t>54.5%</w:t>
            </w:r>
          </w:p>
        </w:tc>
        <w:tc>
          <w:tcPr>
            <w:tcW w:w="687" w:type="dxa"/>
            <w:tcBorders>
              <w:top w:val="single" w:sz="4" w:space="0" w:color="auto"/>
              <w:bottom w:val="single" w:sz="4" w:space="0" w:color="auto"/>
            </w:tcBorders>
          </w:tcPr>
          <w:p w14:paraId="43D0FC6A" w14:textId="6FDC751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90.5%</w:t>
            </w:r>
          </w:p>
        </w:tc>
        <w:tc>
          <w:tcPr>
            <w:tcW w:w="688" w:type="dxa"/>
            <w:tcBorders>
              <w:top w:val="single" w:sz="4" w:space="0" w:color="auto"/>
              <w:bottom w:val="single" w:sz="4" w:space="0" w:color="auto"/>
            </w:tcBorders>
          </w:tcPr>
          <w:p w14:paraId="4370565C" w14:textId="778529F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0.8%</w:t>
            </w:r>
          </w:p>
        </w:tc>
        <w:tc>
          <w:tcPr>
            <w:tcW w:w="688" w:type="dxa"/>
            <w:tcBorders>
              <w:top w:val="single" w:sz="4" w:space="0" w:color="auto"/>
              <w:bottom w:val="single" w:sz="4" w:space="0" w:color="auto"/>
            </w:tcBorders>
          </w:tcPr>
          <w:p w14:paraId="47ADD7D2" w14:textId="4AA768C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gridSpan w:val="2"/>
            <w:tcBorders>
              <w:top w:val="single" w:sz="4" w:space="0" w:color="auto"/>
              <w:bottom w:val="single" w:sz="4" w:space="0" w:color="auto"/>
            </w:tcBorders>
          </w:tcPr>
          <w:p w14:paraId="733D694E" w14:textId="136C87B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r>
      <w:tr w:rsidR="00CC5764" w:rsidRPr="00956209" w14:paraId="15FFC91C"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B00D5B9" w14:textId="459F725D" w:rsidR="00CC5764" w:rsidRPr="002E05DB" w:rsidRDefault="00CC5764" w:rsidP="00A60C18">
            <w:pPr>
              <w:rPr>
                <w:b w:val="0"/>
              </w:rPr>
            </w:pPr>
            <w:r w:rsidRPr="002E05DB">
              <w:t>Ararat Hospital</w:t>
            </w:r>
          </w:p>
        </w:tc>
        <w:tc>
          <w:tcPr>
            <w:tcW w:w="825" w:type="dxa"/>
            <w:tcBorders>
              <w:top w:val="single" w:sz="4" w:space="0" w:color="auto"/>
              <w:bottom w:val="single" w:sz="4" w:space="0" w:color="auto"/>
            </w:tcBorders>
          </w:tcPr>
          <w:p w14:paraId="2A13FA6B" w14:textId="10F32F6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3</w:t>
            </w:r>
          </w:p>
        </w:tc>
        <w:tc>
          <w:tcPr>
            <w:tcW w:w="688" w:type="dxa"/>
            <w:tcBorders>
              <w:top w:val="single" w:sz="4" w:space="0" w:color="auto"/>
              <w:bottom w:val="single" w:sz="4" w:space="0" w:color="auto"/>
            </w:tcBorders>
          </w:tcPr>
          <w:p w14:paraId="5B7AAE0A" w14:textId="5C6F5A0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100</w:t>
            </w:r>
          </w:p>
        </w:tc>
        <w:tc>
          <w:tcPr>
            <w:tcW w:w="688" w:type="dxa"/>
            <w:tcBorders>
              <w:top w:val="single" w:sz="4" w:space="0" w:color="auto"/>
              <w:bottom w:val="single" w:sz="4" w:space="0" w:color="auto"/>
            </w:tcBorders>
          </w:tcPr>
          <w:p w14:paraId="0C73A74D" w14:textId="36DE0B9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rPr>
                <w:rFonts w:ascii="Cambria" w:hAnsi="Cambria" w:cs="Cambria"/>
              </w:rPr>
              <w:t> </w:t>
            </w:r>
            <w:r w:rsidRPr="002E05DB">
              <w:t>NA</w:t>
            </w:r>
          </w:p>
        </w:tc>
        <w:tc>
          <w:tcPr>
            <w:tcW w:w="687" w:type="dxa"/>
            <w:tcBorders>
              <w:top w:val="single" w:sz="4" w:space="0" w:color="auto"/>
              <w:bottom w:val="single" w:sz="4" w:space="0" w:color="auto"/>
            </w:tcBorders>
          </w:tcPr>
          <w:p w14:paraId="4BE5FD81" w14:textId="7F70B25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28.0%</w:t>
            </w:r>
          </w:p>
        </w:tc>
        <w:tc>
          <w:tcPr>
            <w:tcW w:w="688" w:type="dxa"/>
            <w:tcBorders>
              <w:top w:val="single" w:sz="4" w:space="0" w:color="auto"/>
              <w:bottom w:val="single" w:sz="4" w:space="0" w:color="auto"/>
            </w:tcBorders>
          </w:tcPr>
          <w:p w14:paraId="513B111C" w14:textId="2177B7A9"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70.0%</w:t>
            </w:r>
          </w:p>
        </w:tc>
        <w:tc>
          <w:tcPr>
            <w:tcW w:w="688" w:type="dxa"/>
            <w:tcBorders>
              <w:top w:val="single" w:sz="4" w:space="0" w:color="auto"/>
              <w:bottom w:val="single" w:sz="4" w:space="0" w:color="auto"/>
            </w:tcBorders>
          </w:tcPr>
          <w:p w14:paraId="620C3171" w14:textId="08CD9D7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2E05DB">
              <w:t>0.0%</w:t>
            </w:r>
          </w:p>
        </w:tc>
        <w:tc>
          <w:tcPr>
            <w:tcW w:w="687" w:type="dxa"/>
            <w:tcBorders>
              <w:top w:val="single" w:sz="4" w:space="0" w:color="auto"/>
              <w:bottom w:val="single" w:sz="4" w:space="0" w:color="auto"/>
            </w:tcBorders>
          </w:tcPr>
          <w:p w14:paraId="08D1A6D4" w14:textId="531DEA17"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6DF9C045" w14:textId="3DAA5FBA"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7B510F">
              <w:t>3.5%</w:t>
            </w:r>
          </w:p>
        </w:tc>
        <w:tc>
          <w:tcPr>
            <w:tcW w:w="688" w:type="dxa"/>
            <w:tcBorders>
              <w:top w:val="single" w:sz="4" w:space="0" w:color="auto"/>
              <w:bottom w:val="single" w:sz="4" w:space="0" w:color="auto"/>
            </w:tcBorders>
          </w:tcPr>
          <w:p w14:paraId="21520C2E" w14:textId="4C274793"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100.0%</w:t>
            </w:r>
          </w:p>
        </w:tc>
        <w:tc>
          <w:tcPr>
            <w:tcW w:w="688" w:type="dxa"/>
            <w:tcBorders>
              <w:top w:val="single" w:sz="4" w:space="0" w:color="auto"/>
              <w:bottom w:val="single" w:sz="4" w:space="0" w:color="auto"/>
            </w:tcBorders>
          </w:tcPr>
          <w:p w14:paraId="63AA16F4" w14:textId="13589130" w:rsidR="00CC5764" w:rsidRPr="002E05DB" w:rsidRDefault="7D0BF55C"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0F3F6B1B" w14:textId="668F220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1.2%</w:t>
            </w:r>
          </w:p>
        </w:tc>
        <w:tc>
          <w:tcPr>
            <w:tcW w:w="688" w:type="dxa"/>
            <w:tcBorders>
              <w:top w:val="single" w:sz="4" w:space="0" w:color="auto"/>
              <w:bottom w:val="single" w:sz="4" w:space="0" w:color="auto"/>
            </w:tcBorders>
          </w:tcPr>
          <w:p w14:paraId="0EFCA3D5" w14:textId="1C191FDE"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0.0%</w:t>
            </w:r>
          </w:p>
        </w:tc>
        <w:tc>
          <w:tcPr>
            <w:tcW w:w="688" w:type="dxa"/>
            <w:tcBorders>
              <w:top w:val="single" w:sz="4" w:space="0" w:color="auto"/>
              <w:bottom w:val="single" w:sz="4" w:space="0" w:color="auto"/>
            </w:tcBorders>
          </w:tcPr>
          <w:p w14:paraId="0D25DEA0" w14:textId="0AE8396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6942CA">
              <w:t>18.8%</w:t>
            </w:r>
          </w:p>
        </w:tc>
        <w:tc>
          <w:tcPr>
            <w:tcW w:w="687" w:type="dxa"/>
            <w:tcBorders>
              <w:top w:val="single" w:sz="4" w:space="0" w:color="auto"/>
              <w:bottom w:val="single" w:sz="4" w:space="0" w:color="auto"/>
            </w:tcBorders>
          </w:tcPr>
          <w:p w14:paraId="00DA551A" w14:textId="09EEEF4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2E05DB">
              <w:t>3.1%</w:t>
            </w:r>
          </w:p>
        </w:tc>
        <w:tc>
          <w:tcPr>
            <w:tcW w:w="688" w:type="dxa"/>
            <w:tcBorders>
              <w:top w:val="single" w:sz="4" w:space="0" w:color="auto"/>
              <w:bottom w:val="single" w:sz="4" w:space="0" w:color="auto"/>
            </w:tcBorders>
          </w:tcPr>
          <w:p w14:paraId="52FF8A08" w14:textId="2E5E1584"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rPr>
                <w:rFonts w:ascii="Cambria" w:hAnsi="Cambria" w:cs="Cambria"/>
              </w:rPr>
              <w:t> </w:t>
            </w:r>
            <w:r w:rsidRPr="002E05DB">
              <w:t>NA</w:t>
            </w:r>
          </w:p>
        </w:tc>
        <w:tc>
          <w:tcPr>
            <w:tcW w:w="688" w:type="dxa"/>
            <w:tcBorders>
              <w:top w:val="single" w:sz="4" w:space="0" w:color="auto"/>
              <w:bottom w:val="single" w:sz="4" w:space="0" w:color="auto"/>
            </w:tcBorders>
          </w:tcPr>
          <w:p w14:paraId="305F289B" w14:textId="6A6C2E8F"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2E05DB">
              <w:rPr>
                <w:rFonts w:ascii="Cambria" w:hAnsi="Cambria" w:cs="Cambria"/>
              </w:rPr>
              <w:t> </w:t>
            </w:r>
            <w:r w:rsidRPr="002E05DB">
              <w:t>NA</w:t>
            </w:r>
          </w:p>
        </w:tc>
        <w:tc>
          <w:tcPr>
            <w:tcW w:w="687" w:type="dxa"/>
            <w:tcBorders>
              <w:top w:val="single" w:sz="4" w:space="0" w:color="auto"/>
              <w:bottom w:val="single" w:sz="4" w:space="0" w:color="auto"/>
            </w:tcBorders>
          </w:tcPr>
          <w:p w14:paraId="4DA57D20" w14:textId="53431A56"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2E05DB">
              <w:t>84.0%</w:t>
            </w:r>
          </w:p>
        </w:tc>
        <w:tc>
          <w:tcPr>
            <w:tcW w:w="688" w:type="dxa"/>
            <w:tcBorders>
              <w:top w:val="single" w:sz="4" w:space="0" w:color="auto"/>
              <w:bottom w:val="single" w:sz="4" w:space="0" w:color="auto"/>
            </w:tcBorders>
          </w:tcPr>
          <w:p w14:paraId="60BE2504" w14:textId="50562EC8"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C27E0F">
              <w:t>3.0%</w:t>
            </w:r>
          </w:p>
        </w:tc>
        <w:tc>
          <w:tcPr>
            <w:tcW w:w="688" w:type="dxa"/>
            <w:tcBorders>
              <w:top w:val="single" w:sz="4" w:space="0" w:color="auto"/>
              <w:bottom w:val="single" w:sz="4" w:space="0" w:color="auto"/>
            </w:tcBorders>
          </w:tcPr>
          <w:p w14:paraId="799EF5F9" w14:textId="154D8AD2"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2</w:t>
            </w:r>
          </w:p>
        </w:tc>
        <w:tc>
          <w:tcPr>
            <w:tcW w:w="688" w:type="dxa"/>
            <w:gridSpan w:val="2"/>
            <w:tcBorders>
              <w:top w:val="single" w:sz="4" w:space="0" w:color="auto"/>
              <w:bottom w:val="single" w:sz="4" w:space="0" w:color="auto"/>
            </w:tcBorders>
          </w:tcPr>
          <w:p w14:paraId="624F4465" w14:textId="5AD35DCC" w:rsidR="00CC5764" w:rsidRPr="002E05DB" w:rsidRDefault="00CC5764" w:rsidP="00A60C18">
            <w:pPr>
              <w:cnfStyle w:val="000000000000" w:firstRow="0" w:lastRow="0" w:firstColumn="0" w:lastColumn="0" w:oddVBand="0" w:evenVBand="0" w:oddHBand="0" w:evenHBand="0" w:firstRowFirstColumn="0" w:firstRowLastColumn="0" w:lastRowFirstColumn="0" w:lastRowLastColumn="0"/>
            </w:pPr>
            <w:r w:rsidRPr="002E05DB">
              <w:t>5</w:t>
            </w:r>
          </w:p>
        </w:tc>
      </w:tr>
      <w:tr w:rsidR="00CC5764" w:rsidRPr="00956209" w14:paraId="20C41257"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2229B55" w14:textId="58082657" w:rsidR="00CC5764" w:rsidRPr="00F317CA" w:rsidRDefault="00CC5764" w:rsidP="00A60C18">
            <w:pPr>
              <w:rPr>
                <w:b w:val="0"/>
              </w:rPr>
            </w:pPr>
            <w:r w:rsidRPr="00F317CA">
              <w:t>Mansfield District Hospital</w:t>
            </w:r>
          </w:p>
        </w:tc>
        <w:tc>
          <w:tcPr>
            <w:tcW w:w="825" w:type="dxa"/>
            <w:tcBorders>
              <w:top w:val="single" w:sz="4" w:space="0" w:color="auto"/>
              <w:bottom w:val="single" w:sz="4" w:space="0" w:color="auto"/>
            </w:tcBorders>
          </w:tcPr>
          <w:p w14:paraId="44ADE21F" w14:textId="4BB3ABE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tcBorders>
              <w:top w:val="single" w:sz="4" w:space="0" w:color="auto"/>
              <w:bottom w:val="single" w:sz="4" w:space="0" w:color="auto"/>
            </w:tcBorders>
          </w:tcPr>
          <w:p w14:paraId="5DC89BB9" w14:textId="46D67DA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61</w:t>
            </w:r>
          </w:p>
        </w:tc>
        <w:tc>
          <w:tcPr>
            <w:tcW w:w="688" w:type="dxa"/>
            <w:tcBorders>
              <w:top w:val="single" w:sz="4" w:space="0" w:color="auto"/>
              <w:bottom w:val="single" w:sz="4" w:space="0" w:color="auto"/>
            </w:tcBorders>
          </w:tcPr>
          <w:p w14:paraId="740AE797" w14:textId="2D9F6D7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30.8%</w:t>
            </w:r>
          </w:p>
        </w:tc>
        <w:tc>
          <w:tcPr>
            <w:tcW w:w="687" w:type="dxa"/>
            <w:tcBorders>
              <w:top w:val="single" w:sz="4" w:space="0" w:color="auto"/>
              <w:bottom w:val="single" w:sz="4" w:space="0" w:color="auto"/>
            </w:tcBorders>
          </w:tcPr>
          <w:p w14:paraId="61636E76" w14:textId="583793D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16.7%</w:t>
            </w:r>
          </w:p>
        </w:tc>
        <w:tc>
          <w:tcPr>
            <w:tcW w:w="688" w:type="dxa"/>
            <w:tcBorders>
              <w:top w:val="single" w:sz="4" w:space="0" w:color="auto"/>
              <w:bottom w:val="single" w:sz="4" w:space="0" w:color="auto"/>
            </w:tcBorders>
          </w:tcPr>
          <w:p w14:paraId="3E918035" w14:textId="672EC97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EF034D6" w14:textId="08F39C7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7" w:type="dxa"/>
            <w:tcBorders>
              <w:top w:val="single" w:sz="4" w:space="0" w:color="auto"/>
              <w:bottom w:val="single" w:sz="4" w:space="0" w:color="auto"/>
            </w:tcBorders>
          </w:tcPr>
          <w:p w14:paraId="1027EFCE" w14:textId="04C670F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7276143" w14:textId="4BE7ED7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6.9%</w:t>
            </w:r>
          </w:p>
        </w:tc>
        <w:tc>
          <w:tcPr>
            <w:tcW w:w="688" w:type="dxa"/>
            <w:tcBorders>
              <w:top w:val="single" w:sz="4" w:space="0" w:color="auto"/>
              <w:bottom w:val="single" w:sz="4" w:space="0" w:color="auto"/>
            </w:tcBorders>
          </w:tcPr>
          <w:p w14:paraId="6CCB46B7" w14:textId="1B8D201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D64D297" w14:textId="714F14B2" w:rsidR="00CC5764" w:rsidRPr="00F317CA" w:rsidRDefault="636D3A4D"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2FEFCB4A" w14:textId="7F9E8E2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1D56A6F5" w14:textId="00BFCD5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204FCD03" w14:textId="5935BA4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078B4EC" w14:textId="7D37312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1.7%</w:t>
            </w:r>
          </w:p>
        </w:tc>
        <w:tc>
          <w:tcPr>
            <w:tcW w:w="688" w:type="dxa"/>
            <w:tcBorders>
              <w:top w:val="single" w:sz="4" w:space="0" w:color="auto"/>
              <w:bottom w:val="single" w:sz="4" w:space="0" w:color="auto"/>
            </w:tcBorders>
          </w:tcPr>
          <w:p w14:paraId="21C18A7E" w14:textId="496636F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8EAC590" w14:textId="7157240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01A9EB3A" w14:textId="370EF8C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39A27EA">
              <w:t>77.0%</w:t>
            </w:r>
          </w:p>
        </w:tc>
        <w:tc>
          <w:tcPr>
            <w:tcW w:w="688" w:type="dxa"/>
            <w:tcBorders>
              <w:top w:val="single" w:sz="4" w:space="0" w:color="auto"/>
              <w:bottom w:val="single" w:sz="4" w:space="0" w:color="auto"/>
            </w:tcBorders>
          </w:tcPr>
          <w:p w14:paraId="6EB1AF3D" w14:textId="546A3C5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8" w:type="dxa"/>
            <w:tcBorders>
              <w:top w:val="single" w:sz="4" w:space="0" w:color="auto"/>
              <w:bottom w:val="single" w:sz="4" w:space="0" w:color="auto"/>
            </w:tcBorders>
          </w:tcPr>
          <w:p w14:paraId="319CA695" w14:textId="0A9A885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gridSpan w:val="2"/>
            <w:tcBorders>
              <w:top w:val="single" w:sz="4" w:space="0" w:color="auto"/>
              <w:bottom w:val="single" w:sz="4" w:space="0" w:color="auto"/>
            </w:tcBorders>
          </w:tcPr>
          <w:p w14:paraId="61AF650A" w14:textId="656E23B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r>
      <w:tr w:rsidR="00CC5764" w:rsidRPr="00956209" w14:paraId="3221A857"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1F99819" w14:textId="4D5BF0DA" w:rsidR="00CC5764" w:rsidRPr="00F317CA" w:rsidRDefault="00CC5764" w:rsidP="00A60C18">
            <w:pPr>
              <w:rPr>
                <w:b w:val="0"/>
              </w:rPr>
            </w:pPr>
            <w:r w:rsidRPr="00F317CA">
              <w:t>Benalla &amp; District Memorial Hospital</w:t>
            </w:r>
          </w:p>
        </w:tc>
        <w:tc>
          <w:tcPr>
            <w:tcW w:w="825" w:type="dxa"/>
            <w:tcBorders>
              <w:top w:val="single" w:sz="4" w:space="0" w:color="auto"/>
              <w:bottom w:val="single" w:sz="4" w:space="0" w:color="auto"/>
            </w:tcBorders>
          </w:tcPr>
          <w:p w14:paraId="7F4CBB30" w14:textId="5B33B3D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tcBorders>
              <w:top w:val="single" w:sz="4" w:space="0" w:color="auto"/>
              <w:bottom w:val="single" w:sz="4" w:space="0" w:color="auto"/>
            </w:tcBorders>
          </w:tcPr>
          <w:p w14:paraId="3DB624E9" w14:textId="6986EE0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61</w:t>
            </w:r>
          </w:p>
        </w:tc>
        <w:tc>
          <w:tcPr>
            <w:tcW w:w="688" w:type="dxa"/>
            <w:tcBorders>
              <w:top w:val="single" w:sz="4" w:space="0" w:color="auto"/>
              <w:bottom w:val="single" w:sz="4" w:space="0" w:color="auto"/>
            </w:tcBorders>
          </w:tcPr>
          <w:p w14:paraId="0FB2DDE2" w14:textId="7865B7B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7" w:type="dxa"/>
            <w:tcBorders>
              <w:top w:val="single" w:sz="4" w:space="0" w:color="auto"/>
              <w:bottom w:val="single" w:sz="4" w:space="0" w:color="auto"/>
            </w:tcBorders>
          </w:tcPr>
          <w:p w14:paraId="5BF6D568" w14:textId="7144C98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28.6%</w:t>
            </w:r>
          </w:p>
        </w:tc>
        <w:tc>
          <w:tcPr>
            <w:tcW w:w="688" w:type="dxa"/>
            <w:tcBorders>
              <w:top w:val="single" w:sz="4" w:space="0" w:color="auto"/>
              <w:bottom w:val="single" w:sz="4" w:space="0" w:color="auto"/>
            </w:tcBorders>
          </w:tcPr>
          <w:p w14:paraId="2765DA5D" w14:textId="76F4442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976E4A0" w14:textId="13E6FBE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12D8280" w14:textId="1F5AE39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9F44111" w14:textId="7CDA492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7B510F">
              <w:t>3.0%</w:t>
            </w:r>
          </w:p>
        </w:tc>
        <w:tc>
          <w:tcPr>
            <w:tcW w:w="688" w:type="dxa"/>
            <w:tcBorders>
              <w:top w:val="single" w:sz="4" w:space="0" w:color="auto"/>
              <w:bottom w:val="single" w:sz="4" w:space="0" w:color="auto"/>
            </w:tcBorders>
          </w:tcPr>
          <w:p w14:paraId="6A70F779" w14:textId="5D34946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AD2D60B" w14:textId="19851560" w:rsidR="00CC5764" w:rsidRPr="00F317CA" w:rsidRDefault="58B6BF7E"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556A2BDA" w14:textId="21DC809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4.4%</w:t>
            </w:r>
          </w:p>
        </w:tc>
        <w:tc>
          <w:tcPr>
            <w:tcW w:w="688" w:type="dxa"/>
            <w:tcBorders>
              <w:top w:val="single" w:sz="4" w:space="0" w:color="auto"/>
              <w:bottom w:val="single" w:sz="4" w:space="0" w:color="auto"/>
            </w:tcBorders>
          </w:tcPr>
          <w:p w14:paraId="65212B73" w14:textId="233D708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1.5%</w:t>
            </w:r>
          </w:p>
        </w:tc>
        <w:tc>
          <w:tcPr>
            <w:tcW w:w="688" w:type="dxa"/>
            <w:tcBorders>
              <w:top w:val="single" w:sz="4" w:space="0" w:color="auto"/>
              <w:bottom w:val="single" w:sz="4" w:space="0" w:color="auto"/>
            </w:tcBorders>
          </w:tcPr>
          <w:p w14:paraId="448CD223" w14:textId="0712BED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6966701D" w14:textId="752F0E3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1.7%</w:t>
            </w:r>
          </w:p>
        </w:tc>
        <w:tc>
          <w:tcPr>
            <w:tcW w:w="688" w:type="dxa"/>
            <w:tcBorders>
              <w:top w:val="single" w:sz="4" w:space="0" w:color="auto"/>
              <w:bottom w:val="single" w:sz="4" w:space="0" w:color="auto"/>
            </w:tcBorders>
          </w:tcPr>
          <w:p w14:paraId="19E7FBDA" w14:textId="29427B2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77.8%</w:t>
            </w:r>
          </w:p>
        </w:tc>
        <w:tc>
          <w:tcPr>
            <w:tcW w:w="688" w:type="dxa"/>
            <w:tcBorders>
              <w:top w:val="single" w:sz="4" w:space="0" w:color="auto"/>
              <w:bottom w:val="single" w:sz="4" w:space="0" w:color="auto"/>
            </w:tcBorders>
          </w:tcPr>
          <w:p w14:paraId="73B5A293" w14:textId="767C439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58.8%</w:t>
            </w:r>
          </w:p>
        </w:tc>
        <w:tc>
          <w:tcPr>
            <w:tcW w:w="687" w:type="dxa"/>
            <w:tcBorders>
              <w:top w:val="single" w:sz="4" w:space="0" w:color="auto"/>
              <w:bottom w:val="single" w:sz="4" w:space="0" w:color="auto"/>
            </w:tcBorders>
          </w:tcPr>
          <w:p w14:paraId="1A2ACD14" w14:textId="1839D45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39A27EA">
              <w:t>78.7%</w:t>
            </w:r>
          </w:p>
        </w:tc>
        <w:tc>
          <w:tcPr>
            <w:tcW w:w="688" w:type="dxa"/>
            <w:tcBorders>
              <w:top w:val="single" w:sz="4" w:space="0" w:color="auto"/>
              <w:bottom w:val="single" w:sz="4" w:space="0" w:color="auto"/>
            </w:tcBorders>
          </w:tcPr>
          <w:p w14:paraId="770A2C7D" w14:textId="7D9306F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3.3%</w:t>
            </w:r>
          </w:p>
        </w:tc>
        <w:tc>
          <w:tcPr>
            <w:tcW w:w="688" w:type="dxa"/>
            <w:tcBorders>
              <w:top w:val="single" w:sz="4" w:space="0" w:color="auto"/>
              <w:bottom w:val="single" w:sz="4" w:space="0" w:color="auto"/>
            </w:tcBorders>
          </w:tcPr>
          <w:p w14:paraId="5C59A867" w14:textId="0C7ED58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gridSpan w:val="2"/>
            <w:tcBorders>
              <w:top w:val="single" w:sz="4" w:space="0" w:color="auto"/>
              <w:bottom w:val="single" w:sz="4" w:space="0" w:color="auto"/>
            </w:tcBorders>
          </w:tcPr>
          <w:p w14:paraId="769E4DF5" w14:textId="78D32F1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65565B23"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0AF5A536" w14:textId="58C2F114" w:rsidR="00CC5764" w:rsidRPr="00F317CA" w:rsidRDefault="00CC5764" w:rsidP="00A60C18">
            <w:pPr>
              <w:rPr>
                <w:b w:val="0"/>
              </w:rPr>
            </w:pPr>
            <w:r w:rsidRPr="00F317CA">
              <w:t>South Gippsland Hospital</w:t>
            </w:r>
          </w:p>
        </w:tc>
        <w:tc>
          <w:tcPr>
            <w:tcW w:w="825" w:type="dxa"/>
            <w:tcBorders>
              <w:top w:val="single" w:sz="4" w:space="0" w:color="auto"/>
              <w:bottom w:val="single" w:sz="4" w:space="0" w:color="auto"/>
            </w:tcBorders>
          </w:tcPr>
          <w:p w14:paraId="0CCFCD41" w14:textId="49A7773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tcBorders>
              <w:top w:val="single" w:sz="4" w:space="0" w:color="auto"/>
              <w:bottom w:val="single" w:sz="4" w:space="0" w:color="auto"/>
            </w:tcBorders>
          </w:tcPr>
          <w:p w14:paraId="1B01F8C7" w14:textId="38944DF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54</w:t>
            </w:r>
          </w:p>
        </w:tc>
        <w:tc>
          <w:tcPr>
            <w:tcW w:w="688" w:type="dxa"/>
            <w:tcBorders>
              <w:top w:val="single" w:sz="4" w:space="0" w:color="auto"/>
              <w:bottom w:val="single" w:sz="4" w:space="0" w:color="auto"/>
            </w:tcBorders>
          </w:tcPr>
          <w:p w14:paraId="35B1ACAE" w14:textId="2C80F62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7C3A6680" w14:textId="6A6FC05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77B2DCA" w14:textId="5C3357D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46.2%</w:t>
            </w:r>
          </w:p>
        </w:tc>
        <w:tc>
          <w:tcPr>
            <w:tcW w:w="688" w:type="dxa"/>
            <w:tcBorders>
              <w:top w:val="single" w:sz="4" w:space="0" w:color="auto"/>
              <w:bottom w:val="single" w:sz="4" w:space="0" w:color="auto"/>
            </w:tcBorders>
          </w:tcPr>
          <w:p w14:paraId="7B9890CC" w14:textId="38BEE6A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6F7C9F6" w14:textId="0EA4141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B0BB2EB" w14:textId="47A3E51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E734D1">
              <w:t>3.2%</w:t>
            </w:r>
          </w:p>
        </w:tc>
        <w:tc>
          <w:tcPr>
            <w:tcW w:w="688" w:type="dxa"/>
            <w:tcBorders>
              <w:top w:val="single" w:sz="4" w:space="0" w:color="auto"/>
              <w:bottom w:val="single" w:sz="4" w:space="0" w:color="auto"/>
            </w:tcBorders>
          </w:tcPr>
          <w:p w14:paraId="5ADB9EF6" w14:textId="75986D4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66E290C" w14:textId="657F755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39A27EA">
              <w:rPr>
                <w:rFonts w:ascii="Cambria" w:hAnsi="Cambria" w:cs="Cambria"/>
              </w:rPr>
              <w:t> </w:t>
            </w:r>
            <w:r w:rsidR="7962C4F3" w:rsidRPr="039A27EA">
              <w:t>NA</w:t>
            </w:r>
          </w:p>
        </w:tc>
        <w:tc>
          <w:tcPr>
            <w:tcW w:w="687" w:type="dxa"/>
            <w:tcBorders>
              <w:top w:val="single" w:sz="4" w:space="0" w:color="auto"/>
              <w:bottom w:val="single" w:sz="4" w:space="0" w:color="auto"/>
            </w:tcBorders>
          </w:tcPr>
          <w:p w14:paraId="3B29777E" w14:textId="4EFB127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40D9F736" w14:textId="1100126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6.6%</w:t>
            </w:r>
          </w:p>
        </w:tc>
        <w:tc>
          <w:tcPr>
            <w:tcW w:w="688" w:type="dxa"/>
            <w:tcBorders>
              <w:top w:val="single" w:sz="4" w:space="0" w:color="auto"/>
              <w:bottom w:val="single" w:sz="4" w:space="0" w:color="auto"/>
            </w:tcBorders>
          </w:tcPr>
          <w:p w14:paraId="04EDB5AD" w14:textId="4ACEFBF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E5F6645" w14:textId="01A4366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1.9%</w:t>
            </w:r>
          </w:p>
        </w:tc>
        <w:tc>
          <w:tcPr>
            <w:tcW w:w="688" w:type="dxa"/>
            <w:tcBorders>
              <w:top w:val="single" w:sz="4" w:space="0" w:color="auto"/>
              <w:bottom w:val="single" w:sz="4" w:space="0" w:color="auto"/>
            </w:tcBorders>
          </w:tcPr>
          <w:p w14:paraId="1CE3364B" w14:textId="13C8C05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3A68AD3" w14:textId="178709F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728A79B" w14:textId="32973273" w:rsidR="00CC5764" w:rsidRPr="00320BD7" w:rsidRDefault="00CC5764" w:rsidP="00A60C18">
            <w:pPr>
              <w:cnfStyle w:val="000000000000" w:firstRow="0" w:lastRow="0" w:firstColumn="0" w:lastColumn="0" w:oddVBand="0" w:evenVBand="0" w:oddHBand="0" w:evenHBand="0" w:firstRowFirstColumn="0" w:firstRowLastColumn="0" w:lastRowFirstColumn="0" w:lastRowLastColumn="0"/>
            </w:pPr>
            <w:r w:rsidRPr="00320BD7">
              <w:t>74.1%</w:t>
            </w:r>
          </w:p>
        </w:tc>
        <w:tc>
          <w:tcPr>
            <w:tcW w:w="688" w:type="dxa"/>
            <w:tcBorders>
              <w:top w:val="single" w:sz="4" w:space="0" w:color="auto"/>
              <w:bottom w:val="single" w:sz="4" w:space="0" w:color="auto"/>
            </w:tcBorders>
          </w:tcPr>
          <w:p w14:paraId="2DB2AED1" w14:textId="6D77277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3.7%</w:t>
            </w:r>
          </w:p>
        </w:tc>
        <w:tc>
          <w:tcPr>
            <w:tcW w:w="688" w:type="dxa"/>
            <w:tcBorders>
              <w:top w:val="single" w:sz="4" w:space="0" w:color="auto"/>
              <w:bottom w:val="single" w:sz="4" w:space="0" w:color="auto"/>
            </w:tcBorders>
          </w:tcPr>
          <w:p w14:paraId="3AE942AC" w14:textId="0F315BC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w:t>
            </w:r>
          </w:p>
        </w:tc>
        <w:tc>
          <w:tcPr>
            <w:tcW w:w="688" w:type="dxa"/>
            <w:gridSpan w:val="2"/>
            <w:tcBorders>
              <w:top w:val="single" w:sz="4" w:space="0" w:color="auto"/>
              <w:bottom w:val="single" w:sz="4" w:space="0" w:color="auto"/>
            </w:tcBorders>
          </w:tcPr>
          <w:p w14:paraId="21AF838C" w14:textId="739AC03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r>
      <w:tr w:rsidR="00CC5764" w:rsidRPr="00956209" w14:paraId="7AA110E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AB32DDB" w14:textId="12CD503B" w:rsidR="00CC5764" w:rsidRPr="00F317CA" w:rsidRDefault="00CC5764" w:rsidP="00A60C18">
            <w:pPr>
              <w:rPr>
                <w:b w:val="0"/>
              </w:rPr>
            </w:pPr>
            <w:r w:rsidRPr="00F317CA">
              <w:t>Camperdown Hospital</w:t>
            </w:r>
          </w:p>
        </w:tc>
        <w:tc>
          <w:tcPr>
            <w:tcW w:w="825" w:type="dxa"/>
            <w:tcBorders>
              <w:top w:val="single" w:sz="4" w:space="0" w:color="auto"/>
              <w:bottom w:val="single" w:sz="4" w:space="0" w:color="auto"/>
            </w:tcBorders>
          </w:tcPr>
          <w:p w14:paraId="46F3273D" w14:textId="698BB54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tcBorders>
              <w:top w:val="single" w:sz="4" w:space="0" w:color="auto"/>
              <w:bottom w:val="single" w:sz="4" w:space="0" w:color="auto"/>
            </w:tcBorders>
          </w:tcPr>
          <w:p w14:paraId="79353296" w14:textId="2FB680C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29</w:t>
            </w:r>
          </w:p>
        </w:tc>
        <w:tc>
          <w:tcPr>
            <w:tcW w:w="688" w:type="dxa"/>
            <w:tcBorders>
              <w:top w:val="single" w:sz="4" w:space="0" w:color="auto"/>
              <w:bottom w:val="single" w:sz="4" w:space="0" w:color="auto"/>
            </w:tcBorders>
          </w:tcPr>
          <w:p w14:paraId="08E2A61F" w14:textId="0777CC5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7A0BB006" w14:textId="19E6918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2D6CE24C" w14:textId="3D69A7C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5324ADC" w14:textId="195779C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56EBE2D" w14:textId="4BE7AF5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4829F88" w14:textId="123F8E7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3.7%</w:t>
            </w:r>
          </w:p>
        </w:tc>
        <w:tc>
          <w:tcPr>
            <w:tcW w:w="688" w:type="dxa"/>
            <w:tcBorders>
              <w:top w:val="single" w:sz="4" w:space="0" w:color="auto"/>
              <w:bottom w:val="single" w:sz="4" w:space="0" w:color="auto"/>
            </w:tcBorders>
          </w:tcPr>
          <w:p w14:paraId="522F26C8" w14:textId="2B48C1C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5EFA297" w14:textId="49A34977" w:rsidR="00CC5764" w:rsidRPr="00F317CA" w:rsidRDefault="208BB474"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053D7631" w14:textId="1AE3619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4.2%</w:t>
            </w:r>
          </w:p>
        </w:tc>
        <w:tc>
          <w:tcPr>
            <w:tcW w:w="688" w:type="dxa"/>
            <w:tcBorders>
              <w:top w:val="single" w:sz="4" w:space="0" w:color="auto"/>
              <w:bottom w:val="single" w:sz="4" w:space="0" w:color="auto"/>
            </w:tcBorders>
          </w:tcPr>
          <w:p w14:paraId="21EBE8AE" w14:textId="2022C1B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4.2%</w:t>
            </w:r>
          </w:p>
        </w:tc>
        <w:tc>
          <w:tcPr>
            <w:tcW w:w="688" w:type="dxa"/>
            <w:tcBorders>
              <w:top w:val="single" w:sz="4" w:space="0" w:color="auto"/>
              <w:bottom w:val="single" w:sz="4" w:space="0" w:color="auto"/>
            </w:tcBorders>
          </w:tcPr>
          <w:p w14:paraId="724A1B7F" w14:textId="706E01E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00DD17F" w14:textId="474C3A9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3.4%</w:t>
            </w:r>
          </w:p>
        </w:tc>
        <w:tc>
          <w:tcPr>
            <w:tcW w:w="688" w:type="dxa"/>
            <w:tcBorders>
              <w:top w:val="single" w:sz="4" w:space="0" w:color="auto"/>
              <w:bottom w:val="single" w:sz="4" w:space="0" w:color="auto"/>
            </w:tcBorders>
          </w:tcPr>
          <w:p w14:paraId="4D2AC070" w14:textId="5270588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C257794" w14:textId="3B01B45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44696260" w14:textId="4B708AB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86.2%</w:t>
            </w:r>
          </w:p>
        </w:tc>
        <w:tc>
          <w:tcPr>
            <w:tcW w:w="688" w:type="dxa"/>
            <w:tcBorders>
              <w:top w:val="single" w:sz="4" w:space="0" w:color="auto"/>
              <w:bottom w:val="single" w:sz="4" w:space="0" w:color="auto"/>
            </w:tcBorders>
          </w:tcPr>
          <w:p w14:paraId="19EFCF39" w14:textId="3786FDF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8" w:type="dxa"/>
            <w:tcBorders>
              <w:top w:val="single" w:sz="4" w:space="0" w:color="auto"/>
              <w:bottom w:val="single" w:sz="4" w:space="0" w:color="auto"/>
            </w:tcBorders>
          </w:tcPr>
          <w:p w14:paraId="1FED8916" w14:textId="50C9413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gridSpan w:val="2"/>
            <w:tcBorders>
              <w:top w:val="single" w:sz="4" w:space="0" w:color="auto"/>
              <w:bottom w:val="single" w:sz="4" w:space="0" w:color="auto"/>
            </w:tcBorders>
          </w:tcPr>
          <w:p w14:paraId="76B0E07D" w14:textId="53D706E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r>
      <w:tr w:rsidR="00CC5764" w:rsidRPr="00956209" w14:paraId="02FABDDA"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387D862" w14:textId="7B30FA1F" w:rsidR="00CC5764" w:rsidRPr="00F317CA" w:rsidRDefault="00CC5764" w:rsidP="00A60C18">
            <w:pPr>
              <w:rPr>
                <w:b w:val="0"/>
              </w:rPr>
            </w:pPr>
            <w:r w:rsidRPr="00F317CA">
              <w:t>Portland Hospital</w:t>
            </w:r>
          </w:p>
        </w:tc>
        <w:tc>
          <w:tcPr>
            <w:tcW w:w="825" w:type="dxa"/>
            <w:tcBorders>
              <w:top w:val="single" w:sz="4" w:space="0" w:color="auto"/>
              <w:bottom w:val="single" w:sz="4" w:space="0" w:color="auto"/>
            </w:tcBorders>
          </w:tcPr>
          <w:p w14:paraId="1D84FF92" w14:textId="20F8838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tcBorders>
              <w:top w:val="single" w:sz="4" w:space="0" w:color="auto"/>
              <w:bottom w:val="single" w:sz="4" w:space="0" w:color="auto"/>
            </w:tcBorders>
          </w:tcPr>
          <w:p w14:paraId="124D40F5" w14:textId="78DAAD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77</w:t>
            </w:r>
          </w:p>
        </w:tc>
        <w:tc>
          <w:tcPr>
            <w:tcW w:w="688" w:type="dxa"/>
            <w:tcBorders>
              <w:top w:val="single" w:sz="4" w:space="0" w:color="auto"/>
              <w:bottom w:val="single" w:sz="4" w:space="0" w:color="auto"/>
            </w:tcBorders>
          </w:tcPr>
          <w:p w14:paraId="38C1C455" w14:textId="782ECCB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7" w:type="dxa"/>
            <w:tcBorders>
              <w:top w:val="single" w:sz="4" w:space="0" w:color="auto"/>
              <w:bottom w:val="single" w:sz="4" w:space="0" w:color="auto"/>
            </w:tcBorders>
          </w:tcPr>
          <w:p w14:paraId="7C95B5BC" w14:textId="366FF9B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16.7%</w:t>
            </w:r>
          </w:p>
        </w:tc>
        <w:tc>
          <w:tcPr>
            <w:tcW w:w="688" w:type="dxa"/>
            <w:tcBorders>
              <w:top w:val="single" w:sz="4" w:space="0" w:color="auto"/>
              <w:bottom w:val="single" w:sz="4" w:space="0" w:color="auto"/>
            </w:tcBorders>
          </w:tcPr>
          <w:p w14:paraId="1669EABB" w14:textId="00CBEA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85EBE1B" w14:textId="29DFB9C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9.1%</w:t>
            </w:r>
          </w:p>
        </w:tc>
        <w:tc>
          <w:tcPr>
            <w:tcW w:w="687" w:type="dxa"/>
            <w:tcBorders>
              <w:top w:val="single" w:sz="4" w:space="0" w:color="auto"/>
              <w:bottom w:val="single" w:sz="4" w:space="0" w:color="auto"/>
            </w:tcBorders>
          </w:tcPr>
          <w:p w14:paraId="65AFF829" w14:textId="06E6460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2AD01B88" w14:textId="4B197E3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E734D1">
              <w:t>2.8%</w:t>
            </w:r>
          </w:p>
        </w:tc>
        <w:tc>
          <w:tcPr>
            <w:tcW w:w="688" w:type="dxa"/>
            <w:tcBorders>
              <w:top w:val="single" w:sz="4" w:space="0" w:color="auto"/>
              <w:bottom w:val="single" w:sz="4" w:space="0" w:color="auto"/>
            </w:tcBorders>
          </w:tcPr>
          <w:p w14:paraId="0CBCF3B2" w14:textId="2C0C6D0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7DDAB7C" w14:textId="3836EABD" w:rsidR="00CC5764" w:rsidRPr="00F317CA" w:rsidRDefault="4202077A"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1E089A40" w14:textId="2E5CDAB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1.4%</w:t>
            </w:r>
          </w:p>
        </w:tc>
        <w:tc>
          <w:tcPr>
            <w:tcW w:w="688" w:type="dxa"/>
            <w:tcBorders>
              <w:top w:val="single" w:sz="4" w:space="0" w:color="auto"/>
              <w:bottom w:val="single" w:sz="4" w:space="0" w:color="auto"/>
            </w:tcBorders>
          </w:tcPr>
          <w:p w14:paraId="4B1259CC" w14:textId="3B3EB15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4.3%</w:t>
            </w:r>
          </w:p>
        </w:tc>
        <w:tc>
          <w:tcPr>
            <w:tcW w:w="688" w:type="dxa"/>
            <w:tcBorders>
              <w:top w:val="single" w:sz="4" w:space="0" w:color="auto"/>
              <w:bottom w:val="single" w:sz="4" w:space="0" w:color="auto"/>
            </w:tcBorders>
          </w:tcPr>
          <w:p w14:paraId="1A0BCB11" w14:textId="6F250AF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0.0%</w:t>
            </w:r>
          </w:p>
        </w:tc>
        <w:tc>
          <w:tcPr>
            <w:tcW w:w="687" w:type="dxa"/>
            <w:tcBorders>
              <w:top w:val="single" w:sz="4" w:space="0" w:color="auto"/>
              <w:bottom w:val="single" w:sz="4" w:space="0" w:color="auto"/>
            </w:tcBorders>
          </w:tcPr>
          <w:p w14:paraId="517A0A7D" w14:textId="7B21F1A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1.5%</w:t>
            </w:r>
          </w:p>
        </w:tc>
        <w:tc>
          <w:tcPr>
            <w:tcW w:w="688" w:type="dxa"/>
            <w:tcBorders>
              <w:top w:val="single" w:sz="4" w:space="0" w:color="auto"/>
              <w:bottom w:val="single" w:sz="4" w:space="0" w:color="auto"/>
            </w:tcBorders>
          </w:tcPr>
          <w:p w14:paraId="51F149E8" w14:textId="60408AB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0AD23B9" w14:textId="2716F38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7D402CE5" w14:textId="3689B32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39A27EA">
              <w:t>80.3%</w:t>
            </w:r>
          </w:p>
        </w:tc>
        <w:tc>
          <w:tcPr>
            <w:tcW w:w="688" w:type="dxa"/>
            <w:tcBorders>
              <w:top w:val="single" w:sz="4" w:space="0" w:color="auto"/>
              <w:bottom w:val="single" w:sz="4" w:space="0" w:color="auto"/>
            </w:tcBorders>
          </w:tcPr>
          <w:p w14:paraId="22075257" w14:textId="5BAB881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8" w:type="dxa"/>
            <w:tcBorders>
              <w:top w:val="single" w:sz="4" w:space="0" w:color="auto"/>
              <w:bottom w:val="single" w:sz="4" w:space="0" w:color="auto"/>
            </w:tcBorders>
          </w:tcPr>
          <w:p w14:paraId="0DEEA4E8" w14:textId="5E916DF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gridSpan w:val="2"/>
            <w:tcBorders>
              <w:top w:val="single" w:sz="4" w:space="0" w:color="auto"/>
              <w:bottom w:val="single" w:sz="4" w:space="0" w:color="auto"/>
            </w:tcBorders>
          </w:tcPr>
          <w:p w14:paraId="17390ED5" w14:textId="0C33933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1DDEFEB0"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49A5DF0" w14:textId="5584EAD1" w:rsidR="00CC5764" w:rsidRPr="00F317CA" w:rsidRDefault="00CC5764" w:rsidP="00A60C18">
            <w:pPr>
              <w:rPr>
                <w:b w:val="0"/>
              </w:rPr>
            </w:pPr>
            <w:r w:rsidRPr="00F317CA">
              <w:t>Castlemaine Hospital</w:t>
            </w:r>
          </w:p>
        </w:tc>
        <w:tc>
          <w:tcPr>
            <w:tcW w:w="825" w:type="dxa"/>
            <w:tcBorders>
              <w:top w:val="single" w:sz="4" w:space="0" w:color="auto"/>
              <w:bottom w:val="single" w:sz="4" w:space="0" w:color="auto"/>
            </w:tcBorders>
          </w:tcPr>
          <w:p w14:paraId="41129468" w14:textId="6731349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tcBorders>
              <w:top w:val="single" w:sz="4" w:space="0" w:color="auto"/>
              <w:bottom w:val="single" w:sz="4" w:space="0" w:color="auto"/>
            </w:tcBorders>
          </w:tcPr>
          <w:p w14:paraId="00D439EB" w14:textId="65BB1E1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44</w:t>
            </w:r>
          </w:p>
        </w:tc>
        <w:tc>
          <w:tcPr>
            <w:tcW w:w="688" w:type="dxa"/>
            <w:tcBorders>
              <w:top w:val="single" w:sz="4" w:space="0" w:color="auto"/>
              <w:bottom w:val="single" w:sz="4" w:space="0" w:color="auto"/>
            </w:tcBorders>
          </w:tcPr>
          <w:p w14:paraId="68BEA191" w14:textId="567ED3D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74493687" w14:textId="5A90C2E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37BDD234" w14:textId="7E91164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835E3CB" w14:textId="1F110BF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10.0%</w:t>
            </w:r>
          </w:p>
        </w:tc>
        <w:tc>
          <w:tcPr>
            <w:tcW w:w="687" w:type="dxa"/>
            <w:tcBorders>
              <w:top w:val="single" w:sz="4" w:space="0" w:color="auto"/>
              <w:bottom w:val="single" w:sz="4" w:space="0" w:color="auto"/>
            </w:tcBorders>
          </w:tcPr>
          <w:p w14:paraId="1670A07D" w14:textId="6C040E8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9C9A8A8" w14:textId="72ADC25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7.7%</w:t>
            </w:r>
          </w:p>
        </w:tc>
        <w:tc>
          <w:tcPr>
            <w:tcW w:w="688" w:type="dxa"/>
            <w:tcBorders>
              <w:top w:val="single" w:sz="4" w:space="0" w:color="auto"/>
              <w:bottom w:val="single" w:sz="4" w:space="0" w:color="auto"/>
            </w:tcBorders>
          </w:tcPr>
          <w:p w14:paraId="48583FA6" w14:textId="0F06063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100.0%</w:t>
            </w:r>
          </w:p>
        </w:tc>
        <w:tc>
          <w:tcPr>
            <w:tcW w:w="688" w:type="dxa"/>
            <w:tcBorders>
              <w:top w:val="single" w:sz="4" w:space="0" w:color="auto"/>
              <w:bottom w:val="single" w:sz="4" w:space="0" w:color="auto"/>
            </w:tcBorders>
          </w:tcPr>
          <w:p w14:paraId="7C8E9EA4" w14:textId="50BB5447" w:rsidR="00CC5764" w:rsidRPr="00F317CA" w:rsidRDefault="5F979E6C"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0668E388" w14:textId="1C84770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2.8%</w:t>
            </w:r>
          </w:p>
        </w:tc>
        <w:tc>
          <w:tcPr>
            <w:tcW w:w="688" w:type="dxa"/>
            <w:tcBorders>
              <w:top w:val="single" w:sz="4" w:space="0" w:color="auto"/>
              <w:bottom w:val="single" w:sz="4" w:space="0" w:color="auto"/>
            </w:tcBorders>
          </w:tcPr>
          <w:p w14:paraId="00ED85E4" w14:textId="20D7118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2.7%</w:t>
            </w:r>
          </w:p>
        </w:tc>
        <w:tc>
          <w:tcPr>
            <w:tcW w:w="688" w:type="dxa"/>
            <w:tcBorders>
              <w:top w:val="single" w:sz="4" w:space="0" w:color="auto"/>
              <w:bottom w:val="single" w:sz="4" w:space="0" w:color="auto"/>
            </w:tcBorders>
          </w:tcPr>
          <w:p w14:paraId="3336391F" w14:textId="75C719B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423A2411" w14:textId="72316BF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2.4%</w:t>
            </w:r>
          </w:p>
        </w:tc>
        <w:tc>
          <w:tcPr>
            <w:tcW w:w="688" w:type="dxa"/>
            <w:tcBorders>
              <w:top w:val="single" w:sz="4" w:space="0" w:color="auto"/>
              <w:bottom w:val="single" w:sz="4" w:space="0" w:color="auto"/>
            </w:tcBorders>
          </w:tcPr>
          <w:p w14:paraId="4B86824B" w14:textId="6D09079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2415ECD" w14:textId="0E75836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0DE9300" w14:textId="4D3FB66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68.2%</w:t>
            </w:r>
          </w:p>
        </w:tc>
        <w:tc>
          <w:tcPr>
            <w:tcW w:w="688" w:type="dxa"/>
            <w:tcBorders>
              <w:top w:val="single" w:sz="4" w:space="0" w:color="auto"/>
              <w:bottom w:val="single" w:sz="4" w:space="0" w:color="auto"/>
            </w:tcBorders>
          </w:tcPr>
          <w:p w14:paraId="15BA2725" w14:textId="2045640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8" w:type="dxa"/>
            <w:tcBorders>
              <w:top w:val="single" w:sz="4" w:space="0" w:color="auto"/>
              <w:bottom w:val="single" w:sz="4" w:space="0" w:color="auto"/>
            </w:tcBorders>
          </w:tcPr>
          <w:p w14:paraId="217C6D24" w14:textId="211B863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gridSpan w:val="2"/>
            <w:tcBorders>
              <w:top w:val="single" w:sz="4" w:space="0" w:color="auto"/>
              <w:bottom w:val="single" w:sz="4" w:space="0" w:color="auto"/>
            </w:tcBorders>
          </w:tcPr>
          <w:p w14:paraId="3D73C87B" w14:textId="37F8906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r>
      <w:tr w:rsidR="00CC5764" w:rsidRPr="00956209" w14:paraId="1C8F68E4"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5735A01" w14:textId="55C8572B" w:rsidR="00CC5764" w:rsidRPr="00F317CA" w:rsidRDefault="00CC5764" w:rsidP="00A60C18">
            <w:pPr>
              <w:rPr>
                <w:b w:val="0"/>
              </w:rPr>
            </w:pPr>
            <w:r w:rsidRPr="00F317CA">
              <w:t>Maryborough Hospital</w:t>
            </w:r>
          </w:p>
        </w:tc>
        <w:tc>
          <w:tcPr>
            <w:tcW w:w="825" w:type="dxa"/>
            <w:tcBorders>
              <w:top w:val="single" w:sz="4" w:space="0" w:color="auto"/>
              <w:bottom w:val="single" w:sz="4" w:space="0" w:color="auto"/>
            </w:tcBorders>
          </w:tcPr>
          <w:p w14:paraId="6550DDE2" w14:textId="01C4FCB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tcBorders>
              <w:top w:val="single" w:sz="4" w:space="0" w:color="auto"/>
              <w:bottom w:val="single" w:sz="4" w:space="0" w:color="auto"/>
            </w:tcBorders>
          </w:tcPr>
          <w:p w14:paraId="6A5D1B50" w14:textId="7D1FC82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43</w:t>
            </w:r>
          </w:p>
        </w:tc>
        <w:tc>
          <w:tcPr>
            <w:tcW w:w="688" w:type="dxa"/>
            <w:tcBorders>
              <w:top w:val="single" w:sz="4" w:space="0" w:color="auto"/>
              <w:bottom w:val="single" w:sz="4" w:space="0" w:color="auto"/>
            </w:tcBorders>
          </w:tcPr>
          <w:p w14:paraId="10EDC1B4" w14:textId="474D770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0C2CD09D" w14:textId="01DD0F3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2E4BCFAF" w14:textId="189D23C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2D6B2C57" w14:textId="5F72FDC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NA</w:t>
            </w:r>
            <w:r w:rsidRPr="00F317CA">
              <w:rPr>
                <w:rFonts w:ascii="Cambria" w:hAnsi="Cambria" w:cs="Cambria"/>
              </w:rPr>
              <w:t> </w:t>
            </w:r>
          </w:p>
        </w:tc>
        <w:tc>
          <w:tcPr>
            <w:tcW w:w="687" w:type="dxa"/>
            <w:tcBorders>
              <w:top w:val="single" w:sz="4" w:space="0" w:color="auto"/>
              <w:bottom w:val="single" w:sz="4" w:space="0" w:color="auto"/>
            </w:tcBorders>
          </w:tcPr>
          <w:p w14:paraId="0390CF30" w14:textId="597EED1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5692626" w14:textId="755AB33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E734D1">
              <w:t>3.0%</w:t>
            </w:r>
          </w:p>
        </w:tc>
        <w:tc>
          <w:tcPr>
            <w:tcW w:w="688" w:type="dxa"/>
            <w:tcBorders>
              <w:top w:val="single" w:sz="4" w:space="0" w:color="auto"/>
              <w:bottom w:val="single" w:sz="4" w:space="0" w:color="auto"/>
            </w:tcBorders>
          </w:tcPr>
          <w:p w14:paraId="0DE9651C" w14:textId="33995A3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DD8ACD3" w14:textId="49C482CA" w:rsidR="00CC5764" w:rsidRPr="00F317CA" w:rsidRDefault="52D2D34A"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0C6B09B3" w14:textId="698B488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015FD2DA" w14:textId="1F6A3B8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542898DC" w14:textId="497ABE1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0.0%</w:t>
            </w:r>
          </w:p>
        </w:tc>
        <w:tc>
          <w:tcPr>
            <w:tcW w:w="687" w:type="dxa"/>
            <w:tcBorders>
              <w:top w:val="single" w:sz="4" w:space="0" w:color="auto"/>
              <w:bottom w:val="single" w:sz="4" w:space="0" w:color="auto"/>
            </w:tcBorders>
          </w:tcPr>
          <w:p w14:paraId="347D1B72" w14:textId="04DBC24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3E92BC75" w14:textId="7DB9585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E549864" w14:textId="4A7FCC9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E66FD89" w14:textId="23D795F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88.4%</w:t>
            </w:r>
          </w:p>
        </w:tc>
        <w:tc>
          <w:tcPr>
            <w:tcW w:w="688" w:type="dxa"/>
            <w:tcBorders>
              <w:top w:val="single" w:sz="4" w:space="0" w:color="auto"/>
              <w:bottom w:val="single" w:sz="4" w:space="0" w:color="auto"/>
            </w:tcBorders>
          </w:tcPr>
          <w:p w14:paraId="40193601" w14:textId="20A1F76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8" w:type="dxa"/>
            <w:tcBorders>
              <w:top w:val="single" w:sz="4" w:space="0" w:color="auto"/>
              <w:bottom w:val="single" w:sz="4" w:space="0" w:color="auto"/>
            </w:tcBorders>
          </w:tcPr>
          <w:p w14:paraId="223997E9" w14:textId="009D2B3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gridSpan w:val="2"/>
            <w:tcBorders>
              <w:top w:val="single" w:sz="4" w:space="0" w:color="auto"/>
              <w:bottom w:val="single" w:sz="4" w:space="0" w:color="auto"/>
            </w:tcBorders>
          </w:tcPr>
          <w:p w14:paraId="16858D6E" w14:textId="288FE66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r>
      <w:tr w:rsidR="00CC5764" w:rsidRPr="00956209" w14:paraId="2599C31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0BB8FAD3" w14:textId="3386B5D7" w:rsidR="00CC5764" w:rsidRPr="00F317CA" w:rsidRDefault="00CC5764" w:rsidP="00A60C18">
            <w:pPr>
              <w:rPr>
                <w:b w:val="0"/>
              </w:rPr>
            </w:pPr>
            <w:r w:rsidRPr="00F317CA">
              <w:t>Cohuna District Hospital</w:t>
            </w:r>
          </w:p>
        </w:tc>
        <w:tc>
          <w:tcPr>
            <w:tcW w:w="825" w:type="dxa"/>
            <w:tcBorders>
              <w:top w:val="single" w:sz="4" w:space="0" w:color="auto"/>
              <w:bottom w:val="single" w:sz="4" w:space="0" w:color="auto"/>
            </w:tcBorders>
          </w:tcPr>
          <w:p w14:paraId="527B3968" w14:textId="51FAD5D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tcBorders>
              <w:top w:val="single" w:sz="4" w:space="0" w:color="auto"/>
              <w:bottom w:val="single" w:sz="4" w:space="0" w:color="auto"/>
            </w:tcBorders>
          </w:tcPr>
          <w:p w14:paraId="5C5632EE" w14:textId="1EEA0A9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41</w:t>
            </w:r>
          </w:p>
        </w:tc>
        <w:tc>
          <w:tcPr>
            <w:tcW w:w="688" w:type="dxa"/>
            <w:tcBorders>
              <w:top w:val="single" w:sz="4" w:space="0" w:color="auto"/>
              <w:bottom w:val="single" w:sz="4" w:space="0" w:color="auto"/>
            </w:tcBorders>
          </w:tcPr>
          <w:p w14:paraId="71ECC0BB" w14:textId="13A5C3B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2AAB1D5" w14:textId="5951EA1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09750170" w14:textId="368D7CE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68C4DCFB" w14:textId="6CFE2F0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NA</w:t>
            </w:r>
            <w:r w:rsidRPr="00F317CA">
              <w:rPr>
                <w:rFonts w:ascii="Cambria" w:hAnsi="Cambria" w:cs="Cambria"/>
              </w:rPr>
              <w:t> </w:t>
            </w:r>
          </w:p>
        </w:tc>
        <w:tc>
          <w:tcPr>
            <w:tcW w:w="687" w:type="dxa"/>
            <w:tcBorders>
              <w:top w:val="single" w:sz="4" w:space="0" w:color="auto"/>
              <w:bottom w:val="single" w:sz="4" w:space="0" w:color="auto"/>
            </w:tcBorders>
          </w:tcPr>
          <w:p w14:paraId="635E8B55" w14:textId="6E5F938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D142946" w14:textId="63AACC4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9.7%</w:t>
            </w:r>
          </w:p>
        </w:tc>
        <w:tc>
          <w:tcPr>
            <w:tcW w:w="688" w:type="dxa"/>
            <w:tcBorders>
              <w:top w:val="single" w:sz="4" w:space="0" w:color="auto"/>
              <w:bottom w:val="single" w:sz="4" w:space="0" w:color="auto"/>
            </w:tcBorders>
          </w:tcPr>
          <w:p w14:paraId="498043C3" w14:textId="2A6A8DF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8B467CE" w14:textId="4D094E60" w:rsidR="00CC5764" w:rsidRPr="00F317CA" w:rsidRDefault="3874DAB1"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1BFF2D1E" w14:textId="301D459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2772A53A" w14:textId="6E04B77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743966ED" w14:textId="45FFD7E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92E8F87" w14:textId="030A9A4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2.5%</w:t>
            </w:r>
          </w:p>
        </w:tc>
        <w:tc>
          <w:tcPr>
            <w:tcW w:w="688" w:type="dxa"/>
            <w:tcBorders>
              <w:top w:val="single" w:sz="4" w:space="0" w:color="auto"/>
              <w:bottom w:val="single" w:sz="4" w:space="0" w:color="auto"/>
            </w:tcBorders>
          </w:tcPr>
          <w:p w14:paraId="6A450A94" w14:textId="48CC613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5B3B61D" w14:textId="63BA5E4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0A5E7B63" w14:textId="7FBF14A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90.2%</w:t>
            </w:r>
          </w:p>
        </w:tc>
        <w:tc>
          <w:tcPr>
            <w:tcW w:w="688" w:type="dxa"/>
            <w:tcBorders>
              <w:top w:val="single" w:sz="4" w:space="0" w:color="auto"/>
              <w:bottom w:val="single" w:sz="4" w:space="0" w:color="auto"/>
            </w:tcBorders>
          </w:tcPr>
          <w:p w14:paraId="65B03A63" w14:textId="6088C64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4.9%</w:t>
            </w:r>
          </w:p>
        </w:tc>
        <w:tc>
          <w:tcPr>
            <w:tcW w:w="688" w:type="dxa"/>
            <w:tcBorders>
              <w:top w:val="single" w:sz="4" w:space="0" w:color="auto"/>
              <w:bottom w:val="single" w:sz="4" w:space="0" w:color="auto"/>
            </w:tcBorders>
          </w:tcPr>
          <w:p w14:paraId="34BCD55C" w14:textId="7A2B69D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gridSpan w:val="2"/>
            <w:tcBorders>
              <w:top w:val="single" w:sz="4" w:space="0" w:color="auto"/>
              <w:bottom w:val="single" w:sz="4" w:space="0" w:color="auto"/>
            </w:tcBorders>
          </w:tcPr>
          <w:p w14:paraId="4B520BC1" w14:textId="6E87FAA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r>
      <w:tr w:rsidR="00CC5764" w:rsidRPr="00956209" w14:paraId="7C0E426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78D936BB" w14:textId="71A6BBD7" w:rsidR="00CC5764" w:rsidRPr="00F317CA" w:rsidRDefault="00CC5764" w:rsidP="00A60C18">
            <w:pPr>
              <w:rPr>
                <w:b w:val="0"/>
              </w:rPr>
            </w:pPr>
            <w:r w:rsidRPr="00F317CA">
              <w:t>Terang Hospital</w:t>
            </w:r>
          </w:p>
        </w:tc>
        <w:tc>
          <w:tcPr>
            <w:tcW w:w="825" w:type="dxa"/>
            <w:tcBorders>
              <w:top w:val="single" w:sz="4" w:space="0" w:color="auto"/>
              <w:bottom w:val="single" w:sz="4" w:space="0" w:color="auto"/>
            </w:tcBorders>
          </w:tcPr>
          <w:p w14:paraId="4015A6AF" w14:textId="248120B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tcBorders>
              <w:top w:val="single" w:sz="4" w:space="0" w:color="auto"/>
              <w:bottom w:val="single" w:sz="4" w:space="0" w:color="auto"/>
            </w:tcBorders>
          </w:tcPr>
          <w:p w14:paraId="19A86011" w14:textId="08D0DED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19</w:t>
            </w:r>
          </w:p>
        </w:tc>
        <w:tc>
          <w:tcPr>
            <w:tcW w:w="688" w:type="dxa"/>
            <w:tcBorders>
              <w:top w:val="single" w:sz="4" w:space="0" w:color="auto"/>
              <w:bottom w:val="single" w:sz="4" w:space="0" w:color="auto"/>
            </w:tcBorders>
          </w:tcPr>
          <w:p w14:paraId="6B7A3381" w14:textId="5001366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4A16D911" w14:textId="5990903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69924F18" w14:textId="19F876E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2CF13778" w14:textId="6BF734B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NA</w:t>
            </w:r>
            <w:r w:rsidRPr="00F317CA">
              <w:rPr>
                <w:rFonts w:ascii="Cambria" w:hAnsi="Cambria" w:cs="Cambria"/>
              </w:rPr>
              <w:t> </w:t>
            </w:r>
          </w:p>
        </w:tc>
        <w:tc>
          <w:tcPr>
            <w:tcW w:w="687" w:type="dxa"/>
            <w:tcBorders>
              <w:top w:val="single" w:sz="4" w:space="0" w:color="auto"/>
              <w:bottom w:val="single" w:sz="4" w:space="0" w:color="auto"/>
            </w:tcBorders>
          </w:tcPr>
          <w:p w14:paraId="3CE9B1B6" w14:textId="05AF444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C537904" w14:textId="2FDB16F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8527BA">
              <w:t>0.0%</w:t>
            </w:r>
          </w:p>
        </w:tc>
        <w:tc>
          <w:tcPr>
            <w:tcW w:w="688" w:type="dxa"/>
            <w:tcBorders>
              <w:top w:val="single" w:sz="4" w:space="0" w:color="auto"/>
              <w:bottom w:val="single" w:sz="4" w:space="0" w:color="auto"/>
            </w:tcBorders>
          </w:tcPr>
          <w:p w14:paraId="59568FDA" w14:textId="030C939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8D992B5" w14:textId="53BD1737" w:rsidR="00CC5764" w:rsidRPr="00F317CA" w:rsidRDefault="4206CB8F"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7DDE14E6" w14:textId="6EA23B9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4BD4B204" w14:textId="60D4999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39BE2409" w14:textId="57154DB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4E794C47" w14:textId="6754064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1E7025EC" w14:textId="1D80C71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90.9%</w:t>
            </w:r>
          </w:p>
        </w:tc>
        <w:tc>
          <w:tcPr>
            <w:tcW w:w="688" w:type="dxa"/>
            <w:tcBorders>
              <w:top w:val="single" w:sz="4" w:space="0" w:color="auto"/>
              <w:bottom w:val="single" w:sz="4" w:space="0" w:color="auto"/>
            </w:tcBorders>
          </w:tcPr>
          <w:p w14:paraId="4F6B9850" w14:textId="706301F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70.0%</w:t>
            </w:r>
          </w:p>
        </w:tc>
        <w:tc>
          <w:tcPr>
            <w:tcW w:w="687" w:type="dxa"/>
            <w:tcBorders>
              <w:top w:val="single" w:sz="4" w:space="0" w:color="auto"/>
              <w:bottom w:val="single" w:sz="4" w:space="0" w:color="auto"/>
            </w:tcBorders>
          </w:tcPr>
          <w:p w14:paraId="6DBF1D23" w14:textId="214F528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84.2%</w:t>
            </w:r>
          </w:p>
        </w:tc>
        <w:tc>
          <w:tcPr>
            <w:tcW w:w="688" w:type="dxa"/>
            <w:tcBorders>
              <w:top w:val="single" w:sz="4" w:space="0" w:color="auto"/>
              <w:bottom w:val="single" w:sz="4" w:space="0" w:color="auto"/>
            </w:tcBorders>
          </w:tcPr>
          <w:p w14:paraId="57CDAD04" w14:textId="7B1E9B6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0.0%</w:t>
            </w:r>
          </w:p>
        </w:tc>
        <w:tc>
          <w:tcPr>
            <w:tcW w:w="688" w:type="dxa"/>
            <w:tcBorders>
              <w:top w:val="single" w:sz="4" w:space="0" w:color="auto"/>
              <w:bottom w:val="single" w:sz="4" w:space="0" w:color="auto"/>
            </w:tcBorders>
          </w:tcPr>
          <w:p w14:paraId="0873627A" w14:textId="603C906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gridSpan w:val="2"/>
            <w:tcBorders>
              <w:top w:val="single" w:sz="4" w:space="0" w:color="auto"/>
              <w:bottom w:val="single" w:sz="4" w:space="0" w:color="auto"/>
            </w:tcBorders>
          </w:tcPr>
          <w:p w14:paraId="4D9584A3" w14:textId="0E7C1B6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w:t>
            </w:r>
          </w:p>
        </w:tc>
      </w:tr>
      <w:tr w:rsidR="00CC5764" w:rsidRPr="00956209" w14:paraId="0C75CCEB"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0ACCEBB" w14:textId="4A3323EA" w:rsidR="00CC5764" w:rsidRPr="00F317CA" w:rsidRDefault="00CC5764" w:rsidP="00A60C18">
            <w:pPr>
              <w:rPr>
                <w:b w:val="0"/>
              </w:rPr>
            </w:pPr>
            <w:r w:rsidRPr="00F317CA">
              <w:t>Yarrawonga Hospital</w:t>
            </w:r>
          </w:p>
        </w:tc>
        <w:tc>
          <w:tcPr>
            <w:tcW w:w="825" w:type="dxa"/>
            <w:tcBorders>
              <w:top w:val="single" w:sz="4" w:space="0" w:color="auto"/>
              <w:bottom w:val="single" w:sz="4" w:space="0" w:color="auto"/>
            </w:tcBorders>
          </w:tcPr>
          <w:p w14:paraId="20839FAC" w14:textId="26F5B36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tcBorders>
              <w:top w:val="single" w:sz="4" w:space="0" w:color="auto"/>
              <w:bottom w:val="single" w:sz="4" w:space="0" w:color="auto"/>
            </w:tcBorders>
          </w:tcPr>
          <w:p w14:paraId="749144C0" w14:textId="3AEF753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29</w:t>
            </w:r>
          </w:p>
        </w:tc>
        <w:tc>
          <w:tcPr>
            <w:tcW w:w="688" w:type="dxa"/>
            <w:tcBorders>
              <w:top w:val="single" w:sz="4" w:space="0" w:color="auto"/>
              <w:bottom w:val="single" w:sz="4" w:space="0" w:color="auto"/>
            </w:tcBorders>
          </w:tcPr>
          <w:p w14:paraId="04076D98" w14:textId="0F719FA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7" w:type="dxa"/>
            <w:tcBorders>
              <w:top w:val="single" w:sz="4" w:space="0" w:color="auto"/>
              <w:bottom w:val="single" w:sz="4" w:space="0" w:color="auto"/>
            </w:tcBorders>
          </w:tcPr>
          <w:p w14:paraId="2C040CCD" w14:textId="15073C4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326BF13C" w14:textId="51A09C3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72125FB0" w14:textId="19954F0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NA</w:t>
            </w:r>
          </w:p>
        </w:tc>
        <w:tc>
          <w:tcPr>
            <w:tcW w:w="687" w:type="dxa"/>
            <w:tcBorders>
              <w:top w:val="single" w:sz="4" w:space="0" w:color="auto"/>
              <w:bottom w:val="single" w:sz="4" w:space="0" w:color="auto"/>
            </w:tcBorders>
          </w:tcPr>
          <w:p w14:paraId="45EDDB6C" w14:textId="1004CA9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NA</w:t>
            </w:r>
          </w:p>
        </w:tc>
        <w:tc>
          <w:tcPr>
            <w:tcW w:w="688" w:type="dxa"/>
            <w:tcBorders>
              <w:top w:val="single" w:sz="4" w:space="0" w:color="auto"/>
              <w:bottom w:val="single" w:sz="4" w:space="0" w:color="auto"/>
            </w:tcBorders>
          </w:tcPr>
          <w:p w14:paraId="51079B12" w14:textId="22DC7B3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8527BA">
              <w:t>0.0%</w:t>
            </w:r>
          </w:p>
        </w:tc>
        <w:tc>
          <w:tcPr>
            <w:tcW w:w="688" w:type="dxa"/>
            <w:tcBorders>
              <w:top w:val="single" w:sz="4" w:space="0" w:color="auto"/>
              <w:bottom w:val="single" w:sz="4" w:space="0" w:color="auto"/>
            </w:tcBorders>
          </w:tcPr>
          <w:p w14:paraId="2BD4DD67" w14:textId="7F6FB29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NA</w:t>
            </w:r>
          </w:p>
        </w:tc>
        <w:tc>
          <w:tcPr>
            <w:tcW w:w="688" w:type="dxa"/>
            <w:tcBorders>
              <w:top w:val="single" w:sz="4" w:space="0" w:color="auto"/>
              <w:bottom w:val="single" w:sz="4" w:space="0" w:color="auto"/>
            </w:tcBorders>
          </w:tcPr>
          <w:p w14:paraId="203E866C" w14:textId="2C472CDE" w:rsidR="00CC5764" w:rsidRPr="00F317CA" w:rsidRDefault="5F87EF31"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19B79416" w14:textId="0CCB034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32B8C1F8" w14:textId="6349970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8" w:type="dxa"/>
            <w:tcBorders>
              <w:top w:val="single" w:sz="4" w:space="0" w:color="auto"/>
              <w:bottom w:val="single" w:sz="4" w:space="0" w:color="auto"/>
            </w:tcBorders>
          </w:tcPr>
          <w:p w14:paraId="74F626D9" w14:textId="1933D86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7" w:type="dxa"/>
            <w:tcBorders>
              <w:top w:val="single" w:sz="4" w:space="0" w:color="auto"/>
              <w:bottom w:val="single" w:sz="4" w:space="0" w:color="auto"/>
            </w:tcBorders>
          </w:tcPr>
          <w:p w14:paraId="223D5848" w14:textId="7501169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3.7%</w:t>
            </w:r>
          </w:p>
        </w:tc>
        <w:tc>
          <w:tcPr>
            <w:tcW w:w="688" w:type="dxa"/>
            <w:tcBorders>
              <w:top w:val="single" w:sz="4" w:space="0" w:color="auto"/>
              <w:bottom w:val="single" w:sz="4" w:space="0" w:color="auto"/>
            </w:tcBorders>
          </w:tcPr>
          <w:p w14:paraId="267088F7" w14:textId="45CBB94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91.7</w:t>
            </w:r>
          </w:p>
        </w:tc>
        <w:tc>
          <w:tcPr>
            <w:tcW w:w="688" w:type="dxa"/>
            <w:tcBorders>
              <w:top w:val="single" w:sz="4" w:space="0" w:color="auto"/>
              <w:bottom w:val="single" w:sz="4" w:space="0" w:color="auto"/>
            </w:tcBorders>
          </w:tcPr>
          <w:p w14:paraId="46433828" w14:textId="338EC0C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72.7</w:t>
            </w:r>
          </w:p>
        </w:tc>
        <w:tc>
          <w:tcPr>
            <w:tcW w:w="687" w:type="dxa"/>
            <w:tcBorders>
              <w:top w:val="single" w:sz="4" w:space="0" w:color="auto"/>
              <w:bottom w:val="single" w:sz="4" w:space="0" w:color="auto"/>
            </w:tcBorders>
          </w:tcPr>
          <w:p w14:paraId="1BCE3ADD" w14:textId="0685E3F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89.7%</w:t>
            </w:r>
          </w:p>
        </w:tc>
        <w:tc>
          <w:tcPr>
            <w:tcW w:w="688" w:type="dxa"/>
            <w:tcBorders>
              <w:top w:val="single" w:sz="4" w:space="0" w:color="auto"/>
              <w:bottom w:val="single" w:sz="4" w:space="0" w:color="auto"/>
            </w:tcBorders>
          </w:tcPr>
          <w:p w14:paraId="51B4EC14" w14:textId="5988310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6.9%</w:t>
            </w:r>
          </w:p>
        </w:tc>
        <w:tc>
          <w:tcPr>
            <w:tcW w:w="688" w:type="dxa"/>
            <w:tcBorders>
              <w:top w:val="single" w:sz="4" w:space="0" w:color="auto"/>
              <w:bottom w:val="single" w:sz="4" w:space="0" w:color="auto"/>
            </w:tcBorders>
          </w:tcPr>
          <w:p w14:paraId="24D19329" w14:textId="58CCFA3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c>
          <w:tcPr>
            <w:tcW w:w="688" w:type="dxa"/>
            <w:gridSpan w:val="2"/>
            <w:tcBorders>
              <w:top w:val="single" w:sz="4" w:space="0" w:color="auto"/>
              <w:bottom w:val="single" w:sz="4" w:space="0" w:color="auto"/>
            </w:tcBorders>
          </w:tcPr>
          <w:p w14:paraId="170741D9" w14:textId="4AA8A7D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0C0A052F"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1B8C57D" w14:textId="1F11ED38" w:rsidR="00CC5764" w:rsidRPr="00F317CA" w:rsidRDefault="00CC5764" w:rsidP="00A60C18">
            <w:pPr>
              <w:rPr>
                <w:b w:val="0"/>
              </w:rPr>
            </w:pPr>
            <w:r w:rsidRPr="00F317CA">
              <w:t>Kyneton Hospital</w:t>
            </w:r>
          </w:p>
        </w:tc>
        <w:tc>
          <w:tcPr>
            <w:tcW w:w="825" w:type="dxa"/>
            <w:tcBorders>
              <w:top w:val="single" w:sz="4" w:space="0" w:color="auto"/>
              <w:bottom w:val="single" w:sz="4" w:space="0" w:color="auto"/>
            </w:tcBorders>
          </w:tcPr>
          <w:p w14:paraId="487CFEE9" w14:textId="0DC64D2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tcBorders>
              <w:top w:val="single" w:sz="4" w:space="0" w:color="auto"/>
              <w:bottom w:val="single" w:sz="4" w:space="0" w:color="auto"/>
            </w:tcBorders>
          </w:tcPr>
          <w:p w14:paraId="7E4C1AD0" w14:textId="0B8A49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21</w:t>
            </w:r>
          </w:p>
        </w:tc>
        <w:tc>
          <w:tcPr>
            <w:tcW w:w="688" w:type="dxa"/>
            <w:tcBorders>
              <w:top w:val="single" w:sz="4" w:space="0" w:color="auto"/>
              <w:bottom w:val="single" w:sz="4" w:space="0" w:color="auto"/>
            </w:tcBorders>
          </w:tcPr>
          <w:p w14:paraId="48ADAC87" w14:textId="5322466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7" w:type="dxa"/>
            <w:tcBorders>
              <w:top w:val="single" w:sz="4" w:space="0" w:color="auto"/>
              <w:bottom w:val="single" w:sz="4" w:space="0" w:color="auto"/>
            </w:tcBorders>
          </w:tcPr>
          <w:p w14:paraId="49C08066" w14:textId="64F4AC5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790A9C39" w14:textId="1984A9A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27182860" w14:textId="116C2A0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7" w:type="dxa"/>
            <w:tcBorders>
              <w:top w:val="single" w:sz="4" w:space="0" w:color="auto"/>
              <w:bottom w:val="single" w:sz="4" w:space="0" w:color="auto"/>
            </w:tcBorders>
          </w:tcPr>
          <w:p w14:paraId="64D1B37B" w14:textId="7D96272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5BDF4FE5" w14:textId="0468519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2108F8B5" w14:textId="310DF83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7039FC89" w14:textId="5B40ABDB" w:rsidR="00CC5764" w:rsidRPr="00F317CA" w:rsidRDefault="0F291B2B" w:rsidP="00A60C18">
            <w:pPr>
              <w:cnfStyle w:val="000000000000" w:firstRow="0" w:lastRow="0" w:firstColumn="0" w:lastColumn="0" w:oddVBand="0" w:evenVBand="0" w:oddHBand="0" w:evenHBand="0" w:firstRowFirstColumn="0" w:firstRowLastColumn="0" w:lastRowFirstColumn="0" w:lastRowLastColumn="0"/>
              <w:rPr>
                <w:color w:val="000000"/>
              </w:rPr>
            </w:pPr>
            <w:r w:rsidRPr="039A27EA">
              <w:t>NA</w:t>
            </w:r>
          </w:p>
        </w:tc>
        <w:tc>
          <w:tcPr>
            <w:tcW w:w="687" w:type="dxa"/>
            <w:tcBorders>
              <w:top w:val="single" w:sz="4" w:space="0" w:color="auto"/>
              <w:bottom w:val="single" w:sz="4" w:space="0" w:color="auto"/>
            </w:tcBorders>
          </w:tcPr>
          <w:p w14:paraId="7B9A0A3A" w14:textId="7C52E71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5F875A04" w14:textId="13778A1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66952A89" w14:textId="6BFA35A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7" w:type="dxa"/>
            <w:tcBorders>
              <w:top w:val="single" w:sz="4" w:space="0" w:color="auto"/>
              <w:bottom w:val="single" w:sz="4" w:space="0" w:color="auto"/>
            </w:tcBorders>
          </w:tcPr>
          <w:p w14:paraId="038DB6DE" w14:textId="78E92D9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0.0%</w:t>
            </w:r>
          </w:p>
        </w:tc>
        <w:tc>
          <w:tcPr>
            <w:tcW w:w="688" w:type="dxa"/>
            <w:tcBorders>
              <w:top w:val="single" w:sz="4" w:space="0" w:color="auto"/>
              <w:bottom w:val="single" w:sz="4" w:space="0" w:color="auto"/>
            </w:tcBorders>
          </w:tcPr>
          <w:p w14:paraId="6EAD281B" w14:textId="248615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8" w:type="dxa"/>
            <w:tcBorders>
              <w:top w:val="single" w:sz="4" w:space="0" w:color="auto"/>
              <w:bottom w:val="single" w:sz="4" w:space="0" w:color="auto"/>
            </w:tcBorders>
          </w:tcPr>
          <w:p w14:paraId="03E87C43" w14:textId="46E36E6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c>
          <w:tcPr>
            <w:tcW w:w="687" w:type="dxa"/>
            <w:tcBorders>
              <w:top w:val="single" w:sz="4" w:space="0" w:color="auto"/>
              <w:bottom w:val="single" w:sz="4" w:space="0" w:color="auto"/>
            </w:tcBorders>
          </w:tcPr>
          <w:p w14:paraId="08F3D1E9" w14:textId="1E0FC3A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95.2%</w:t>
            </w:r>
          </w:p>
        </w:tc>
        <w:tc>
          <w:tcPr>
            <w:tcW w:w="688" w:type="dxa"/>
            <w:tcBorders>
              <w:top w:val="single" w:sz="4" w:space="0" w:color="auto"/>
              <w:bottom w:val="single" w:sz="4" w:space="0" w:color="auto"/>
            </w:tcBorders>
          </w:tcPr>
          <w:p w14:paraId="0CC89AA2" w14:textId="5DD1D42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0.0%</w:t>
            </w:r>
          </w:p>
        </w:tc>
        <w:tc>
          <w:tcPr>
            <w:tcW w:w="688" w:type="dxa"/>
            <w:tcBorders>
              <w:top w:val="single" w:sz="4" w:space="0" w:color="auto"/>
              <w:bottom w:val="single" w:sz="4" w:space="0" w:color="auto"/>
            </w:tcBorders>
          </w:tcPr>
          <w:p w14:paraId="06E0FB2B" w14:textId="55C3D67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gridSpan w:val="2"/>
            <w:tcBorders>
              <w:top w:val="single" w:sz="4" w:space="0" w:color="auto"/>
              <w:bottom w:val="single" w:sz="4" w:space="0" w:color="auto"/>
            </w:tcBorders>
          </w:tcPr>
          <w:p w14:paraId="00104A96" w14:textId="55089E2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w:t>
            </w:r>
          </w:p>
        </w:tc>
      </w:tr>
      <w:tr w:rsidR="00CC5764" w:rsidRPr="00956209" w14:paraId="517FE039"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B68BD0E" w14:textId="46A90E99" w:rsidR="00CC5764" w:rsidRPr="00F317CA" w:rsidRDefault="00CC5764" w:rsidP="00A60C18">
            <w:pPr>
              <w:rPr>
                <w:b w:val="0"/>
              </w:rPr>
            </w:pPr>
            <w:r w:rsidRPr="00F317CA">
              <w:t>Frances Perry</w:t>
            </w:r>
          </w:p>
        </w:tc>
        <w:tc>
          <w:tcPr>
            <w:tcW w:w="825" w:type="dxa"/>
            <w:tcBorders>
              <w:top w:val="single" w:sz="4" w:space="0" w:color="auto"/>
              <w:bottom w:val="single" w:sz="4" w:space="0" w:color="auto"/>
            </w:tcBorders>
          </w:tcPr>
          <w:p w14:paraId="6C298944" w14:textId="5EA1CCC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1083E4FA" w14:textId="003A269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3,148</w:t>
            </w:r>
          </w:p>
        </w:tc>
        <w:tc>
          <w:tcPr>
            <w:tcW w:w="688" w:type="dxa"/>
            <w:tcBorders>
              <w:top w:val="single" w:sz="4" w:space="0" w:color="auto"/>
              <w:bottom w:val="single" w:sz="4" w:space="0" w:color="auto"/>
            </w:tcBorders>
          </w:tcPr>
          <w:p w14:paraId="2EF3F442" w14:textId="51E84EF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29.9%</w:t>
            </w:r>
          </w:p>
        </w:tc>
        <w:tc>
          <w:tcPr>
            <w:tcW w:w="687" w:type="dxa"/>
            <w:tcBorders>
              <w:top w:val="single" w:sz="4" w:space="0" w:color="auto"/>
              <w:bottom w:val="single" w:sz="4" w:space="0" w:color="auto"/>
            </w:tcBorders>
          </w:tcPr>
          <w:p w14:paraId="5FEE4C9C" w14:textId="582961B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26.5%</w:t>
            </w:r>
          </w:p>
        </w:tc>
        <w:tc>
          <w:tcPr>
            <w:tcW w:w="688" w:type="dxa"/>
            <w:tcBorders>
              <w:top w:val="single" w:sz="4" w:space="0" w:color="auto"/>
              <w:bottom w:val="single" w:sz="4" w:space="0" w:color="auto"/>
            </w:tcBorders>
          </w:tcPr>
          <w:p w14:paraId="53FDE532" w14:textId="4695D25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33.8%</w:t>
            </w:r>
          </w:p>
        </w:tc>
        <w:tc>
          <w:tcPr>
            <w:tcW w:w="688" w:type="dxa"/>
            <w:tcBorders>
              <w:top w:val="single" w:sz="4" w:space="0" w:color="auto"/>
              <w:bottom w:val="single" w:sz="4" w:space="0" w:color="auto"/>
            </w:tcBorders>
          </w:tcPr>
          <w:p w14:paraId="4E4E97EA" w14:textId="7CB323E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A745B9">
              <w:t>1.2%</w:t>
            </w:r>
          </w:p>
        </w:tc>
        <w:tc>
          <w:tcPr>
            <w:tcW w:w="687" w:type="dxa"/>
            <w:tcBorders>
              <w:top w:val="single" w:sz="4" w:space="0" w:color="auto"/>
              <w:bottom w:val="single" w:sz="4" w:space="0" w:color="auto"/>
            </w:tcBorders>
          </w:tcPr>
          <w:p w14:paraId="3826C34D" w14:textId="7F76308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A4173">
              <w:t>2.6%</w:t>
            </w:r>
          </w:p>
        </w:tc>
        <w:tc>
          <w:tcPr>
            <w:tcW w:w="688" w:type="dxa"/>
            <w:tcBorders>
              <w:top w:val="single" w:sz="4" w:space="0" w:color="auto"/>
              <w:bottom w:val="single" w:sz="4" w:space="0" w:color="auto"/>
            </w:tcBorders>
          </w:tcPr>
          <w:p w14:paraId="421F2BE7" w14:textId="742FDD5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0E408F8" w14:textId="6B4B450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22.5%</w:t>
            </w:r>
          </w:p>
        </w:tc>
        <w:tc>
          <w:tcPr>
            <w:tcW w:w="688" w:type="dxa"/>
            <w:tcBorders>
              <w:top w:val="single" w:sz="4" w:space="0" w:color="auto"/>
              <w:bottom w:val="single" w:sz="4" w:space="0" w:color="auto"/>
            </w:tcBorders>
          </w:tcPr>
          <w:p w14:paraId="0738F9F3" w14:textId="41A3B8B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0.6</w:t>
            </w:r>
          </w:p>
        </w:tc>
        <w:tc>
          <w:tcPr>
            <w:tcW w:w="687" w:type="dxa"/>
            <w:tcBorders>
              <w:top w:val="single" w:sz="4" w:space="0" w:color="auto"/>
              <w:bottom w:val="single" w:sz="4" w:space="0" w:color="auto"/>
            </w:tcBorders>
          </w:tcPr>
          <w:p w14:paraId="2FD98950" w14:textId="40F3287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1.4%</w:t>
            </w:r>
          </w:p>
        </w:tc>
        <w:tc>
          <w:tcPr>
            <w:tcW w:w="688" w:type="dxa"/>
            <w:tcBorders>
              <w:top w:val="single" w:sz="4" w:space="0" w:color="auto"/>
              <w:bottom w:val="single" w:sz="4" w:space="0" w:color="auto"/>
            </w:tcBorders>
          </w:tcPr>
          <w:p w14:paraId="47759814" w14:textId="4B64361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5582530" w14:textId="5E7C20E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50.0%</w:t>
            </w:r>
          </w:p>
        </w:tc>
        <w:tc>
          <w:tcPr>
            <w:tcW w:w="687" w:type="dxa"/>
            <w:tcBorders>
              <w:top w:val="single" w:sz="4" w:space="0" w:color="auto"/>
              <w:bottom w:val="single" w:sz="4" w:space="0" w:color="auto"/>
            </w:tcBorders>
          </w:tcPr>
          <w:p w14:paraId="219767D3" w14:textId="5B06B36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0.8%</w:t>
            </w:r>
          </w:p>
        </w:tc>
        <w:tc>
          <w:tcPr>
            <w:tcW w:w="688" w:type="dxa"/>
            <w:tcBorders>
              <w:top w:val="single" w:sz="4" w:space="0" w:color="auto"/>
              <w:bottom w:val="single" w:sz="4" w:space="0" w:color="auto"/>
            </w:tcBorders>
          </w:tcPr>
          <w:p w14:paraId="4876C4C5" w14:textId="2B1E4C5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F679F79" w14:textId="4462929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155D99A2" w14:textId="149EC2E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39A27EA">
              <w:t>80.0%</w:t>
            </w:r>
          </w:p>
        </w:tc>
        <w:tc>
          <w:tcPr>
            <w:tcW w:w="688" w:type="dxa"/>
            <w:tcBorders>
              <w:top w:val="single" w:sz="4" w:space="0" w:color="auto"/>
              <w:bottom w:val="single" w:sz="4" w:space="0" w:color="auto"/>
            </w:tcBorders>
          </w:tcPr>
          <w:p w14:paraId="42DBA9ED" w14:textId="29A746F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0.6%</w:t>
            </w:r>
          </w:p>
        </w:tc>
        <w:tc>
          <w:tcPr>
            <w:tcW w:w="688" w:type="dxa"/>
            <w:tcBorders>
              <w:top w:val="single" w:sz="4" w:space="0" w:color="auto"/>
              <w:bottom w:val="single" w:sz="4" w:space="0" w:color="auto"/>
            </w:tcBorders>
          </w:tcPr>
          <w:p w14:paraId="0012CD48" w14:textId="115B77E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w:t>
            </w:r>
          </w:p>
        </w:tc>
        <w:tc>
          <w:tcPr>
            <w:tcW w:w="688" w:type="dxa"/>
            <w:gridSpan w:val="2"/>
            <w:tcBorders>
              <w:top w:val="single" w:sz="4" w:space="0" w:color="auto"/>
              <w:bottom w:val="single" w:sz="4" w:space="0" w:color="auto"/>
            </w:tcBorders>
          </w:tcPr>
          <w:p w14:paraId="6C59F103" w14:textId="7D12EB5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78685B8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11ED46C7" w14:textId="59DC8649" w:rsidR="00CC5764" w:rsidRPr="00F317CA" w:rsidRDefault="00CC5764" w:rsidP="00A60C18">
            <w:pPr>
              <w:rPr>
                <w:b w:val="0"/>
              </w:rPr>
            </w:pPr>
            <w:r w:rsidRPr="00F317CA">
              <w:t>Freemasons</w:t>
            </w:r>
          </w:p>
        </w:tc>
        <w:tc>
          <w:tcPr>
            <w:tcW w:w="825" w:type="dxa"/>
            <w:tcBorders>
              <w:top w:val="single" w:sz="4" w:space="0" w:color="auto"/>
              <w:bottom w:val="single" w:sz="4" w:space="0" w:color="auto"/>
            </w:tcBorders>
          </w:tcPr>
          <w:p w14:paraId="56C0FD49" w14:textId="7C18723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44C1ADD0" w14:textId="50E27DB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2,941</w:t>
            </w:r>
          </w:p>
        </w:tc>
        <w:tc>
          <w:tcPr>
            <w:tcW w:w="688" w:type="dxa"/>
            <w:tcBorders>
              <w:top w:val="single" w:sz="4" w:space="0" w:color="auto"/>
              <w:bottom w:val="single" w:sz="4" w:space="0" w:color="auto"/>
            </w:tcBorders>
          </w:tcPr>
          <w:p w14:paraId="5535EBAA" w14:textId="1BFD0E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27.8%</w:t>
            </w:r>
          </w:p>
        </w:tc>
        <w:tc>
          <w:tcPr>
            <w:tcW w:w="687" w:type="dxa"/>
            <w:tcBorders>
              <w:top w:val="single" w:sz="4" w:space="0" w:color="auto"/>
              <w:bottom w:val="single" w:sz="4" w:space="0" w:color="auto"/>
            </w:tcBorders>
          </w:tcPr>
          <w:p w14:paraId="109EB034" w14:textId="5611C4C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20.4%</w:t>
            </w:r>
          </w:p>
        </w:tc>
        <w:tc>
          <w:tcPr>
            <w:tcW w:w="688" w:type="dxa"/>
            <w:tcBorders>
              <w:top w:val="single" w:sz="4" w:space="0" w:color="auto"/>
              <w:bottom w:val="single" w:sz="4" w:space="0" w:color="auto"/>
            </w:tcBorders>
          </w:tcPr>
          <w:p w14:paraId="32DA6D65" w14:textId="02B6998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32.8%</w:t>
            </w:r>
          </w:p>
        </w:tc>
        <w:tc>
          <w:tcPr>
            <w:tcW w:w="688" w:type="dxa"/>
            <w:tcBorders>
              <w:top w:val="single" w:sz="4" w:space="0" w:color="auto"/>
              <w:bottom w:val="single" w:sz="4" w:space="0" w:color="auto"/>
            </w:tcBorders>
          </w:tcPr>
          <w:p w14:paraId="00A37F81" w14:textId="322D83D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1.3%</w:t>
            </w:r>
          </w:p>
        </w:tc>
        <w:tc>
          <w:tcPr>
            <w:tcW w:w="687" w:type="dxa"/>
            <w:tcBorders>
              <w:top w:val="single" w:sz="4" w:space="0" w:color="auto"/>
              <w:bottom w:val="single" w:sz="4" w:space="0" w:color="auto"/>
            </w:tcBorders>
          </w:tcPr>
          <w:p w14:paraId="1B5F3A1A" w14:textId="1727FC9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2.1%</w:t>
            </w:r>
          </w:p>
        </w:tc>
        <w:tc>
          <w:tcPr>
            <w:tcW w:w="688" w:type="dxa"/>
            <w:tcBorders>
              <w:top w:val="single" w:sz="4" w:space="0" w:color="auto"/>
              <w:bottom w:val="single" w:sz="4" w:space="0" w:color="auto"/>
            </w:tcBorders>
          </w:tcPr>
          <w:p w14:paraId="2F44C0CD" w14:textId="7411244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BA55724" w14:textId="50A8F32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20.5%</w:t>
            </w:r>
          </w:p>
        </w:tc>
        <w:tc>
          <w:tcPr>
            <w:tcW w:w="688" w:type="dxa"/>
            <w:tcBorders>
              <w:top w:val="single" w:sz="4" w:space="0" w:color="auto"/>
              <w:bottom w:val="single" w:sz="4" w:space="0" w:color="auto"/>
            </w:tcBorders>
          </w:tcPr>
          <w:p w14:paraId="110D0065" w14:textId="7C85370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1.0</w:t>
            </w:r>
          </w:p>
        </w:tc>
        <w:tc>
          <w:tcPr>
            <w:tcW w:w="687" w:type="dxa"/>
            <w:tcBorders>
              <w:top w:val="single" w:sz="4" w:space="0" w:color="auto"/>
              <w:bottom w:val="single" w:sz="4" w:space="0" w:color="auto"/>
            </w:tcBorders>
          </w:tcPr>
          <w:p w14:paraId="3AD4EBBF" w14:textId="1D9DA85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1.6%</w:t>
            </w:r>
          </w:p>
        </w:tc>
        <w:tc>
          <w:tcPr>
            <w:tcW w:w="688" w:type="dxa"/>
            <w:tcBorders>
              <w:top w:val="single" w:sz="4" w:space="0" w:color="auto"/>
              <w:bottom w:val="single" w:sz="4" w:space="0" w:color="auto"/>
            </w:tcBorders>
          </w:tcPr>
          <w:p w14:paraId="1564DC0D" w14:textId="444F071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95A9425" w14:textId="26CED04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r w:rsidRPr="00F317CA">
              <w:rPr>
                <w:rFonts w:ascii="Cambria" w:hAnsi="Cambria" w:cs="Cambria"/>
              </w:rPr>
              <w:t> </w:t>
            </w:r>
          </w:p>
        </w:tc>
        <w:tc>
          <w:tcPr>
            <w:tcW w:w="687" w:type="dxa"/>
            <w:tcBorders>
              <w:top w:val="single" w:sz="4" w:space="0" w:color="auto"/>
              <w:bottom w:val="single" w:sz="4" w:space="0" w:color="auto"/>
            </w:tcBorders>
          </w:tcPr>
          <w:p w14:paraId="02F23CD7" w14:textId="6718D0A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231F0C">
              <w:t>0.9%</w:t>
            </w:r>
          </w:p>
        </w:tc>
        <w:tc>
          <w:tcPr>
            <w:tcW w:w="688" w:type="dxa"/>
            <w:tcBorders>
              <w:top w:val="single" w:sz="4" w:space="0" w:color="auto"/>
              <w:bottom w:val="single" w:sz="4" w:space="0" w:color="auto"/>
            </w:tcBorders>
          </w:tcPr>
          <w:p w14:paraId="2214BF14" w14:textId="3E08FAC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0F313E0" w14:textId="798A281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84E25EE" w14:textId="44300AB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83.3%</w:t>
            </w:r>
          </w:p>
        </w:tc>
        <w:tc>
          <w:tcPr>
            <w:tcW w:w="688" w:type="dxa"/>
            <w:tcBorders>
              <w:top w:val="single" w:sz="4" w:space="0" w:color="auto"/>
              <w:bottom w:val="single" w:sz="4" w:space="0" w:color="auto"/>
            </w:tcBorders>
          </w:tcPr>
          <w:p w14:paraId="49120615" w14:textId="0217CFB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264E3">
              <w:t>1.0%</w:t>
            </w:r>
          </w:p>
        </w:tc>
        <w:tc>
          <w:tcPr>
            <w:tcW w:w="688" w:type="dxa"/>
            <w:tcBorders>
              <w:top w:val="single" w:sz="4" w:space="0" w:color="auto"/>
              <w:bottom w:val="single" w:sz="4" w:space="0" w:color="auto"/>
            </w:tcBorders>
          </w:tcPr>
          <w:p w14:paraId="53803FAD" w14:textId="66898DE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gridSpan w:val="2"/>
            <w:tcBorders>
              <w:top w:val="single" w:sz="4" w:space="0" w:color="auto"/>
              <w:bottom w:val="single" w:sz="4" w:space="0" w:color="auto"/>
            </w:tcBorders>
          </w:tcPr>
          <w:p w14:paraId="7A17A6D6" w14:textId="4614D31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r>
      <w:tr w:rsidR="00CC5764" w:rsidRPr="00956209" w14:paraId="5839F458"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1D85E3C" w14:textId="27F429B3" w:rsidR="00CC5764" w:rsidRPr="00F317CA" w:rsidRDefault="00CC5764" w:rsidP="00A60C18">
            <w:pPr>
              <w:rPr>
                <w:b w:val="0"/>
              </w:rPr>
            </w:pPr>
            <w:r w:rsidRPr="00F317CA">
              <w:t>St Vincents Private</w:t>
            </w:r>
          </w:p>
        </w:tc>
        <w:tc>
          <w:tcPr>
            <w:tcW w:w="825" w:type="dxa"/>
            <w:tcBorders>
              <w:top w:val="single" w:sz="4" w:space="0" w:color="auto"/>
              <w:bottom w:val="single" w:sz="4" w:space="0" w:color="auto"/>
            </w:tcBorders>
          </w:tcPr>
          <w:p w14:paraId="24A3FDDD" w14:textId="5CF07EE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424EC780" w14:textId="1141840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2,385</w:t>
            </w:r>
          </w:p>
        </w:tc>
        <w:tc>
          <w:tcPr>
            <w:tcW w:w="688" w:type="dxa"/>
            <w:tcBorders>
              <w:top w:val="single" w:sz="4" w:space="0" w:color="auto"/>
              <w:bottom w:val="single" w:sz="4" w:space="0" w:color="auto"/>
            </w:tcBorders>
          </w:tcPr>
          <w:p w14:paraId="63484686" w14:textId="197353D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16.5%</w:t>
            </w:r>
          </w:p>
        </w:tc>
        <w:tc>
          <w:tcPr>
            <w:tcW w:w="687" w:type="dxa"/>
            <w:tcBorders>
              <w:top w:val="single" w:sz="4" w:space="0" w:color="auto"/>
              <w:bottom w:val="single" w:sz="4" w:space="0" w:color="auto"/>
            </w:tcBorders>
          </w:tcPr>
          <w:p w14:paraId="66C67864" w14:textId="786441A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19.6%</w:t>
            </w:r>
          </w:p>
        </w:tc>
        <w:tc>
          <w:tcPr>
            <w:tcW w:w="688" w:type="dxa"/>
            <w:tcBorders>
              <w:top w:val="single" w:sz="4" w:space="0" w:color="auto"/>
              <w:bottom w:val="single" w:sz="4" w:space="0" w:color="auto"/>
            </w:tcBorders>
          </w:tcPr>
          <w:p w14:paraId="67057BE1" w14:textId="3936DE9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30.6%</w:t>
            </w:r>
          </w:p>
        </w:tc>
        <w:tc>
          <w:tcPr>
            <w:tcW w:w="688" w:type="dxa"/>
            <w:tcBorders>
              <w:top w:val="single" w:sz="4" w:space="0" w:color="auto"/>
              <w:bottom w:val="single" w:sz="4" w:space="0" w:color="auto"/>
            </w:tcBorders>
          </w:tcPr>
          <w:p w14:paraId="586E41A0" w14:textId="0905E85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1.3%</w:t>
            </w:r>
          </w:p>
        </w:tc>
        <w:tc>
          <w:tcPr>
            <w:tcW w:w="687" w:type="dxa"/>
            <w:tcBorders>
              <w:top w:val="single" w:sz="4" w:space="0" w:color="auto"/>
              <w:bottom w:val="single" w:sz="4" w:space="0" w:color="auto"/>
            </w:tcBorders>
          </w:tcPr>
          <w:p w14:paraId="18D87DA1" w14:textId="42AF7F9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1.1%</w:t>
            </w:r>
          </w:p>
        </w:tc>
        <w:tc>
          <w:tcPr>
            <w:tcW w:w="688" w:type="dxa"/>
            <w:tcBorders>
              <w:top w:val="single" w:sz="4" w:space="0" w:color="auto"/>
              <w:bottom w:val="single" w:sz="4" w:space="0" w:color="auto"/>
            </w:tcBorders>
          </w:tcPr>
          <w:p w14:paraId="44584F8C" w14:textId="61BE94D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AF08155" w14:textId="6761569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31.3%</w:t>
            </w:r>
          </w:p>
        </w:tc>
        <w:tc>
          <w:tcPr>
            <w:tcW w:w="688" w:type="dxa"/>
            <w:tcBorders>
              <w:top w:val="single" w:sz="4" w:space="0" w:color="auto"/>
              <w:bottom w:val="single" w:sz="4" w:space="0" w:color="auto"/>
            </w:tcBorders>
          </w:tcPr>
          <w:p w14:paraId="479E5AB1" w14:textId="1C43F88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0.6</w:t>
            </w:r>
          </w:p>
        </w:tc>
        <w:tc>
          <w:tcPr>
            <w:tcW w:w="687" w:type="dxa"/>
            <w:tcBorders>
              <w:top w:val="single" w:sz="4" w:space="0" w:color="auto"/>
              <w:bottom w:val="single" w:sz="4" w:space="0" w:color="auto"/>
            </w:tcBorders>
          </w:tcPr>
          <w:p w14:paraId="210A16B6" w14:textId="76A2682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1.4%</w:t>
            </w:r>
          </w:p>
        </w:tc>
        <w:tc>
          <w:tcPr>
            <w:tcW w:w="688" w:type="dxa"/>
            <w:tcBorders>
              <w:top w:val="single" w:sz="4" w:space="0" w:color="auto"/>
              <w:bottom w:val="single" w:sz="4" w:space="0" w:color="auto"/>
            </w:tcBorders>
          </w:tcPr>
          <w:p w14:paraId="1B1618DD" w14:textId="4F82657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9C49A78" w14:textId="587BD3E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85.3%</w:t>
            </w:r>
          </w:p>
        </w:tc>
        <w:tc>
          <w:tcPr>
            <w:tcW w:w="687" w:type="dxa"/>
            <w:tcBorders>
              <w:top w:val="single" w:sz="4" w:space="0" w:color="auto"/>
              <w:bottom w:val="single" w:sz="4" w:space="0" w:color="auto"/>
            </w:tcBorders>
          </w:tcPr>
          <w:p w14:paraId="4666D2AC" w14:textId="217D5C4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0.7%</w:t>
            </w:r>
          </w:p>
        </w:tc>
        <w:tc>
          <w:tcPr>
            <w:tcW w:w="688" w:type="dxa"/>
            <w:tcBorders>
              <w:top w:val="single" w:sz="4" w:space="0" w:color="auto"/>
              <w:bottom w:val="single" w:sz="4" w:space="0" w:color="auto"/>
            </w:tcBorders>
          </w:tcPr>
          <w:p w14:paraId="71ACEB98" w14:textId="6149BFF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1D721A1" w14:textId="6556856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0531D743" w14:textId="43499BD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67.4%</w:t>
            </w:r>
          </w:p>
        </w:tc>
        <w:tc>
          <w:tcPr>
            <w:tcW w:w="688" w:type="dxa"/>
            <w:tcBorders>
              <w:top w:val="single" w:sz="4" w:space="0" w:color="auto"/>
              <w:bottom w:val="single" w:sz="4" w:space="0" w:color="auto"/>
            </w:tcBorders>
          </w:tcPr>
          <w:p w14:paraId="641BDA89" w14:textId="79ED2B0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264E3">
              <w:t>1.0%</w:t>
            </w:r>
          </w:p>
        </w:tc>
        <w:tc>
          <w:tcPr>
            <w:tcW w:w="688" w:type="dxa"/>
            <w:tcBorders>
              <w:top w:val="single" w:sz="4" w:space="0" w:color="auto"/>
              <w:bottom w:val="single" w:sz="4" w:space="0" w:color="auto"/>
            </w:tcBorders>
          </w:tcPr>
          <w:p w14:paraId="1B9BB8A0" w14:textId="1A9878C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w:t>
            </w:r>
          </w:p>
        </w:tc>
        <w:tc>
          <w:tcPr>
            <w:tcW w:w="688" w:type="dxa"/>
            <w:gridSpan w:val="2"/>
            <w:tcBorders>
              <w:top w:val="single" w:sz="4" w:space="0" w:color="auto"/>
              <w:bottom w:val="single" w:sz="4" w:space="0" w:color="auto"/>
            </w:tcBorders>
          </w:tcPr>
          <w:p w14:paraId="40069975" w14:textId="665EE81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49AB967B"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835BC04" w14:textId="61FA030F" w:rsidR="00CC5764" w:rsidRPr="00F317CA" w:rsidRDefault="00CC5764" w:rsidP="00A60C18">
            <w:pPr>
              <w:rPr>
                <w:b w:val="0"/>
              </w:rPr>
            </w:pPr>
            <w:r w:rsidRPr="00F317CA">
              <w:t>Cabrini M</w:t>
            </w:r>
          </w:p>
        </w:tc>
        <w:tc>
          <w:tcPr>
            <w:tcW w:w="825" w:type="dxa"/>
            <w:tcBorders>
              <w:top w:val="single" w:sz="4" w:space="0" w:color="auto"/>
              <w:bottom w:val="single" w:sz="4" w:space="0" w:color="auto"/>
            </w:tcBorders>
          </w:tcPr>
          <w:p w14:paraId="207AB82D" w14:textId="4F542E5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1EF85E35" w14:textId="6B829BE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1,818</w:t>
            </w:r>
          </w:p>
        </w:tc>
        <w:tc>
          <w:tcPr>
            <w:tcW w:w="688" w:type="dxa"/>
            <w:tcBorders>
              <w:top w:val="single" w:sz="4" w:space="0" w:color="auto"/>
              <w:bottom w:val="single" w:sz="4" w:space="0" w:color="auto"/>
            </w:tcBorders>
          </w:tcPr>
          <w:p w14:paraId="3942D226" w14:textId="0CA457D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24.4%</w:t>
            </w:r>
          </w:p>
        </w:tc>
        <w:tc>
          <w:tcPr>
            <w:tcW w:w="687" w:type="dxa"/>
            <w:tcBorders>
              <w:top w:val="single" w:sz="4" w:space="0" w:color="auto"/>
              <w:bottom w:val="single" w:sz="4" w:space="0" w:color="auto"/>
            </w:tcBorders>
          </w:tcPr>
          <w:p w14:paraId="5384CCCD" w14:textId="17C9D7D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15.2%</w:t>
            </w:r>
          </w:p>
        </w:tc>
        <w:tc>
          <w:tcPr>
            <w:tcW w:w="688" w:type="dxa"/>
            <w:tcBorders>
              <w:top w:val="single" w:sz="4" w:space="0" w:color="auto"/>
              <w:bottom w:val="single" w:sz="4" w:space="0" w:color="auto"/>
            </w:tcBorders>
          </w:tcPr>
          <w:p w14:paraId="28B1BBE0" w14:textId="356A816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25.3%</w:t>
            </w:r>
          </w:p>
        </w:tc>
        <w:tc>
          <w:tcPr>
            <w:tcW w:w="688" w:type="dxa"/>
            <w:tcBorders>
              <w:top w:val="single" w:sz="4" w:space="0" w:color="auto"/>
              <w:bottom w:val="single" w:sz="4" w:space="0" w:color="auto"/>
            </w:tcBorders>
          </w:tcPr>
          <w:p w14:paraId="45814D54" w14:textId="51F29FD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0.9%</w:t>
            </w:r>
          </w:p>
        </w:tc>
        <w:tc>
          <w:tcPr>
            <w:tcW w:w="687" w:type="dxa"/>
            <w:tcBorders>
              <w:top w:val="single" w:sz="4" w:space="0" w:color="auto"/>
              <w:bottom w:val="single" w:sz="4" w:space="0" w:color="auto"/>
            </w:tcBorders>
          </w:tcPr>
          <w:p w14:paraId="0C8057E6" w14:textId="63EAABA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3.9%</w:t>
            </w:r>
          </w:p>
        </w:tc>
        <w:tc>
          <w:tcPr>
            <w:tcW w:w="688" w:type="dxa"/>
            <w:tcBorders>
              <w:top w:val="single" w:sz="4" w:space="0" w:color="auto"/>
              <w:bottom w:val="single" w:sz="4" w:space="0" w:color="auto"/>
            </w:tcBorders>
          </w:tcPr>
          <w:p w14:paraId="32B8D7DD" w14:textId="3CC840D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83E13CC" w14:textId="696C7F2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38.7%</w:t>
            </w:r>
          </w:p>
        </w:tc>
        <w:tc>
          <w:tcPr>
            <w:tcW w:w="688" w:type="dxa"/>
            <w:tcBorders>
              <w:top w:val="single" w:sz="4" w:space="0" w:color="auto"/>
              <w:bottom w:val="single" w:sz="4" w:space="0" w:color="auto"/>
            </w:tcBorders>
          </w:tcPr>
          <w:p w14:paraId="008A6323" w14:textId="0255D49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1.1</w:t>
            </w:r>
          </w:p>
        </w:tc>
        <w:tc>
          <w:tcPr>
            <w:tcW w:w="687" w:type="dxa"/>
            <w:tcBorders>
              <w:top w:val="single" w:sz="4" w:space="0" w:color="auto"/>
              <w:bottom w:val="single" w:sz="4" w:space="0" w:color="auto"/>
            </w:tcBorders>
          </w:tcPr>
          <w:p w14:paraId="5809EA17" w14:textId="31C9F9F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1.3%</w:t>
            </w:r>
          </w:p>
        </w:tc>
        <w:tc>
          <w:tcPr>
            <w:tcW w:w="688" w:type="dxa"/>
            <w:tcBorders>
              <w:top w:val="single" w:sz="4" w:space="0" w:color="auto"/>
              <w:bottom w:val="single" w:sz="4" w:space="0" w:color="auto"/>
            </w:tcBorders>
          </w:tcPr>
          <w:p w14:paraId="0F664CED" w14:textId="2C86CF9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2A1D37F" w14:textId="4AD6F5C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82.4%</w:t>
            </w:r>
          </w:p>
        </w:tc>
        <w:tc>
          <w:tcPr>
            <w:tcW w:w="687" w:type="dxa"/>
            <w:tcBorders>
              <w:top w:val="single" w:sz="4" w:space="0" w:color="auto"/>
              <w:bottom w:val="single" w:sz="4" w:space="0" w:color="auto"/>
            </w:tcBorders>
          </w:tcPr>
          <w:p w14:paraId="753BA033" w14:textId="339F9AE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231F0C">
              <w:t>0.9%</w:t>
            </w:r>
          </w:p>
        </w:tc>
        <w:tc>
          <w:tcPr>
            <w:tcW w:w="688" w:type="dxa"/>
            <w:tcBorders>
              <w:top w:val="single" w:sz="4" w:space="0" w:color="auto"/>
              <w:bottom w:val="single" w:sz="4" w:space="0" w:color="auto"/>
            </w:tcBorders>
          </w:tcPr>
          <w:p w14:paraId="0B7DC868" w14:textId="0D07427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37DE544" w14:textId="6A8D132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FD15757" w14:textId="41240BF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54.1%</w:t>
            </w:r>
          </w:p>
        </w:tc>
        <w:tc>
          <w:tcPr>
            <w:tcW w:w="688" w:type="dxa"/>
            <w:tcBorders>
              <w:top w:val="single" w:sz="4" w:space="0" w:color="auto"/>
              <w:bottom w:val="single" w:sz="4" w:space="0" w:color="auto"/>
            </w:tcBorders>
          </w:tcPr>
          <w:p w14:paraId="5D108556" w14:textId="1EECE6C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0.0%</w:t>
            </w:r>
          </w:p>
        </w:tc>
        <w:tc>
          <w:tcPr>
            <w:tcW w:w="688" w:type="dxa"/>
            <w:tcBorders>
              <w:top w:val="single" w:sz="4" w:space="0" w:color="auto"/>
              <w:bottom w:val="single" w:sz="4" w:space="0" w:color="auto"/>
            </w:tcBorders>
          </w:tcPr>
          <w:p w14:paraId="5DD82130" w14:textId="015EB33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w:t>
            </w:r>
          </w:p>
        </w:tc>
        <w:tc>
          <w:tcPr>
            <w:tcW w:w="688" w:type="dxa"/>
            <w:gridSpan w:val="2"/>
            <w:tcBorders>
              <w:top w:val="single" w:sz="4" w:space="0" w:color="auto"/>
              <w:bottom w:val="single" w:sz="4" w:space="0" w:color="auto"/>
            </w:tcBorders>
          </w:tcPr>
          <w:p w14:paraId="477E0C53" w14:textId="290E2B0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15D741EA"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7F9EFF2" w14:textId="681E6C65" w:rsidR="00CC5764" w:rsidRPr="00F317CA" w:rsidRDefault="00CC5764" w:rsidP="00A60C18">
            <w:pPr>
              <w:rPr>
                <w:b w:val="0"/>
              </w:rPr>
            </w:pPr>
            <w:r w:rsidRPr="00F317CA">
              <w:t>Mitcham Private</w:t>
            </w:r>
          </w:p>
        </w:tc>
        <w:tc>
          <w:tcPr>
            <w:tcW w:w="825" w:type="dxa"/>
            <w:tcBorders>
              <w:top w:val="single" w:sz="4" w:space="0" w:color="auto"/>
              <w:bottom w:val="single" w:sz="4" w:space="0" w:color="auto"/>
            </w:tcBorders>
          </w:tcPr>
          <w:p w14:paraId="3A76E61D" w14:textId="723151A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7E66C025" w14:textId="69157FC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1,282</w:t>
            </w:r>
          </w:p>
        </w:tc>
        <w:tc>
          <w:tcPr>
            <w:tcW w:w="688" w:type="dxa"/>
            <w:tcBorders>
              <w:top w:val="single" w:sz="4" w:space="0" w:color="auto"/>
              <w:bottom w:val="single" w:sz="4" w:space="0" w:color="auto"/>
            </w:tcBorders>
          </w:tcPr>
          <w:p w14:paraId="46E654EF" w14:textId="78D2E91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29.9%</w:t>
            </w:r>
          </w:p>
        </w:tc>
        <w:tc>
          <w:tcPr>
            <w:tcW w:w="687" w:type="dxa"/>
            <w:tcBorders>
              <w:top w:val="single" w:sz="4" w:space="0" w:color="auto"/>
              <w:bottom w:val="single" w:sz="4" w:space="0" w:color="auto"/>
            </w:tcBorders>
          </w:tcPr>
          <w:p w14:paraId="0D553AA8" w14:textId="4E456A0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30.1%</w:t>
            </w:r>
          </w:p>
        </w:tc>
        <w:tc>
          <w:tcPr>
            <w:tcW w:w="688" w:type="dxa"/>
            <w:tcBorders>
              <w:top w:val="single" w:sz="4" w:space="0" w:color="auto"/>
              <w:bottom w:val="single" w:sz="4" w:space="0" w:color="auto"/>
            </w:tcBorders>
          </w:tcPr>
          <w:p w14:paraId="19B7ECBD" w14:textId="58026C3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38.3%</w:t>
            </w:r>
          </w:p>
        </w:tc>
        <w:tc>
          <w:tcPr>
            <w:tcW w:w="688" w:type="dxa"/>
            <w:tcBorders>
              <w:top w:val="single" w:sz="4" w:space="0" w:color="auto"/>
              <w:bottom w:val="single" w:sz="4" w:space="0" w:color="auto"/>
            </w:tcBorders>
          </w:tcPr>
          <w:p w14:paraId="4001E0DB" w14:textId="6FFF08C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0.9%</w:t>
            </w:r>
          </w:p>
        </w:tc>
        <w:tc>
          <w:tcPr>
            <w:tcW w:w="687" w:type="dxa"/>
            <w:tcBorders>
              <w:top w:val="single" w:sz="4" w:space="0" w:color="auto"/>
              <w:bottom w:val="single" w:sz="4" w:space="0" w:color="auto"/>
            </w:tcBorders>
          </w:tcPr>
          <w:p w14:paraId="231C155D" w14:textId="260058A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2.2%</w:t>
            </w:r>
          </w:p>
        </w:tc>
        <w:tc>
          <w:tcPr>
            <w:tcW w:w="688" w:type="dxa"/>
            <w:tcBorders>
              <w:top w:val="single" w:sz="4" w:space="0" w:color="auto"/>
              <w:bottom w:val="single" w:sz="4" w:space="0" w:color="auto"/>
            </w:tcBorders>
          </w:tcPr>
          <w:p w14:paraId="076C6888" w14:textId="765554C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4F2D16B" w14:textId="42A2684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23.8%</w:t>
            </w:r>
          </w:p>
        </w:tc>
        <w:tc>
          <w:tcPr>
            <w:tcW w:w="688" w:type="dxa"/>
            <w:tcBorders>
              <w:top w:val="single" w:sz="4" w:space="0" w:color="auto"/>
              <w:bottom w:val="single" w:sz="4" w:space="0" w:color="auto"/>
            </w:tcBorders>
          </w:tcPr>
          <w:p w14:paraId="5258CF8F" w14:textId="6B86592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0.6</w:t>
            </w:r>
          </w:p>
        </w:tc>
        <w:tc>
          <w:tcPr>
            <w:tcW w:w="687" w:type="dxa"/>
            <w:tcBorders>
              <w:top w:val="single" w:sz="4" w:space="0" w:color="auto"/>
              <w:bottom w:val="single" w:sz="4" w:space="0" w:color="auto"/>
            </w:tcBorders>
          </w:tcPr>
          <w:p w14:paraId="341F8B0C" w14:textId="1C1741A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1.7%</w:t>
            </w:r>
          </w:p>
        </w:tc>
        <w:tc>
          <w:tcPr>
            <w:tcW w:w="688" w:type="dxa"/>
            <w:tcBorders>
              <w:top w:val="single" w:sz="4" w:space="0" w:color="auto"/>
              <w:bottom w:val="single" w:sz="4" w:space="0" w:color="auto"/>
            </w:tcBorders>
          </w:tcPr>
          <w:p w14:paraId="39262CFE" w14:textId="433F644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898D9C1" w14:textId="71F7279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60.0%</w:t>
            </w:r>
          </w:p>
        </w:tc>
        <w:tc>
          <w:tcPr>
            <w:tcW w:w="687" w:type="dxa"/>
            <w:tcBorders>
              <w:top w:val="single" w:sz="4" w:space="0" w:color="auto"/>
              <w:bottom w:val="single" w:sz="4" w:space="0" w:color="auto"/>
            </w:tcBorders>
          </w:tcPr>
          <w:p w14:paraId="6AE66D8B" w14:textId="31B6113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0.8%</w:t>
            </w:r>
          </w:p>
        </w:tc>
        <w:tc>
          <w:tcPr>
            <w:tcW w:w="688" w:type="dxa"/>
            <w:tcBorders>
              <w:top w:val="single" w:sz="4" w:space="0" w:color="auto"/>
              <w:bottom w:val="single" w:sz="4" w:space="0" w:color="auto"/>
            </w:tcBorders>
          </w:tcPr>
          <w:p w14:paraId="250562B0" w14:textId="30BE2FB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AA7B0B5" w14:textId="0B3A1C3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6E33077D" w14:textId="4F59001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E966BB">
              <w:t>71.1%</w:t>
            </w:r>
          </w:p>
        </w:tc>
        <w:tc>
          <w:tcPr>
            <w:tcW w:w="688" w:type="dxa"/>
            <w:tcBorders>
              <w:top w:val="single" w:sz="4" w:space="0" w:color="auto"/>
              <w:bottom w:val="single" w:sz="4" w:space="0" w:color="auto"/>
            </w:tcBorders>
          </w:tcPr>
          <w:p w14:paraId="36B32A4A" w14:textId="246515E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0.7%</w:t>
            </w:r>
          </w:p>
        </w:tc>
        <w:tc>
          <w:tcPr>
            <w:tcW w:w="688" w:type="dxa"/>
            <w:tcBorders>
              <w:top w:val="single" w:sz="4" w:space="0" w:color="auto"/>
              <w:bottom w:val="single" w:sz="4" w:space="0" w:color="auto"/>
            </w:tcBorders>
          </w:tcPr>
          <w:p w14:paraId="126A37AC" w14:textId="5504E99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w:t>
            </w:r>
          </w:p>
        </w:tc>
        <w:tc>
          <w:tcPr>
            <w:tcW w:w="688" w:type="dxa"/>
            <w:gridSpan w:val="2"/>
            <w:tcBorders>
              <w:top w:val="single" w:sz="4" w:space="0" w:color="auto"/>
              <w:bottom w:val="single" w:sz="4" w:space="0" w:color="auto"/>
            </w:tcBorders>
          </w:tcPr>
          <w:p w14:paraId="0FE66C59" w14:textId="3882676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566A3694"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A19D7A5" w14:textId="7DC5A591" w:rsidR="00CC5764" w:rsidRPr="00F317CA" w:rsidRDefault="00CC5764" w:rsidP="00A60C18">
            <w:pPr>
              <w:rPr>
                <w:b w:val="0"/>
              </w:rPr>
            </w:pPr>
            <w:r w:rsidRPr="00F317CA">
              <w:t>Jessie McPherson</w:t>
            </w:r>
          </w:p>
        </w:tc>
        <w:tc>
          <w:tcPr>
            <w:tcW w:w="825" w:type="dxa"/>
            <w:tcBorders>
              <w:top w:val="single" w:sz="4" w:space="0" w:color="auto"/>
              <w:bottom w:val="single" w:sz="4" w:space="0" w:color="auto"/>
            </w:tcBorders>
          </w:tcPr>
          <w:p w14:paraId="0C729C94" w14:textId="226DB30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23ED7FC2" w14:textId="6578BC4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996</w:t>
            </w:r>
          </w:p>
        </w:tc>
        <w:tc>
          <w:tcPr>
            <w:tcW w:w="688" w:type="dxa"/>
            <w:tcBorders>
              <w:top w:val="single" w:sz="4" w:space="0" w:color="auto"/>
              <w:bottom w:val="single" w:sz="4" w:space="0" w:color="auto"/>
            </w:tcBorders>
          </w:tcPr>
          <w:p w14:paraId="694AEC79" w14:textId="63DBA8E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25.6%</w:t>
            </w:r>
          </w:p>
        </w:tc>
        <w:tc>
          <w:tcPr>
            <w:tcW w:w="687" w:type="dxa"/>
            <w:tcBorders>
              <w:top w:val="single" w:sz="4" w:space="0" w:color="auto"/>
              <w:bottom w:val="single" w:sz="4" w:space="0" w:color="auto"/>
            </w:tcBorders>
          </w:tcPr>
          <w:p w14:paraId="7A5EC43B" w14:textId="7CEAF60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15.0%</w:t>
            </w:r>
          </w:p>
        </w:tc>
        <w:tc>
          <w:tcPr>
            <w:tcW w:w="688" w:type="dxa"/>
            <w:tcBorders>
              <w:top w:val="single" w:sz="4" w:space="0" w:color="auto"/>
              <w:bottom w:val="single" w:sz="4" w:space="0" w:color="auto"/>
            </w:tcBorders>
          </w:tcPr>
          <w:p w14:paraId="209B0951" w14:textId="5CEDB4D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3A351D">
              <w:t>29.2%</w:t>
            </w:r>
          </w:p>
        </w:tc>
        <w:tc>
          <w:tcPr>
            <w:tcW w:w="688" w:type="dxa"/>
            <w:tcBorders>
              <w:top w:val="single" w:sz="4" w:space="0" w:color="auto"/>
              <w:bottom w:val="single" w:sz="4" w:space="0" w:color="auto"/>
            </w:tcBorders>
          </w:tcPr>
          <w:p w14:paraId="76C121E5" w14:textId="263FD32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3.3%</w:t>
            </w:r>
          </w:p>
        </w:tc>
        <w:tc>
          <w:tcPr>
            <w:tcW w:w="687" w:type="dxa"/>
            <w:tcBorders>
              <w:top w:val="single" w:sz="4" w:space="0" w:color="auto"/>
              <w:bottom w:val="single" w:sz="4" w:space="0" w:color="auto"/>
            </w:tcBorders>
          </w:tcPr>
          <w:p w14:paraId="6A3E343E" w14:textId="799475B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4.2%</w:t>
            </w:r>
          </w:p>
        </w:tc>
        <w:tc>
          <w:tcPr>
            <w:tcW w:w="688" w:type="dxa"/>
            <w:tcBorders>
              <w:top w:val="single" w:sz="4" w:space="0" w:color="auto"/>
              <w:bottom w:val="single" w:sz="4" w:space="0" w:color="auto"/>
            </w:tcBorders>
          </w:tcPr>
          <w:p w14:paraId="6F6717A5" w14:textId="4F7461D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1030F13" w14:textId="3EDB55A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20.0%</w:t>
            </w:r>
          </w:p>
        </w:tc>
        <w:tc>
          <w:tcPr>
            <w:tcW w:w="688" w:type="dxa"/>
            <w:tcBorders>
              <w:top w:val="single" w:sz="4" w:space="0" w:color="auto"/>
              <w:bottom w:val="single" w:sz="4" w:space="0" w:color="auto"/>
            </w:tcBorders>
          </w:tcPr>
          <w:p w14:paraId="4D6628BD" w14:textId="7F71662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0.5</w:t>
            </w:r>
          </w:p>
        </w:tc>
        <w:tc>
          <w:tcPr>
            <w:tcW w:w="687" w:type="dxa"/>
            <w:tcBorders>
              <w:top w:val="single" w:sz="4" w:space="0" w:color="auto"/>
              <w:bottom w:val="single" w:sz="4" w:space="0" w:color="auto"/>
            </w:tcBorders>
          </w:tcPr>
          <w:p w14:paraId="6335B685" w14:textId="3C69678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1.1%</w:t>
            </w:r>
          </w:p>
        </w:tc>
        <w:tc>
          <w:tcPr>
            <w:tcW w:w="688" w:type="dxa"/>
            <w:tcBorders>
              <w:top w:val="single" w:sz="4" w:space="0" w:color="auto"/>
              <w:bottom w:val="single" w:sz="4" w:space="0" w:color="auto"/>
            </w:tcBorders>
          </w:tcPr>
          <w:p w14:paraId="1EA800AF" w14:textId="32B63D4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2E2EF06C" w14:textId="145A8BD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9CA3793" w14:textId="70B37AE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231F0C">
              <w:t>0.9%</w:t>
            </w:r>
          </w:p>
        </w:tc>
        <w:tc>
          <w:tcPr>
            <w:tcW w:w="688" w:type="dxa"/>
            <w:tcBorders>
              <w:top w:val="single" w:sz="4" w:space="0" w:color="auto"/>
              <w:bottom w:val="single" w:sz="4" w:space="0" w:color="auto"/>
            </w:tcBorders>
          </w:tcPr>
          <w:p w14:paraId="3DC2E229" w14:textId="307F4B9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86B1DFA" w14:textId="1E84690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4069ECEB" w14:textId="58BE04B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69.2%</w:t>
            </w:r>
          </w:p>
        </w:tc>
        <w:tc>
          <w:tcPr>
            <w:tcW w:w="688" w:type="dxa"/>
            <w:tcBorders>
              <w:top w:val="single" w:sz="4" w:space="0" w:color="auto"/>
              <w:bottom w:val="single" w:sz="4" w:space="0" w:color="auto"/>
            </w:tcBorders>
          </w:tcPr>
          <w:p w14:paraId="3AB2B8D5" w14:textId="0CC7ABC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1.4%</w:t>
            </w:r>
          </w:p>
        </w:tc>
        <w:tc>
          <w:tcPr>
            <w:tcW w:w="688" w:type="dxa"/>
            <w:tcBorders>
              <w:top w:val="single" w:sz="4" w:space="0" w:color="auto"/>
              <w:bottom w:val="single" w:sz="4" w:space="0" w:color="auto"/>
            </w:tcBorders>
          </w:tcPr>
          <w:p w14:paraId="75698576" w14:textId="6316068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gridSpan w:val="2"/>
            <w:tcBorders>
              <w:top w:val="single" w:sz="4" w:space="0" w:color="auto"/>
              <w:bottom w:val="single" w:sz="4" w:space="0" w:color="auto"/>
            </w:tcBorders>
          </w:tcPr>
          <w:p w14:paraId="6C320802" w14:textId="5F06227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r>
      <w:tr w:rsidR="00CC5764" w:rsidRPr="00956209" w14:paraId="0E53EA1C"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8702C0A" w14:textId="19466DB4" w:rsidR="00CC5764" w:rsidRPr="00F317CA" w:rsidRDefault="00CC5764" w:rsidP="00A60C18">
            <w:pPr>
              <w:rPr>
                <w:b w:val="0"/>
              </w:rPr>
            </w:pPr>
            <w:r w:rsidRPr="00F317CA">
              <w:t>Waverley Private</w:t>
            </w:r>
          </w:p>
        </w:tc>
        <w:tc>
          <w:tcPr>
            <w:tcW w:w="825" w:type="dxa"/>
            <w:tcBorders>
              <w:top w:val="single" w:sz="4" w:space="0" w:color="auto"/>
              <w:bottom w:val="single" w:sz="4" w:space="0" w:color="auto"/>
            </w:tcBorders>
          </w:tcPr>
          <w:p w14:paraId="3256679B" w14:textId="3DEB5B2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37D17555" w14:textId="0914829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885</w:t>
            </w:r>
          </w:p>
        </w:tc>
        <w:tc>
          <w:tcPr>
            <w:tcW w:w="688" w:type="dxa"/>
            <w:tcBorders>
              <w:top w:val="single" w:sz="4" w:space="0" w:color="auto"/>
              <w:bottom w:val="single" w:sz="4" w:space="0" w:color="auto"/>
            </w:tcBorders>
          </w:tcPr>
          <w:p w14:paraId="798F176A" w14:textId="72E2C72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27.0%</w:t>
            </w:r>
          </w:p>
        </w:tc>
        <w:tc>
          <w:tcPr>
            <w:tcW w:w="687" w:type="dxa"/>
            <w:tcBorders>
              <w:top w:val="single" w:sz="4" w:space="0" w:color="auto"/>
              <w:bottom w:val="single" w:sz="4" w:space="0" w:color="auto"/>
            </w:tcBorders>
          </w:tcPr>
          <w:p w14:paraId="01824009" w14:textId="00FE028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23.7%</w:t>
            </w:r>
          </w:p>
        </w:tc>
        <w:tc>
          <w:tcPr>
            <w:tcW w:w="688" w:type="dxa"/>
            <w:tcBorders>
              <w:top w:val="single" w:sz="4" w:space="0" w:color="auto"/>
              <w:bottom w:val="single" w:sz="4" w:space="0" w:color="auto"/>
            </w:tcBorders>
          </w:tcPr>
          <w:p w14:paraId="7CDF5CED" w14:textId="2BB397B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38.3%</w:t>
            </w:r>
          </w:p>
        </w:tc>
        <w:tc>
          <w:tcPr>
            <w:tcW w:w="688" w:type="dxa"/>
            <w:tcBorders>
              <w:top w:val="single" w:sz="4" w:space="0" w:color="auto"/>
              <w:bottom w:val="single" w:sz="4" w:space="0" w:color="auto"/>
            </w:tcBorders>
          </w:tcPr>
          <w:p w14:paraId="1FFCF121" w14:textId="23D0E4F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1.1%</w:t>
            </w:r>
          </w:p>
        </w:tc>
        <w:tc>
          <w:tcPr>
            <w:tcW w:w="687" w:type="dxa"/>
            <w:tcBorders>
              <w:top w:val="single" w:sz="4" w:space="0" w:color="auto"/>
              <w:bottom w:val="single" w:sz="4" w:space="0" w:color="auto"/>
            </w:tcBorders>
          </w:tcPr>
          <w:p w14:paraId="45BB35C3" w14:textId="1FEC724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0.8%</w:t>
            </w:r>
          </w:p>
        </w:tc>
        <w:tc>
          <w:tcPr>
            <w:tcW w:w="688" w:type="dxa"/>
            <w:tcBorders>
              <w:top w:val="single" w:sz="4" w:space="0" w:color="auto"/>
              <w:bottom w:val="single" w:sz="4" w:space="0" w:color="auto"/>
            </w:tcBorders>
          </w:tcPr>
          <w:p w14:paraId="3A0A4B36" w14:textId="4CE97CE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7F43A7F" w14:textId="346A71D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36.8%</w:t>
            </w:r>
          </w:p>
        </w:tc>
        <w:tc>
          <w:tcPr>
            <w:tcW w:w="688" w:type="dxa"/>
            <w:tcBorders>
              <w:top w:val="single" w:sz="4" w:space="0" w:color="auto"/>
              <w:bottom w:val="single" w:sz="4" w:space="0" w:color="auto"/>
            </w:tcBorders>
          </w:tcPr>
          <w:p w14:paraId="2F74F8D9" w14:textId="729E304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1.5</w:t>
            </w:r>
          </w:p>
        </w:tc>
        <w:tc>
          <w:tcPr>
            <w:tcW w:w="687" w:type="dxa"/>
            <w:tcBorders>
              <w:top w:val="single" w:sz="4" w:space="0" w:color="auto"/>
              <w:bottom w:val="single" w:sz="4" w:space="0" w:color="auto"/>
            </w:tcBorders>
          </w:tcPr>
          <w:p w14:paraId="357B6716" w14:textId="39ADFDB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0.9%</w:t>
            </w:r>
          </w:p>
        </w:tc>
        <w:tc>
          <w:tcPr>
            <w:tcW w:w="688" w:type="dxa"/>
            <w:tcBorders>
              <w:top w:val="single" w:sz="4" w:space="0" w:color="auto"/>
              <w:bottom w:val="single" w:sz="4" w:space="0" w:color="auto"/>
            </w:tcBorders>
          </w:tcPr>
          <w:p w14:paraId="5A2E910E" w14:textId="62EB0FB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77FACAA" w14:textId="6EC6250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080FC2CA" w14:textId="4287B06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bCs/>
                <w:color w:val="000000"/>
              </w:rPr>
            </w:pPr>
            <w:r w:rsidRPr="00187B4C">
              <w:t>1.3%</w:t>
            </w:r>
          </w:p>
        </w:tc>
        <w:tc>
          <w:tcPr>
            <w:tcW w:w="688" w:type="dxa"/>
            <w:tcBorders>
              <w:top w:val="single" w:sz="4" w:space="0" w:color="auto"/>
              <w:bottom w:val="single" w:sz="4" w:space="0" w:color="auto"/>
            </w:tcBorders>
          </w:tcPr>
          <w:p w14:paraId="5FB0685E" w14:textId="6A8702B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DA0C5B4" w14:textId="587FC8C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6BCD3EEA" w14:textId="39471B4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64.4%</w:t>
            </w:r>
          </w:p>
        </w:tc>
        <w:tc>
          <w:tcPr>
            <w:tcW w:w="688" w:type="dxa"/>
            <w:tcBorders>
              <w:top w:val="single" w:sz="4" w:space="0" w:color="auto"/>
              <w:bottom w:val="single" w:sz="4" w:space="0" w:color="auto"/>
            </w:tcBorders>
          </w:tcPr>
          <w:p w14:paraId="3BF37D83" w14:textId="77EED64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1.3%</w:t>
            </w:r>
          </w:p>
        </w:tc>
        <w:tc>
          <w:tcPr>
            <w:tcW w:w="688" w:type="dxa"/>
            <w:tcBorders>
              <w:top w:val="single" w:sz="4" w:space="0" w:color="auto"/>
              <w:bottom w:val="single" w:sz="4" w:space="0" w:color="auto"/>
            </w:tcBorders>
          </w:tcPr>
          <w:p w14:paraId="0722D0A7" w14:textId="209F26F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gridSpan w:val="2"/>
            <w:tcBorders>
              <w:top w:val="single" w:sz="4" w:space="0" w:color="auto"/>
              <w:bottom w:val="single" w:sz="4" w:space="0" w:color="auto"/>
            </w:tcBorders>
          </w:tcPr>
          <w:p w14:paraId="5DAB43C6" w14:textId="14A62B4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r>
      <w:tr w:rsidR="00CC5764" w:rsidRPr="00956209" w14:paraId="23F53823"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F323048" w14:textId="089B847C" w:rsidR="00CC5764" w:rsidRPr="00F317CA" w:rsidRDefault="707414A3" w:rsidP="00A60C18">
            <w:pPr>
              <w:rPr>
                <w:b w:val="0"/>
                <w:bCs/>
                <w:color w:val="000000"/>
              </w:rPr>
            </w:pPr>
            <w:r w:rsidRPr="039A27EA">
              <w:t>St J</w:t>
            </w:r>
            <w:r w:rsidR="006E2991">
              <w:t>O</w:t>
            </w:r>
            <w:r w:rsidRPr="039A27EA">
              <w:t xml:space="preserve">G </w:t>
            </w:r>
            <w:r w:rsidR="00CC5764" w:rsidRPr="039A27EA">
              <w:t xml:space="preserve">Berwick </w:t>
            </w:r>
          </w:p>
        </w:tc>
        <w:tc>
          <w:tcPr>
            <w:tcW w:w="825" w:type="dxa"/>
            <w:tcBorders>
              <w:top w:val="single" w:sz="4" w:space="0" w:color="auto"/>
              <w:bottom w:val="single" w:sz="4" w:space="0" w:color="auto"/>
            </w:tcBorders>
          </w:tcPr>
          <w:p w14:paraId="73733530" w14:textId="7E65E7B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25CC562B" w14:textId="26764A5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837</w:t>
            </w:r>
          </w:p>
        </w:tc>
        <w:tc>
          <w:tcPr>
            <w:tcW w:w="688" w:type="dxa"/>
            <w:tcBorders>
              <w:top w:val="single" w:sz="4" w:space="0" w:color="auto"/>
              <w:bottom w:val="single" w:sz="4" w:space="0" w:color="auto"/>
            </w:tcBorders>
          </w:tcPr>
          <w:p w14:paraId="2B128078" w14:textId="230DD72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21.6%</w:t>
            </w:r>
          </w:p>
        </w:tc>
        <w:tc>
          <w:tcPr>
            <w:tcW w:w="687" w:type="dxa"/>
            <w:tcBorders>
              <w:top w:val="single" w:sz="4" w:space="0" w:color="auto"/>
              <w:bottom w:val="single" w:sz="4" w:space="0" w:color="auto"/>
            </w:tcBorders>
          </w:tcPr>
          <w:p w14:paraId="7FD7550E" w14:textId="6504935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22.2%</w:t>
            </w:r>
          </w:p>
        </w:tc>
        <w:tc>
          <w:tcPr>
            <w:tcW w:w="688" w:type="dxa"/>
            <w:tcBorders>
              <w:top w:val="single" w:sz="4" w:space="0" w:color="auto"/>
              <w:bottom w:val="single" w:sz="4" w:space="0" w:color="auto"/>
            </w:tcBorders>
          </w:tcPr>
          <w:p w14:paraId="02E6F5A6" w14:textId="7B95611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34.4%</w:t>
            </w:r>
          </w:p>
        </w:tc>
        <w:tc>
          <w:tcPr>
            <w:tcW w:w="688" w:type="dxa"/>
            <w:tcBorders>
              <w:top w:val="single" w:sz="4" w:space="0" w:color="auto"/>
              <w:bottom w:val="single" w:sz="4" w:space="0" w:color="auto"/>
            </w:tcBorders>
          </w:tcPr>
          <w:p w14:paraId="716A82A5" w14:textId="2CB9E20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7" w:type="dxa"/>
            <w:tcBorders>
              <w:top w:val="single" w:sz="4" w:space="0" w:color="auto"/>
              <w:bottom w:val="single" w:sz="4" w:space="0" w:color="auto"/>
            </w:tcBorders>
          </w:tcPr>
          <w:p w14:paraId="1E22EDA1" w14:textId="7221155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1.0%</w:t>
            </w:r>
          </w:p>
        </w:tc>
        <w:tc>
          <w:tcPr>
            <w:tcW w:w="688" w:type="dxa"/>
            <w:tcBorders>
              <w:top w:val="single" w:sz="4" w:space="0" w:color="auto"/>
              <w:bottom w:val="single" w:sz="4" w:space="0" w:color="auto"/>
            </w:tcBorders>
          </w:tcPr>
          <w:p w14:paraId="3D030371" w14:textId="7A3D5D0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7A7EA9B" w14:textId="1F28055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12.5%</w:t>
            </w:r>
          </w:p>
        </w:tc>
        <w:tc>
          <w:tcPr>
            <w:tcW w:w="688" w:type="dxa"/>
            <w:tcBorders>
              <w:top w:val="single" w:sz="4" w:space="0" w:color="auto"/>
              <w:bottom w:val="single" w:sz="4" w:space="0" w:color="auto"/>
            </w:tcBorders>
          </w:tcPr>
          <w:p w14:paraId="3FE00D02" w14:textId="5D62461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0.9</w:t>
            </w:r>
          </w:p>
        </w:tc>
        <w:tc>
          <w:tcPr>
            <w:tcW w:w="687" w:type="dxa"/>
            <w:tcBorders>
              <w:top w:val="single" w:sz="4" w:space="0" w:color="auto"/>
              <w:bottom w:val="single" w:sz="4" w:space="0" w:color="auto"/>
            </w:tcBorders>
          </w:tcPr>
          <w:p w14:paraId="115FD142" w14:textId="1E284FA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1.3%</w:t>
            </w:r>
          </w:p>
        </w:tc>
        <w:tc>
          <w:tcPr>
            <w:tcW w:w="688" w:type="dxa"/>
            <w:tcBorders>
              <w:top w:val="single" w:sz="4" w:space="0" w:color="auto"/>
              <w:bottom w:val="single" w:sz="4" w:space="0" w:color="auto"/>
            </w:tcBorders>
          </w:tcPr>
          <w:p w14:paraId="23EB880D" w14:textId="0B857FD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DCF219B" w14:textId="1B85DC0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E490AB5" w14:textId="7955F31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bCs/>
                <w:color w:val="000000"/>
              </w:rPr>
            </w:pPr>
            <w:r w:rsidRPr="00187B4C">
              <w:t>1.3%</w:t>
            </w:r>
          </w:p>
        </w:tc>
        <w:tc>
          <w:tcPr>
            <w:tcW w:w="688" w:type="dxa"/>
            <w:tcBorders>
              <w:top w:val="single" w:sz="4" w:space="0" w:color="auto"/>
              <w:bottom w:val="single" w:sz="4" w:space="0" w:color="auto"/>
            </w:tcBorders>
          </w:tcPr>
          <w:p w14:paraId="432C7B99" w14:textId="715BCCA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C8E7F1D" w14:textId="69C773C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1AF4FE8" w14:textId="23B20B1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bCs/>
                <w:color w:val="9C0006"/>
              </w:rPr>
            </w:pPr>
            <w:r w:rsidRPr="00E966BB">
              <w:t>74.0%</w:t>
            </w:r>
          </w:p>
        </w:tc>
        <w:tc>
          <w:tcPr>
            <w:tcW w:w="688" w:type="dxa"/>
            <w:tcBorders>
              <w:top w:val="single" w:sz="4" w:space="0" w:color="auto"/>
              <w:bottom w:val="single" w:sz="4" w:space="0" w:color="auto"/>
            </w:tcBorders>
          </w:tcPr>
          <w:p w14:paraId="5D993EFC" w14:textId="00602AC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0.7%</w:t>
            </w:r>
          </w:p>
        </w:tc>
        <w:tc>
          <w:tcPr>
            <w:tcW w:w="688" w:type="dxa"/>
            <w:tcBorders>
              <w:top w:val="single" w:sz="4" w:space="0" w:color="auto"/>
              <w:bottom w:val="single" w:sz="4" w:space="0" w:color="auto"/>
            </w:tcBorders>
          </w:tcPr>
          <w:p w14:paraId="5B12433B" w14:textId="0454E6D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c>
          <w:tcPr>
            <w:tcW w:w="688" w:type="dxa"/>
            <w:gridSpan w:val="2"/>
            <w:tcBorders>
              <w:top w:val="single" w:sz="4" w:space="0" w:color="auto"/>
              <w:bottom w:val="single" w:sz="4" w:space="0" w:color="auto"/>
            </w:tcBorders>
          </w:tcPr>
          <w:p w14:paraId="66AA07AC" w14:textId="4828667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w:t>
            </w:r>
          </w:p>
        </w:tc>
      </w:tr>
      <w:tr w:rsidR="00CC5764" w:rsidRPr="00956209" w14:paraId="55527C7D"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8629E5E" w14:textId="50F02A26" w:rsidR="00CC5764" w:rsidRPr="00F317CA" w:rsidRDefault="00CC5764" w:rsidP="00A60C18">
            <w:pPr>
              <w:rPr>
                <w:b w:val="0"/>
              </w:rPr>
            </w:pPr>
            <w:r w:rsidRPr="00F317CA">
              <w:t>Northpark Private</w:t>
            </w:r>
          </w:p>
        </w:tc>
        <w:tc>
          <w:tcPr>
            <w:tcW w:w="825" w:type="dxa"/>
            <w:tcBorders>
              <w:top w:val="single" w:sz="4" w:space="0" w:color="auto"/>
              <w:bottom w:val="single" w:sz="4" w:space="0" w:color="auto"/>
            </w:tcBorders>
          </w:tcPr>
          <w:p w14:paraId="3A6242E2" w14:textId="288DE6F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66AC9D8F" w14:textId="66E298E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750</w:t>
            </w:r>
          </w:p>
        </w:tc>
        <w:tc>
          <w:tcPr>
            <w:tcW w:w="688" w:type="dxa"/>
            <w:tcBorders>
              <w:top w:val="single" w:sz="4" w:space="0" w:color="auto"/>
              <w:bottom w:val="single" w:sz="4" w:space="0" w:color="auto"/>
            </w:tcBorders>
          </w:tcPr>
          <w:p w14:paraId="07255F67" w14:textId="1E10A37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33.3%</w:t>
            </w:r>
          </w:p>
        </w:tc>
        <w:tc>
          <w:tcPr>
            <w:tcW w:w="687" w:type="dxa"/>
            <w:tcBorders>
              <w:top w:val="single" w:sz="4" w:space="0" w:color="auto"/>
              <w:bottom w:val="single" w:sz="4" w:space="0" w:color="auto"/>
            </w:tcBorders>
          </w:tcPr>
          <w:p w14:paraId="3FC9ADD6" w14:textId="7F5C0C5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9.5%</w:t>
            </w:r>
          </w:p>
        </w:tc>
        <w:tc>
          <w:tcPr>
            <w:tcW w:w="688" w:type="dxa"/>
            <w:tcBorders>
              <w:top w:val="single" w:sz="4" w:space="0" w:color="auto"/>
              <w:bottom w:val="single" w:sz="4" w:space="0" w:color="auto"/>
            </w:tcBorders>
          </w:tcPr>
          <w:p w14:paraId="371EC628" w14:textId="0952F02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31.6%</w:t>
            </w:r>
          </w:p>
        </w:tc>
        <w:tc>
          <w:tcPr>
            <w:tcW w:w="688" w:type="dxa"/>
            <w:tcBorders>
              <w:top w:val="single" w:sz="4" w:space="0" w:color="auto"/>
              <w:bottom w:val="single" w:sz="4" w:space="0" w:color="auto"/>
            </w:tcBorders>
          </w:tcPr>
          <w:p w14:paraId="32A4B716" w14:textId="4DD2D93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2.4%</w:t>
            </w:r>
          </w:p>
        </w:tc>
        <w:tc>
          <w:tcPr>
            <w:tcW w:w="687" w:type="dxa"/>
            <w:tcBorders>
              <w:top w:val="single" w:sz="4" w:space="0" w:color="auto"/>
              <w:bottom w:val="single" w:sz="4" w:space="0" w:color="auto"/>
            </w:tcBorders>
          </w:tcPr>
          <w:p w14:paraId="74109690" w14:textId="2CE3C17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7.1%</w:t>
            </w:r>
          </w:p>
        </w:tc>
        <w:tc>
          <w:tcPr>
            <w:tcW w:w="688" w:type="dxa"/>
            <w:tcBorders>
              <w:top w:val="single" w:sz="4" w:space="0" w:color="auto"/>
              <w:bottom w:val="single" w:sz="4" w:space="0" w:color="auto"/>
            </w:tcBorders>
          </w:tcPr>
          <w:p w14:paraId="3B6D0EC5" w14:textId="3880B0D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1DC6A2A" w14:textId="3C0D091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37.5%</w:t>
            </w:r>
          </w:p>
        </w:tc>
        <w:tc>
          <w:tcPr>
            <w:tcW w:w="688" w:type="dxa"/>
            <w:tcBorders>
              <w:top w:val="single" w:sz="4" w:space="0" w:color="auto"/>
              <w:bottom w:val="single" w:sz="4" w:space="0" w:color="auto"/>
            </w:tcBorders>
          </w:tcPr>
          <w:p w14:paraId="5FE1BBDA" w14:textId="6B30E29B" w:rsidR="00CC5764" w:rsidRPr="00F317CA" w:rsidRDefault="5DAA6BDC"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71F077EE" w14:textId="302A097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0.9%</w:t>
            </w:r>
          </w:p>
        </w:tc>
        <w:tc>
          <w:tcPr>
            <w:tcW w:w="688" w:type="dxa"/>
            <w:tcBorders>
              <w:top w:val="single" w:sz="4" w:space="0" w:color="auto"/>
              <w:bottom w:val="single" w:sz="4" w:space="0" w:color="auto"/>
            </w:tcBorders>
          </w:tcPr>
          <w:p w14:paraId="3135C838" w14:textId="57BB189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74ECF67" w14:textId="3FAB2F5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65.4%</w:t>
            </w:r>
          </w:p>
        </w:tc>
        <w:tc>
          <w:tcPr>
            <w:tcW w:w="687" w:type="dxa"/>
            <w:tcBorders>
              <w:top w:val="single" w:sz="4" w:space="0" w:color="auto"/>
              <w:bottom w:val="single" w:sz="4" w:space="0" w:color="auto"/>
            </w:tcBorders>
          </w:tcPr>
          <w:p w14:paraId="25779210" w14:textId="25434E2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2.0%</w:t>
            </w:r>
          </w:p>
        </w:tc>
        <w:tc>
          <w:tcPr>
            <w:tcW w:w="688" w:type="dxa"/>
            <w:tcBorders>
              <w:top w:val="single" w:sz="4" w:space="0" w:color="auto"/>
              <w:bottom w:val="single" w:sz="4" w:space="0" w:color="auto"/>
            </w:tcBorders>
          </w:tcPr>
          <w:p w14:paraId="772B3C29" w14:textId="221A278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0AFF49E" w14:textId="606C2FF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094837D4" w14:textId="3178746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59.5%</w:t>
            </w:r>
          </w:p>
        </w:tc>
        <w:tc>
          <w:tcPr>
            <w:tcW w:w="688" w:type="dxa"/>
            <w:tcBorders>
              <w:top w:val="single" w:sz="4" w:space="0" w:color="auto"/>
              <w:bottom w:val="single" w:sz="4" w:space="0" w:color="auto"/>
            </w:tcBorders>
          </w:tcPr>
          <w:p w14:paraId="32927F1B" w14:textId="7516D90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0.9%</w:t>
            </w:r>
          </w:p>
        </w:tc>
        <w:tc>
          <w:tcPr>
            <w:tcW w:w="688" w:type="dxa"/>
            <w:tcBorders>
              <w:top w:val="single" w:sz="4" w:space="0" w:color="auto"/>
              <w:bottom w:val="single" w:sz="4" w:space="0" w:color="auto"/>
            </w:tcBorders>
          </w:tcPr>
          <w:p w14:paraId="39230667" w14:textId="088FD4A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c>
          <w:tcPr>
            <w:tcW w:w="688" w:type="dxa"/>
            <w:gridSpan w:val="2"/>
            <w:tcBorders>
              <w:top w:val="single" w:sz="4" w:space="0" w:color="auto"/>
              <w:bottom w:val="single" w:sz="4" w:space="0" w:color="auto"/>
            </w:tcBorders>
          </w:tcPr>
          <w:p w14:paraId="0FB95DDC" w14:textId="10DEDE7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r>
      <w:tr w:rsidR="00CC5764" w:rsidRPr="00956209" w14:paraId="620FBD9C"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4A32E23D" w14:textId="51097177" w:rsidR="00CC5764" w:rsidRPr="00F317CA" w:rsidRDefault="00CC5764" w:rsidP="00A60C18">
            <w:pPr>
              <w:rPr>
                <w:b w:val="0"/>
              </w:rPr>
            </w:pPr>
            <w:r w:rsidRPr="00F317CA">
              <w:t>St JOG Geelong</w:t>
            </w:r>
          </w:p>
        </w:tc>
        <w:tc>
          <w:tcPr>
            <w:tcW w:w="825" w:type="dxa"/>
            <w:tcBorders>
              <w:top w:val="single" w:sz="4" w:space="0" w:color="auto"/>
              <w:bottom w:val="single" w:sz="4" w:space="0" w:color="auto"/>
            </w:tcBorders>
          </w:tcPr>
          <w:p w14:paraId="1D1E1A66" w14:textId="7252D43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26E78589" w14:textId="6EA3669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553</w:t>
            </w:r>
          </w:p>
        </w:tc>
        <w:tc>
          <w:tcPr>
            <w:tcW w:w="688" w:type="dxa"/>
            <w:tcBorders>
              <w:top w:val="single" w:sz="4" w:space="0" w:color="auto"/>
              <w:bottom w:val="single" w:sz="4" w:space="0" w:color="auto"/>
            </w:tcBorders>
          </w:tcPr>
          <w:p w14:paraId="1AFAA161" w14:textId="0DA2B1C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37.8%</w:t>
            </w:r>
          </w:p>
        </w:tc>
        <w:tc>
          <w:tcPr>
            <w:tcW w:w="687" w:type="dxa"/>
            <w:tcBorders>
              <w:top w:val="single" w:sz="4" w:space="0" w:color="auto"/>
              <w:bottom w:val="single" w:sz="4" w:space="0" w:color="auto"/>
            </w:tcBorders>
          </w:tcPr>
          <w:p w14:paraId="1C0DBA17" w14:textId="358BD95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36.4%</w:t>
            </w:r>
          </w:p>
        </w:tc>
        <w:tc>
          <w:tcPr>
            <w:tcW w:w="688" w:type="dxa"/>
            <w:tcBorders>
              <w:top w:val="single" w:sz="4" w:space="0" w:color="auto"/>
              <w:bottom w:val="single" w:sz="4" w:space="0" w:color="auto"/>
            </w:tcBorders>
          </w:tcPr>
          <w:p w14:paraId="55A8D281" w14:textId="511CDC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45.7%</w:t>
            </w:r>
          </w:p>
        </w:tc>
        <w:tc>
          <w:tcPr>
            <w:tcW w:w="688" w:type="dxa"/>
            <w:tcBorders>
              <w:top w:val="single" w:sz="4" w:space="0" w:color="auto"/>
              <w:bottom w:val="single" w:sz="4" w:space="0" w:color="auto"/>
            </w:tcBorders>
          </w:tcPr>
          <w:p w14:paraId="48A08A03" w14:textId="5B33DB6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7" w:type="dxa"/>
            <w:tcBorders>
              <w:top w:val="single" w:sz="4" w:space="0" w:color="auto"/>
              <w:bottom w:val="single" w:sz="4" w:space="0" w:color="auto"/>
            </w:tcBorders>
          </w:tcPr>
          <w:p w14:paraId="51DB6530" w14:textId="6F7607F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3.1%</w:t>
            </w:r>
          </w:p>
        </w:tc>
        <w:tc>
          <w:tcPr>
            <w:tcW w:w="688" w:type="dxa"/>
            <w:tcBorders>
              <w:top w:val="single" w:sz="4" w:space="0" w:color="auto"/>
              <w:bottom w:val="single" w:sz="4" w:space="0" w:color="auto"/>
            </w:tcBorders>
          </w:tcPr>
          <w:p w14:paraId="68C5C2F1" w14:textId="1E1B817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5D495F5" w14:textId="204389A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0.0%</w:t>
            </w:r>
          </w:p>
        </w:tc>
        <w:tc>
          <w:tcPr>
            <w:tcW w:w="688" w:type="dxa"/>
            <w:tcBorders>
              <w:top w:val="single" w:sz="4" w:space="0" w:color="auto"/>
              <w:bottom w:val="single" w:sz="4" w:space="0" w:color="auto"/>
            </w:tcBorders>
          </w:tcPr>
          <w:p w14:paraId="47899BE4" w14:textId="5A03AA9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0.9</w:t>
            </w:r>
          </w:p>
        </w:tc>
        <w:tc>
          <w:tcPr>
            <w:tcW w:w="687" w:type="dxa"/>
            <w:tcBorders>
              <w:top w:val="single" w:sz="4" w:space="0" w:color="auto"/>
              <w:bottom w:val="single" w:sz="4" w:space="0" w:color="auto"/>
            </w:tcBorders>
          </w:tcPr>
          <w:p w14:paraId="052E4309" w14:textId="59B38F0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3.7%</w:t>
            </w:r>
          </w:p>
        </w:tc>
        <w:tc>
          <w:tcPr>
            <w:tcW w:w="688" w:type="dxa"/>
            <w:tcBorders>
              <w:top w:val="single" w:sz="4" w:space="0" w:color="auto"/>
              <w:bottom w:val="single" w:sz="4" w:space="0" w:color="auto"/>
            </w:tcBorders>
          </w:tcPr>
          <w:p w14:paraId="5ACE7581" w14:textId="5882361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D7EA969" w14:textId="1662D01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F35E8ED" w14:textId="67D5451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2.0%</w:t>
            </w:r>
          </w:p>
        </w:tc>
        <w:tc>
          <w:tcPr>
            <w:tcW w:w="688" w:type="dxa"/>
            <w:tcBorders>
              <w:top w:val="single" w:sz="4" w:space="0" w:color="auto"/>
              <w:bottom w:val="single" w:sz="4" w:space="0" w:color="auto"/>
            </w:tcBorders>
          </w:tcPr>
          <w:p w14:paraId="1235A664" w14:textId="7BC760A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2F3CF916" w14:textId="2AD50CA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12C81A8" w14:textId="4A53AF9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82.7%</w:t>
            </w:r>
          </w:p>
        </w:tc>
        <w:tc>
          <w:tcPr>
            <w:tcW w:w="688" w:type="dxa"/>
            <w:tcBorders>
              <w:top w:val="single" w:sz="4" w:space="0" w:color="auto"/>
              <w:bottom w:val="single" w:sz="4" w:space="0" w:color="auto"/>
            </w:tcBorders>
          </w:tcPr>
          <w:p w14:paraId="3376DA81" w14:textId="0784524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1.1%</w:t>
            </w:r>
          </w:p>
        </w:tc>
        <w:tc>
          <w:tcPr>
            <w:tcW w:w="688" w:type="dxa"/>
            <w:tcBorders>
              <w:top w:val="single" w:sz="4" w:space="0" w:color="auto"/>
              <w:bottom w:val="single" w:sz="4" w:space="0" w:color="auto"/>
            </w:tcBorders>
          </w:tcPr>
          <w:p w14:paraId="71A963D9" w14:textId="7A54610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c>
          <w:tcPr>
            <w:tcW w:w="688" w:type="dxa"/>
            <w:gridSpan w:val="2"/>
            <w:tcBorders>
              <w:top w:val="single" w:sz="4" w:space="0" w:color="auto"/>
              <w:bottom w:val="single" w:sz="4" w:space="0" w:color="auto"/>
            </w:tcBorders>
          </w:tcPr>
          <w:p w14:paraId="0A6865A2" w14:textId="121A319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w:t>
            </w:r>
          </w:p>
        </w:tc>
      </w:tr>
      <w:tr w:rsidR="00CC5764" w:rsidRPr="00956209" w14:paraId="40F0C77A"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019126B" w14:textId="6169FCE3" w:rsidR="00CC5764" w:rsidRPr="00F317CA" w:rsidRDefault="00CC5764" w:rsidP="00A60C18">
            <w:pPr>
              <w:rPr>
                <w:b w:val="0"/>
              </w:rPr>
            </w:pPr>
            <w:r w:rsidRPr="00F317CA">
              <w:t>Bays Mornington</w:t>
            </w:r>
          </w:p>
        </w:tc>
        <w:tc>
          <w:tcPr>
            <w:tcW w:w="825" w:type="dxa"/>
            <w:tcBorders>
              <w:top w:val="single" w:sz="4" w:space="0" w:color="auto"/>
              <w:bottom w:val="single" w:sz="4" w:space="0" w:color="auto"/>
            </w:tcBorders>
          </w:tcPr>
          <w:p w14:paraId="4CE47002" w14:textId="3A177DA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72A9CE19" w14:textId="323BA2A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461</w:t>
            </w:r>
          </w:p>
        </w:tc>
        <w:tc>
          <w:tcPr>
            <w:tcW w:w="688" w:type="dxa"/>
            <w:tcBorders>
              <w:top w:val="single" w:sz="4" w:space="0" w:color="auto"/>
              <w:bottom w:val="single" w:sz="4" w:space="0" w:color="auto"/>
            </w:tcBorders>
          </w:tcPr>
          <w:p w14:paraId="775478F5" w14:textId="34DB51E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33.7%</w:t>
            </w:r>
          </w:p>
        </w:tc>
        <w:tc>
          <w:tcPr>
            <w:tcW w:w="687" w:type="dxa"/>
            <w:tcBorders>
              <w:top w:val="single" w:sz="4" w:space="0" w:color="auto"/>
              <w:bottom w:val="single" w:sz="4" w:space="0" w:color="auto"/>
            </w:tcBorders>
          </w:tcPr>
          <w:p w14:paraId="7EB15426" w14:textId="5CE2137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11.9%</w:t>
            </w:r>
          </w:p>
        </w:tc>
        <w:tc>
          <w:tcPr>
            <w:tcW w:w="688" w:type="dxa"/>
            <w:tcBorders>
              <w:top w:val="single" w:sz="4" w:space="0" w:color="auto"/>
              <w:bottom w:val="single" w:sz="4" w:space="0" w:color="auto"/>
            </w:tcBorders>
          </w:tcPr>
          <w:p w14:paraId="73F62D76" w14:textId="6810879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35.4%</w:t>
            </w:r>
          </w:p>
        </w:tc>
        <w:tc>
          <w:tcPr>
            <w:tcW w:w="688" w:type="dxa"/>
            <w:tcBorders>
              <w:top w:val="single" w:sz="4" w:space="0" w:color="auto"/>
              <w:bottom w:val="single" w:sz="4" w:space="0" w:color="auto"/>
            </w:tcBorders>
          </w:tcPr>
          <w:p w14:paraId="463B0B37" w14:textId="5D2E151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7" w:type="dxa"/>
            <w:tcBorders>
              <w:top w:val="single" w:sz="4" w:space="0" w:color="auto"/>
              <w:bottom w:val="single" w:sz="4" w:space="0" w:color="auto"/>
            </w:tcBorders>
          </w:tcPr>
          <w:p w14:paraId="622A26DA" w14:textId="4BEB71B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1.9%</w:t>
            </w:r>
          </w:p>
        </w:tc>
        <w:tc>
          <w:tcPr>
            <w:tcW w:w="688" w:type="dxa"/>
            <w:tcBorders>
              <w:top w:val="single" w:sz="4" w:space="0" w:color="auto"/>
              <w:bottom w:val="single" w:sz="4" w:space="0" w:color="auto"/>
            </w:tcBorders>
          </w:tcPr>
          <w:p w14:paraId="06216C4A" w14:textId="22763DF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4B44065C" w14:textId="2D34075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20.0%</w:t>
            </w:r>
          </w:p>
        </w:tc>
        <w:tc>
          <w:tcPr>
            <w:tcW w:w="688" w:type="dxa"/>
            <w:tcBorders>
              <w:top w:val="single" w:sz="4" w:space="0" w:color="auto"/>
              <w:bottom w:val="single" w:sz="4" w:space="0" w:color="auto"/>
            </w:tcBorders>
          </w:tcPr>
          <w:p w14:paraId="0BB4C919" w14:textId="543C9250" w:rsidR="00CC5764" w:rsidRPr="00F317CA" w:rsidRDefault="2E7AAFF6" w:rsidP="00A60C18">
            <w:pPr>
              <w:cnfStyle w:val="000000000000" w:firstRow="0" w:lastRow="0" w:firstColumn="0" w:lastColumn="0" w:oddVBand="0" w:evenVBand="0" w:oddHBand="0" w:evenHBand="0" w:firstRowFirstColumn="0" w:firstRowLastColumn="0" w:lastRowFirstColumn="0" w:lastRowLastColumn="0"/>
              <w:rPr>
                <w:bCs/>
                <w:color w:val="000000"/>
              </w:rPr>
            </w:pPr>
            <w:r w:rsidRPr="039A27EA">
              <w:t>NA</w:t>
            </w:r>
          </w:p>
        </w:tc>
        <w:tc>
          <w:tcPr>
            <w:tcW w:w="687" w:type="dxa"/>
            <w:tcBorders>
              <w:top w:val="single" w:sz="4" w:space="0" w:color="auto"/>
              <w:bottom w:val="single" w:sz="4" w:space="0" w:color="auto"/>
            </w:tcBorders>
          </w:tcPr>
          <w:p w14:paraId="3193771C" w14:textId="4C35A26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9.0%</w:t>
            </w:r>
          </w:p>
        </w:tc>
        <w:tc>
          <w:tcPr>
            <w:tcW w:w="688" w:type="dxa"/>
            <w:tcBorders>
              <w:top w:val="single" w:sz="4" w:space="0" w:color="auto"/>
              <w:bottom w:val="single" w:sz="4" w:space="0" w:color="auto"/>
            </w:tcBorders>
          </w:tcPr>
          <w:p w14:paraId="014D3B67" w14:textId="40A48E7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0AEC83D0" w14:textId="03FAD39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E89682E" w14:textId="4893DF3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0.5%</w:t>
            </w:r>
          </w:p>
        </w:tc>
        <w:tc>
          <w:tcPr>
            <w:tcW w:w="688" w:type="dxa"/>
            <w:tcBorders>
              <w:top w:val="single" w:sz="4" w:space="0" w:color="auto"/>
              <w:bottom w:val="single" w:sz="4" w:space="0" w:color="auto"/>
            </w:tcBorders>
          </w:tcPr>
          <w:p w14:paraId="686E72BB" w14:textId="6BE7CE0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0345319" w14:textId="36D8869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2264E277" w14:textId="2BB1106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39A27EA">
              <w:t>80.4%</w:t>
            </w:r>
          </w:p>
        </w:tc>
        <w:tc>
          <w:tcPr>
            <w:tcW w:w="688" w:type="dxa"/>
            <w:tcBorders>
              <w:top w:val="single" w:sz="4" w:space="0" w:color="auto"/>
              <w:bottom w:val="single" w:sz="4" w:space="0" w:color="auto"/>
            </w:tcBorders>
          </w:tcPr>
          <w:p w14:paraId="1350B6CA" w14:textId="42CDF67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2.6%</w:t>
            </w:r>
          </w:p>
        </w:tc>
        <w:tc>
          <w:tcPr>
            <w:tcW w:w="688" w:type="dxa"/>
            <w:tcBorders>
              <w:top w:val="single" w:sz="4" w:space="0" w:color="auto"/>
              <w:bottom w:val="single" w:sz="4" w:space="0" w:color="auto"/>
            </w:tcBorders>
          </w:tcPr>
          <w:p w14:paraId="1A8128C5" w14:textId="7274E08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c>
          <w:tcPr>
            <w:tcW w:w="688" w:type="dxa"/>
            <w:gridSpan w:val="2"/>
            <w:tcBorders>
              <w:top w:val="single" w:sz="4" w:space="0" w:color="auto"/>
              <w:bottom w:val="single" w:sz="4" w:space="0" w:color="auto"/>
            </w:tcBorders>
          </w:tcPr>
          <w:p w14:paraId="6805C8AF" w14:textId="08D7CA0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w:t>
            </w:r>
          </w:p>
        </w:tc>
      </w:tr>
      <w:tr w:rsidR="00CC5764" w:rsidRPr="00956209" w14:paraId="3B9E2559"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6E65E7B7" w14:textId="596E66F4" w:rsidR="00CC5764" w:rsidRPr="00F317CA" w:rsidRDefault="00CC5764" w:rsidP="00A60C18">
            <w:pPr>
              <w:rPr>
                <w:b w:val="0"/>
              </w:rPr>
            </w:pPr>
            <w:r w:rsidRPr="00F317CA">
              <w:t>St JOG Ballarat</w:t>
            </w:r>
          </w:p>
        </w:tc>
        <w:tc>
          <w:tcPr>
            <w:tcW w:w="825" w:type="dxa"/>
            <w:tcBorders>
              <w:top w:val="single" w:sz="4" w:space="0" w:color="auto"/>
              <w:bottom w:val="single" w:sz="4" w:space="0" w:color="auto"/>
            </w:tcBorders>
          </w:tcPr>
          <w:p w14:paraId="56774F84" w14:textId="7B70748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3A32547E" w14:textId="24327F36"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430</w:t>
            </w:r>
          </w:p>
        </w:tc>
        <w:tc>
          <w:tcPr>
            <w:tcW w:w="688" w:type="dxa"/>
            <w:tcBorders>
              <w:top w:val="single" w:sz="4" w:space="0" w:color="auto"/>
              <w:bottom w:val="single" w:sz="4" w:space="0" w:color="auto"/>
            </w:tcBorders>
          </w:tcPr>
          <w:p w14:paraId="37E041F0" w14:textId="4047085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37.7%</w:t>
            </w:r>
          </w:p>
        </w:tc>
        <w:tc>
          <w:tcPr>
            <w:tcW w:w="687" w:type="dxa"/>
            <w:tcBorders>
              <w:top w:val="single" w:sz="4" w:space="0" w:color="auto"/>
              <w:bottom w:val="single" w:sz="4" w:space="0" w:color="auto"/>
            </w:tcBorders>
          </w:tcPr>
          <w:p w14:paraId="314E57B3" w14:textId="0016F32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31.6%</w:t>
            </w:r>
          </w:p>
        </w:tc>
        <w:tc>
          <w:tcPr>
            <w:tcW w:w="688" w:type="dxa"/>
            <w:tcBorders>
              <w:top w:val="single" w:sz="4" w:space="0" w:color="auto"/>
              <w:bottom w:val="single" w:sz="4" w:space="0" w:color="auto"/>
            </w:tcBorders>
          </w:tcPr>
          <w:p w14:paraId="25873AC1" w14:textId="0B79FB74"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41.3%</w:t>
            </w:r>
          </w:p>
        </w:tc>
        <w:tc>
          <w:tcPr>
            <w:tcW w:w="688" w:type="dxa"/>
            <w:tcBorders>
              <w:top w:val="single" w:sz="4" w:space="0" w:color="auto"/>
              <w:bottom w:val="single" w:sz="4" w:space="0" w:color="auto"/>
            </w:tcBorders>
          </w:tcPr>
          <w:p w14:paraId="4FE5D7F4" w14:textId="61B04909"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3.3%</w:t>
            </w:r>
          </w:p>
        </w:tc>
        <w:tc>
          <w:tcPr>
            <w:tcW w:w="687" w:type="dxa"/>
            <w:tcBorders>
              <w:top w:val="single" w:sz="4" w:space="0" w:color="auto"/>
              <w:bottom w:val="single" w:sz="4" w:space="0" w:color="auto"/>
            </w:tcBorders>
          </w:tcPr>
          <w:p w14:paraId="3F9A7D50" w14:textId="42EED919"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bCs/>
                <w:color w:val="000000"/>
              </w:rPr>
            </w:pPr>
            <w:r w:rsidRPr="00330D68">
              <w:t>2.6%</w:t>
            </w:r>
          </w:p>
        </w:tc>
        <w:tc>
          <w:tcPr>
            <w:tcW w:w="688" w:type="dxa"/>
            <w:tcBorders>
              <w:top w:val="single" w:sz="4" w:space="0" w:color="auto"/>
              <w:bottom w:val="single" w:sz="4" w:space="0" w:color="auto"/>
            </w:tcBorders>
          </w:tcPr>
          <w:p w14:paraId="24C63F74" w14:textId="600B5AE3"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47D135D" w14:textId="2EAAA94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0.0%</w:t>
            </w:r>
          </w:p>
        </w:tc>
        <w:tc>
          <w:tcPr>
            <w:tcW w:w="688" w:type="dxa"/>
            <w:tcBorders>
              <w:top w:val="single" w:sz="4" w:space="0" w:color="auto"/>
              <w:bottom w:val="single" w:sz="4" w:space="0" w:color="auto"/>
            </w:tcBorders>
          </w:tcPr>
          <w:p w14:paraId="2D5CC8E7" w14:textId="3E872C30" w:rsidR="00CC5764" w:rsidRPr="00F4095B" w:rsidRDefault="01F2F093"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5B9411E5" w14:textId="08132DB6"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2.4%</w:t>
            </w:r>
          </w:p>
        </w:tc>
        <w:tc>
          <w:tcPr>
            <w:tcW w:w="688" w:type="dxa"/>
            <w:tcBorders>
              <w:top w:val="single" w:sz="4" w:space="0" w:color="auto"/>
              <w:bottom w:val="single" w:sz="4" w:space="0" w:color="auto"/>
            </w:tcBorders>
          </w:tcPr>
          <w:p w14:paraId="5A7F5F13" w14:textId="62CD50A5"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36F306B" w14:textId="799BA640"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BA174E1" w14:textId="6345DD0F"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2.1%</w:t>
            </w:r>
          </w:p>
        </w:tc>
        <w:tc>
          <w:tcPr>
            <w:tcW w:w="688" w:type="dxa"/>
            <w:tcBorders>
              <w:top w:val="single" w:sz="4" w:space="0" w:color="auto"/>
              <w:bottom w:val="single" w:sz="4" w:space="0" w:color="auto"/>
            </w:tcBorders>
          </w:tcPr>
          <w:p w14:paraId="3C0DA6D1" w14:textId="0A3E7360"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2C579E9" w14:textId="18DCE51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1CE2E59E" w14:textId="6D4CAA0B"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bCs/>
                <w:color w:val="9C0006"/>
              </w:rPr>
            </w:pPr>
            <w:r w:rsidRPr="007E43F4">
              <w:t>73.9%</w:t>
            </w:r>
          </w:p>
        </w:tc>
        <w:tc>
          <w:tcPr>
            <w:tcW w:w="688" w:type="dxa"/>
            <w:tcBorders>
              <w:top w:val="single" w:sz="4" w:space="0" w:color="auto"/>
              <w:bottom w:val="single" w:sz="4" w:space="0" w:color="auto"/>
            </w:tcBorders>
          </w:tcPr>
          <w:p w14:paraId="478FAF8C" w14:textId="31246547"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2.1%</w:t>
            </w:r>
          </w:p>
        </w:tc>
        <w:tc>
          <w:tcPr>
            <w:tcW w:w="688" w:type="dxa"/>
            <w:tcBorders>
              <w:top w:val="single" w:sz="4" w:space="0" w:color="auto"/>
              <w:bottom w:val="single" w:sz="4" w:space="0" w:color="auto"/>
            </w:tcBorders>
          </w:tcPr>
          <w:p w14:paraId="6E4E5CD5" w14:textId="5C4E233E"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gridSpan w:val="2"/>
            <w:tcBorders>
              <w:top w:val="single" w:sz="4" w:space="0" w:color="auto"/>
              <w:bottom w:val="single" w:sz="4" w:space="0" w:color="auto"/>
            </w:tcBorders>
          </w:tcPr>
          <w:p w14:paraId="4F4C4273" w14:textId="3CAAE22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r>
      <w:tr w:rsidR="00CC5764" w:rsidRPr="00956209" w14:paraId="563BAA2A"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25B2FC72" w14:textId="02B3E4B1" w:rsidR="00CC5764" w:rsidRPr="00F317CA" w:rsidRDefault="00CC5764" w:rsidP="00A60C18">
            <w:pPr>
              <w:rPr>
                <w:b w:val="0"/>
              </w:rPr>
            </w:pPr>
            <w:r w:rsidRPr="00F317CA">
              <w:t>Peninsula Private</w:t>
            </w:r>
          </w:p>
        </w:tc>
        <w:tc>
          <w:tcPr>
            <w:tcW w:w="825" w:type="dxa"/>
            <w:tcBorders>
              <w:top w:val="single" w:sz="4" w:space="0" w:color="auto"/>
              <w:bottom w:val="single" w:sz="4" w:space="0" w:color="auto"/>
            </w:tcBorders>
          </w:tcPr>
          <w:p w14:paraId="5E8B5A6F" w14:textId="4A5915F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231936EF" w14:textId="56ABAEDF"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356</w:t>
            </w:r>
          </w:p>
        </w:tc>
        <w:tc>
          <w:tcPr>
            <w:tcW w:w="688" w:type="dxa"/>
            <w:tcBorders>
              <w:top w:val="single" w:sz="4" w:space="0" w:color="auto"/>
              <w:bottom w:val="single" w:sz="4" w:space="0" w:color="auto"/>
            </w:tcBorders>
          </w:tcPr>
          <w:p w14:paraId="195D23CD" w14:textId="13607635"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36.8%</w:t>
            </w:r>
          </w:p>
        </w:tc>
        <w:tc>
          <w:tcPr>
            <w:tcW w:w="687" w:type="dxa"/>
            <w:tcBorders>
              <w:top w:val="single" w:sz="4" w:space="0" w:color="auto"/>
              <w:bottom w:val="single" w:sz="4" w:space="0" w:color="auto"/>
            </w:tcBorders>
          </w:tcPr>
          <w:p w14:paraId="2533330F" w14:textId="76A396E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32.5%</w:t>
            </w:r>
          </w:p>
        </w:tc>
        <w:tc>
          <w:tcPr>
            <w:tcW w:w="688" w:type="dxa"/>
            <w:tcBorders>
              <w:top w:val="single" w:sz="4" w:space="0" w:color="auto"/>
              <w:bottom w:val="single" w:sz="4" w:space="0" w:color="auto"/>
            </w:tcBorders>
          </w:tcPr>
          <w:p w14:paraId="383A9A25" w14:textId="7CE04ED0"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29.0%</w:t>
            </w:r>
          </w:p>
        </w:tc>
        <w:tc>
          <w:tcPr>
            <w:tcW w:w="688" w:type="dxa"/>
            <w:tcBorders>
              <w:top w:val="single" w:sz="4" w:space="0" w:color="auto"/>
              <w:bottom w:val="single" w:sz="4" w:space="0" w:color="auto"/>
            </w:tcBorders>
          </w:tcPr>
          <w:p w14:paraId="3B385329" w14:textId="443C855D"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0.0%</w:t>
            </w:r>
          </w:p>
        </w:tc>
        <w:tc>
          <w:tcPr>
            <w:tcW w:w="687" w:type="dxa"/>
            <w:tcBorders>
              <w:top w:val="single" w:sz="4" w:space="0" w:color="auto"/>
              <w:bottom w:val="single" w:sz="4" w:space="0" w:color="auto"/>
            </w:tcBorders>
          </w:tcPr>
          <w:p w14:paraId="7ADB1DF0" w14:textId="60D507BE"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10.0%</w:t>
            </w:r>
          </w:p>
        </w:tc>
        <w:tc>
          <w:tcPr>
            <w:tcW w:w="688" w:type="dxa"/>
            <w:tcBorders>
              <w:top w:val="single" w:sz="4" w:space="0" w:color="auto"/>
              <w:bottom w:val="single" w:sz="4" w:space="0" w:color="auto"/>
            </w:tcBorders>
          </w:tcPr>
          <w:p w14:paraId="43187C6B" w14:textId="6796DE63"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D69F502" w14:textId="21DE580E"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0.0%</w:t>
            </w:r>
          </w:p>
        </w:tc>
        <w:tc>
          <w:tcPr>
            <w:tcW w:w="688" w:type="dxa"/>
            <w:tcBorders>
              <w:top w:val="single" w:sz="4" w:space="0" w:color="auto"/>
              <w:bottom w:val="single" w:sz="4" w:space="0" w:color="auto"/>
            </w:tcBorders>
          </w:tcPr>
          <w:p w14:paraId="04E902EE" w14:textId="71EEDC6A" w:rsidR="00CC5764" w:rsidRPr="00F4095B" w:rsidRDefault="186943B3"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7A221696" w14:textId="09B16A57"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2.4%</w:t>
            </w:r>
          </w:p>
        </w:tc>
        <w:tc>
          <w:tcPr>
            <w:tcW w:w="688" w:type="dxa"/>
            <w:tcBorders>
              <w:top w:val="single" w:sz="4" w:space="0" w:color="auto"/>
              <w:bottom w:val="single" w:sz="4" w:space="0" w:color="auto"/>
            </w:tcBorders>
          </w:tcPr>
          <w:p w14:paraId="08C96631" w14:textId="76493EB4"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31621648" w14:textId="72F77AF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1AFD8FA4" w14:textId="1B3483FC"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0.3%</w:t>
            </w:r>
          </w:p>
        </w:tc>
        <w:tc>
          <w:tcPr>
            <w:tcW w:w="688" w:type="dxa"/>
            <w:tcBorders>
              <w:top w:val="single" w:sz="4" w:space="0" w:color="auto"/>
              <w:bottom w:val="single" w:sz="4" w:space="0" w:color="auto"/>
            </w:tcBorders>
          </w:tcPr>
          <w:p w14:paraId="0C7C44FF" w14:textId="48B82DF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66FA9E1" w14:textId="5CC756C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4D4DBE7" w14:textId="6658330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2.0%</w:t>
            </w:r>
          </w:p>
        </w:tc>
        <w:tc>
          <w:tcPr>
            <w:tcW w:w="688" w:type="dxa"/>
            <w:tcBorders>
              <w:top w:val="single" w:sz="4" w:space="0" w:color="auto"/>
              <w:bottom w:val="single" w:sz="4" w:space="0" w:color="auto"/>
            </w:tcBorders>
          </w:tcPr>
          <w:p w14:paraId="05050B7B" w14:textId="60A9A818"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2.0%</w:t>
            </w:r>
          </w:p>
        </w:tc>
        <w:tc>
          <w:tcPr>
            <w:tcW w:w="688" w:type="dxa"/>
            <w:tcBorders>
              <w:top w:val="single" w:sz="4" w:space="0" w:color="auto"/>
              <w:bottom w:val="single" w:sz="4" w:space="0" w:color="auto"/>
            </w:tcBorders>
          </w:tcPr>
          <w:p w14:paraId="2D962A01" w14:textId="67A28EC9"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c>
          <w:tcPr>
            <w:tcW w:w="688" w:type="dxa"/>
            <w:gridSpan w:val="2"/>
            <w:tcBorders>
              <w:top w:val="single" w:sz="4" w:space="0" w:color="auto"/>
              <w:bottom w:val="single" w:sz="4" w:space="0" w:color="auto"/>
            </w:tcBorders>
          </w:tcPr>
          <w:p w14:paraId="74D6244E" w14:textId="624CAEB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r>
      <w:tr w:rsidR="00CC5764" w:rsidRPr="00956209" w14:paraId="53C95843"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2D65550" w14:textId="59BB8CF6" w:rsidR="00CC5764" w:rsidRPr="00F317CA" w:rsidRDefault="00CC5764" w:rsidP="00A60C18">
            <w:pPr>
              <w:rPr>
                <w:b w:val="0"/>
              </w:rPr>
            </w:pPr>
            <w:r w:rsidRPr="00F317CA">
              <w:t>Epworth Geelong</w:t>
            </w:r>
          </w:p>
        </w:tc>
        <w:tc>
          <w:tcPr>
            <w:tcW w:w="825" w:type="dxa"/>
            <w:tcBorders>
              <w:top w:val="single" w:sz="4" w:space="0" w:color="auto"/>
              <w:bottom w:val="single" w:sz="4" w:space="0" w:color="auto"/>
            </w:tcBorders>
          </w:tcPr>
          <w:p w14:paraId="0393C505" w14:textId="0B1BA4AB"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56F9F3F5" w14:textId="3E88EBCB"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344</w:t>
            </w:r>
          </w:p>
        </w:tc>
        <w:tc>
          <w:tcPr>
            <w:tcW w:w="688" w:type="dxa"/>
            <w:tcBorders>
              <w:top w:val="single" w:sz="4" w:space="0" w:color="auto"/>
              <w:bottom w:val="single" w:sz="4" w:space="0" w:color="auto"/>
            </w:tcBorders>
          </w:tcPr>
          <w:p w14:paraId="4E10DF1C" w14:textId="25CAA303"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21.2%</w:t>
            </w:r>
          </w:p>
        </w:tc>
        <w:tc>
          <w:tcPr>
            <w:tcW w:w="687" w:type="dxa"/>
            <w:tcBorders>
              <w:top w:val="single" w:sz="4" w:space="0" w:color="auto"/>
              <w:bottom w:val="single" w:sz="4" w:space="0" w:color="auto"/>
            </w:tcBorders>
          </w:tcPr>
          <w:p w14:paraId="784C1E98" w14:textId="69DC82E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17.7%</w:t>
            </w:r>
          </w:p>
        </w:tc>
        <w:tc>
          <w:tcPr>
            <w:tcW w:w="688" w:type="dxa"/>
            <w:tcBorders>
              <w:top w:val="single" w:sz="4" w:space="0" w:color="auto"/>
              <w:bottom w:val="single" w:sz="4" w:space="0" w:color="auto"/>
            </w:tcBorders>
          </w:tcPr>
          <w:p w14:paraId="1B3E9CDD" w14:textId="4B95D4F1"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22.4%</w:t>
            </w:r>
          </w:p>
        </w:tc>
        <w:tc>
          <w:tcPr>
            <w:tcW w:w="688" w:type="dxa"/>
            <w:tcBorders>
              <w:top w:val="single" w:sz="4" w:space="0" w:color="auto"/>
              <w:bottom w:val="single" w:sz="4" w:space="0" w:color="auto"/>
            </w:tcBorders>
          </w:tcPr>
          <w:p w14:paraId="4C1496A3" w14:textId="4E170E45"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2.9%</w:t>
            </w:r>
          </w:p>
        </w:tc>
        <w:tc>
          <w:tcPr>
            <w:tcW w:w="687" w:type="dxa"/>
            <w:tcBorders>
              <w:top w:val="single" w:sz="4" w:space="0" w:color="auto"/>
              <w:bottom w:val="single" w:sz="4" w:space="0" w:color="auto"/>
            </w:tcBorders>
          </w:tcPr>
          <w:p w14:paraId="4CE3C893" w14:textId="658B5C68"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6.3%</w:t>
            </w:r>
          </w:p>
        </w:tc>
        <w:tc>
          <w:tcPr>
            <w:tcW w:w="688" w:type="dxa"/>
            <w:tcBorders>
              <w:top w:val="single" w:sz="4" w:space="0" w:color="auto"/>
              <w:bottom w:val="single" w:sz="4" w:space="0" w:color="auto"/>
            </w:tcBorders>
          </w:tcPr>
          <w:p w14:paraId="599295AE" w14:textId="2E64FED7"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7850BBA" w14:textId="739137A6"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75.0%</w:t>
            </w:r>
          </w:p>
        </w:tc>
        <w:tc>
          <w:tcPr>
            <w:tcW w:w="688" w:type="dxa"/>
            <w:tcBorders>
              <w:top w:val="single" w:sz="4" w:space="0" w:color="auto"/>
              <w:bottom w:val="single" w:sz="4" w:space="0" w:color="auto"/>
            </w:tcBorders>
          </w:tcPr>
          <w:p w14:paraId="761FBE67" w14:textId="510DB52A" w:rsidR="00CC5764" w:rsidRPr="00F4095B" w:rsidRDefault="68F2329C" w:rsidP="00A60C18">
            <w:pPr>
              <w:cnfStyle w:val="000000000000" w:firstRow="0" w:lastRow="0" w:firstColumn="0" w:lastColumn="0" w:oddVBand="0" w:evenVBand="0" w:oddHBand="0" w:evenHBand="0" w:firstRowFirstColumn="0" w:firstRowLastColumn="0" w:lastRowFirstColumn="0" w:lastRowLastColumn="0"/>
              <w:rPr>
                <w:rFonts w:eastAsia="MS PGothic"/>
              </w:rPr>
            </w:pPr>
            <w:r w:rsidRPr="039A27EA">
              <w:t>NA</w:t>
            </w:r>
          </w:p>
        </w:tc>
        <w:tc>
          <w:tcPr>
            <w:tcW w:w="687" w:type="dxa"/>
            <w:tcBorders>
              <w:top w:val="single" w:sz="4" w:space="0" w:color="auto"/>
              <w:bottom w:val="single" w:sz="4" w:space="0" w:color="auto"/>
            </w:tcBorders>
          </w:tcPr>
          <w:p w14:paraId="3AD85B79" w14:textId="0FE1FD16"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3.4%</w:t>
            </w:r>
          </w:p>
        </w:tc>
        <w:tc>
          <w:tcPr>
            <w:tcW w:w="688" w:type="dxa"/>
            <w:tcBorders>
              <w:top w:val="single" w:sz="4" w:space="0" w:color="auto"/>
              <w:bottom w:val="single" w:sz="4" w:space="0" w:color="auto"/>
            </w:tcBorders>
          </w:tcPr>
          <w:p w14:paraId="1939F3B9" w14:textId="6BB6DBCD"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F47AD9D" w14:textId="611B4B1F"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BDC3CB8" w14:textId="6F1DC3A5"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2.5%</w:t>
            </w:r>
          </w:p>
        </w:tc>
        <w:tc>
          <w:tcPr>
            <w:tcW w:w="688" w:type="dxa"/>
            <w:tcBorders>
              <w:top w:val="single" w:sz="4" w:space="0" w:color="auto"/>
              <w:bottom w:val="single" w:sz="4" w:space="0" w:color="auto"/>
            </w:tcBorders>
          </w:tcPr>
          <w:p w14:paraId="2B125322" w14:textId="63E7738C"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90C1597" w14:textId="41489D32"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5FA544AE" w14:textId="19C3711E"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66.2%</w:t>
            </w:r>
          </w:p>
        </w:tc>
        <w:tc>
          <w:tcPr>
            <w:tcW w:w="688" w:type="dxa"/>
            <w:tcBorders>
              <w:top w:val="single" w:sz="4" w:space="0" w:color="auto"/>
              <w:bottom w:val="single" w:sz="4" w:space="0" w:color="auto"/>
            </w:tcBorders>
          </w:tcPr>
          <w:p w14:paraId="6248A6BE" w14:textId="79D7393A"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2.4%</w:t>
            </w:r>
          </w:p>
        </w:tc>
        <w:tc>
          <w:tcPr>
            <w:tcW w:w="688" w:type="dxa"/>
            <w:tcBorders>
              <w:top w:val="single" w:sz="4" w:space="0" w:color="auto"/>
              <w:bottom w:val="single" w:sz="4" w:space="0" w:color="auto"/>
            </w:tcBorders>
          </w:tcPr>
          <w:p w14:paraId="1831B792" w14:textId="50BB6227" w:rsidR="00CC5764" w:rsidRPr="00F4095B"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gridSpan w:val="2"/>
            <w:tcBorders>
              <w:top w:val="single" w:sz="4" w:space="0" w:color="auto"/>
              <w:bottom w:val="single" w:sz="4" w:space="0" w:color="auto"/>
            </w:tcBorders>
          </w:tcPr>
          <w:p w14:paraId="465C08C5" w14:textId="3FB1443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r>
      <w:tr w:rsidR="00CC5764" w:rsidRPr="00956209" w14:paraId="5C3A7B65"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55D4BC24" w14:textId="0E92C7DA" w:rsidR="00CC5764" w:rsidRPr="00F317CA" w:rsidRDefault="00CC5764" w:rsidP="00A60C18">
            <w:pPr>
              <w:rPr>
                <w:b w:val="0"/>
              </w:rPr>
            </w:pPr>
            <w:r w:rsidRPr="00F317CA">
              <w:t>St JOG Bendigo</w:t>
            </w:r>
          </w:p>
        </w:tc>
        <w:tc>
          <w:tcPr>
            <w:tcW w:w="825" w:type="dxa"/>
            <w:tcBorders>
              <w:top w:val="single" w:sz="4" w:space="0" w:color="auto"/>
              <w:bottom w:val="single" w:sz="4" w:space="0" w:color="auto"/>
            </w:tcBorders>
          </w:tcPr>
          <w:p w14:paraId="5D42A631" w14:textId="3009AFD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60EE7BF7" w14:textId="7EAAB28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289</w:t>
            </w:r>
          </w:p>
        </w:tc>
        <w:tc>
          <w:tcPr>
            <w:tcW w:w="688" w:type="dxa"/>
            <w:tcBorders>
              <w:top w:val="single" w:sz="4" w:space="0" w:color="auto"/>
              <w:bottom w:val="single" w:sz="4" w:space="0" w:color="auto"/>
            </w:tcBorders>
          </w:tcPr>
          <w:p w14:paraId="3816AE96" w14:textId="7590ABF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20.0%</w:t>
            </w:r>
          </w:p>
        </w:tc>
        <w:tc>
          <w:tcPr>
            <w:tcW w:w="687" w:type="dxa"/>
            <w:tcBorders>
              <w:top w:val="single" w:sz="4" w:space="0" w:color="auto"/>
              <w:bottom w:val="single" w:sz="4" w:space="0" w:color="auto"/>
            </w:tcBorders>
          </w:tcPr>
          <w:p w14:paraId="593493FF" w14:textId="4A219CA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31.1%</w:t>
            </w:r>
          </w:p>
        </w:tc>
        <w:tc>
          <w:tcPr>
            <w:tcW w:w="688" w:type="dxa"/>
            <w:tcBorders>
              <w:top w:val="single" w:sz="4" w:space="0" w:color="auto"/>
              <w:bottom w:val="single" w:sz="4" w:space="0" w:color="auto"/>
            </w:tcBorders>
          </w:tcPr>
          <w:p w14:paraId="511E7FDE" w14:textId="0683E45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48.9%</w:t>
            </w:r>
          </w:p>
        </w:tc>
        <w:tc>
          <w:tcPr>
            <w:tcW w:w="688" w:type="dxa"/>
            <w:tcBorders>
              <w:top w:val="single" w:sz="4" w:space="0" w:color="auto"/>
              <w:bottom w:val="single" w:sz="4" w:space="0" w:color="auto"/>
            </w:tcBorders>
          </w:tcPr>
          <w:p w14:paraId="1A1C4683" w14:textId="0CDB115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7.1%</w:t>
            </w:r>
          </w:p>
        </w:tc>
        <w:tc>
          <w:tcPr>
            <w:tcW w:w="687" w:type="dxa"/>
            <w:tcBorders>
              <w:top w:val="single" w:sz="4" w:space="0" w:color="auto"/>
              <w:bottom w:val="single" w:sz="4" w:space="0" w:color="auto"/>
            </w:tcBorders>
          </w:tcPr>
          <w:p w14:paraId="49C9C16B" w14:textId="4B34A0C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10.0%</w:t>
            </w:r>
          </w:p>
        </w:tc>
        <w:tc>
          <w:tcPr>
            <w:tcW w:w="688" w:type="dxa"/>
            <w:tcBorders>
              <w:top w:val="single" w:sz="4" w:space="0" w:color="auto"/>
              <w:bottom w:val="single" w:sz="4" w:space="0" w:color="auto"/>
            </w:tcBorders>
          </w:tcPr>
          <w:p w14:paraId="5C0DF7B1" w14:textId="3D09B7C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EE428A1" w14:textId="38DC4F4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50.0%</w:t>
            </w:r>
          </w:p>
        </w:tc>
        <w:tc>
          <w:tcPr>
            <w:tcW w:w="688" w:type="dxa"/>
            <w:tcBorders>
              <w:top w:val="single" w:sz="4" w:space="0" w:color="auto"/>
              <w:bottom w:val="single" w:sz="4" w:space="0" w:color="auto"/>
            </w:tcBorders>
          </w:tcPr>
          <w:p w14:paraId="31F76E79" w14:textId="365A08FA" w:rsidR="00CC5764" w:rsidRPr="00F317CA" w:rsidRDefault="5EF112F6" w:rsidP="00A60C18">
            <w:pPr>
              <w:cnfStyle w:val="000000000000" w:firstRow="0" w:lastRow="0" w:firstColumn="0" w:lastColumn="0" w:oddVBand="0" w:evenVBand="0" w:oddHBand="0" w:evenHBand="0" w:firstRowFirstColumn="0" w:firstRowLastColumn="0" w:lastRowFirstColumn="0" w:lastRowLastColumn="0"/>
              <w:rPr>
                <w:bCs/>
                <w:color w:val="000000"/>
              </w:rPr>
            </w:pPr>
            <w:r w:rsidRPr="039A27EA">
              <w:t>NA</w:t>
            </w:r>
          </w:p>
        </w:tc>
        <w:tc>
          <w:tcPr>
            <w:tcW w:w="687" w:type="dxa"/>
            <w:tcBorders>
              <w:top w:val="single" w:sz="4" w:space="0" w:color="auto"/>
              <w:bottom w:val="single" w:sz="4" w:space="0" w:color="auto"/>
            </w:tcBorders>
          </w:tcPr>
          <w:p w14:paraId="7C55E475" w14:textId="435F15F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4F6228"/>
              </w:rPr>
            </w:pPr>
            <w:r w:rsidRPr="00F317CA">
              <w:t>0.4%</w:t>
            </w:r>
          </w:p>
        </w:tc>
        <w:tc>
          <w:tcPr>
            <w:tcW w:w="688" w:type="dxa"/>
            <w:tcBorders>
              <w:top w:val="single" w:sz="4" w:space="0" w:color="auto"/>
              <w:bottom w:val="single" w:sz="4" w:space="0" w:color="auto"/>
            </w:tcBorders>
          </w:tcPr>
          <w:p w14:paraId="062A47CE" w14:textId="31DA7C0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F116183" w14:textId="25D4BD1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78D6907D" w14:textId="6D67A73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1.5%</w:t>
            </w:r>
          </w:p>
        </w:tc>
        <w:tc>
          <w:tcPr>
            <w:tcW w:w="688" w:type="dxa"/>
            <w:tcBorders>
              <w:top w:val="single" w:sz="4" w:space="0" w:color="auto"/>
              <w:bottom w:val="single" w:sz="4" w:space="0" w:color="auto"/>
            </w:tcBorders>
          </w:tcPr>
          <w:p w14:paraId="5A720A90" w14:textId="3C871D8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640C1997" w14:textId="2685C78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F3EA98C" w14:textId="7543371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bCs/>
                <w:color w:val="9C0006"/>
              </w:rPr>
            </w:pPr>
            <w:r w:rsidRPr="039A27EA">
              <w:t>77.1%</w:t>
            </w:r>
          </w:p>
        </w:tc>
        <w:tc>
          <w:tcPr>
            <w:tcW w:w="688" w:type="dxa"/>
            <w:tcBorders>
              <w:top w:val="single" w:sz="4" w:space="0" w:color="auto"/>
              <w:bottom w:val="single" w:sz="4" w:space="0" w:color="auto"/>
            </w:tcBorders>
          </w:tcPr>
          <w:p w14:paraId="61FB24B7" w14:textId="2EA5530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0.7%</w:t>
            </w:r>
          </w:p>
        </w:tc>
        <w:tc>
          <w:tcPr>
            <w:tcW w:w="688" w:type="dxa"/>
            <w:tcBorders>
              <w:top w:val="single" w:sz="4" w:space="0" w:color="auto"/>
              <w:bottom w:val="single" w:sz="4" w:space="0" w:color="auto"/>
            </w:tcBorders>
          </w:tcPr>
          <w:p w14:paraId="7ABC7DE8" w14:textId="176F467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w:t>
            </w:r>
          </w:p>
        </w:tc>
        <w:tc>
          <w:tcPr>
            <w:tcW w:w="688" w:type="dxa"/>
            <w:gridSpan w:val="2"/>
            <w:tcBorders>
              <w:top w:val="single" w:sz="4" w:space="0" w:color="auto"/>
              <w:bottom w:val="single" w:sz="4" w:space="0" w:color="auto"/>
            </w:tcBorders>
          </w:tcPr>
          <w:p w14:paraId="2C373008" w14:textId="22EF97B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5</w:t>
            </w:r>
          </w:p>
        </w:tc>
      </w:tr>
      <w:tr w:rsidR="00CC5764" w:rsidRPr="00956209" w14:paraId="500B3A4E"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9802599" w14:textId="5C9C9981" w:rsidR="00CC5764" w:rsidRPr="00F317CA" w:rsidRDefault="00CC5764" w:rsidP="00A60C18">
            <w:pPr>
              <w:rPr>
                <w:b w:val="0"/>
              </w:rPr>
            </w:pPr>
            <w:r w:rsidRPr="00F317CA">
              <w:t>St Vincents Private Hospital Werribee</w:t>
            </w:r>
          </w:p>
        </w:tc>
        <w:tc>
          <w:tcPr>
            <w:tcW w:w="825" w:type="dxa"/>
            <w:tcBorders>
              <w:top w:val="single" w:sz="4" w:space="0" w:color="auto"/>
              <w:bottom w:val="single" w:sz="4" w:space="0" w:color="auto"/>
            </w:tcBorders>
          </w:tcPr>
          <w:p w14:paraId="042F2EFC" w14:textId="7EB9C905"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212A2934" w14:textId="3861B8E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146</w:t>
            </w:r>
          </w:p>
        </w:tc>
        <w:tc>
          <w:tcPr>
            <w:tcW w:w="688" w:type="dxa"/>
            <w:tcBorders>
              <w:top w:val="single" w:sz="4" w:space="0" w:color="auto"/>
              <w:bottom w:val="single" w:sz="4" w:space="0" w:color="auto"/>
            </w:tcBorders>
          </w:tcPr>
          <w:p w14:paraId="697B7772" w14:textId="17FE778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25.0%</w:t>
            </w:r>
          </w:p>
        </w:tc>
        <w:tc>
          <w:tcPr>
            <w:tcW w:w="687" w:type="dxa"/>
            <w:tcBorders>
              <w:top w:val="single" w:sz="4" w:space="0" w:color="auto"/>
              <w:bottom w:val="single" w:sz="4" w:space="0" w:color="auto"/>
            </w:tcBorders>
          </w:tcPr>
          <w:p w14:paraId="40A23C29" w14:textId="183BCC6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39.3%</w:t>
            </w:r>
          </w:p>
        </w:tc>
        <w:tc>
          <w:tcPr>
            <w:tcW w:w="688" w:type="dxa"/>
            <w:tcBorders>
              <w:top w:val="single" w:sz="4" w:space="0" w:color="auto"/>
              <w:bottom w:val="single" w:sz="4" w:space="0" w:color="auto"/>
            </w:tcBorders>
          </w:tcPr>
          <w:p w14:paraId="2AEAD261" w14:textId="491CA5B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47.4%</w:t>
            </w:r>
          </w:p>
        </w:tc>
        <w:tc>
          <w:tcPr>
            <w:tcW w:w="688" w:type="dxa"/>
            <w:tcBorders>
              <w:top w:val="single" w:sz="4" w:space="0" w:color="auto"/>
              <w:bottom w:val="single" w:sz="4" w:space="0" w:color="auto"/>
            </w:tcBorders>
          </w:tcPr>
          <w:p w14:paraId="0D9592C8" w14:textId="6B0F3134"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0.0%</w:t>
            </w:r>
          </w:p>
        </w:tc>
        <w:tc>
          <w:tcPr>
            <w:tcW w:w="687" w:type="dxa"/>
            <w:tcBorders>
              <w:top w:val="single" w:sz="4" w:space="0" w:color="auto"/>
              <w:bottom w:val="single" w:sz="4" w:space="0" w:color="auto"/>
            </w:tcBorders>
          </w:tcPr>
          <w:p w14:paraId="3E2CB755" w14:textId="40DF8729"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0.0%</w:t>
            </w:r>
          </w:p>
        </w:tc>
        <w:tc>
          <w:tcPr>
            <w:tcW w:w="688" w:type="dxa"/>
            <w:tcBorders>
              <w:top w:val="single" w:sz="4" w:space="0" w:color="auto"/>
              <w:bottom w:val="single" w:sz="4" w:space="0" w:color="auto"/>
            </w:tcBorders>
          </w:tcPr>
          <w:p w14:paraId="548205F4" w14:textId="5A50FFB1"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1B2B45D3" w14:textId="706E144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0.0%</w:t>
            </w:r>
          </w:p>
        </w:tc>
        <w:tc>
          <w:tcPr>
            <w:tcW w:w="688" w:type="dxa"/>
            <w:tcBorders>
              <w:top w:val="single" w:sz="4" w:space="0" w:color="auto"/>
              <w:bottom w:val="single" w:sz="4" w:space="0" w:color="auto"/>
            </w:tcBorders>
          </w:tcPr>
          <w:p w14:paraId="66225D82" w14:textId="6C1990F1" w:rsidR="00CC5764" w:rsidRPr="00F317CA" w:rsidRDefault="20B32CD0" w:rsidP="00A60C18">
            <w:pPr>
              <w:cnfStyle w:val="000000000000" w:firstRow="0" w:lastRow="0" w:firstColumn="0" w:lastColumn="0" w:oddVBand="0" w:evenVBand="0" w:oddHBand="0" w:evenHBand="0" w:firstRowFirstColumn="0" w:firstRowLastColumn="0" w:lastRowFirstColumn="0" w:lastRowLastColumn="0"/>
            </w:pPr>
            <w:r w:rsidRPr="039A27EA">
              <w:t>NA</w:t>
            </w:r>
          </w:p>
        </w:tc>
        <w:tc>
          <w:tcPr>
            <w:tcW w:w="687" w:type="dxa"/>
            <w:tcBorders>
              <w:top w:val="single" w:sz="4" w:space="0" w:color="auto"/>
              <w:bottom w:val="single" w:sz="4" w:space="0" w:color="auto"/>
            </w:tcBorders>
          </w:tcPr>
          <w:p w14:paraId="4F6A245C" w14:textId="055F512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0.7%</w:t>
            </w:r>
          </w:p>
        </w:tc>
        <w:tc>
          <w:tcPr>
            <w:tcW w:w="688" w:type="dxa"/>
            <w:tcBorders>
              <w:top w:val="single" w:sz="4" w:space="0" w:color="auto"/>
              <w:bottom w:val="single" w:sz="4" w:space="0" w:color="auto"/>
            </w:tcBorders>
          </w:tcPr>
          <w:p w14:paraId="3601B8FC" w14:textId="34BA099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7B227409" w14:textId="600F6C7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73CA6AF6" w14:textId="4AC1771C"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0.7%</w:t>
            </w:r>
          </w:p>
        </w:tc>
        <w:tc>
          <w:tcPr>
            <w:tcW w:w="688" w:type="dxa"/>
            <w:tcBorders>
              <w:top w:val="single" w:sz="4" w:space="0" w:color="auto"/>
              <w:bottom w:val="single" w:sz="4" w:space="0" w:color="auto"/>
            </w:tcBorders>
          </w:tcPr>
          <w:p w14:paraId="37765C93" w14:textId="7B03517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8" w:type="dxa"/>
            <w:tcBorders>
              <w:top w:val="single" w:sz="4" w:space="0" w:color="auto"/>
              <w:bottom w:val="single" w:sz="4" w:space="0" w:color="auto"/>
            </w:tcBorders>
          </w:tcPr>
          <w:p w14:paraId="52CA3AF5" w14:textId="495A7DA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rPr>
                <w:rFonts w:ascii="Cambria" w:hAnsi="Cambria" w:cs="Cambria"/>
              </w:rPr>
              <w:t> </w:t>
            </w:r>
            <w:r w:rsidRPr="00F317CA">
              <w:t>NA</w:t>
            </w:r>
          </w:p>
        </w:tc>
        <w:tc>
          <w:tcPr>
            <w:tcW w:w="687" w:type="dxa"/>
            <w:tcBorders>
              <w:top w:val="single" w:sz="4" w:space="0" w:color="auto"/>
              <w:bottom w:val="single" w:sz="4" w:space="0" w:color="auto"/>
            </w:tcBorders>
          </w:tcPr>
          <w:p w14:paraId="3344B4C0" w14:textId="2F936E1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bCs/>
                <w:color w:val="006100"/>
              </w:rPr>
            </w:pPr>
            <w:r w:rsidRPr="00A61545">
              <w:t>71.2%</w:t>
            </w:r>
          </w:p>
        </w:tc>
        <w:tc>
          <w:tcPr>
            <w:tcW w:w="688" w:type="dxa"/>
            <w:tcBorders>
              <w:top w:val="single" w:sz="4" w:space="0" w:color="auto"/>
              <w:bottom w:val="single" w:sz="4" w:space="0" w:color="auto"/>
            </w:tcBorders>
          </w:tcPr>
          <w:p w14:paraId="6DD70B3B" w14:textId="45F292C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C00000"/>
              </w:rPr>
            </w:pPr>
            <w:r w:rsidRPr="00F317CA">
              <w:t>2.1%</w:t>
            </w:r>
          </w:p>
        </w:tc>
        <w:tc>
          <w:tcPr>
            <w:tcW w:w="688" w:type="dxa"/>
            <w:tcBorders>
              <w:top w:val="single" w:sz="4" w:space="0" w:color="auto"/>
              <w:bottom w:val="single" w:sz="4" w:space="0" w:color="auto"/>
            </w:tcBorders>
          </w:tcPr>
          <w:p w14:paraId="6DD6BC55" w14:textId="05F6189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4</w:t>
            </w:r>
          </w:p>
        </w:tc>
        <w:tc>
          <w:tcPr>
            <w:tcW w:w="688" w:type="dxa"/>
            <w:gridSpan w:val="2"/>
            <w:tcBorders>
              <w:top w:val="single" w:sz="4" w:space="0" w:color="auto"/>
              <w:bottom w:val="single" w:sz="4" w:space="0" w:color="auto"/>
            </w:tcBorders>
          </w:tcPr>
          <w:p w14:paraId="62040A47" w14:textId="4D1A1E1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3</w:t>
            </w:r>
          </w:p>
        </w:tc>
      </w:tr>
      <w:tr w:rsidR="00CC5764" w:rsidRPr="00956209" w14:paraId="1EB5CE8F" w14:textId="77777777" w:rsidTr="00A60C18">
        <w:tc>
          <w:tcPr>
            <w:cnfStyle w:val="001000000000" w:firstRow="0" w:lastRow="0" w:firstColumn="1" w:lastColumn="0" w:oddVBand="0" w:evenVBand="0" w:oddHBand="0" w:evenHBand="0" w:firstRowFirstColumn="0" w:firstRowLastColumn="0" w:lastRowFirstColumn="0" w:lastRowLastColumn="0"/>
            <w:tcW w:w="1271" w:type="dxa"/>
            <w:tcBorders>
              <w:top w:val="single" w:sz="4" w:space="0" w:color="auto"/>
              <w:bottom w:val="single" w:sz="4" w:space="0" w:color="auto"/>
            </w:tcBorders>
          </w:tcPr>
          <w:p w14:paraId="371E2A62" w14:textId="3FC203F0" w:rsidR="00CC5764" w:rsidRPr="00F317CA" w:rsidRDefault="00CC5764" w:rsidP="00A60C18">
            <w:pPr>
              <w:rPr>
                <w:b w:val="0"/>
              </w:rPr>
            </w:pPr>
            <w:r w:rsidRPr="00F317CA">
              <w:t>Knox Private</w:t>
            </w:r>
          </w:p>
        </w:tc>
        <w:tc>
          <w:tcPr>
            <w:tcW w:w="825" w:type="dxa"/>
            <w:tcBorders>
              <w:top w:val="single" w:sz="4" w:space="0" w:color="auto"/>
              <w:bottom w:val="single" w:sz="4" w:space="0" w:color="auto"/>
            </w:tcBorders>
          </w:tcPr>
          <w:p w14:paraId="1B4CC047" w14:textId="111DECA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Private</w:t>
            </w:r>
          </w:p>
        </w:tc>
        <w:tc>
          <w:tcPr>
            <w:tcW w:w="688" w:type="dxa"/>
            <w:tcBorders>
              <w:top w:val="single" w:sz="4" w:space="0" w:color="auto"/>
              <w:bottom w:val="single" w:sz="4" w:space="0" w:color="auto"/>
            </w:tcBorders>
          </w:tcPr>
          <w:p w14:paraId="6A7932FD" w14:textId="440D5E3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15</w:t>
            </w:r>
          </w:p>
        </w:tc>
        <w:tc>
          <w:tcPr>
            <w:tcW w:w="688" w:type="dxa"/>
            <w:tcBorders>
              <w:top w:val="single" w:sz="4" w:space="0" w:color="auto"/>
              <w:bottom w:val="single" w:sz="4" w:space="0" w:color="auto"/>
            </w:tcBorders>
          </w:tcPr>
          <w:p w14:paraId="46A613E3" w14:textId="4FE38A9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5700"/>
              </w:rPr>
            </w:pPr>
            <w:r w:rsidRPr="00F317CA">
              <w:t>NA</w:t>
            </w:r>
          </w:p>
        </w:tc>
        <w:tc>
          <w:tcPr>
            <w:tcW w:w="687" w:type="dxa"/>
            <w:tcBorders>
              <w:top w:val="single" w:sz="4" w:space="0" w:color="auto"/>
              <w:bottom w:val="single" w:sz="4" w:space="0" w:color="auto"/>
            </w:tcBorders>
          </w:tcPr>
          <w:p w14:paraId="6C55CE98" w14:textId="6748A84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NA</w:t>
            </w:r>
          </w:p>
        </w:tc>
        <w:tc>
          <w:tcPr>
            <w:tcW w:w="688" w:type="dxa"/>
            <w:tcBorders>
              <w:top w:val="single" w:sz="4" w:space="0" w:color="auto"/>
              <w:bottom w:val="single" w:sz="4" w:space="0" w:color="auto"/>
            </w:tcBorders>
          </w:tcPr>
          <w:p w14:paraId="32E382F9" w14:textId="696DB64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C0006"/>
              </w:rPr>
            </w:pPr>
            <w:r w:rsidRPr="00F317CA">
              <w:t>NA</w:t>
            </w:r>
          </w:p>
        </w:tc>
        <w:tc>
          <w:tcPr>
            <w:tcW w:w="688" w:type="dxa"/>
            <w:tcBorders>
              <w:top w:val="single" w:sz="4" w:space="0" w:color="auto"/>
              <w:bottom w:val="single" w:sz="4" w:space="0" w:color="auto"/>
            </w:tcBorders>
          </w:tcPr>
          <w:p w14:paraId="5D2457B5" w14:textId="30F71BB0"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7" w:type="dxa"/>
            <w:tcBorders>
              <w:top w:val="single" w:sz="4" w:space="0" w:color="auto"/>
              <w:bottom w:val="single" w:sz="4" w:space="0" w:color="auto"/>
            </w:tcBorders>
          </w:tcPr>
          <w:p w14:paraId="56459F02" w14:textId="12EDEA8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47F1EAEA" w14:textId="4C4A4036"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tcBorders>
              <w:top w:val="single" w:sz="4" w:space="0" w:color="auto"/>
              <w:bottom w:val="single" w:sz="4" w:space="0" w:color="auto"/>
            </w:tcBorders>
          </w:tcPr>
          <w:p w14:paraId="26CDEF06" w14:textId="578E404A"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45576EC1" w14:textId="07454D93"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963634"/>
              </w:rPr>
            </w:pPr>
            <w:r w:rsidRPr="00F317CA">
              <w:t>NA</w:t>
            </w:r>
          </w:p>
        </w:tc>
        <w:tc>
          <w:tcPr>
            <w:tcW w:w="687" w:type="dxa"/>
            <w:tcBorders>
              <w:top w:val="single" w:sz="4" w:space="0" w:color="auto"/>
              <w:bottom w:val="single" w:sz="4" w:space="0" w:color="auto"/>
            </w:tcBorders>
          </w:tcPr>
          <w:p w14:paraId="4640B715" w14:textId="08BDA91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tcBorders>
              <w:top w:val="single" w:sz="4" w:space="0" w:color="auto"/>
              <w:bottom w:val="single" w:sz="4" w:space="0" w:color="auto"/>
            </w:tcBorders>
          </w:tcPr>
          <w:p w14:paraId="3BBC79B8" w14:textId="6F0CA308"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tcBorders>
              <w:top w:val="single" w:sz="4" w:space="0" w:color="auto"/>
              <w:bottom w:val="single" w:sz="4" w:space="0" w:color="auto"/>
            </w:tcBorders>
          </w:tcPr>
          <w:p w14:paraId="4896608F" w14:textId="52D75547"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7" w:type="dxa"/>
            <w:tcBorders>
              <w:top w:val="single" w:sz="4" w:space="0" w:color="auto"/>
              <w:bottom w:val="single" w:sz="4" w:space="0" w:color="auto"/>
            </w:tcBorders>
          </w:tcPr>
          <w:p w14:paraId="4C032A2F" w14:textId="29EF69D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6100"/>
              </w:rPr>
            </w:pPr>
            <w:r w:rsidRPr="00F317CA">
              <w:t>NA</w:t>
            </w:r>
          </w:p>
        </w:tc>
        <w:tc>
          <w:tcPr>
            <w:tcW w:w="688" w:type="dxa"/>
            <w:tcBorders>
              <w:top w:val="single" w:sz="4" w:space="0" w:color="auto"/>
              <w:bottom w:val="single" w:sz="4" w:space="0" w:color="auto"/>
            </w:tcBorders>
          </w:tcPr>
          <w:p w14:paraId="30763DEB" w14:textId="60BD6B1F"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tcBorders>
              <w:top w:val="single" w:sz="4" w:space="0" w:color="auto"/>
              <w:bottom w:val="single" w:sz="4" w:space="0" w:color="auto"/>
            </w:tcBorders>
          </w:tcPr>
          <w:p w14:paraId="433228FA" w14:textId="5DC37FAB"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7" w:type="dxa"/>
            <w:tcBorders>
              <w:top w:val="single" w:sz="4" w:space="0" w:color="auto"/>
              <w:bottom w:val="single" w:sz="4" w:space="0" w:color="auto"/>
            </w:tcBorders>
          </w:tcPr>
          <w:p w14:paraId="765AD908" w14:textId="3005A32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tcBorders>
              <w:top w:val="single" w:sz="4" w:space="0" w:color="auto"/>
              <w:bottom w:val="single" w:sz="4" w:space="0" w:color="auto"/>
            </w:tcBorders>
          </w:tcPr>
          <w:p w14:paraId="1644FC6C" w14:textId="6351F04E"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tcBorders>
              <w:top w:val="single" w:sz="4" w:space="0" w:color="auto"/>
              <w:bottom w:val="single" w:sz="4" w:space="0" w:color="auto"/>
            </w:tcBorders>
          </w:tcPr>
          <w:p w14:paraId="6F948017" w14:textId="597CBCF2"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rPr>
                <w:color w:val="000000"/>
              </w:rPr>
            </w:pPr>
            <w:r w:rsidRPr="00F317CA">
              <w:t>NA</w:t>
            </w:r>
          </w:p>
        </w:tc>
        <w:tc>
          <w:tcPr>
            <w:tcW w:w="688" w:type="dxa"/>
            <w:gridSpan w:val="2"/>
            <w:tcBorders>
              <w:top w:val="single" w:sz="4" w:space="0" w:color="auto"/>
              <w:bottom w:val="single" w:sz="4" w:space="0" w:color="auto"/>
            </w:tcBorders>
          </w:tcPr>
          <w:p w14:paraId="2F02EFC9" w14:textId="21697D3D" w:rsidR="00CC5764" w:rsidRPr="00F317CA" w:rsidRDefault="00CC5764" w:rsidP="00A60C18">
            <w:pPr>
              <w:cnfStyle w:val="000000000000" w:firstRow="0" w:lastRow="0" w:firstColumn="0" w:lastColumn="0" w:oddVBand="0" w:evenVBand="0" w:oddHBand="0" w:evenHBand="0" w:firstRowFirstColumn="0" w:firstRowLastColumn="0" w:lastRowFirstColumn="0" w:lastRowLastColumn="0"/>
            </w:pPr>
            <w:r w:rsidRPr="00F317CA">
              <w:t>NA</w:t>
            </w:r>
          </w:p>
        </w:tc>
      </w:tr>
    </w:tbl>
    <w:p w14:paraId="53635440" w14:textId="77777777" w:rsidR="00956209" w:rsidRPr="00924826" w:rsidRDefault="00956209" w:rsidP="003B4F97">
      <w:pPr>
        <w:pStyle w:val="Footer"/>
        <w:rPr>
          <w:lang w:val="en-GB"/>
        </w:rPr>
      </w:pPr>
      <w:r w:rsidRPr="00924826">
        <w:rPr>
          <w:lang w:val="en-GB"/>
        </w:rPr>
        <w:t>*For these indicators, funnel plots were used to determine most favourable and least favourable outcomes.</w:t>
      </w:r>
    </w:p>
    <w:p w14:paraId="24A4093F" w14:textId="77777777" w:rsidR="00956209" w:rsidRPr="00924826" w:rsidRDefault="00956209" w:rsidP="003B4F97">
      <w:pPr>
        <w:pStyle w:val="Footer"/>
        <w:rPr>
          <w:lang w:val="en-GB"/>
        </w:rPr>
      </w:pPr>
      <w:r w:rsidRPr="00924826">
        <w:rPr>
          <w:lang w:val="en-GB"/>
        </w:rPr>
        <w:t xml:space="preserve">Most favourable outcomes are shown in green; least favourable quartiles are shown in </w:t>
      </w:r>
      <w:r>
        <w:rPr>
          <w:lang w:val="en-GB"/>
        </w:rPr>
        <w:t>red</w:t>
      </w:r>
      <w:r w:rsidRPr="00924826">
        <w:rPr>
          <w:lang w:val="en-GB"/>
        </w:rPr>
        <w:t>.</w:t>
      </w:r>
      <w:r>
        <w:rPr>
          <w:lang w:val="en-GB"/>
        </w:rPr>
        <w:t xml:space="preserve"> Yellow cells indicate a result that is poorer than the statewide average but not in the least performing quartile.</w:t>
      </w:r>
    </w:p>
    <w:p w14:paraId="4403823D" w14:textId="77777777" w:rsidR="00956209" w:rsidRDefault="00956209" w:rsidP="003B4F97">
      <w:pPr>
        <w:pStyle w:val="Footer"/>
        <w:rPr>
          <w:lang w:val="en-GB"/>
        </w:rPr>
      </w:pPr>
      <w:r>
        <w:rPr>
          <w:lang w:val="en-GB"/>
        </w:rPr>
        <w:t xml:space="preserve">NA indicates the service did not meet the threshold for public reporting for that indicator or that the indicator is not relevant to the service; all numbers presented are percentages except for Inidcator 5 results which are a ratio. </w:t>
      </w:r>
    </w:p>
    <w:p w14:paraId="6127A41D" w14:textId="7A1DE904" w:rsidR="00E44209" w:rsidRDefault="00E44209" w:rsidP="003B4F97">
      <w:pPr>
        <w:sectPr w:rsidR="00E44209" w:rsidSect="00667665">
          <w:pgSz w:w="16838" w:h="11906" w:orient="landscape" w:code="9"/>
          <w:pgMar w:top="851" w:right="3402" w:bottom="851" w:left="1134" w:header="539" w:footer="624" w:gutter="0"/>
          <w:cols w:space="284"/>
          <w:docGrid w:linePitch="360"/>
        </w:sectPr>
      </w:pPr>
    </w:p>
    <w:p w14:paraId="7D30D0EB" w14:textId="542EBC53" w:rsidR="000A22AD" w:rsidRDefault="000A22AD" w:rsidP="00A60C18">
      <w:pPr>
        <w:pStyle w:val="Heading1"/>
        <w:framePr w:wrap="around"/>
      </w:pPr>
      <w:bookmarkStart w:id="22" w:name="_Toc71710130"/>
      <w:r>
        <w:t>Terminology</w:t>
      </w:r>
      <w:bookmarkEnd w:id="22"/>
    </w:p>
    <w:p w14:paraId="54CBBA63" w14:textId="2FFA677A" w:rsidR="000A22AD" w:rsidRDefault="000A22AD" w:rsidP="003B4F97">
      <w:r w:rsidRPr="00694FCF">
        <w:rPr>
          <w:b/>
          <w:bCs/>
        </w:rPr>
        <w:t>Antenatal:</w:t>
      </w:r>
      <w:r>
        <w:t xml:space="preserve"> Before birth – the period between conception and birth. Also called prenatal.</w:t>
      </w:r>
    </w:p>
    <w:p w14:paraId="26BA3AEA" w14:textId="7EB89DDC" w:rsidR="000A22AD" w:rsidRDefault="000A22AD" w:rsidP="003B4F97">
      <w:r w:rsidRPr="00694FCF">
        <w:rPr>
          <w:b/>
          <w:bCs/>
        </w:rPr>
        <w:t>Apgar score:</w:t>
      </w:r>
      <w:r>
        <w:t xml:space="preserve"> A measure of the physical condition of a newborn based on several factors including baby’s colour, pulse rate, tone, reflex, irritability and respiration at 1, 5 and 10 minutes after birth. Scores range from 0 to 10, with 10 representing the best possible condition.</w:t>
      </w:r>
    </w:p>
    <w:p w14:paraId="5172D968" w14:textId="00982DC5" w:rsidR="000A22AD" w:rsidRDefault="000A22AD" w:rsidP="003B4F97">
      <w:r w:rsidRPr="00694FCF">
        <w:rPr>
          <w:b/>
          <w:bCs/>
        </w:rPr>
        <w:t>Assisted vaginal birth:</w:t>
      </w:r>
      <w:r>
        <w:t xml:space="preserve"> A method that may be used to speed up birth by either using forceps or vacuum extraction (gentle suction applied following placement of a large suction cap on the baby’s head)</w:t>
      </w:r>
    </w:p>
    <w:p w14:paraId="3E0B3FAD" w14:textId="73D6177A" w:rsidR="000A22AD" w:rsidRDefault="000A22AD" w:rsidP="003B4F97">
      <w:r w:rsidRPr="00694FCF">
        <w:rPr>
          <w:b/>
          <w:bCs/>
        </w:rPr>
        <w:t>Caesarean section:</w:t>
      </w:r>
      <w:r>
        <w:t xml:space="preserve"> A surgical operation by which the baby is extracted through an incision in the abdominal and uterine walls.</w:t>
      </w:r>
    </w:p>
    <w:p w14:paraId="5096A1F8" w14:textId="2BBF1CB5" w:rsidR="000A22AD" w:rsidRDefault="000A22AD" w:rsidP="003B4F97">
      <w:r w:rsidRPr="00694FCF">
        <w:rPr>
          <w:b/>
          <w:bCs/>
        </w:rPr>
        <w:t>Centile:</w:t>
      </w:r>
      <w:r>
        <w:t xml:space="preserve"> A measure used in statistics indicating the value below which a given percentage of observations fall. For example, the 10th centile is the value (or score) below which 10 per cent of the observations may be found.</w:t>
      </w:r>
    </w:p>
    <w:p w14:paraId="3DD083EE" w14:textId="1E3FAD2F" w:rsidR="000A22AD" w:rsidRDefault="000A22AD" w:rsidP="003B4F97">
      <w:r w:rsidRPr="00694FCF">
        <w:rPr>
          <w:b/>
          <w:bCs/>
        </w:rPr>
        <w:t>CCOPMM:</w:t>
      </w:r>
      <w:r>
        <w:t xml:space="preserve"> Consultative Council on Obstetric and Paediatric Mortality and Morbidity</w:t>
      </w:r>
      <w:r w:rsidR="00FB18DC">
        <w:t>.</w:t>
      </w:r>
    </w:p>
    <w:p w14:paraId="03621D54" w14:textId="7D58E922" w:rsidR="000A22AD" w:rsidRDefault="000A22AD" w:rsidP="003B4F97">
      <w:r w:rsidRPr="00694FCF">
        <w:rPr>
          <w:b/>
          <w:bCs/>
        </w:rPr>
        <w:t>Congenital anomaly:</w:t>
      </w:r>
      <w:r>
        <w:t xml:space="preserve"> An anomaly occurring before birth including structural, functional, genetic, chromosomal and biochemical abnormalities. Also called birth defect, congenital malformation or ‘congenital disorder’.</w:t>
      </w:r>
    </w:p>
    <w:p w14:paraId="660BC727" w14:textId="5BAF253B" w:rsidR="000A22AD" w:rsidRDefault="000A22AD" w:rsidP="003B4F97">
      <w:r w:rsidRPr="00694FCF">
        <w:rPr>
          <w:b/>
          <w:bCs/>
        </w:rPr>
        <w:t>Cephalic:</w:t>
      </w:r>
      <w:r>
        <w:t xml:space="preserve"> A baby presenting head-first.</w:t>
      </w:r>
    </w:p>
    <w:p w14:paraId="6CE40060" w14:textId="51271CCF" w:rsidR="000A22AD" w:rsidRDefault="000A22AD" w:rsidP="003B4F97">
      <w:r w:rsidRPr="00694FCF">
        <w:rPr>
          <w:b/>
          <w:bCs/>
        </w:rPr>
        <w:t>Cervix:</w:t>
      </w:r>
      <w:r>
        <w:t xml:space="preserve"> The part of the uterus that protrudes into the vagina, often referred to as the ‘neck of the uterus’.</w:t>
      </w:r>
    </w:p>
    <w:p w14:paraId="01EF6195" w14:textId="0C3BDBF6" w:rsidR="000A22AD" w:rsidRDefault="000A22AD" w:rsidP="003B4F97">
      <w:r w:rsidRPr="00694FCF">
        <w:rPr>
          <w:b/>
          <w:bCs/>
        </w:rPr>
        <w:t>Episiotomy:</w:t>
      </w:r>
      <w:r>
        <w:t xml:space="preserve"> A surgical incision of the perineum and the posterior vaginal wall usually performed to quickly enlarge the opening for the baby to pass through.</w:t>
      </w:r>
    </w:p>
    <w:p w14:paraId="577F4A99" w14:textId="33033CC9" w:rsidR="000A22AD" w:rsidRDefault="000A22AD" w:rsidP="003B4F97">
      <w:r w:rsidRPr="00694FCF">
        <w:rPr>
          <w:b/>
          <w:bCs/>
        </w:rPr>
        <w:t>FGR:</w:t>
      </w:r>
      <w:r>
        <w:t xml:space="preserve"> Fetal growth restriction</w:t>
      </w:r>
      <w:r w:rsidR="00FB18DC">
        <w:t>.</w:t>
      </w:r>
    </w:p>
    <w:p w14:paraId="495DB5A3" w14:textId="111C1D46" w:rsidR="000A22AD" w:rsidRDefault="000A22AD" w:rsidP="003B4F97">
      <w:r w:rsidRPr="00694FCF">
        <w:rPr>
          <w:b/>
          <w:bCs/>
        </w:rPr>
        <w:t>Forceps:</w:t>
      </w:r>
      <w:r>
        <w:t xml:space="preserve"> Special large curved tongs placed around the baby’s head to assist movement through the birth canal; sometimes used in an assisted vaginal birth.</w:t>
      </w:r>
    </w:p>
    <w:p w14:paraId="2B0E07D5" w14:textId="6C7EE59F" w:rsidR="000A22AD" w:rsidRDefault="000A22AD" w:rsidP="003B4F97">
      <w:r w:rsidRPr="00694FCF">
        <w:rPr>
          <w:b/>
          <w:bCs/>
        </w:rPr>
        <w:t>Fourth-degree tear:</w:t>
      </w:r>
      <w:r>
        <w:t xml:space="preserve"> A tear of the perineum into the anal sphincter, extending into the lining of the anus.</w:t>
      </w:r>
    </w:p>
    <w:p w14:paraId="544F3325" w14:textId="6C8CF077" w:rsidR="000A22AD" w:rsidRDefault="000A22AD" w:rsidP="003B4F97">
      <w:r w:rsidRPr="00694FCF">
        <w:rPr>
          <w:b/>
          <w:bCs/>
        </w:rPr>
        <w:t>Gestation:</w:t>
      </w:r>
      <w:r>
        <w:t xml:space="preserve"> The number of weeks pregnancy is calculated from the first day of the mother’s last normal menstrual period.</w:t>
      </w:r>
    </w:p>
    <w:p w14:paraId="7D69F831" w14:textId="51BEBD91" w:rsidR="000A22AD" w:rsidRDefault="000A22AD" w:rsidP="003B4F97">
      <w:r w:rsidRPr="00694FCF">
        <w:rPr>
          <w:b/>
          <w:bCs/>
        </w:rPr>
        <w:t>Gestation standardised perinatal mortality rate (GSPMR):</w:t>
      </w:r>
      <w:r>
        <w:t xml:space="preserve"> The GSPMR is a measure of perinatal mortality that compares the observed perinatal mortality rate for babies born at individual hospitals with what would be expected, accounting for the gestation at birth.</w:t>
      </w:r>
    </w:p>
    <w:p w14:paraId="65636343" w14:textId="1FFFCA5E" w:rsidR="000A22AD" w:rsidRDefault="000A22AD" w:rsidP="003B4F97">
      <w:r w:rsidRPr="00694FCF">
        <w:rPr>
          <w:b/>
          <w:bCs/>
        </w:rPr>
        <w:t>ICU:</w:t>
      </w:r>
      <w:r>
        <w:t xml:space="preserve"> Intensive care unit</w:t>
      </w:r>
      <w:r w:rsidR="00FB18DC">
        <w:t>.</w:t>
      </w:r>
    </w:p>
    <w:p w14:paraId="30E3FE19" w14:textId="028FE3D0" w:rsidR="000A22AD" w:rsidRDefault="000A22AD" w:rsidP="003B4F97">
      <w:r w:rsidRPr="00694FCF">
        <w:rPr>
          <w:b/>
          <w:bCs/>
        </w:rPr>
        <w:t>Inborn:</w:t>
      </w:r>
      <w:r>
        <w:t xml:space="preserve"> Baby born at the reporting hospital.</w:t>
      </w:r>
    </w:p>
    <w:p w14:paraId="3597C91E" w14:textId="21013453" w:rsidR="000A22AD" w:rsidRDefault="000A22AD" w:rsidP="003B4F97">
      <w:r w:rsidRPr="00694FCF">
        <w:rPr>
          <w:b/>
          <w:bCs/>
        </w:rPr>
        <w:t>Induction of labour:</w:t>
      </w:r>
      <w:r>
        <w:t xml:space="preserve"> Use of interventions (medications, rupture of membranes or mechanical means) to assist the process of labour to begin. </w:t>
      </w:r>
    </w:p>
    <w:p w14:paraId="1B0B5B0B" w14:textId="0ACB2872" w:rsidR="000A22AD" w:rsidRDefault="000A22AD" w:rsidP="003B4F97">
      <w:r w:rsidRPr="00694FCF">
        <w:rPr>
          <w:b/>
          <w:bCs/>
        </w:rPr>
        <w:t>Intrapartum:</w:t>
      </w:r>
      <w:r>
        <w:t xml:space="preserve"> During labour.</w:t>
      </w:r>
    </w:p>
    <w:p w14:paraId="1DB071FD" w14:textId="13FB0CA0" w:rsidR="000A22AD" w:rsidRDefault="000A22AD" w:rsidP="003B4F97">
      <w:r w:rsidRPr="00694FCF">
        <w:rPr>
          <w:b/>
          <w:bCs/>
        </w:rPr>
        <w:t>Live birth:</w:t>
      </w:r>
      <w:r>
        <w:t xml:space="preserve"> The birth of a baby, at any stage of maturity, who has breathed or shown other signs of life after being born.</w:t>
      </w:r>
    </w:p>
    <w:p w14:paraId="1511CB35" w14:textId="1AC8BF6D" w:rsidR="000A22AD" w:rsidRDefault="000A22AD" w:rsidP="003B4F97">
      <w:r w:rsidRPr="001463D3">
        <w:rPr>
          <w:b/>
          <w:bCs/>
        </w:rPr>
        <w:t>Maternity care provider:</w:t>
      </w:r>
      <w:r>
        <w:t xml:space="preserve"> A clinician who provides maternity care.</w:t>
      </w:r>
    </w:p>
    <w:p w14:paraId="66AD70FD" w14:textId="4C6A92DE" w:rsidR="000A22AD" w:rsidRDefault="000A22AD" w:rsidP="003B4F97">
      <w:r w:rsidRPr="001463D3">
        <w:rPr>
          <w:b/>
          <w:bCs/>
        </w:rPr>
        <w:t>Morbidity:</w:t>
      </w:r>
      <w:r>
        <w:t xml:space="preserve"> Having a disease, a symptom of disease, or ill health, including medical problems caused by a treatment.</w:t>
      </w:r>
    </w:p>
    <w:p w14:paraId="26D497B7" w14:textId="5DBCCB95" w:rsidR="000A22AD" w:rsidRDefault="000A22AD" w:rsidP="003B4F97">
      <w:r w:rsidRPr="001463D3">
        <w:rPr>
          <w:b/>
          <w:bCs/>
        </w:rPr>
        <w:t>Mortality:</w:t>
      </w:r>
      <w:r>
        <w:t xml:space="preserve"> Term used to describe death, including death rates or the number of deaths in a certain group of people during a certain time.</w:t>
      </w:r>
    </w:p>
    <w:p w14:paraId="44CD2058" w14:textId="51396DAC" w:rsidR="000A22AD" w:rsidRDefault="000A22AD" w:rsidP="003B4F97">
      <w:r w:rsidRPr="001463D3">
        <w:rPr>
          <w:b/>
          <w:bCs/>
        </w:rPr>
        <w:t>Neonatal:</w:t>
      </w:r>
      <w:r>
        <w:t xml:space="preserve"> Newborn; from birth until the 28th day.</w:t>
      </w:r>
    </w:p>
    <w:p w14:paraId="0C5EBA25" w14:textId="54653B4D" w:rsidR="000A22AD" w:rsidRDefault="000A22AD" w:rsidP="003B4F97">
      <w:r w:rsidRPr="001463D3">
        <w:rPr>
          <w:b/>
          <w:bCs/>
        </w:rPr>
        <w:t>Nullipara/nulliparae:</w:t>
      </w:r>
      <w:r>
        <w:t xml:space="preserve"> A woman who has not given birth previously.</w:t>
      </w:r>
    </w:p>
    <w:p w14:paraId="2917DFAE" w14:textId="004C0F7C" w:rsidR="000A22AD" w:rsidRDefault="000A22AD" w:rsidP="003B4F97">
      <w:r w:rsidRPr="00694FCF">
        <w:rPr>
          <w:b/>
          <w:bCs/>
        </w:rPr>
        <w:t>Perinatal:</w:t>
      </w:r>
      <w:r>
        <w:t xml:space="preserve"> The period before, during and after birth – antenatal, intrapartum and postnatal periods.</w:t>
      </w:r>
    </w:p>
    <w:p w14:paraId="13ECDF92" w14:textId="45D872D2" w:rsidR="000A22AD" w:rsidRDefault="000A22AD" w:rsidP="003B4F97">
      <w:r w:rsidRPr="00694FCF">
        <w:rPr>
          <w:b/>
          <w:bCs/>
        </w:rPr>
        <w:t>Perinatal mortality:</w:t>
      </w:r>
      <w:r>
        <w:t xml:space="preserve"> Stillbirths and neonatal deaths. Deaths between 20 weeks’ gestation and birth are referred to as stillbirths, and deaths in the first 28 days after birth are referred to as neonatal deaths.</w:t>
      </w:r>
    </w:p>
    <w:p w14:paraId="014990DA" w14:textId="12C68D2A" w:rsidR="000A22AD" w:rsidRDefault="000A22AD" w:rsidP="003B4F97">
      <w:r w:rsidRPr="00694FCF">
        <w:rPr>
          <w:b/>
          <w:bCs/>
        </w:rPr>
        <w:t>Perineal tear:</w:t>
      </w:r>
      <w:r>
        <w:t xml:space="preserve"> A tear or rupture of the pelvic floor and associated structures.</w:t>
      </w:r>
    </w:p>
    <w:p w14:paraId="7E46A022" w14:textId="5CE83B2C" w:rsidR="000A22AD" w:rsidRDefault="000A22AD" w:rsidP="003B4F97">
      <w:r w:rsidRPr="00694FCF">
        <w:rPr>
          <w:b/>
          <w:bCs/>
        </w:rPr>
        <w:t>Perineum:</w:t>
      </w:r>
      <w:r>
        <w:t xml:space="preserve"> The area between the anus and the vagina.</w:t>
      </w:r>
    </w:p>
    <w:p w14:paraId="767A273E" w14:textId="04196FBA" w:rsidR="000A22AD" w:rsidRDefault="000A22AD" w:rsidP="003B4F97">
      <w:r w:rsidRPr="00694FCF">
        <w:rPr>
          <w:b/>
          <w:bCs/>
        </w:rPr>
        <w:t>Postnatal:</w:t>
      </w:r>
      <w:r>
        <w:t xml:space="preserve"> The period after birth (and generally accepted to last for six weeks).</w:t>
      </w:r>
    </w:p>
    <w:p w14:paraId="47407AAC" w14:textId="796A2F78" w:rsidR="000A22AD" w:rsidRDefault="000A22AD" w:rsidP="003B4F97">
      <w:r w:rsidRPr="00694FCF">
        <w:rPr>
          <w:b/>
          <w:bCs/>
        </w:rPr>
        <w:t>Postpartum haemorrhage:</w:t>
      </w:r>
      <w:r>
        <w:t xml:space="preserve"> Blood loss of 500</w:t>
      </w:r>
      <w:r w:rsidR="00FB18DC">
        <w:t xml:space="preserve"> </w:t>
      </w:r>
      <w:r>
        <w:t>mls or more in the 24 hours following childbirth</w:t>
      </w:r>
    </w:p>
    <w:p w14:paraId="0FAEE9C9" w14:textId="783EAF0B" w:rsidR="000A22AD" w:rsidRDefault="000A22AD" w:rsidP="003B4F97">
      <w:r w:rsidRPr="00694FCF">
        <w:rPr>
          <w:b/>
          <w:bCs/>
        </w:rPr>
        <w:t>Prenatal:</w:t>
      </w:r>
      <w:r>
        <w:t xml:space="preserve"> Before birth – the period between conception and birth. Also called antenatal.</w:t>
      </w:r>
    </w:p>
    <w:p w14:paraId="444B7A91" w14:textId="308FDDE2" w:rsidR="000A22AD" w:rsidRDefault="000A22AD" w:rsidP="003B4F97">
      <w:r w:rsidRPr="00694FCF">
        <w:rPr>
          <w:b/>
          <w:bCs/>
        </w:rPr>
        <w:t>Pre-term:</w:t>
      </w:r>
      <w:r>
        <w:t xml:space="preserve"> Prior to 37 weeks’ gestation.</w:t>
      </w:r>
    </w:p>
    <w:p w14:paraId="1EA9EF82" w14:textId="462773CC" w:rsidR="000A22AD" w:rsidRDefault="000A22AD" w:rsidP="003B4F97">
      <w:r w:rsidRPr="00694FCF">
        <w:rPr>
          <w:b/>
          <w:bCs/>
        </w:rPr>
        <w:t>Primipara/primiparae:</w:t>
      </w:r>
      <w:r>
        <w:t xml:space="preserve"> A woman who has given or is giving birth for the first time.</w:t>
      </w:r>
    </w:p>
    <w:p w14:paraId="7856181A" w14:textId="0C5BA6CA" w:rsidR="000A22AD" w:rsidRDefault="000A22AD" w:rsidP="003B4F97">
      <w:r w:rsidRPr="00694FCF">
        <w:rPr>
          <w:b/>
          <w:bCs/>
        </w:rPr>
        <w:t>Puerperium:</w:t>
      </w:r>
      <w:r>
        <w:t xml:space="preserve"> The period of about six weeks after childbirth during which the mother’s reproductive organs return to their original (non-pregnant) condition.</w:t>
      </w:r>
    </w:p>
    <w:p w14:paraId="19E7A166" w14:textId="1B14A287" w:rsidR="000A22AD" w:rsidRDefault="000A22AD" w:rsidP="003B4F97">
      <w:r w:rsidRPr="00694FCF">
        <w:rPr>
          <w:b/>
          <w:bCs/>
        </w:rPr>
        <w:t>Qualified neonate:</w:t>
      </w:r>
      <w:r>
        <w:t xml:space="preserve"> An infant who is the second or subsequent live born infant of a multiple birth, whose mother is currently an admitted patient or who is admitted to an intensive care facility in a hospital, or who is admitted to, or remains in, hospital without their mother.</w:t>
      </w:r>
    </w:p>
    <w:p w14:paraId="66277495" w14:textId="3882A3CB" w:rsidR="000A22AD" w:rsidRDefault="000A22AD" w:rsidP="003B4F97">
      <w:r w:rsidRPr="002F1B50">
        <w:rPr>
          <w:b/>
          <w:bCs/>
        </w:rPr>
        <w:t>Robson classification system:</w:t>
      </w:r>
      <w:r>
        <w:t xml:space="preserve"> The Robson classification system (also known as the 10-group classification) categorises all women into one of 10 groups that are mutually exclusive and exhaustive based on basic obstetric characteristics.</w:t>
      </w:r>
    </w:p>
    <w:p w14:paraId="12B0709E" w14:textId="05F6A80D" w:rsidR="000A22AD" w:rsidRDefault="000A22AD" w:rsidP="003B4F97">
      <w:r w:rsidRPr="002F1B50">
        <w:rPr>
          <w:b/>
          <w:bCs/>
        </w:rPr>
        <w:t>Robson group 1:</w:t>
      </w:r>
      <w:r>
        <w:t xml:space="preserve"> Robson group 1 includes women </w:t>
      </w:r>
      <w:r w:rsidR="003D6541">
        <w:t>giving birth for</w:t>
      </w:r>
      <w:r>
        <w:t xml:space="preserve"> the first</w:t>
      </w:r>
      <w:r w:rsidR="00653346">
        <w:t xml:space="preserve"> </w:t>
      </w:r>
      <w:r>
        <w:t>time, with a singleton cephalic pregnancy, at greater than or equal to 37 weeks’ gestation in spontaneous labour.</w:t>
      </w:r>
    </w:p>
    <w:p w14:paraId="15DD13E0" w14:textId="3B51021D" w:rsidR="000A22AD" w:rsidRDefault="000A22AD" w:rsidP="003B4F97">
      <w:r w:rsidRPr="002F1B50">
        <w:rPr>
          <w:b/>
          <w:bCs/>
        </w:rPr>
        <w:t>Robson group 2 (modified):</w:t>
      </w:r>
      <w:r>
        <w:t xml:space="preserve"> Modified Robson group 2 includes women </w:t>
      </w:r>
      <w:r w:rsidR="003D6541">
        <w:t xml:space="preserve">giving birth </w:t>
      </w:r>
      <w:r>
        <w:t>for the first</w:t>
      </w:r>
      <w:r w:rsidR="00653346">
        <w:t xml:space="preserve"> </w:t>
      </w:r>
      <w:r>
        <w:t>time, with a singleton cephalic pregnancy, at greater than or equal to 37 weeks’ gestation who had labour induced. Modified Robson group 2 excludes pre-labour caesareans, which are included in the standard Robson group 2.</w:t>
      </w:r>
    </w:p>
    <w:p w14:paraId="5D502DDF" w14:textId="293AA86A" w:rsidR="000A22AD" w:rsidRDefault="000A22AD" w:rsidP="003B4F97">
      <w:r w:rsidRPr="002F1B50">
        <w:rPr>
          <w:b/>
          <w:bCs/>
        </w:rPr>
        <w:t>Severe fetal growth restriction:</w:t>
      </w:r>
      <w:r>
        <w:t xml:space="preserve"> Birthweight below the third centile for gestational age, plurality and sex.</w:t>
      </w:r>
    </w:p>
    <w:p w14:paraId="67FCB860" w14:textId="2DCAE170" w:rsidR="000A22AD" w:rsidRDefault="000A22AD" w:rsidP="003B4F97">
      <w:r w:rsidRPr="002F1B50">
        <w:rPr>
          <w:b/>
          <w:bCs/>
        </w:rPr>
        <w:t>Severe postpartum haemorrhage:</w:t>
      </w:r>
      <w:r>
        <w:t xml:space="preserve"> Blood loss of 1</w:t>
      </w:r>
      <w:r w:rsidR="00FB18DC">
        <w:t>,</w:t>
      </w:r>
      <w:r>
        <w:t>500</w:t>
      </w:r>
      <w:r w:rsidR="00FB18DC">
        <w:t xml:space="preserve"> </w:t>
      </w:r>
      <w:r>
        <w:t>mls or in the 24 hours following childbirth</w:t>
      </w:r>
      <w:r w:rsidR="00FB18DC">
        <w:t>.</w:t>
      </w:r>
    </w:p>
    <w:p w14:paraId="653A1815" w14:textId="5B85C382" w:rsidR="000A22AD" w:rsidRDefault="000A22AD" w:rsidP="003B4F97">
      <w:r w:rsidRPr="002F1B50">
        <w:rPr>
          <w:b/>
          <w:bCs/>
        </w:rPr>
        <w:t>Singleton pregnancy:</w:t>
      </w:r>
      <w:r>
        <w:t xml:space="preserve"> The birth of only one child during a single delivery, as opposed to twins, triplets, etc.</w:t>
      </w:r>
    </w:p>
    <w:p w14:paraId="00BADC56" w14:textId="5B37436D" w:rsidR="000A22AD" w:rsidRDefault="000A22AD" w:rsidP="003B4F97">
      <w:r w:rsidRPr="002F1B50">
        <w:rPr>
          <w:b/>
          <w:bCs/>
        </w:rPr>
        <w:t>Standard primipara:</w:t>
      </w:r>
      <w:r>
        <w:t xml:space="preserve"> A woman, 20</w:t>
      </w:r>
      <w:r w:rsidR="00FB18DC">
        <w:t xml:space="preserve"> to </w:t>
      </w:r>
      <w:r>
        <w:t>39 years of age, free of obstetric and specified medical complications (pre-existing hypertension, diabetes, cardiac disease or serious psychiatric conditions), giving birth for the first time with a singleton pregnancy between 37 and 40 weeks’ completed gestation (259–286 days), with a non-small for gestational age (greater than tenth centile) infant and a cephalic presentation.</w:t>
      </w:r>
    </w:p>
    <w:p w14:paraId="1BA388A4" w14:textId="49C8CDAE" w:rsidR="000A22AD" w:rsidRDefault="000A22AD" w:rsidP="003B4F97">
      <w:r w:rsidRPr="002F1B50">
        <w:rPr>
          <w:b/>
          <w:bCs/>
        </w:rPr>
        <w:t>Stillbirth:</w:t>
      </w:r>
      <w:r>
        <w:t xml:space="preserve"> The birth of an infant at least 20 weeks’ gestation, or if gestation is unknown, weighing at least 400 grams, who shows no signs of life at birth.</w:t>
      </w:r>
    </w:p>
    <w:p w14:paraId="6BBDB44C" w14:textId="168B1080" w:rsidR="000A22AD" w:rsidRDefault="000A22AD" w:rsidP="003B4F97">
      <w:r w:rsidRPr="002F1B50">
        <w:rPr>
          <w:b/>
          <w:bCs/>
        </w:rPr>
        <w:t>Term infant/term baby:</w:t>
      </w:r>
      <w:r>
        <w:t xml:space="preserve"> An infant born between 37 and 42 weeks’ gestation (259–283 days).</w:t>
      </w:r>
    </w:p>
    <w:p w14:paraId="67BAC034" w14:textId="0BF6233A" w:rsidR="000A22AD" w:rsidRDefault="000A22AD" w:rsidP="003B4F97">
      <w:r w:rsidRPr="002F1B50">
        <w:rPr>
          <w:b/>
          <w:bCs/>
        </w:rPr>
        <w:t>Third-degree tear:</w:t>
      </w:r>
      <w:r>
        <w:t xml:space="preserve"> A tear of the perineum into the anal sphincter that does not extend to the lining of the anus.</w:t>
      </w:r>
    </w:p>
    <w:p w14:paraId="026C8567" w14:textId="5C4EB162" w:rsidR="000A22AD" w:rsidRDefault="000A22AD" w:rsidP="003B4F97">
      <w:r w:rsidRPr="002F1B50">
        <w:rPr>
          <w:b/>
          <w:bCs/>
        </w:rPr>
        <w:t>Unqualified neonate:</w:t>
      </w:r>
      <w:r>
        <w:t xml:space="preserve"> A neonate who does not meet at least one of the criteria of a qualified neonate.</w:t>
      </w:r>
    </w:p>
    <w:p w14:paraId="18467339" w14:textId="654A9188" w:rsidR="000A22AD" w:rsidRDefault="000A22AD" w:rsidP="003B4F97">
      <w:r w:rsidRPr="002F1B50">
        <w:rPr>
          <w:b/>
          <w:bCs/>
        </w:rPr>
        <w:t>Uterus:</w:t>
      </w:r>
      <w:r>
        <w:t xml:space="preserve"> The hollow, pear-shaped muscular organ in which the baby grows throughout pregnancy. Also referred to as ‘the womb’.</w:t>
      </w:r>
    </w:p>
    <w:p w14:paraId="61BF0B07" w14:textId="1281110E" w:rsidR="000A22AD" w:rsidRDefault="000A22AD" w:rsidP="003B4F97">
      <w:r w:rsidRPr="002F1B50">
        <w:rPr>
          <w:b/>
          <w:bCs/>
        </w:rPr>
        <w:t>Vacuum extraction:</w:t>
      </w:r>
      <w:r>
        <w:t xml:space="preserve"> Gentle suction applied following placement of a large suction cap on the baby’s head; sometimes used in an assisted vaginal birth.</w:t>
      </w:r>
    </w:p>
    <w:p w14:paraId="7916FAA9" w14:textId="3B49F9C5" w:rsidR="000A22AD" w:rsidRDefault="000A22AD" w:rsidP="003B4F97">
      <w:r w:rsidRPr="002F1B50">
        <w:rPr>
          <w:b/>
          <w:bCs/>
        </w:rPr>
        <w:t>VAED:</w:t>
      </w:r>
      <w:r>
        <w:t xml:space="preserve"> Victorian Admitted Episodes Dataset</w:t>
      </w:r>
      <w:r w:rsidR="00FB18DC">
        <w:t>.</w:t>
      </w:r>
    </w:p>
    <w:p w14:paraId="019B0D8D" w14:textId="2A50CC34" w:rsidR="000A22AD" w:rsidRDefault="000A22AD" w:rsidP="003B4F97">
      <w:r w:rsidRPr="002F1B50">
        <w:rPr>
          <w:b/>
          <w:bCs/>
        </w:rPr>
        <w:t>Vaginal birth:</w:t>
      </w:r>
      <w:r>
        <w:t xml:space="preserve"> A birth of a baby via the vagina whether or not it was assisted.</w:t>
      </w:r>
    </w:p>
    <w:p w14:paraId="346379EB" w14:textId="50D3F829" w:rsidR="000A22AD" w:rsidRDefault="000A22AD" w:rsidP="003B4F97">
      <w:r w:rsidRPr="002F1B50">
        <w:rPr>
          <w:b/>
          <w:bCs/>
        </w:rPr>
        <w:t>Vaginal birth after caesarean (VBAC):</w:t>
      </w:r>
      <w:r>
        <w:t xml:space="preserve"> A woman who has a normal vaginal birth, forceps birth or vacuum birth following a previous caesarean section birth.</w:t>
      </w:r>
    </w:p>
    <w:p w14:paraId="768BCDC8" w14:textId="47502EF0" w:rsidR="000A22AD" w:rsidRDefault="000A22AD" w:rsidP="003B4F97">
      <w:r w:rsidRPr="002F1B50">
        <w:rPr>
          <w:b/>
          <w:bCs/>
        </w:rPr>
        <w:t>VHES:</w:t>
      </w:r>
      <w:r>
        <w:t xml:space="preserve"> Victorian Healthcare Experience Survey</w:t>
      </w:r>
      <w:r w:rsidR="00FB18DC">
        <w:t>.</w:t>
      </w:r>
    </w:p>
    <w:p w14:paraId="0BD54A1A" w14:textId="6A257D6F" w:rsidR="009F6216" w:rsidRDefault="000A22AD" w:rsidP="003B4F97">
      <w:r w:rsidRPr="002F1B50">
        <w:rPr>
          <w:b/>
          <w:bCs/>
        </w:rPr>
        <w:t>VPDC:</w:t>
      </w:r>
      <w:r>
        <w:t xml:space="preserve"> Victorian Perinatal Data Collection</w:t>
      </w:r>
      <w:r w:rsidR="00FB18DC">
        <w:t>.</w:t>
      </w:r>
    </w:p>
    <w:p w14:paraId="5D2B9510" w14:textId="77777777" w:rsidR="000A22AD" w:rsidRPr="00B552FC" w:rsidRDefault="000A22AD" w:rsidP="003B4F97"/>
    <w:p w14:paraId="17D768F9" w14:textId="6908AAA9" w:rsidR="00622E3C" w:rsidRDefault="00622E3C" w:rsidP="003B4F97">
      <w:pPr>
        <w:sectPr w:rsidR="00622E3C" w:rsidSect="00FF4DE2">
          <w:pgSz w:w="11906" w:h="16838" w:code="9"/>
          <w:pgMar w:top="3402" w:right="851" w:bottom="1134" w:left="851" w:header="539" w:footer="624" w:gutter="0"/>
          <w:cols w:space="284"/>
          <w:docGrid w:linePitch="360"/>
        </w:sectPr>
      </w:pPr>
    </w:p>
    <w:p w14:paraId="7CC32D8E" w14:textId="231F7035" w:rsidR="000A22AD" w:rsidRDefault="000A22AD" w:rsidP="00A60C18">
      <w:pPr>
        <w:pStyle w:val="Heading1"/>
        <w:framePr w:wrap="around"/>
      </w:pPr>
      <w:bookmarkStart w:id="23" w:name="_Toc71710131"/>
      <w:r>
        <w:t>Refere</w:t>
      </w:r>
      <w:r w:rsidR="001A27C3">
        <w:t>n</w:t>
      </w:r>
      <w:r>
        <w:t>ces</w:t>
      </w:r>
      <w:bookmarkEnd w:id="23"/>
      <w:r>
        <w:t xml:space="preserve"> </w:t>
      </w:r>
    </w:p>
    <w:p w14:paraId="2621ABC0" w14:textId="07C07132" w:rsidR="000A22AD" w:rsidRPr="005036AA" w:rsidRDefault="000A22AD" w:rsidP="003B4F97">
      <w:pPr>
        <w:rPr>
          <w:lang w:val="en-GB"/>
        </w:rPr>
      </w:pPr>
      <w:r w:rsidRPr="000262E1">
        <w:t xml:space="preserve">Dobbins T, Sullivan E, Roberts C, Simpson J 2012, </w:t>
      </w:r>
      <w:hyperlink r:id="rId56" w:history="1">
        <w:r w:rsidRPr="005220E3">
          <w:rPr>
            <w:color w:val="4D92C0"/>
            <w:u w:val="single"/>
          </w:rPr>
          <w:t xml:space="preserve">‘Australian national birthweight percentiles by sex and gestational age, 1998–2007’, </w:t>
        </w:r>
        <w:r w:rsidRPr="005220E3">
          <w:rPr>
            <w:i/>
            <w:iCs/>
            <w:color w:val="4D92C0"/>
            <w:u w:val="single"/>
            <w:lang w:val="en-GB"/>
          </w:rPr>
          <w:t>The Medical Journal of Australia</w:t>
        </w:r>
      </w:hyperlink>
      <w:r w:rsidRPr="005036AA">
        <w:rPr>
          <w:i/>
          <w:iCs/>
          <w:lang w:val="en-GB"/>
        </w:rPr>
        <w:t xml:space="preserve">, </w:t>
      </w:r>
      <w:r w:rsidRPr="005036AA">
        <w:rPr>
          <w:lang w:val="en-GB"/>
        </w:rPr>
        <w:t xml:space="preserve">viewed 15 November 2016, </w:t>
      </w:r>
      <w:r>
        <w:rPr>
          <w:lang w:val="en-GB"/>
        </w:rPr>
        <w:t>&lt;</w:t>
      </w:r>
      <w:r w:rsidRPr="005220E3">
        <w:rPr>
          <w:lang w:val="en-GB"/>
        </w:rPr>
        <w:t>https://www.mja.com.au/journal/2012/197/5/australian-national-birthweight-percentiles-sex-and-gestational-age-1998-2007</w:t>
      </w:r>
      <w:r>
        <w:rPr>
          <w:lang w:val="en-GB"/>
        </w:rPr>
        <w:t>&gt;</w:t>
      </w:r>
    </w:p>
    <w:p w14:paraId="74C6B91E" w14:textId="77777777" w:rsidR="000A22AD" w:rsidRPr="005036AA" w:rsidRDefault="000A22AD" w:rsidP="003B4F97">
      <w:pPr>
        <w:rPr>
          <w:lang w:val="en-GB"/>
        </w:rPr>
      </w:pPr>
      <w:r w:rsidRPr="005036AA">
        <w:rPr>
          <w:lang w:val="en-GB"/>
        </w:rPr>
        <w:t>Duckett S, Cuddihy M, Newnham H 2016, Targeting zero: supporting the Victorian hospital system to eliminate avoidable harm and strengthen quality of care: report of the review of hospital safety and quality assurance in Victoria, Victorian Government, Melbourne.</w:t>
      </w:r>
    </w:p>
    <w:p w14:paraId="06B8A1F9" w14:textId="77777777" w:rsidR="000A22AD" w:rsidRPr="005036AA" w:rsidRDefault="000A22AD" w:rsidP="003B4F97">
      <w:pPr>
        <w:rPr>
          <w:lang w:val="en-GB"/>
        </w:rPr>
      </w:pPr>
      <w:r w:rsidRPr="005036AA">
        <w:rPr>
          <w:lang w:val="en-GB"/>
        </w:rPr>
        <w:t xml:space="preserve">Robson MS 2001, </w:t>
      </w:r>
      <w:hyperlink r:id="rId57" w:history="1">
        <w:r w:rsidRPr="00FE09C8">
          <w:rPr>
            <w:i/>
            <w:iCs/>
            <w:color w:val="4D92C0"/>
            <w:u w:val="single"/>
            <w:lang w:val="en-GB"/>
          </w:rPr>
          <w:t>Classification of caesarean sections, Fetal and Maternal Medicine Review</w:t>
        </w:r>
      </w:hyperlink>
      <w:r w:rsidRPr="005036AA">
        <w:rPr>
          <w:i/>
          <w:iCs/>
          <w:lang w:val="en-GB"/>
        </w:rPr>
        <w:t>,</w:t>
      </w:r>
      <w:r w:rsidRPr="005036AA">
        <w:rPr>
          <w:lang w:val="en-GB"/>
        </w:rPr>
        <w:t xml:space="preserve"> </w:t>
      </w:r>
      <w:r>
        <w:rPr>
          <w:lang w:val="en-GB"/>
        </w:rPr>
        <w:t>&lt;</w:t>
      </w:r>
      <w:r w:rsidRPr="00FE09C8">
        <w:rPr>
          <w:lang w:val="en-GB"/>
        </w:rPr>
        <w:t>https://www.cambridge.org/core/journals/fetal-and-maternal-medicine-review/article/classification-of-caesarean-sections/1489F66B41725CF7719525EC11655D4C</w:t>
      </w:r>
      <w:r>
        <w:rPr>
          <w:lang w:val="en-GB"/>
        </w:rPr>
        <w:t>&gt;</w:t>
      </w:r>
    </w:p>
    <w:p w14:paraId="742A7A7C" w14:textId="77777777" w:rsidR="000A22AD" w:rsidRPr="005036AA" w:rsidRDefault="000A22AD" w:rsidP="003B4F97">
      <w:pPr>
        <w:rPr>
          <w:lang w:val="en-GB"/>
        </w:rPr>
      </w:pPr>
      <w:r w:rsidRPr="005036AA">
        <w:rPr>
          <w:lang w:val="en-GB"/>
        </w:rPr>
        <w:t xml:space="preserve">Victorian Government Department of Health 2011, </w:t>
      </w:r>
      <w:hyperlink r:id="rId58" w:history="1">
        <w:r w:rsidRPr="001D43A1">
          <w:rPr>
            <w:i/>
            <w:iCs/>
            <w:color w:val="4D92C0"/>
            <w:u w:val="single"/>
            <w:lang w:val="en-GB"/>
          </w:rPr>
          <w:t>Capability framework for Victorian maternity and newborn services</w:t>
        </w:r>
      </w:hyperlink>
      <w:r w:rsidRPr="005036AA">
        <w:rPr>
          <w:i/>
          <w:iCs/>
          <w:lang w:val="en-GB"/>
        </w:rPr>
        <w:t>,</w:t>
      </w:r>
      <w:r w:rsidRPr="005036AA">
        <w:rPr>
          <w:lang w:val="en-GB"/>
        </w:rPr>
        <w:t xml:space="preserve"> Victorian Government, Melbourne. </w:t>
      </w:r>
      <w:r>
        <w:rPr>
          <w:lang w:val="en-GB"/>
        </w:rPr>
        <w:t>&lt;</w:t>
      </w:r>
      <w:r w:rsidRPr="001E2C97">
        <w:t xml:space="preserve"> </w:t>
      </w:r>
      <w:r w:rsidRPr="00860B3C">
        <w:t>https://www2.health.vic.gov.au/hospitals-and-health-services/patient-care/perinatal-reproductive/maternity-newborn-services/maternity-newborn-care</w:t>
      </w:r>
      <w:r>
        <w:rPr>
          <w:lang w:val="en-GB"/>
        </w:rPr>
        <w:t xml:space="preserve"> &gt;</w:t>
      </w:r>
    </w:p>
    <w:p w14:paraId="1CA9ED9F" w14:textId="77777777" w:rsidR="000A22AD" w:rsidRPr="000262E1" w:rsidRDefault="000A22AD" w:rsidP="003B4F97">
      <w:r w:rsidRPr="005036AA">
        <w:rPr>
          <w:lang w:val="en-GB"/>
        </w:rPr>
        <w:t xml:space="preserve">Zhang J, Geerts C, Hukkelhoven C, Offerhaus P, Zwart J, de Jonge A 2016, </w:t>
      </w:r>
      <w:hyperlink r:id="rId59" w:history="1">
        <w:r w:rsidRPr="007B623C">
          <w:rPr>
            <w:i/>
            <w:iCs/>
            <w:color w:val="4D92C0"/>
            <w:u w:val="single"/>
            <w:lang w:val="en-GB"/>
          </w:rPr>
          <w:t>Caesarean section rates in subgroups of women and perinatal outcomes, British Journal of Obstetrics and Gynaecology</w:t>
        </w:r>
      </w:hyperlink>
      <w:r w:rsidRPr="005036AA">
        <w:rPr>
          <w:i/>
          <w:iCs/>
          <w:lang w:val="en-GB"/>
        </w:rPr>
        <w:t>,</w:t>
      </w:r>
      <w:r w:rsidRPr="000262E1">
        <w:t xml:space="preserve"> </w:t>
      </w:r>
      <w:r>
        <w:t>&lt;</w:t>
      </w:r>
      <w:r w:rsidRPr="007B623C">
        <w:t>https://obgyn.onlinelibrary.wiley.com/doi/full/10.1111/1471-0528.13520</w:t>
      </w:r>
      <w:r>
        <w:t>&gt;</w:t>
      </w:r>
    </w:p>
    <w:p w14:paraId="0C7F8C62" w14:textId="77777777" w:rsidR="003C7395" w:rsidRDefault="003C7395" w:rsidP="003B4F97"/>
    <w:p w14:paraId="1439339E" w14:textId="77777777" w:rsidR="003C7395" w:rsidRDefault="003C7395" w:rsidP="003B4F97">
      <w:pPr>
        <w:sectPr w:rsidR="003C7395" w:rsidSect="00265EC8">
          <w:pgSz w:w="11906" w:h="16838" w:code="9"/>
          <w:pgMar w:top="3402" w:right="851" w:bottom="1361" w:left="851" w:header="539" w:footer="624" w:gutter="0"/>
          <w:cols w:space="284"/>
          <w:docGrid w:linePitch="360"/>
        </w:sectPr>
      </w:pPr>
    </w:p>
    <w:p w14:paraId="730C105E" w14:textId="77777777" w:rsidR="00727C45" w:rsidRDefault="00727C45" w:rsidP="003B4F97">
      <w:r>
        <w:br w:type="page"/>
      </w:r>
    </w:p>
    <w:p w14:paraId="30DCCC5A" w14:textId="77777777" w:rsidR="00727C45" w:rsidRDefault="00727C45" w:rsidP="003B4F97">
      <w:r>
        <w:drawing>
          <wp:anchor distT="0" distB="0" distL="114300" distR="114300" simplePos="0" relativeHeight="251658243" behindDoc="1" locked="0" layoutInCell="1" allowOverlap="1" wp14:anchorId="6F03B07D" wp14:editId="0C4F0F1D">
            <wp:simplePos x="0" y="0"/>
            <wp:positionH relativeFrom="page">
              <wp:posOffset>0</wp:posOffset>
            </wp:positionH>
            <wp:positionV relativeFrom="page">
              <wp:posOffset>0</wp:posOffset>
            </wp:positionV>
            <wp:extent cx="7559675" cy="10691495"/>
            <wp:effectExtent l="0" t="0" r="3175" b="0"/>
            <wp:wrapTopAndBottom/>
            <wp:docPr id="4" name="back cover">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 cover.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p>
    <w:sectPr w:rsidR="00727C45" w:rsidSect="002708C3">
      <w:type w:val="continuous"/>
      <w:pgSz w:w="11906" w:h="16838" w:code="9"/>
      <w:pgMar w:top="3402" w:right="851" w:bottom="1361" w:left="851" w:header="539" w:footer="62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55B8A0" w14:textId="77777777" w:rsidR="00084C5E" w:rsidRDefault="00084C5E" w:rsidP="003B4F97">
      <w:r>
        <w:separator/>
      </w:r>
    </w:p>
  </w:endnote>
  <w:endnote w:type="continuationSeparator" w:id="0">
    <w:p w14:paraId="348ACC21" w14:textId="77777777" w:rsidR="00084C5E" w:rsidRDefault="00084C5E" w:rsidP="003B4F97">
      <w:r>
        <w:continuationSeparator/>
      </w:r>
    </w:p>
  </w:endnote>
  <w:endnote w:type="continuationNotice" w:id="1">
    <w:p w14:paraId="005EB895" w14:textId="77777777" w:rsidR="00084C5E" w:rsidRDefault="00084C5E" w:rsidP="003B4F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IC-Regular">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B9EA2" w14:textId="3AF08995" w:rsidR="00C32FCB" w:rsidRDefault="00C32FCB" w:rsidP="003B4F97">
    <w:pPr>
      <w:pStyle w:val="FooterOdd"/>
      <w:framePr w:wrap="around"/>
    </w:pPr>
    <w:r>
      <w:rPr>
        <w:noProof w:val="0"/>
      </w:rPr>
      <w:fldChar w:fldCharType="begin"/>
    </w:r>
    <w:r>
      <w:instrText xml:space="preserve"> PAGE   \* MERGEFORMAT </w:instrText>
    </w:r>
    <w:r>
      <w:rPr>
        <w:noProof w:val="0"/>
      </w:rPr>
      <w:fldChar w:fldCharType="separate"/>
    </w:r>
    <w:r>
      <w:rPr>
        <w:noProof w:val="0"/>
      </w:rPr>
      <w:t>76</w:t>
    </w:r>
    <w:r>
      <w:fldChar w:fldCharType="end"/>
    </w:r>
    <w:r>
      <w:t xml:space="preserve">  </w:t>
    </w:r>
    <w:r w:rsidRPr="0097403D">
      <w:rPr>
        <w:b/>
      </w:rPr>
      <w:t>Safer Care Victoria</w:t>
    </w:r>
    <w:r>
      <w:t xml:space="preserve"> </w:t>
    </w:r>
    <w:sdt>
      <w:sdtPr>
        <w:alias w:val="Title"/>
        <w:tag w:val=""/>
        <w:id w:val="-269543649"/>
        <w:dataBinding w:prefixMappings="xmlns:ns0='http://purl.org/dc/elements/1.1/' xmlns:ns1='http://schemas.openxmlformats.org/package/2006/metadata/core-properties' " w:xpath="/ns1:coreProperties[1]/ns0:title[1]" w:storeItemID="{6C3C8BC8-F283-45AE-878A-BAB7291924A1}"/>
        <w:text/>
      </w:sdtPr>
      <w:sdtEndPr/>
      <w:sdtContent>
        <w:r>
          <w:t>Victorian perinatal services performance indicators</w:t>
        </w:r>
      </w:sdtContent>
    </w:sdt>
  </w:p>
  <w:p w14:paraId="4F946A8F" w14:textId="77777777" w:rsidR="00C32FCB" w:rsidRPr="002A5891" w:rsidRDefault="00C32FCB" w:rsidP="003B4F97">
    <w:pPr>
      <w:pStyle w:val="FooterEven"/>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99B11" w14:textId="2AF94CF8" w:rsidR="00C32FCB" w:rsidRDefault="001E14D6" w:rsidP="003B4F97">
    <w:pPr>
      <w:pStyle w:val="FooterOdd"/>
      <w:framePr w:wrap="around"/>
    </w:pPr>
    <w:sdt>
      <w:sdtPr>
        <w:rPr>
          <w:color w:val="000000" w:themeColor="text1"/>
        </w:rPr>
        <w:alias w:val="Title"/>
        <w:tag w:val=""/>
        <w:id w:val="1969169373"/>
        <w:dataBinding w:prefixMappings="xmlns:ns0='http://purl.org/dc/elements/1.1/' xmlns:ns1='http://schemas.openxmlformats.org/package/2006/metadata/core-properties' " w:xpath="/ns1:coreProperties[1]/ns0:title[1]" w:storeItemID="{6C3C8BC8-F283-45AE-878A-BAB7291924A1}"/>
        <w:text/>
      </w:sdtPr>
      <w:sdtEndPr>
        <w:rPr>
          <w:color w:val="auto"/>
        </w:rPr>
      </w:sdtEndPr>
      <w:sdtContent>
        <w:r w:rsidR="00C32FCB">
          <w:rPr>
            <w:color w:val="000000" w:themeColor="text1"/>
          </w:rPr>
          <w:t>Victorian perinatal services performance indicators</w:t>
        </w:r>
      </w:sdtContent>
    </w:sdt>
    <w:r w:rsidR="00C32FCB">
      <w:t> </w:t>
    </w:r>
    <w:r w:rsidR="00C32FCB">
      <w:t> </w:t>
    </w:r>
    <w:r w:rsidR="00C32FCB" w:rsidRPr="0097403D">
      <w:rPr>
        <w:b/>
      </w:rPr>
      <w:t>Safer Care Victoria</w:t>
    </w:r>
    <w:r w:rsidR="00C32FCB">
      <w:t> </w:t>
    </w:r>
    <w:r w:rsidR="00C32FCB">
      <w:t> </w:t>
    </w:r>
    <w:r w:rsidR="00C32FCB">
      <w:rPr>
        <w:noProof w:val="0"/>
      </w:rPr>
      <w:fldChar w:fldCharType="begin"/>
    </w:r>
    <w:r w:rsidR="00C32FCB">
      <w:instrText xml:space="preserve"> PAGE   \* MERGEFORMAT </w:instrText>
    </w:r>
    <w:r w:rsidR="00C32FCB">
      <w:rPr>
        <w:noProof w:val="0"/>
      </w:rPr>
      <w:fldChar w:fldCharType="separate"/>
    </w:r>
    <w:r w:rsidR="00C32FCB">
      <w:rPr>
        <w:noProof w:val="0"/>
      </w:rPr>
      <w:t>65</w:t>
    </w:r>
    <w:r w:rsidR="00C32FCB">
      <w:fldChar w:fldCharType="end"/>
    </w:r>
  </w:p>
  <w:p w14:paraId="23D62A76" w14:textId="77777777" w:rsidR="00C32FCB" w:rsidRPr="00BB5896" w:rsidRDefault="00C32FCB" w:rsidP="003B4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D8FE06" w14:textId="77777777" w:rsidR="00777442" w:rsidRDefault="0077744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D1174" w14:textId="77777777" w:rsidR="00C32FCB" w:rsidRDefault="00C32FCB" w:rsidP="003B4F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E30261" w14:textId="77777777" w:rsidR="00084C5E" w:rsidRDefault="00084C5E" w:rsidP="003B4F97"/>
  </w:footnote>
  <w:footnote w:type="continuationSeparator" w:id="0">
    <w:p w14:paraId="410BFBAD" w14:textId="77777777" w:rsidR="00084C5E" w:rsidRDefault="00084C5E" w:rsidP="003B4F97"/>
  </w:footnote>
  <w:footnote w:type="continuationNotice" w:id="1">
    <w:p w14:paraId="687DBC70" w14:textId="77777777" w:rsidR="00084C5E" w:rsidRDefault="00084C5E" w:rsidP="003B4F97"/>
  </w:footnote>
  <w:footnote w:id="2">
    <w:p w14:paraId="6FF733DE" w14:textId="0E285A7C" w:rsidR="00C32FCB" w:rsidRPr="00E23EA7" w:rsidRDefault="00C32FCB" w:rsidP="003B4F97">
      <w:pPr>
        <w:pStyle w:val="Footer"/>
      </w:pPr>
      <w:r w:rsidRPr="00832585">
        <w:rPr>
          <w:vertAlign w:val="superscript"/>
        </w:rPr>
        <w:footnoteRef/>
      </w:r>
      <w:r>
        <w:t xml:space="preserve"> </w:t>
      </w:r>
      <w:r w:rsidRPr="00E23EA7">
        <w:t xml:space="preserve">Dobbins T, Sullivan E, Roberts C, Simpson J 2012, ‘Australian national birthweight percentiles by sex and gestational age, 1998–2007’, </w:t>
      </w:r>
      <w:hyperlink r:id="rId1" w:history="1">
        <w:r w:rsidRPr="00E23EA7">
          <w:rPr>
            <w:i/>
            <w:color w:val="4D92C0"/>
            <w:u w:val="single"/>
          </w:rPr>
          <w:t>The Medical Journal of Australia</w:t>
        </w:r>
        <w:r w:rsidRPr="00E23EA7">
          <w:t>,</w:t>
        </w:r>
      </w:hyperlink>
      <w:r w:rsidRPr="00E23EA7">
        <w:t xml:space="preserve"> viewed 15 November 2016, &lt;https://www.mja.com.au/journal/2012/197/5/australian-national-birthweight-percentiles-sex-and-gestational-age-1998–2007&gt;.</w:t>
      </w:r>
    </w:p>
    <w:p w14:paraId="798DC1BB" w14:textId="77777777" w:rsidR="00C32FCB" w:rsidRDefault="00C32FCB" w:rsidP="003B4F97">
      <w:pPr>
        <w:pStyle w:val="Footnotes"/>
      </w:pPr>
    </w:p>
  </w:footnote>
  <w:footnote w:id="3">
    <w:p w14:paraId="569CD520" w14:textId="109BDD9B" w:rsidR="00C32FCB" w:rsidRDefault="00C32FCB" w:rsidP="003B4F97">
      <w:pPr>
        <w:pStyle w:val="FootnoteText"/>
      </w:pPr>
      <w:r>
        <w:rPr>
          <w:vertAlign w:val="superscript"/>
        </w:rPr>
        <w:footnoteRef/>
      </w:r>
      <w:r>
        <w:t xml:space="preserve"> Adjusting for transfers has been tested and has been found to not to affect the results significantly.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D3EFA" w14:textId="77777777" w:rsidR="00777442" w:rsidRDefault="007774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55355" w14:textId="5A247960" w:rsidR="00C32FCB" w:rsidRDefault="00C32FCB" w:rsidP="003B4F97">
    <w:pPr>
      <w:pStyle w:val="Header"/>
    </w:pPr>
    <w:r>
      <w:drawing>
        <wp:anchor distT="0" distB="0" distL="114300" distR="114300" simplePos="0" relativeHeight="251658240" behindDoc="1" locked="0" layoutInCell="1" allowOverlap="1" wp14:anchorId="73B8C466" wp14:editId="3A68B78F">
          <wp:simplePos x="0" y="0"/>
          <wp:positionH relativeFrom="column">
            <wp:posOffset>-914400</wp:posOffset>
          </wp:positionH>
          <wp:positionV relativeFrom="page">
            <wp:posOffset>0</wp:posOffset>
          </wp:positionV>
          <wp:extent cx="7562088" cy="10698480"/>
          <wp:effectExtent l="0" t="0" r="1270" b="7620"/>
          <wp:wrapNone/>
          <wp:docPr id="5" name="Alternative back cove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TION PAGE_9545 DTF Covers A4 Final_Blue3 copy.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AD7F" w14:textId="283D211E" w:rsidR="00C32FCB" w:rsidRDefault="00C32FCB" w:rsidP="003B4F97">
    <w:r>
      <w:drawing>
        <wp:anchor distT="0" distB="0" distL="114300" distR="114300" simplePos="0" relativeHeight="251658241" behindDoc="1" locked="0" layoutInCell="1" allowOverlap="1" wp14:anchorId="0C0A4982" wp14:editId="3DCCB640">
          <wp:simplePos x="542925" y="342900"/>
          <wp:positionH relativeFrom="page">
            <wp:align>left</wp:align>
          </wp:positionH>
          <wp:positionV relativeFrom="page">
            <wp:align>top</wp:align>
          </wp:positionV>
          <wp:extent cx="7560000" cy="10691587"/>
          <wp:effectExtent l="0" t="0" r="3175" b="0"/>
          <wp:wrapNone/>
          <wp:docPr id="2" name="Picture 2" descr="Safe Care Victor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nt cover artwor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0691587"/>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860CDB" w14:textId="7D9900DC" w:rsidR="00C32FCB" w:rsidRDefault="00C32FCB" w:rsidP="003B4F9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17F21" w14:textId="71C2F2CD" w:rsidR="00C32FCB" w:rsidRDefault="00C32FCB" w:rsidP="003B4F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7EE18" w14:textId="44514A37" w:rsidR="00C32FCB" w:rsidRDefault="00C32FCB" w:rsidP="003B4F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5E85"/>
    <w:multiLevelType w:val="hybridMultilevel"/>
    <w:tmpl w:val="7018BD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E2E7397"/>
    <w:multiLevelType w:val="multilevel"/>
    <w:tmpl w:val="BCD49A76"/>
    <w:name w:val="List num32222"/>
    <w:lvl w:ilvl="0">
      <w:start w:val="1"/>
      <w:numFmt w:val="lowerLetter"/>
      <w:lvlText w:val="(%1)"/>
      <w:lvlJc w:val="left"/>
      <w:pPr>
        <w:ind w:left="397" w:hanging="397"/>
      </w:pPr>
      <w:rPr>
        <w:rFonts w:hint="default"/>
      </w:rPr>
    </w:lvl>
    <w:lvl w:ilvl="1">
      <w:start w:val="1"/>
      <w:numFmt w:val="lowerRoman"/>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abstractNum w:abstractNumId="2" w15:restartNumberingAfterBreak="0">
    <w:nsid w:val="26456FFD"/>
    <w:multiLevelType w:val="multilevel"/>
    <w:tmpl w:val="47D41E60"/>
    <w:lvl w:ilvl="0">
      <w:start w:val="1"/>
      <w:numFmt w:val="bullet"/>
      <w:pStyle w:val="Tablebullet"/>
      <w:lvlText w:val=""/>
      <w:lvlJc w:val="left"/>
      <w:pPr>
        <w:ind w:left="284" w:hanging="284"/>
      </w:pPr>
      <w:rPr>
        <w:rFonts w:ascii="Symbol" w:hAnsi="Symbol" w:hint="default"/>
        <w:color w:val="4D92C0"/>
      </w:rPr>
    </w:lvl>
    <w:lvl w:ilvl="1">
      <w:start w:val="1"/>
      <w:numFmt w:val="bullet"/>
      <w:pStyle w:val="Tabledash"/>
      <w:lvlText w:val="–"/>
      <w:lvlJc w:val="left"/>
      <w:pPr>
        <w:ind w:left="568" w:hanging="284"/>
      </w:pPr>
      <w:rPr>
        <w:rFonts w:ascii="Calibri" w:hAnsi="Calibri" w:hint="default"/>
        <w:color w:val="auto"/>
      </w:rPr>
    </w:lvl>
    <w:lvl w:ilvl="2">
      <w:start w:val="1"/>
      <w:numFmt w:val="decimal"/>
      <w:pStyle w:val="Tablenum1"/>
      <w:lvlText w:val="%3."/>
      <w:lvlJc w:val="left"/>
      <w:pPr>
        <w:tabs>
          <w:tab w:val="num" w:pos="284"/>
        </w:tabs>
        <w:ind w:left="284" w:hanging="284"/>
      </w:pPr>
      <w:rPr>
        <w:rFonts w:hint="default"/>
      </w:rPr>
    </w:lvl>
    <w:lvl w:ilvl="3">
      <w:start w:val="1"/>
      <w:numFmt w:val="lowerLetter"/>
      <w:pStyle w:val="Tablenum2"/>
      <w:lvlText w:val="(%4)"/>
      <w:lvlJc w:val="left"/>
      <w:pPr>
        <w:tabs>
          <w:tab w:val="num" w:pos="567"/>
        </w:tabs>
        <w:ind w:left="567" w:hanging="283"/>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393615B0"/>
    <w:multiLevelType w:val="multilevel"/>
    <w:tmpl w:val="F27293EC"/>
    <w:name w:val="List num2"/>
    <w:lvl w:ilvl="0">
      <w:start w:val="1"/>
      <w:numFmt w:val="decimal"/>
      <w:pStyle w:val="Heading1numbered"/>
      <w:suff w:val="space"/>
      <w:lvlText w:val="Section %1.0"/>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4" w15:restartNumberingAfterBreak="0">
    <w:nsid w:val="393A12AA"/>
    <w:multiLevelType w:val="multilevel"/>
    <w:tmpl w:val="239C8980"/>
    <w:lvl w:ilvl="0">
      <w:start w:val="1"/>
      <w:numFmt w:val="bullet"/>
      <w:pStyle w:val="Bullet1"/>
      <w:lvlText w:val=""/>
      <w:lvlJc w:val="left"/>
      <w:pPr>
        <w:ind w:left="284" w:hanging="284"/>
      </w:pPr>
      <w:rPr>
        <w:rFonts w:ascii="Wingdings 2" w:hAnsi="Wingdings 2" w:hint="default"/>
        <w:color w:val="4D92C0"/>
        <w:position w:val="2"/>
        <w:sz w:val="16"/>
      </w:rPr>
    </w:lvl>
    <w:lvl w:ilvl="1">
      <w:start w:val="1"/>
      <w:numFmt w:val="bullet"/>
      <w:pStyle w:val="Bullet2"/>
      <w:lvlText w:val="–"/>
      <w:lvlJc w:val="left"/>
      <w:pPr>
        <w:ind w:left="568" w:hanging="284"/>
      </w:pPr>
      <w:rPr>
        <w:rFonts w:ascii="Arial Black" w:hAnsi="Arial Black"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5" w15:restartNumberingAfterBreak="0">
    <w:nsid w:val="43BF2BD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46D3A6A"/>
    <w:multiLevelType w:val="multilevel"/>
    <w:tmpl w:val="F58A407A"/>
    <w:lvl w:ilvl="0">
      <w:start w:val="1"/>
      <w:numFmt w:val="bullet"/>
      <w:lvlText w:val=""/>
      <w:lvlJc w:val="left"/>
      <w:pPr>
        <w:tabs>
          <w:tab w:val="num" w:pos="360"/>
        </w:tabs>
        <w:ind w:left="360" w:hanging="360"/>
      </w:pPr>
      <w:rPr>
        <w:rFonts w:ascii="Symbol" w:hAnsi="Symbol" w:hint="default"/>
        <w:b w:val="0"/>
        <w:i w:val="0"/>
        <w:vanish w:val="0"/>
        <w:color w:val="auto"/>
        <w:sz w:val="22"/>
      </w:rPr>
    </w:lvl>
    <w:lvl w:ilvl="1">
      <w:start w:val="1"/>
      <w:numFmt w:val="bullet"/>
      <w:lvlText w:val="–"/>
      <w:lvlJc w:val="left"/>
      <w:pPr>
        <w:tabs>
          <w:tab w:val="num" w:pos="720"/>
        </w:tabs>
        <w:ind w:left="720" w:hanging="360"/>
      </w:pPr>
      <w:rPr>
        <w:rFonts w:ascii="Calibri" w:hAnsi="Calibri" w:hint="default"/>
        <w:b w:val="0"/>
        <w:i w:val="0"/>
        <w:vanish w:val="0"/>
        <w:color w:val="auto"/>
        <w:sz w:val="22"/>
      </w:rPr>
    </w:lvl>
    <w:lvl w:ilvl="2">
      <w:start w:val="1"/>
      <w:numFmt w:val="bullet"/>
      <w:lvlText w:val=""/>
      <w:lvlJc w:val="left"/>
      <w:pPr>
        <w:tabs>
          <w:tab w:val="num" w:pos="1152"/>
        </w:tabs>
        <w:ind w:left="1152" w:hanging="360"/>
      </w:pPr>
      <w:rPr>
        <w:rFonts w:ascii="Symbol" w:hAnsi="Symbol" w:hint="default"/>
        <w:b w:val="0"/>
        <w:i w:val="0"/>
        <w:vanish w:val="0"/>
        <w:color w:val="auto"/>
        <w:sz w:val="22"/>
      </w:rPr>
    </w:lvl>
    <w:lvl w:ilvl="3">
      <w:start w:val="1"/>
      <w:numFmt w:val="bullet"/>
      <w:lvlText w:val="–"/>
      <w:lvlJc w:val="left"/>
      <w:pPr>
        <w:tabs>
          <w:tab w:val="num" w:pos="1512"/>
        </w:tabs>
        <w:ind w:left="1512" w:hanging="360"/>
      </w:pPr>
      <w:rPr>
        <w:rFonts w:ascii="Calibri" w:hAnsi="Calibri"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7" w15:restartNumberingAfterBreak="0">
    <w:nsid w:val="7A7E12E5"/>
    <w:multiLevelType w:val="multilevel"/>
    <w:tmpl w:val="F74E2CE0"/>
    <w:lvl w:ilvl="0">
      <w:start w:val="1"/>
      <w:numFmt w:val="decimal"/>
      <w:pStyle w:val="Numpara"/>
      <w:lvlText w:val="%1."/>
      <w:lvlJc w:val="left"/>
      <w:pPr>
        <w:ind w:left="397" w:hanging="397"/>
      </w:pPr>
      <w:rPr>
        <w:rFonts w:hint="default"/>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8" w15:restartNumberingAfterBreak="0">
    <w:nsid w:val="7FD44514"/>
    <w:multiLevelType w:val="multilevel"/>
    <w:tmpl w:val="457635A8"/>
    <w:name w:val="List num"/>
    <w:lvl w:ilvl="0">
      <w:start w:val="1"/>
      <w:numFmt w:val="lowerLetter"/>
      <w:pStyle w:val="Listnum"/>
      <w:lvlText w:val="(%1)"/>
      <w:lvlJc w:val="left"/>
      <w:pPr>
        <w:ind w:left="397" w:hanging="397"/>
      </w:pPr>
      <w:rPr>
        <w:rFonts w:hint="default"/>
      </w:rPr>
    </w:lvl>
    <w:lvl w:ilvl="1">
      <w:start w:val="1"/>
      <w:numFmt w:val="lowerRoman"/>
      <w:pStyle w:val="Listnum2"/>
      <w:lvlText w:val="(%2)"/>
      <w:lvlJc w:val="left"/>
      <w:pPr>
        <w:ind w:left="794" w:hanging="397"/>
      </w:pPr>
      <w:rPr>
        <w:rFonts w:hint="default"/>
      </w:rPr>
    </w:lvl>
    <w:lvl w:ilvl="2">
      <w:start w:val="1"/>
      <w:numFmt w:val="decimal"/>
      <w:lvlText w:val="(%3)"/>
      <w:lvlJc w:val="left"/>
      <w:pPr>
        <w:ind w:left="1191" w:hanging="397"/>
      </w:pPr>
      <w:rPr>
        <w:rFonts w:hint="default"/>
      </w:rPr>
    </w:lvl>
    <w:lvl w:ilvl="3">
      <w:start w:val="1"/>
      <w:numFmt w:val="upperLetter"/>
      <w:lvlText w:val="(%4)"/>
      <w:lvlJc w:val="left"/>
      <w:pPr>
        <w:ind w:left="1588" w:hanging="397"/>
      </w:pPr>
      <w:rPr>
        <w:rFonts w:hint="default"/>
      </w:rPr>
    </w:lvl>
    <w:lvl w:ilvl="4">
      <w:start w:val="1"/>
      <w:numFmt w:val="upperRoman"/>
      <w:lvlRestart w:val="1"/>
      <w:lvlText w:val="(%5)"/>
      <w:lvlJc w:val="left"/>
      <w:pPr>
        <w:ind w:left="1985" w:hanging="397"/>
      </w:pPr>
      <w:rPr>
        <w:rFonts w:hint="default"/>
      </w:rPr>
    </w:lvl>
    <w:lvl w:ilvl="5">
      <w:start w:val="1"/>
      <w:numFmt w:val="decimal"/>
      <w:lvlText w:val="%3.%4.%5.%6"/>
      <w:lvlJc w:val="left"/>
      <w:pPr>
        <w:tabs>
          <w:tab w:val="num" w:pos="2345"/>
        </w:tabs>
        <w:ind w:left="2382" w:hanging="397"/>
      </w:pPr>
      <w:rPr>
        <w:rFonts w:hint="default"/>
      </w:rPr>
    </w:lvl>
    <w:lvl w:ilvl="6">
      <w:start w:val="1"/>
      <w:numFmt w:val="lowerLetter"/>
      <w:lvlText w:val="(%7)"/>
      <w:lvlJc w:val="left"/>
      <w:pPr>
        <w:tabs>
          <w:tab w:val="num" w:pos="2742"/>
        </w:tabs>
        <w:ind w:left="2779" w:hanging="397"/>
      </w:pPr>
      <w:rPr>
        <w:rFonts w:hint="default"/>
      </w:rPr>
    </w:lvl>
    <w:lvl w:ilvl="7">
      <w:start w:val="1"/>
      <w:numFmt w:val="lowerRoman"/>
      <w:lvlText w:val="(%8)"/>
      <w:lvlJc w:val="left"/>
      <w:pPr>
        <w:tabs>
          <w:tab w:val="num" w:pos="3139"/>
        </w:tabs>
        <w:ind w:left="3176" w:hanging="397"/>
      </w:pPr>
      <w:rPr>
        <w:rFonts w:hint="default"/>
      </w:rPr>
    </w:lvl>
    <w:lvl w:ilvl="8">
      <w:start w:val="1"/>
      <w:numFmt w:val="decimal"/>
      <w:lvlText w:val="%9."/>
      <w:lvlJc w:val="left"/>
      <w:pPr>
        <w:tabs>
          <w:tab w:val="num" w:pos="3536"/>
        </w:tabs>
        <w:ind w:left="3573" w:hanging="397"/>
      </w:pPr>
      <w:rPr>
        <w:rFonts w:hint="default"/>
      </w:rPr>
    </w:lvl>
  </w:abstractNum>
  <w:num w:numId="1">
    <w:abstractNumId w:val="6"/>
  </w:num>
  <w:num w:numId="2">
    <w:abstractNumId w:val="6"/>
  </w:num>
  <w:num w:numId="3">
    <w:abstractNumId w:val="6"/>
  </w:num>
  <w:num w:numId="4">
    <w:abstractNumId w:val="8"/>
  </w:num>
  <w:num w:numId="5">
    <w:abstractNumId w:val="2"/>
  </w:num>
  <w:num w:numId="6">
    <w:abstractNumId w:val="5"/>
  </w:num>
  <w:num w:numId="7">
    <w:abstractNumId w:val="7"/>
  </w:num>
  <w:num w:numId="8">
    <w:abstractNumId w:val="4"/>
  </w:num>
  <w:num w:numId="9">
    <w:abstractNumId w:val="4"/>
  </w:num>
  <w:num w:numId="10">
    <w:abstractNumId w:val="3"/>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displayBackgroundShape/>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AE8"/>
    <w:rsid w:val="00000259"/>
    <w:rsid w:val="000014DE"/>
    <w:rsid w:val="000037A6"/>
    <w:rsid w:val="0000516B"/>
    <w:rsid w:val="00012F6F"/>
    <w:rsid w:val="00014213"/>
    <w:rsid w:val="00014B55"/>
    <w:rsid w:val="00016EA0"/>
    <w:rsid w:val="000172CC"/>
    <w:rsid w:val="00020AE0"/>
    <w:rsid w:val="00020E3E"/>
    <w:rsid w:val="00021968"/>
    <w:rsid w:val="00023BF3"/>
    <w:rsid w:val="00026811"/>
    <w:rsid w:val="00026A21"/>
    <w:rsid w:val="000272A1"/>
    <w:rsid w:val="000335E7"/>
    <w:rsid w:val="00034670"/>
    <w:rsid w:val="0004185E"/>
    <w:rsid w:val="00041E6C"/>
    <w:rsid w:val="000442F0"/>
    <w:rsid w:val="00045A3E"/>
    <w:rsid w:val="00050B9A"/>
    <w:rsid w:val="00052C0C"/>
    <w:rsid w:val="00056988"/>
    <w:rsid w:val="000570D5"/>
    <w:rsid w:val="0006190E"/>
    <w:rsid w:val="00061B4C"/>
    <w:rsid w:val="00061E90"/>
    <w:rsid w:val="00063672"/>
    <w:rsid w:val="00064A73"/>
    <w:rsid w:val="00065B6E"/>
    <w:rsid w:val="00072279"/>
    <w:rsid w:val="00073407"/>
    <w:rsid w:val="00075E6C"/>
    <w:rsid w:val="00076D41"/>
    <w:rsid w:val="00077EAE"/>
    <w:rsid w:val="00081C12"/>
    <w:rsid w:val="00084C5E"/>
    <w:rsid w:val="00087D42"/>
    <w:rsid w:val="0009035B"/>
    <w:rsid w:val="00090D39"/>
    <w:rsid w:val="000941CE"/>
    <w:rsid w:val="000A004A"/>
    <w:rsid w:val="000A20B3"/>
    <w:rsid w:val="000A22AD"/>
    <w:rsid w:val="000A38D8"/>
    <w:rsid w:val="000A4099"/>
    <w:rsid w:val="000A46D4"/>
    <w:rsid w:val="000A649A"/>
    <w:rsid w:val="000B04FE"/>
    <w:rsid w:val="000B1CFD"/>
    <w:rsid w:val="000B29AD"/>
    <w:rsid w:val="000B3B5B"/>
    <w:rsid w:val="000B4525"/>
    <w:rsid w:val="000B7C51"/>
    <w:rsid w:val="000C40A5"/>
    <w:rsid w:val="000C464C"/>
    <w:rsid w:val="000C6372"/>
    <w:rsid w:val="000D5822"/>
    <w:rsid w:val="000D7841"/>
    <w:rsid w:val="000E392D"/>
    <w:rsid w:val="000E39B6"/>
    <w:rsid w:val="000E3D05"/>
    <w:rsid w:val="000F1018"/>
    <w:rsid w:val="000F223D"/>
    <w:rsid w:val="000F32AD"/>
    <w:rsid w:val="000F4288"/>
    <w:rsid w:val="000F7165"/>
    <w:rsid w:val="0010118C"/>
    <w:rsid w:val="00102181"/>
    <w:rsid w:val="00102379"/>
    <w:rsid w:val="00102768"/>
    <w:rsid w:val="00103722"/>
    <w:rsid w:val="001065D6"/>
    <w:rsid w:val="001068D5"/>
    <w:rsid w:val="001114F0"/>
    <w:rsid w:val="00112601"/>
    <w:rsid w:val="0011610B"/>
    <w:rsid w:val="00116472"/>
    <w:rsid w:val="00121252"/>
    <w:rsid w:val="00122FE1"/>
    <w:rsid w:val="00124609"/>
    <w:rsid w:val="001254CE"/>
    <w:rsid w:val="001259AC"/>
    <w:rsid w:val="00125F20"/>
    <w:rsid w:val="00127401"/>
    <w:rsid w:val="00133011"/>
    <w:rsid w:val="0013475A"/>
    <w:rsid w:val="00136F09"/>
    <w:rsid w:val="001379BA"/>
    <w:rsid w:val="0014024A"/>
    <w:rsid w:val="001422CC"/>
    <w:rsid w:val="00144DE9"/>
    <w:rsid w:val="00145346"/>
    <w:rsid w:val="001463D3"/>
    <w:rsid w:val="00153DA4"/>
    <w:rsid w:val="00153E56"/>
    <w:rsid w:val="001579C0"/>
    <w:rsid w:val="001617B6"/>
    <w:rsid w:val="001622F1"/>
    <w:rsid w:val="0016255F"/>
    <w:rsid w:val="00165E66"/>
    <w:rsid w:val="00167FA4"/>
    <w:rsid w:val="00171197"/>
    <w:rsid w:val="001717DC"/>
    <w:rsid w:val="00172D7E"/>
    <w:rsid w:val="001740B6"/>
    <w:rsid w:val="0017547C"/>
    <w:rsid w:val="00187B4C"/>
    <w:rsid w:val="0019145B"/>
    <w:rsid w:val="00192949"/>
    <w:rsid w:val="00195C06"/>
    <w:rsid w:val="001960C5"/>
    <w:rsid w:val="00196143"/>
    <w:rsid w:val="001A24FC"/>
    <w:rsid w:val="001A27C3"/>
    <w:rsid w:val="001A3E92"/>
    <w:rsid w:val="001B3049"/>
    <w:rsid w:val="001B7B83"/>
    <w:rsid w:val="001C4199"/>
    <w:rsid w:val="001C4735"/>
    <w:rsid w:val="001C5ABC"/>
    <w:rsid w:val="001C6E9E"/>
    <w:rsid w:val="001C7BAE"/>
    <w:rsid w:val="001D65C6"/>
    <w:rsid w:val="001E14D6"/>
    <w:rsid w:val="001E1E7A"/>
    <w:rsid w:val="001E31FA"/>
    <w:rsid w:val="001E48F9"/>
    <w:rsid w:val="001E5EFC"/>
    <w:rsid w:val="001E6142"/>
    <w:rsid w:val="001E64F6"/>
    <w:rsid w:val="001E6AB9"/>
    <w:rsid w:val="001E7AEB"/>
    <w:rsid w:val="001F4AC1"/>
    <w:rsid w:val="001F4FE9"/>
    <w:rsid w:val="00200203"/>
    <w:rsid w:val="002005AC"/>
    <w:rsid w:val="00203CC5"/>
    <w:rsid w:val="00204B82"/>
    <w:rsid w:val="00206DA8"/>
    <w:rsid w:val="00221563"/>
    <w:rsid w:val="00222BEB"/>
    <w:rsid w:val="00225BDA"/>
    <w:rsid w:val="00225E60"/>
    <w:rsid w:val="00226526"/>
    <w:rsid w:val="00226681"/>
    <w:rsid w:val="002266E8"/>
    <w:rsid w:val="00230665"/>
    <w:rsid w:val="00230BBB"/>
    <w:rsid w:val="00231BC5"/>
    <w:rsid w:val="00231F0C"/>
    <w:rsid w:val="0023202C"/>
    <w:rsid w:val="00234619"/>
    <w:rsid w:val="0023694D"/>
    <w:rsid w:val="002372B5"/>
    <w:rsid w:val="00245043"/>
    <w:rsid w:val="002455CB"/>
    <w:rsid w:val="002467F4"/>
    <w:rsid w:val="00254B91"/>
    <w:rsid w:val="00255DD0"/>
    <w:rsid w:val="00256698"/>
    <w:rsid w:val="00257461"/>
    <w:rsid w:val="0026028E"/>
    <w:rsid w:val="00260689"/>
    <w:rsid w:val="00260704"/>
    <w:rsid w:val="0026213C"/>
    <w:rsid w:val="00263221"/>
    <w:rsid w:val="002658EB"/>
    <w:rsid w:val="00265EC8"/>
    <w:rsid w:val="002708C3"/>
    <w:rsid w:val="00271D42"/>
    <w:rsid w:val="00272D29"/>
    <w:rsid w:val="00274E36"/>
    <w:rsid w:val="002765F5"/>
    <w:rsid w:val="002828A2"/>
    <w:rsid w:val="00284FA2"/>
    <w:rsid w:val="00286451"/>
    <w:rsid w:val="00292D36"/>
    <w:rsid w:val="00292F44"/>
    <w:rsid w:val="00294A5A"/>
    <w:rsid w:val="00297281"/>
    <w:rsid w:val="00297A47"/>
    <w:rsid w:val="002A3CE9"/>
    <w:rsid w:val="002A4309"/>
    <w:rsid w:val="002A4A13"/>
    <w:rsid w:val="002A5891"/>
    <w:rsid w:val="002B03F1"/>
    <w:rsid w:val="002B16F7"/>
    <w:rsid w:val="002B3D5B"/>
    <w:rsid w:val="002B5AAE"/>
    <w:rsid w:val="002B5E2B"/>
    <w:rsid w:val="002B5EF0"/>
    <w:rsid w:val="002B6DAA"/>
    <w:rsid w:val="002C1F3C"/>
    <w:rsid w:val="002C45C1"/>
    <w:rsid w:val="002C5223"/>
    <w:rsid w:val="002D70F7"/>
    <w:rsid w:val="002D711A"/>
    <w:rsid w:val="002D7336"/>
    <w:rsid w:val="002E05DB"/>
    <w:rsid w:val="002E27B7"/>
    <w:rsid w:val="002E3396"/>
    <w:rsid w:val="002E6027"/>
    <w:rsid w:val="002F0596"/>
    <w:rsid w:val="002F1B50"/>
    <w:rsid w:val="002F2953"/>
    <w:rsid w:val="002F7257"/>
    <w:rsid w:val="002F7F49"/>
    <w:rsid w:val="003048EE"/>
    <w:rsid w:val="0031149C"/>
    <w:rsid w:val="003139FC"/>
    <w:rsid w:val="003147B3"/>
    <w:rsid w:val="00314D58"/>
    <w:rsid w:val="00315DA6"/>
    <w:rsid w:val="00320487"/>
    <w:rsid w:val="00320BD7"/>
    <w:rsid w:val="00330945"/>
    <w:rsid w:val="00330D68"/>
    <w:rsid w:val="00336764"/>
    <w:rsid w:val="00340EEC"/>
    <w:rsid w:val="00344F00"/>
    <w:rsid w:val="00351E65"/>
    <w:rsid w:val="003527A0"/>
    <w:rsid w:val="00352BD2"/>
    <w:rsid w:val="00360AD7"/>
    <w:rsid w:val="0036258C"/>
    <w:rsid w:val="00364C09"/>
    <w:rsid w:val="00365EC2"/>
    <w:rsid w:val="0036778F"/>
    <w:rsid w:val="00371818"/>
    <w:rsid w:val="00375F26"/>
    <w:rsid w:val="0038771C"/>
    <w:rsid w:val="003910A0"/>
    <w:rsid w:val="00391739"/>
    <w:rsid w:val="00391EDE"/>
    <w:rsid w:val="00393CBC"/>
    <w:rsid w:val="0039477A"/>
    <w:rsid w:val="00396622"/>
    <w:rsid w:val="003A0548"/>
    <w:rsid w:val="003A351D"/>
    <w:rsid w:val="003A430B"/>
    <w:rsid w:val="003A50B3"/>
    <w:rsid w:val="003A541A"/>
    <w:rsid w:val="003A6923"/>
    <w:rsid w:val="003A70AF"/>
    <w:rsid w:val="003B1CF3"/>
    <w:rsid w:val="003B2302"/>
    <w:rsid w:val="003B4F97"/>
    <w:rsid w:val="003B7B6F"/>
    <w:rsid w:val="003C2C67"/>
    <w:rsid w:val="003C2D4C"/>
    <w:rsid w:val="003C3B3A"/>
    <w:rsid w:val="003C5BA4"/>
    <w:rsid w:val="003C7395"/>
    <w:rsid w:val="003D077F"/>
    <w:rsid w:val="003D27D1"/>
    <w:rsid w:val="003D3245"/>
    <w:rsid w:val="003D46FF"/>
    <w:rsid w:val="003D5C24"/>
    <w:rsid w:val="003D6541"/>
    <w:rsid w:val="003D7CD0"/>
    <w:rsid w:val="003E031C"/>
    <w:rsid w:val="003E2DAB"/>
    <w:rsid w:val="003E3E26"/>
    <w:rsid w:val="003E5945"/>
    <w:rsid w:val="003E5DFC"/>
    <w:rsid w:val="003E608A"/>
    <w:rsid w:val="003E6D81"/>
    <w:rsid w:val="003F0402"/>
    <w:rsid w:val="003F1295"/>
    <w:rsid w:val="003F2571"/>
    <w:rsid w:val="003F5102"/>
    <w:rsid w:val="003F76FC"/>
    <w:rsid w:val="003F7921"/>
    <w:rsid w:val="004002EB"/>
    <w:rsid w:val="00404C66"/>
    <w:rsid w:val="00407A79"/>
    <w:rsid w:val="00410CA4"/>
    <w:rsid w:val="0041394B"/>
    <w:rsid w:val="00413E52"/>
    <w:rsid w:val="0042125C"/>
    <w:rsid w:val="0042149B"/>
    <w:rsid w:val="00422DDC"/>
    <w:rsid w:val="004231B5"/>
    <w:rsid w:val="004236C8"/>
    <w:rsid w:val="00424256"/>
    <w:rsid w:val="00424E5A"/>
    <w:rsid w:val="00426771"/>
    <w:rsid w:val="00426976"/>
    <w:rsid w:val="00427681"/>
    <w:rsid w:val="004314B0"/>
    <w:rsid w:val="00433DB7"/>
    <w:rsid w:val="00437361"/>
    <w:rsid w:val="004427A2"/>
    <w:rsid w:val="00445C0F"/>
    <w:rsid w:val="00452C1A"/>
    <w:rsid w:val="00453750"/>
    <w:rsid w:val="00456941"/>
    <w:rsid w:val="00460717"/>
    <w:rsid w:val="0046194E"/>
    <w:rsid w:val="0046577A"/>
    <w:rsid w:val="00465BF2"/>
    <w:rsid w:val="004702EA"/>
    <w:rsid w:val="00470520"/>
    <w:rsid w:val="004805E4"/>
    <w:rsid w:val="00480877"/>
    <w:rsid w:val="0048248C"/>
    <w:rsid w:val="0048259C"/>
    <w:rsid w:val="00482D02"/>
    <w:rsid w:val="00484326"/>
    <w:rsid w:val="00484BDA"/>
    <w:rsid w:val="00484FB6"/>
    <w:rsid w:val="00487BF8"/>
    <w:rsid w:val="00490369"/>
    <w:rsid w:val="00490FC8"/>
    <w:rsid w:val="00496C6B"/>
    <w:rsid w:val="004A691F"/>
    <w:rsid w:val="004A7519"/>
    <w:rsid w:val="004B15FD"/>
    <w:rsid w:val="004B3D2B"/>
    <w:rsid w:val="004B3DBC"/>
    <w:rsid w:val="004B6469"/>
    <w:rsid w:val="004B64B1"/>
    <w:rsid w:val="004B6B46"/>
    <w:rsid w:val="004C485D"/>
    <w:rsid w:val="004C58DA"/>
    <w:rsid w:val="004C6C48"/>
    <w:rsid w:val="004C7024"/>
    <w:rsid w:val="004D014E"/>
    <w:rsid w:val="004D01AC"/>
    <w:rsid w:val="004D128F"/>
    <w:rsid w:val="004D3518"/>
    <w:rsid w:val="004D4BCE"/>
    <w:rsid w:val="004D62D6"/>
    <w:rsid w:val="004D6898"/>
    <w:rsid w:val="004D6B64"/>
    <w:rsid w:val="004E251D"/>
    <w:rsid w:val="004F3F4E"/>
    <w:rsid w:val="0050041C"/>
    <w:rsid w:val="0050356B"/>
    <w:rsid w:val="00510167"/>
    <w:rsid w:val="0051393B"/>
    <w:rsid w:val="00513E86"/>
    <w:rsid w:val="00515E7F"/>
    <w:rsid w:val="005255A9"/>
    <w:rsid w:val="0052613A"/>
    <w:rsid w:val="00526502"/>
    <w:rsid w:val="005306A2"/>
    <w:rsid w:val="005308B1"/>
    <w:rsid w:val="00530B2C"/>
    <w:rsid w:val="00533B98"/>
    <w:rsid w:val="0053416C"/>
    <w:rsid w:val="00540588"/>
    <w:rsid w:val="00541C2F"/>
    <w:rsid w:val="0054470E"/>
    <w:rsid w:val="0054774E"/>
    <w:rsid w:val="00547AA9"/>
    <w:rsid w:val="00551782"/>
    <w:rsid w:val="00551B95"/>
    <w:rsid w:val="00552D2D"/>
    <w:rsid w:val="00552DE4"/>
    <w:rsid w:val="00555FB7"/>
    <w:rsid w:val="005575BD"/>
    <w:rsid w:val="00562349"/>
    <w:rsid w:val="00563250"/>
    <w:rsid w:val="0056334D"/>
    <w:rsid w:val="00563527"/>
    <w:rsid w:val="0057104C"/>
    <w:rsid w:val="00572525"/>
    <w:rsid w:val="0057407A"/>
    <w:rsid w:val="005753D5"/>
    <w:rsid w:val="005760F6"/>
    <w:rsid w:val="0058124E"/>
    <w:rsid w:val="005823FE"/>
    <w:rsid w:val="00585305"/>
    <w:rsid w:val="005875A3"/>
    <w:rsid w:val="00591E82"/>
    <w:rsid w:val="005953EA"/>
    <w:rsid w:val="0059668D"/>
    <w:rsid w:val="005A3416"/>
    <w:rsid w:val="005A5A79"/>
    <w:rsid w:val="005A5D00"/>
    <w:rsid w:val="005A6325"/>
    <w:rsid w:val="005A6657"/>
    <w:rsid w:val="005A689B"/>
    <w:rsid w:val="005B27FE"/>
    <w:rsid w:val="005B37AB"/>
    <w:rsid w:val="005B38ED"/>
    <w:rsid w:val="005B48B5"/>
    <w:rsid w:val="005B76DF"/>
    <w:rsid w:val="005B79CB"/>
    <w:rsid w:val="005C0995"/>
    <w:rsid w:val="005C1AD0"/>
    <w:rsid w:val="005C4870"/>
    <w:rsid w:val="005C497C"/>
    <w:rsid w:val="005C572E"/>
    <w:rsid w:val="005C674E"/>
    <w:rsid w:val="005C6A57"/>
    <w:rsid w:val="005D2390"/>
    <w:rsid w:val="005D4090"/>
    <w:rsid w:val="005E08D7"/>
    <w:rsid w:val="005E2B6E"/>
    <w:rsid w:val="005E2E66"/>
    <w:rsid w:val="005E4B30"/>
    <w:rsid w:val="005E4C16"/>
    <w:rsid w:val="005E50E4"/>
    <w:rsid w:val="005E5947"/>
    <w:rsid w:val="005F0F98"/>
    <w:rsid w:val="005F15F1"/>
    <w:rsid w:val="005F4DA6"/>
    <w:rsid w:val="005F5DED"/>
    <w:rsid w:val="005F61DF"/>
    <w:rsid w:val="0060163A"/>
    <w:rsid w:val="006023F9"/>
    <w:rsid w:val="006078DD"/>
    <w:rsid w:val="00610559"/>
    <w:rsid w:val="00612C13"/>
    <w:rsid w:val="00614076"/>
    <w:rsid w:val="00622E3C"/>
    <w:rsid w:val="006231CD"/>
    <w:rsid w:val="006262FB"/>
    <w:rsid w:val="00631FA1"/>
    <w:rsid w:val="006325C5"/>
    <w:rsid w:val="00632F2E"/>
    <w:rsid w:val="006332F6"/>
    <w:rsid w:val="006413F2"/>
    <w:rsid w:val="00642FD7"/>
    <w:rsid w:val="006432EB"/>
    <w:rsid w:val="0064798F"/>
    <w:rsid w:val="0065266D"/>
    <w:rsid w:val="006528F5"/>
    <w:rsid w:val="00652FC3"/>
    <w:rsid w:val="00652FDD"/>
    <w:rsid w:val="00653346"/>
    <w:rsid w:val="006534B2"/>
    <w:rsid w:val="00655B0F"/>
    <w:rsid w:val="0065615D"/>
    <w:rsid w:val="00657011"/>
    <w:rsid w:val="006632DB"/>
    <w:rsid w:val="006650B5"/>
    <w:rsid w:val="006651B1"/>
    <w:rsid w:val="00665778"/>
    <w:rsid w:val="00665C78"/>
    <w:rsid w:val="00667665"/>
    <w:rsid w:val="00671495"/>
    <w:rsid w:val="00676E5F"/>
    <w:rsid w:val="00683498"/>
    <w:rsid w:val="006834A1"/>
    <w:rsid w:val="00687186"/>
    <w:rsid w:val="00687412"/>
    <w:rsid w:val="0069041D"/>
    <w:rsid w:val="00690451"/>
    <w:rsid w:val="006942CA"/>
    <w:rsid w:val="006945CA"/>
    <w:rsid w:val="00694FCF"/>
    <w:rsid w:val="00695CDB"/>
    <w:rsid w:val="006A08BF"/>
    <w:rsid w:val="006A160F"/>
    <w:rsid w:val="006A3259"/>
    <w:rsid w:val="006A3309"/>
    <w:rsid w:val="006A3A5A"/>
    <w:rsid w:val="006A5B34"/>
    <w:rsid w:val="006A6B0D"/>
    <w:rsid w:val="006B1B2A"/>
    <w:rsid w:val="006B3248"/>
    <w:rsid w:val="006B5C58"/>
    <w:rsid w:val="006B68E2"/>
    <w:rsid w:val="006C77A9"/>
    <w:rsid w:val="006C7F82"/>
    <w:rsid w:val="006D0F21"/>
    <w:rsid w:val="006D2DC2"/>
    <w:rsid w:val="006D4720"/>
    <w:rsid w:val="006E2991"/>
    <w:rsid w:val="006E4380"/>
    <w:rsid w:val="006E5898"/>
    <w:rsid w:val="006E6CDF"/>
    <w:rsid w:val="006E7C7F"/>
    <w:rsid w:val="006F12AA"/>
    <w:rsid w:val="006F237E"/>
    <w:rsid w:val="006F2E5F"/>
    <w:rsid w:val="006F37F2"/>
    <w:rsid w:val="006F6693"/>
    <w:rsid w:val="00703A50"/>
    <w:rsid w:val="00707FE8"/>
    <w:rsid w:val="00714AAE"/>
    <w:rsid w:val="007158FE"/>
    <w:rsid w:val="00716416"/>
    <w:rsid w:val="00716973"/>
    <w:rsid w:val="007169FA"/>
    <w:rsid w:val="007244AF"/>
    <w:rsid w:val="00724962"/>
    <w:rsid w:val="00724A0F"/>
    <w:rsid w:val="00726D2F"/>
    <w:rsid w:val="00727C45"/>
    <w:rsid w:val="00731718"/>
    <w:rsid w:val="00731E2F"/>
    <w:rsid w:val="00732496"/>
    <w:rsid w:val="0073424F"/>
    <w:rsid w:val="00735616"/>
    <w:rsid w:val="007361E1"/>
    <w:rsid w:val="00736732"/>
    <w:rsid w:val="00740019"/>
    <w:rsid w:val="007446E9"/>
    <w:rsid w:val="00746426"/>
    <w:rsid w:val="0074756E"/>
    <w:rsid w:val="0075046B"/>
    <w:rsid w:val="00750BF9"/>
    <w:rsid w:val="00750CBE"/>
    <w:rsid w:val="00754D1A"/>
    <w:rsid w:val="00763048"/>
    <w:rsid w:val="00763912"/>
    <w:rsid w:val="007645F0"/>
    <w:rsid w:val="007650D2"/>
    <w:rsid w:val="00765F94"/>
    <w:rsid w:val="00766B5A"/>
    <w:rsid w:val="007679FE"/>
    <w:rsid w:val="00772209"/>
    <w:rsid w:val="00772F6B"/>
    <w:rsid w:val="007770A5"/>
    <w:rsid w:val="00777442"/>
    <w:rsid w:val="0078343C"/>
    <w:rsid w:val="00783482"/>
    <w:rsid w:val="007834F2"/>
    <w:rsid w:val="007878E8"/>
    <w:rsid w:val="00791020"/>
    <w:rsid w:val="0079114E"/>
    <w:rsid w:val="00794B95"/>
    <w:rsid w:val="00794C0E"/>
    <w:rsid w:val="007A04D2"/>
    <w:rsid w:val="007A1D1D"/>
    <w:rsid w:val="007A5F82"/>
    <w:rsid w:val="007A643B"/>
    <w:rsid w:val="007B278F"/>
    <w:rsid w:val="007B44FF"/>
    <w:rsid w:val="007B510F"/>
    <w:rsid w:val="007C02B5"/>
    <w:rsid w:val="007C2352"/>
    <w:rsid w:val="007C4073"/>
    <w:rsid w:val="007C4682"/>
    <w:rsid w:val="007D4221"/>
    <w:rsid w:val="007D5F9E"/>
    <w:rsid w:val="007D7D3F"/>
    <w:rsid w:val="007E098F"/>
    <w:rsid w:val="007E1212"/>
    <w:rsid w:val="007E3BA2"/>
    <w:rsid w:val="007E43F4"/>
    <w:rsid w:val="007E73B3"/>
    <w:rsid w:val="007F05A8"/>
    <w:rsid w:val="007F1A4C"/>
    <w:rsid w:val="007F4E6D"/>
    <w:rsid w:val="007F6585"/>
    <w:rsid w:val="007F723F"/>
    <w:rsid w:val="00801A22"/>
    <w:rsid w:val="008022C3"/>
    <w:rsid w:val="008041E6"/>
    <w:rsid w:val="00805009"/>
    <w:rsid w:val="00805137"/>
    <w:rsid w:val="008065D2"/>
    <w:rsid w:val="008102D4"/>
    <w:rsid w:val="008116D8"/>
    <w:rsid w:val="008133BE"/>
    <w:rsid w:val="008136B4"/>
    <w:rsid w:val="00815A8A"/>
    <w:rsid w:val="00817FDC"/>
    <w:rsid w:val="008202B0"/>
    <w:rsid w:val="0082083A"/>
    <w:rsid w:val="00820F10"/>
    <w:rsid w:val="0082194C"/>
    <w:rsid w:val="008222FF"/>
    <w:rsid w:val="008241FF"/>
    <w:rsid w:val="00825F74"/>
    <w:rsid w:val="008308B0"/>
    <w:rsid w:val="00830FFE"/>
    <w:rsid w:val="00832585"/>
    <w:rsid w:val="00833921"/>
    <w:rsid w:val="00835CEE"/>
    <w:rsid w:val="0083668B"/>
    <w:rsid w:val="00837589"/>
    <w:rsid w:val="00837BE2"/>
    <w:rsid w:val="0084059B"/>
    <w:rsid w:val="008411E9"/>
    <w:rsid w:val="00841617"/>
    <w:rsid w:val="0084200F"/>
    <w:rsid w:val="00843B2C"/>
    <w:rsid w:val="00844F16"/>
    <w:rsid w:val="00851E23"/>
    <w:rsid w:val="008527BA"/>
    <w:rsid w:val="00854A2B"/>
    <w:rsid w:val="00855FF9"/>
    <w:rsid w:val="00857814"/>
    <w:rsid w:val="0086277A"/>
    <w:rsid w:val="00863805"/>
    <w:rsid w:val="00863901"/>
    <w:rsid w:val="00865202"/>
    <w:rsid w:val="00865C07"/>
    <w:rsid w:val="008668A8"/>
    <w:rsid w:val="00873353"/>
    <w:rsid w:val="00874859"/>
    <w:rsid w:val="00876059"/>
    <w:rsid w:val="008768AD"/>
    <w:rsid w:val="00880AC4"/>
    <w:rsid w:val="00884C09"/>
    <w:rsid w:val="00884C3A"/>
    <w:rsid w:val="00891FF7"/>
    <w:rsid w:val="00892186"/>
    <w:rsid w:val="00892B20"/>
    <w:rsid w:val="0089652E"/>
    <w:rsid w:val="00896F4A"/>
    <w:rsid w:val="00897447"/>
    <w:rsid w:val="00897482"/>
    <w:rsid w:val="008A0F12"/>
    <w:rsid w:val="008A39CF"/>
    <w:rsid w:val="008A4900"/>
    <w:rsid w:val="008A4CDC"/>
    <w:rsid w:val="008A55FE"/>
    <w:rsid w:val="008A5952"/>
    <w:rsid w:val="008A6EE2"/>
    <w:rsid w:val="008B146D"/>
    <w:rsid w:val="008B42AD"/>
    <w:rsid w:val="008B508D"/>
    <w:rsid w:val="008B5666"/>
    <w:rsid w:val="008D0281"/>
    <w:rsid w:val="008D351E"/>
    <w:rsid w:val="008D526E"/>
    <w:rsid w:val="008D5BA3"/>
    <w:rsid w:val="008D6192"/>
    <w:rsid w:val="008E2348"/>
    <w:rsid w:val="008E414D"/>
    <w:rsid w:val="008E47EC"/>
    <w:rsid w:val="008E65EE"/>
    <w:rsid w:val="008F1342"/>
    <w:rsid w:val="008F1C54"/>
    <w:rsid w:val="008F2B4A"/>
    <w:rsid w:val="008F5D8C"/>
    <w:rsid w:val="008F6D45"/>
    <w:rsid w:val="00900820"/>
    <w:rsid w:val="00901C4D"/>
    <w:rsid w:val="009028E7"/>
    <w:rsid w:val="00902EF4"/>
    <w:rsid w:val="0090346F"/>
    <w:rsid w:val="00914403"/>
    <w:rsid w:val="009206CD"/>
    <w:rsid w:val="00922944"/>
    <w:rsid w:val="00925485"/>
    <w:rsid w:val="00927906"/>
    <w:rsid w:val="00927C73"/>
    <w:rsid w:val="00931968"/>
    <w:rsid w:val="009330CD"/>
    <w:rsid w:val="00935AA2"/>
    <w:rsid w:val="00936479"/>
    <w:rsid w:val="009367F3"/>
    <w:rsid w:val="00937A10"/>
    <w:rsid w:val="00937FD2"/>
    <w:rsid w:val="0094256F"/>
    <w:rsid w:val="0094480F"/>
    <w:rsid w:val="00945378"/>
    <w:rsid w:val="009551ED"/>
    <w:rsid w:val="00956209"/>
    <w:rsid w:val="00961C60"/>
    <w:rsid w:val="0096559B"/>
    <w:rsid w:val="00966115"/>
    <w:rsid w:val="00966C38"/>
    <w:rsid w:val="00966F5D"/>
    <w:rsid w:val="00967F04"/>
    <w:rsid w:val="00975F91"/>
    <w:rsid w:val="0098291E"/>
    <w:rsid w:val="009834C0"/>
    <w:rsid w:val="009846A4"/>
    <w:rsid w:val="00986AAC"/>
    <w:rsid w:val="009874BA"/>
    <w:rsid w:val="009945B6"/>
    <w:rsid w:val="00995526"/>
    <w:rsid w:val="009968C9"/>
    <w:rsid w:val="009A1DA2"/>
    <w:rsid w:val="009A2660"/>
    <w:rsid w:val="009A3704"/>
    <w:rsid w:val="009A4489"/>
    <w:rsid w:val="009A4739"/>
    <w:rsid w:val="009A553F"/>
    <w:rsid w:val="009A674F"/>
    <w:rsid w:val="009A6B02"/>
    <w:rsid w:val="009A6D22"/>
    <w:rsid w:val="009B1038"/>
    <w:rsid w:val="009B199C"/>
    <w:rsid w:val="009B3F04"/>
    <w:rsid w:val="009B3FD3"/>
    <w:rsid w:val="009B61F1"/>
    <w:rsid w:val="009B62E0"/>
    <w:rsid w:val="009C3D88"/>
    <w:rsid w:val="009C7A95"/>
    <w:rsid w:val="009D0304"/>
    <w:rsid w:val="009D159B"/>
    <w:rsid w:val="009D245B"/>
    <w:rsid w:val="009D3878"/>
    <w:rsid w:val="009D4864"/>
    <w:rsid w:val="009D518A"/>
    <w:rsid w:val="009D7733"/>
    <w:rsid w:val="009E1651"/>
    <w:rsid w:val="009E3858"/>
    <w:rsid w:val="009E467D"/>
    <w:rsid w:val="009E70DD"/>
    <w:rsid w:val="009F2DD7"/>
    <w:rsid w:val="009F2ED9"/>
    <w:rsid w:val="009F3231"/>
    <w:rsid w:val="009F4EF8"/>
    <w:rsid w:val="009F5C58"/>
    <w:rsid w:val="009F6216"/>
    <w:rsid w:val="00A023A0"/>
    <w:rsid w:val="00A027C5"/>
    <w:rsid w:val="00A02E38"/>
    <w:rsid w:val="00A05477"/>
    <w:rsid w:val="00A05EBC"/>
    <w:rsid w:val="00A07290"/>
    <w:rsid w:val="00A073E5"/>
    <w:rsid w:val="00A079A9"/>
    <w:rsid w:val="00A119DE"/>
    <w:rsid w:val="00A1562B"/>
    <w:rsid w:val="00A15F45"/>
    <w:rsid w:val="00A170F4"/>
    <w:rsid w:val="00A179B5"/>
    <w:rsid w:val="00A21408"/>
    <w:rsid w:val="00A21CFD"/>
    <w:rsid w:val="00A240F4"/>
    <w:rsid w:val="00A24A37"/>
    <w:rsid w:val="00A25736"/>
    <w:rsid w:val="00A25B78"/>
    <w:rsid w:val="00A266BA"/>
    <w:rsid w:val="00A267D4"/>
    <w:rsid w:val="00A26B9A"/>
    <w:rsid w:val="00A300C0"/>
    <w:rsid w:val="00A3129E"/>
    <w:rsid w:val="00A44799"/>
    <w:rsid w:val="00A46288"/>
    <w:rsid w:val="00A46BA8"/>
    <w:rsid w:val="00A47634"/>
    <w:rsid w:val="00A50F65"/>
    <w:rsid w:val="00A53284"/>
    <w:rsid w:val="00A54DCE"/>
    <w:rsid w:val="00A57505"/>
    <w:rsid w:val="00A60268"/>
    <w:rsid w:val="00A608CF"/>
    <w:rsid w:val="00A60C18"/>
    <w:rsid w:val="00A610CE"/>
    <w:rsid w:val="00A612FE"/>
    <w:rsid w:val="00A61545"/>
    <w:rsid w:val="00A61738"/>
    <w:rsid w:val="00A62164"/>
    <w:rsid w:val="00A63C20"/>
    <w:rsid w:val="00A6469D"/>
    <w:rsid w:val="00A70B49"/>
    <w:rsid w:val="00A71F16"/>
    <w:rsid w:val="00A745B9"/>
    <w:rsid w:val="00A80F9A"/>
    <w:rsid w:val="00A8534A"/>
    <w:rsid w:val="00A90913"/>
    <w:rsid w:val="00A92D94"/>
    <w:rsid w:val="00A92E3E"/>
    <w:rsid w:val="00A94224"/>
    <w:rsid w:val="00A9463A"/>
    <w:rsid w:val="00A95B77"/>
    <w:rsid w:val="00A96169"/>
    <w:rsid w:val="00A97456"/>
    <w:rsid w:val="00AA0A8F"/>
    <w:rsid w:val="00AA1DEB"/>
    <w:rsid w:val="00AA26B8"/>
    <w:rsid w:val="00AA5495"/>
    <w:rsid w:val="00AA5FD8"/>
    <w:rsid w:val="00AB28BD"/>
    <w:rsid w:val="00AB49C4"/>
    <w:rsid w:val="00AC0B87"/>
    <w:rsid w:val="00AC2624"/>
    <w:rsid w:val="00AC32A8"/>
    <w:rsid w:val="00AC6F52"/>
    <w:rsid w:val="00AD22D1"/>
    <w:rsid w:val="00AD4499"/>
    <w:rsid w:val="00AD68F2"/>
    <w:rsid w:val="00AD74A0"/>
    <w:rsid w:val="00AD7E4E"/>
    <w:rsid w:val="00AE15F6"/>
    <w:rsid w:val="00AF110D"/>
    <w:rsid w:val="00AF2043"/>
    <w:rsid w:val="00AF3227"/>
    <w:rsid w:val="00AF3E42"/>
    <w:rsid w:val="00AF4D58"/>
    <w:rsid w:val="00AF5244"/>
    <w:rsid w:val="00AF525E"/>
    <w:rsid w:val="00AF6666"/>
    <w:rsid w:val="00AF7BC5"/>
    <w:rsid w:val="00B00BF6"/>
    <w:rsid w:val="00B019BA"/>
    <w:rsid w:val="00B044AB"/>
    <w:rsid w:val="00B1224C"/>
    <w:rsid w:val="00B13561"/>
    <w:rsid w:val="00B14C56"/>
    <w:rsid w:val="00B21844"/>
    <w:rsid w:val="00B26378"/>
    <w:rsid w:val="00B30485"/>
    <w:rsid w:val="00B30DC3"/>
    <w:rsid w:val="00B32266"/>
    <w:rsid w:val="00B35C1B"/>
    <w:rsid w:val="00B4011C"/>
    <w:rsid w:val="00B40B18"/>
    <w:rsid w:val="00B40BCB"/>
    <w:rsid w:val="00B4144B"/>
    <w:rsid w:val="00B448F6"/>
    <w:rsid w:val="00B45436"/>
    <w:rsid w:val="00B479D8"/>
    <w:rsid w:val="00B505CA"/>
    <w:rsid w:val="00B5448B"/>
    <w:rsid w:val="00B552FC"/>
    <w:rsid w:val="00B565F5"/>
    <w:rsid w:val="00B56684"/>
    <w:rsid w:val="00B61A4F"/>
    <w:rsid w:val="00B62EAD"/>
    <w:rsid w:val="00B63C8E"/>
    <w:rsid w:val="00B641E4"/>
    <w:rsid w:val="00B75A56"/>
    <w:rsid w:val="00B75D28"/>
    <w:rsid w:val="00B767B1"/>
    <w:rsid w:val="00B80155"/>
    <w:rsid w:val="00B8051C"/>
    <w:rsid w:val="00B81B44"/>
    <w:rsid w:val="00B831BF"/>
    <w:rsid w:val="00B8702F"/>
    <w:rsid w:val="00B871C7"/>
    <w:rsid w:val="00B9053B"/>
    <w:rsid w:val="00B917D7"/>
    <w:rsid w:val="00B9397B"/>
    <w:rsid w:val="00B946E0"/>
    <w:rsid w:val="00BA0C37"/>
    <w:rsid w:val="00BA0DD5"/>
    <w:rsid w:val="00BA3782"/>
    <w:rsid w:val="00BA7EB0"/>
    <w:rsid w:val="00BB459B"/>
    <w:rsid w:val="00BB4D98"/>
    <w:rsid w:val="00BB4EBF"/>
    <w:rsid w:val="00BB5896"/>
    <w:rsid w:val="00BB59E0"/>
    <w:rsid w:val="00BC0403"/>
    <w:rsid w:val="00BC11B4"/>
    <w:rsid w:val="00BC269A"/>
    <w:rsid w:val="00BC3422"/>
    <w:rsid w:val="00BC6E19"/>
    <w:rsid w:val="00BD031C"/>
    <w:rsid w:val="00BD11C2"/>
    <w:rsid w:val="00BD18A7"/>
    <w:rsid w:val="00BD2136"/>
    <w:rsid w:val="00BD4E5C"/>
    <w:rsid w:val="00BD5018"/>
    <w:rsid w:val="00BD51EC"/>
    <w:rsid w:val="00BE34B0"/>
    <w:rsid w:val="00BE3F9C"/>
    <w:rsid w:val="00BE5ADC"/>
    <w:rsid w:val="00BF1F10"/>
    <w:rsid w:val="00BF3854"/>
    <w:rsid w:val="00BF4F96"/>
    <w:rsid w:val="00C015B9"/>
    <w:rsid w:val="00C022F9"/>
    <w:rsid w:val="00C032EA"/>
    <w:rsid w:val="00C04505"/>
    <w:rsid w:val="00C04F74"/>
    <w:rsid w:val="00C056BA"/>
    <w:rsid w:val="00C06EB5"/>
    <w:rsid w:val="00C1145F"/>
    <w:rsid w:val="00C11CD1"/>
    <w:rsid w:val="00C13B23"/>
    <w:rsid w:val="00C14D11"/>
    <w:rsid w:val="00C20285"/>
    <w:rsid w:val="00C23B4F"/>
    <w:rsid w:val="00C24E80"/>
    <w:rsid w:val="00C256F6"/>
    <w:rsid w:val="00C26B79"/>
    <w:rsid w:val="00C26E07"/>
    <w:rsid w:val="00C27E0F"/>
    <w:rsid w:val="00C3242D"/>
    <w:rsid w:val="00C32D49"/>
    <w:rsid w:val="00C32FCB"/>
    <w:rsid w:val="00C33AD3"/>
    <w:rsid w:val="00C33D21"/>
    <w:rsid w:val="00C40949"/>
    <w:rsid w:val="00C40D06"/>
    <w:rsid w:val="00C41B3C"/>
    <w:rsid w:val="00C43953"/>
    <w:rsid w:val="00C43F06"/>
    <w:rsid w:val="00C449E4"/>
    <w:rsid w:val="00C46F1B"/>
    <w:rsid w:val="00C47C59"/>
    <w:rsid w:val="00C50337"/>
    <w:rsid w:val="00C51B80"/>
    <w:rsid w:val="00C51C01"/>
    <w:rsid w:val="00C557A0"/>
    <w:rsid w:val="00C61AD0"/>
    <w:rsid w:val="00C637E1"/>
    <w:rsid w:val="00C63AAA"/>
    <w:rsid w:val="00C6601D"/>
    <w:rsid w:val="00C67EAC"/>
    <w:rsid w:val="00C708DB"/>
    <w:rsid w:val="00C70D50"/>
    <w:rsid w:val="00C72252"/>
    <w:rsid w:val="00C77ECA"/>
    <w:rsid w:val="00C86184"/>
    <w:rsid w:val="00C869C3"/>
    <w:rsid w:val="00C907D7"/>
    <w:rsid w:val="00C92338"/>
    <w:rsid w:val="00C92A34"/>
    <w:rsid w:val="00C954FA"/>
    <w:rsid w:val="00C9742D"/>
    <w:rsid w:val="00CA05DC"/>
    <w:rsid w:val="00CA1572"/>
    <w:rsid w:val="00CA2DC1"/>
    <w:rsid w:val="00CA3AB4"/>
    <w:rsid w:val="00CA7B47"/>
    <w:rsid w:val="00CB09D3"/>
    <w:rsid w:val="00CB143B"/>
    <w:rsid w:val="00CB3684"/>
    <w:rsid w:val="00CB3976"/>
    <w:rsid w:val="00CB5275"/>
    <w:rsid w:val="00CC0A45"/>
    <w:rsid w:val="00CC5764"/>
    <w:rsid w:val="00CD0307"/>
    <w:rsid w:val="00CD2E5E"/>
    <w:rsid w:val="00CD3D1B"/>
    <w:rsid w:val="00CD3F96"/>
    <w:rsid w:val="00CE1539"/>
    <w:rsid w:val="00CE20B9"/>
    <w:rsid w:val="00CE2DCD"/>
    <w:rsid w:val="00CF1AE8"/>
    <w:rsid w:val="00CF4A0E"/>
    <w:rsid w:val="00D02663"/>
    <w:rsid w:val="00D03741"/>
    <w:rsid w:val="00D0496A"/>
    <w:rsid w:val="00D0633E"/>
    <w:rsid w:val="00D067A5"/>
    <w:rsid w:val="00D104F7"/>
    <w:rsid w:val="00D129A1"/>
    <w:rsid w:val="00D12E74"/>
    <w:rsid w:val="00D135B3"/>
    <w:rsid w:val="00D15E6B"/>
    <w:rsid w:val="00D21FF9"/>
    <w:rsid w:val="00D2312F"/>
    <w:rsid w:val="00D23B04"/>
    <w:rsid w:val="00D269C1"/>
    <w:rsid w:val="00D27E9D"/>
    <w:rsid w:val="00D324E6"/>
    <w:rsid w:val="00D34C79"/>
    <w:rsid w:val="00D35DE3"/>
    <w:rsid w:val="00D41B2F"/>
    <w:rsid w:val="00D4353D"/>
    <w:rsid w:val="00D44953"/>
    <w:rsid w:val="00D46A72"/>
    <w:rsid w:val="00D53ED6"/>
    <w:rsid w:val="00D542F3"/>
    <w:rsid w:val="00D54513"/>
    <w:rsid w:val="00D54AAE"/>
    <w:rsid w:val="00D5644B"/>
    <w:rsid w:val="00D56E25"/>
    <w:rsid w:val="00D571F0"/>
    <w:rsid w:val="00D57E89"/>
    <w:rsid w:val="00D61570"/>
    <w:rsid w:val="00D6560D"/>
    <w:rsid w:val="00D65D77"/>
    <w:rsid w:val="00D6736D"/>
    <w:rsid w:val="00D718D7"/>
    <w:rsid w:val="00D742DA"/>
    <w:rsid w:val="00D775D4"/>
    <w:rsid w:val="00D814B7"/>
    <w:rsid w:val="00D832A3"/>
    <w:rsid w:val="00D83F4A"/>
    <w:rsid w:val="00D90688"/>
    <w:rsid w:val="00D9395F"/>
    <w:rsid w:val="00D974E2"/>
    <w:rsid w:val="00DA01EB"/>
    <w:rsid w:val="00DA0893"/>
    <w:rsid w:val="00DA3AAD"/>
    <w:rsid w:val="00DA4AE8"/>
    <w:rsid w:val="00DB1478"/>
    <w:rsid w:val="00DB312B"/>
    <w:rsid w:val="00DB5B1D"/>
    <w:rsid w:val="00DB69D7"/>
    <w:rsid w:val="00DC5654"/>
    <w:rsid w:val="00DC5DEE"/>
    <w:rsid w:val="00DC6415"/>
    <w:rsid w:val="00DC658F"/>
    <w:rsid w:val="00DC674A"/>
    <w:rsid w:val="00DD6C64"/>
    <w:rsid w:val="00DD73A7"/>
    <w:rsid w:val="00DE251C"/>
    <w:rsid w:val="00DE3390"/>
    <w:rsid w:val="00DE60CC"/>
    <w:rsid w:val="00DF6C23"/>
    <w:rsid w:val="00DF6C31"/>
    <w:rsid w:val="00DF6DF8"/>
    <w:rsid w:val="00E02CDA"/>
    <w:rsid w:val="00E11292"/>
    <w:rsid w:val="00E213A3"/>
    <w:rsid w:val="00E22394"/>
    <w:rsid w:val="00E2250D"/>
    <w:rsid w:val="00E26B32"/>
    <w:rsid w:val="00E311A3"/>
    <w:rsid w:val="00E31CD4"/>
    <w:rsid w:val="00E31E60"/>
    <w:rsid w:val="00E33E08"/>
    <w:rsid w:val="00E33FFC"/>
    <w:rsid w:val="00E35259"/>
    <w:rsid w:val="00E407B6"/>
    <w:rsid w:val="00E41EF1"/>
    <w:rsid w:val="00E42942"/>
    <w:rsid w:val="00E4348D"/>
    <w:rsid w:val="00E44209"/>
    <w:rsid w:val="00E534A8"/>
    <w:rsid w:val="00E56AF7"/>
    <w:rsid w:val="00E630B4"/>
    <w:rsid w:val="00E63564"/>
    <w:rsid w:val="00E6409F"/>
    <w:rsid w:val="00E655B2"/>
    <w:rsid w:val="00E65A0A"/>
    <w:rsid w:val="00E65A52"/>
    <w:rsid w:val="00E71BDF"/>
    <w:rsid w:val="00E72AA3"/>
    <w:rsid w:val="00E734D1"/>
    <w:rsid w:val="00E73541"/>
    <w:rsid w:val="00E7595A"/>
    <w:rsid w:val="00E75CCB"/>
    <w:rsid w:val="00E77E60"/>
    <w:rsid w:val="00E8245B"/>
    <w:rsid w:val="00E82C21"/>
    <w:rsid w:val="00E82F59"/>
    <w:rsid w:val="00E83CA7"/>
    <w:rsid w:val="00E863AC"/>
    <w:rsid w:val="00E863B7"/>
    <w:rsid w:val="00E90ED7"/>
    <w:rsid w:val="00E92192"/>
    <w:rsid w:val="00E92FF5"/>
    <w:rsid w:val="00E95A71"/>
    <w:rsid w:val="00E966BB"/>
    <w:rsid w:val="00E96B08"/>
    <w:rsid w:val="00E97545"/>
    <w:rsid w:val="00EA51A3"/>
    <w:rsid w:val="00EA7FA7"/>
    <w:rsid w:val="00EB1705"/>
    <w:rsid w:val="00EB2AFC"/>
    <w:rsid w:val="00EB5F31"/>
    <w:rsid w:val="00EB6979"/>
    <w:rsid w:val="00EB6CFC"/>
    <w:rsid w:val="00EB7014"/>
    <w:rsid w:val="00EC267B"/>
    <w:rsid w:val="00EC36BD"/>
    <w:rsid w:val="00EC5CDE"/>
    <w:rsid w:val="00ED0AAC"/>
    <w:rsid w:val="00ED26EC"/>
    <w:rsid w:val="00ED2B58"/>
    <w:rsid w:val="00ED3077"/>
    <w:rsid w:val="00ED3FBA"/>
    <w:rsid w:val="00ED487E"/>
    <w:rsid w:val="00ED64F1"/>
    <w:rsid w:val="00EE13BF"/>
    <w:rsid w:val="00EE1C90"/>
    <w:rsid w:val="00EE33A1"/>
    <w:rsid w:val="00EE7A0D"/>
    <w:rsid w:val="00EF61CF"/>
    <w:rsid w:val="00F0222C"/>
    <w:rsid w:val="00F02D2D"/>
    <w:rsid w:val="00F04D2D"/>
    <w:rsid w:val="00F12312"/>
    <w:rsid w:val="00F13283"/>
    <w:rsid w:val="00F14A1F"/>
    <w:rsid w:val="00F14C62"/>
    <w:rsid w:val="00F16B38"/>
    <w:rsid w:val="00F17946"/>
    <w:rsid w:val="00F17CE1"/>
    <w:rsid w:val="00F2115C"/>
    <w:rsid w:val="00F22ABA"/>
    <w:rsid w:val="00F25F4B"/>
    <w:rsid w:val="00F260B5"/>
    <w:rsid w:val="00F264E3"/>
    <w:rsid w:val="00F2748F"/>
    <w:rsid w:val="00F27A5C"/>
    <w:rsid w:val="00F317CA"/>
    <w:rsid w:val="00F34590"/>
    <w:rsid w:val="00F34EB2"/>
    <w:rsid w:val="00F36B12"/>
    <w:rsid w:val="00F4095B"/>
    <w:rsid w:val="00F45A01"/>
    <w:rsid w:val="00F50EE6"/>
    <w:rsid w:val="00F521C1"/>
    <w:rsid w:val="00F53EE7"/>
    <w:rsid w:val="00F60F9F"/>
    <w:rsid w:val="00F62564"/>
    <w:rsid w:val="00F62B0C"/>
    <w:rsid w:val="00F64970"/>
    <w:rsid w:val="00F64F08"/>
    <w:rsid w:val="00F70055"/>
    <w:rsid w:val="00F734F5"/>
    <w:rsid w:val="00F73B5B"/>
    <w:rsid w:val="00F73D1F"/>
    <w:rsid w:val="00F801EF"/>
    <w:rsid w:val="00F80FA2"/>
    <w:rsid w:val="00F82FF2"/>
    <w:rsid w:val="00F87728"/>
    <w:rsid w:val="00F90284"/>
    <w:rsid w:val="00F90EA5"/>
    <w:rsid w:val="00F90F08"/>
    <w:rsid w:val="00F91F5A"/>
    <w:rsid w:val="00F92DC6"/>
    <w:rsid w:val="00F934C2"/>
    <w:rsid w:val="00F93BF8"/>
    <w:rsid w:val="00F966B1"/>
    <w:rsid w:val="00F97766"/>
    <w:rsid w:val="00F97D48"/>
    <w:rsid w:val="00FA0311"/>
    <w:rsid w:val="00FA1489"/>
    <w:rsid w:val="00FA4173"/>
    <w:rsid w:val="00FB0036"/>
    <w:rsid w:val="00FB0D19"/>
    <w:rsid w:val="00FB18DC"/>
    <w:rsid w:val="00FB1967"/>
    <w:rsid w:val="00FC335A"/>
    <w:rsid w:val="00FC4C80"/>
    <w:rsid w:val="00FD50F0"/>
    <w:rsid w:val="00FD640F"/>
    <w:rsid w:val="00FD6B4C"/>
    <w:rsid w:val="00FD6EA2"/>
    <w:rsid w:val="00FE02E6"/>
    <w:rsid w:val="00FE0553"/>
    <w:rsid w:val="00FE25D0"/>
    <w:rsid w:val="00FE339B"/>
    <w:rsid w:val="00FE6CB3"/>
    <w:rsid w:val="00FE7C4C"/>
    <w:rsid w:val="00FF0D9F"/>
    <w:rsid w:val="00FF1036"/>
    <w:rsid w:val="00FF19C3"/>
    <w:rsid w:val="00FF3E4F"/>
    <w:rsid w:val="00FF4DE2"/>
    <w:rsid w:val="00FF4E99"/>
    <w:rsid w:val="00FF5307"/>
    <w:rsid w:val="01F2F093"/>
    <w:rsid w:val="0232DCEF"/>
    <w:rsid w:val="039A27EA"/>
    <w:rsid w:val="05278D78"/>
    <w:rsid w:val="07458E1D"/>
    <w:rsid w:val="08449925"/>
    <w:rsid w:val="08CDD843"/>
    <w:rsid w:val="0AEA33F5"/>
    <w:rsid w:val="0B2ACC01"/>
    <w:rsid w:val="0E445979"/>
    <w:rsid w:val="0EAC68D3"/>
    <w:rsid w:val="0EDE9020"/>
    <w:rsid w:val="0F291B2B"/>
    <w:rsid w:val="0F581277"/>
    <w:rsid w:val="10D34806"/>
    <w:rsid w:val="133C440B"/>
    <w:rsid w:val="13D529F4"/>
    <w:rsid w:val="16AF8307"/>
    <w:rsid w:val="16B53810"/>
    <w:rsid w:val="17848CE4"/>
    <w:rsid w:val="17E04363"/>
    <w:rsid w:val="186943B3"/>
    <w:rsid w:val="1889ADA2"/>
    <w:rsid w:val="193B4A47"/>
    <w:rsid w:val="1D525A45"/>
    <w:rsid w:val="202CB5DF"/>
    <w:rsid w:val="206DD1AB"/>
    <w:rsid w:val="208BB474"/>
    <w:rsid w:val="20B32CD0"/>
    <w:rsid w:val="21AD3151"/>
    <w:rsid w:val="264E2E1E"/>
    <w:rsid w:val="2786B4E4"/>
    <w:rsid w:val="27F9F989"/>
    <w:rsid w:val="2940B40B"/>
    <w:rsid w:val="297A41F8"/>
    <w:rsid w:val="2ABB48C2"/>
    <w:rsid w:val="2B7D5911"/>
    <w:rsid w:val="2BB77F21"/>
    <w:rsid w:val="2BD90B7F"/>
    <w:rsid w:val="2D2C460E"/>
    <w:rsid w:val="2D6D041D"/>
    <w:rsid w:val="2E011DDD"/>
    <w:rsid w:val="2E7AAFF6"/>
    <w:rsid w:val="2E98A944"/>
    <w:rsid w:val="2F02F255"/>
    <w:rsid w:val="2FDBE807"/>
    <w:rsid w:val="32E4D42E"/>
    <w:rsid w:val="34120AA8"/>
    <w:rsid w:val="3580C547"/>
    <w:rsid w:val="3874DAB1"/>
    <w:rsid w:val="38F46DE2"/>
    <w:rsid w:val="38F966A8"/>
    <w:rsid w:val="39603BCD"/>
    <w:rsid w:val="3AB60D8F"/>
    <w:rsid w:val="3C8AB04C"/>
    <w:rsid w:val="3D60FFE0"/>
    <w:rsid w:val="402CC7AC"/>
    <w:rsid w:val="413DAF41"/>
    <w:rsid w:val="4202077A"/>
    <w:rsid w:val="4206CB8F"/>
    <w:rsid w:val="425C37F7"/>
    <w:rsid w:val="43940BE1"/>
    <w:rsid w:val="45EB7F6D"/>
    <w:rsid w:val="4839BFB8"/>
    <w:rsid w:val="4A265A8B"/>
    <w:rsid w:val="4C05F2EB"/>
    <w:rsid w:val="4D21C5CA"/>
    <w:rsid w:val="4F30A5AB"/>
    <w:rsid w:val="508A62D7"/>
    <w:rsid w:val="50E09F19"/>
    <w:rsid w:val="5259CE8C"/>
    <w:rsid w:val="52D2D34A"/>
    <w:rsid w:val="54FC1904"/>
    <w:rsid w:val="56E92ABA"/>
    <w:rsid w:val="56EC0D6B"/>
    <w:rsid w:val="58ACAF17"/>
    <w:rsid w:val="58B6BF7E"/>
    <w:rsid w:val="5BD07A02"/>
    <w:rsid w:val="5DAA6BDC"/>
    <w:rsid w:val="5DD603AB"/>
    <w:rsid w:val="5EF112F6"/>
    <w:rsid w:val="5F06B2BD"/>
    <w:rsid w:val="5F87EF31"/>
    <w:rsid w:val="5F979E6C"/>
    <w:rsid w:val="5FFA5B4A"/>
    <w:rsid w:val="600CD87E"/>
    <w:rsid w:val="629345BF"/>
    <w:rsid w:val="636D3A4D"/>
    <w:rsid w:val="65EB6E89"/>
    <w:rsid w:val="66C60C60"/>
    <w:rsid w:val="677A0D18"/>
    <w:rsid w:val="67B467CF"/>
    <w:rsid w:val="68CA6042"/>
    <w:rsid w:val="68F2329C"/>
    <w:rsid w:val="69260ED9"/>
    <w:rsid w:val="69CB2955"/>
    <w:rsid w:val="6C9698C0"/>
    <w:rsid w:val="6F1D0F9E"/>
    <w:rsid w:val="6FED04CE"/>
    <w:rsid w:val="707414A3"/>
    <w:rsid w:val="7105A3EC"/>
    <w:rsid w:val="73B082B2"/>
    <w:rsid w:val="7547E46C"/>
    <w:rsid w:val="75BF29E2"/>
    <w:rsid w:val="75E89CC7"/>
    <w:rsid w:val="77277CCC"/>
    <w:rsid w:val="7962C4F3"/>
    <w:rsid w:val="7B3AEA90"/>
    <w:rsid w:val="7CB298D5"/>
    <w:rsid w:val="7D0BF55C"/>
    <w:rsid w:val="7DFB281A"/>
    <w:rsid w:val="7E61C617"/>
    <w:rsid w:val="7E8C14DA"/>
    <w:rsid w:val="7EE90536"/>
    <w:rsid w:val="7F95BA5F"/>
    <w:rsid w:val="7FC3DFD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AA797E1"/>
  <w15:docId w15:val="{D5795D34-5F6C-4078-B8E8-0E488BA76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AU" w:eastAsia="en-AU" w:bidi="ar-SA"/>
      </w:rPr>
    </w:rPrDefault>
    <w:pPrDefault>
      <w:pPr>
        <w:spacing w:before="160" w:after="160" w:line="280" w:lineRule="atLeast"/>
      </w:pPr>
    </w:pPrDefault>
  </w:docDefaults>
  <w:latentStyles w:defLockedState="0" w:defUIPriority="1"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qFormat="1"/>
    <w:lsdException w:name="heading 6" w:semiHidden="1" w:qFormat="1"/>
    <w:lsdException w:name="heading 7" w:semiHidden="1" w:unhideWhenUsed="1" w:qFormat="1"/>
    <w:lsdException w:name="heading 8" w:semiHidden="1" w:unhideWhenUsed="1" w:qFormat="1"/>
    <w:lsdException w:name="heading 9" w:semiHidden="1" w:unhideWhenUsed="1" w:qFormat="1"/>
    <w:lsdException w:name="index 1" w:uiPriority="99" w:unhideWhenUsed="1"/>
    <w:lsdException w:name="index 2"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lsdException w:name="toc 5" w:semiHidden="1"/>
    <w:lsdException w:name="toc 6" w:semiHidden="1"/>
    <w:lsdException w:name="toc 7" w:semiHidden="1" w:unhideWhenUsed="1"/>
    <w:lsdException w:name="toc 8" w:semiHidden="1" w:unhideWhenUsed="1"/>
    <w:lsdException w:name="toc 9" w:semiHidden="1" w:unhideWhenUsed="1"/>
    <w:lsdException w:name="Normal Indent" w:unhideWhenUsed="1" w:qFormat="1"/>
    <w:lsdException w:name="footnote text" w:semiHidden="1" w:uiPriority="99" w:unhideWhenUsed="1"/>
    <w:lsdException w:name="annotation text" w:semiHidden="1" w:unhideWhenUsed="1"/>
    <w:lsdException w:name="header" w:uiPriority="99" w:unhideWhenUsed="1"/>
    <w:lsdException w:name="footer" w:uiPriority="99" w:unhideWhenUsed="1"/>
    <w:lsdException w:name="index heading" w:uiPriority="99" w:unhideWhenUsed="1"/>
    <w:lsdException w:name="caption" w:uiPriority="35" w:unhideWhenUsed="1"/>
    <w:lsdException w:name="table of figures" w:semiHidden="1" w:uiPriority="2"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uiPriority="49" w:unhideWhenUsed="1"/>
    <w:lsdException w:name="endnote reference" w:semiHidden="1" w:unhideWhenUsed="1"/>
    <w:lsdException w:name="endnote text" w:semiHidden="1" w:unhideWhenUsed="1"/>
    <w:lsdException w:name="table of authorities" w:semiHidden="1" w:uiPriority="2"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nhideWhenUsed="1"/>
    <w:lsdException w:name="Body Text" w:semiHidden="1" w:uiPriority="4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semiHidden="1"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lsdException w:name="No Spacing" w:semiHidden="1"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lsdException w:name="Subtle Reference" w:semiHidden="1" w:qFormat="1"/>
    <w:lsdException w:name="Intense Reference" w:semiHidden="1"/>
    <w:lsdException w:name="Book Title" w:semiHidden="1" w:qFormat="1"/>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rsid w:val="003B4F97"/>
    <w:rPr>
      <w:rFonts w:asciiTheme="majorHAnsi" w:hAnsiTheme="majorHAnsi" w:cstheme="majorHAnsi"/>
      <w:noProof/>
      <w:lang w:eastAsia="en-US"/>
    </w:rPr>
  </w:style>
  <w:style w:type="paragraph" w:styleId="Heading1">
    <w:name w:val="heading 1"/>
    <w:basedOn w:val="Normal"/>
    <w:next w:val="Normalfollowingheading"/>
    <w:link w:val="Heading1Char"/>
    <w:qFormat/>
    <w:rsid w:val="00A60C18"/>
    <w:pPr>
      <w:keepNext/>
      <w:keepLines/>
      <w:framePr w:wrap="around" w:vAnchor="page" w:hAnchor="margin" w:y="1022"/>
      <w:spacing w:before="0" w:after="120" w:line="240" w:lineRule="auto"/>
      <w:outlineLvl w:val="0"/>
    </w:pPr>
    <w:rPr>
      <w:rFonts w:asciiTheme="minorHAnsi" w:eastAsiaTheme="majorEastAsia" w:hAnsiTheme="minorHAnsi" w:cstheme="minorHAnsi"/>
      <w:b/>
      <w:bCs/>
      <w:color w:val="007586" w:themeColor="text2"/>
      <w:spacing w:val="-1"/>
      <w:sz w:val="48"/>
      <w:szCs w:val="28"/>
    </w:rPr>
  </w:style>
  <w:style w:type="paragraph" w:styleId="Heading2">
    <w:name w:val="heading 2"/>
    <w:basedOn w:val="Normal"/>
    <w:next w:val="Normalfollowingheading"/>
    <w:link w:val="Heading2Char"/>
    <w:qFormat/>
    <w:rsid w:val="003B4F97"/>
    <w:pPr>
      <w:keepNext/>
      <w:keepLines/>
      <w:spacing w:before="280" w:after="60" w:line="240" w:lineRule="auto"/>
      <w:outlineLvl w:val="1"/>
    </w:pPr>
    <w:rPr>
      <w:rFonts w:asciiTheme="minorHAnsi" w:eastAsiaTheme="majorEastAsia" w:hAnsiTheme="minorHAnsi" w:cstheme="minorHAnsi"/>
      <w:b/>
      <w:bCs/>
      <w:caps/>
      <w:color w:val="007586" w:themeColor="text2"/>
      <w:sz w:val="24"/>
      <w:szCs w:val="26"/>
    </w:rPr>
  </w:style>
  <w:style w:type="paragraph" w:styleId="Heading3">
    <w:name w:val="heading 3"/>
    <w:basedOn w:val="Normal"/>
    <w:next w:val="Normalfollowingheading"/>
    <w:link w:val="Heading3Char"/>
    <w:qFormat/>
    <w:rsid w:val="003B4F97"/>
    <w:pPr>
      <w:keepNext/>
      <w:keepLines/>
      <w:spacing w:before="240" w:after="50" w:line="240" w:lineRule="auto"/>
      <w:outlineLvl w:val="2"/>
    </w:pPr>
    <w:rPr>
      <w:rFonts w:eastAsiaTheme="majorEastAsia"/>
      <w:b/>
      <w:bCs/>
      <w:color w:val="000000" w:themeColor="text1"/>
      <w:sz w:val="24"/>
      <w:szCs w:val="22"/>
      <w:lang w:val="en-GB"/>
    </w:rPr>
  </w:style>
  <w:style w:type="paragraph" w:styleId="Heading4">
    <w:name w:val="heading 4"/>
    <w:basedOn w:val="Normal"/>
    <w:next w:val="Normalfollowingheading"/>
    <w:link w:val="Heading4Char"/>
    <w:qFormat/>
    <w:rsid w:val="00A60C18"/>
    <w:pPr>
      <w:keepNext/>
      <w:keepLines/>
      <w:spacing w:before="320" w:after="70" w:line="240" w:lineRule="auto"/>
      <w:outlineLvl w:val="3"/>
    </w:pPr>
    <w:rPr>
      <w:rFonts w:eastAsiaTheme="majorEastAsia"/>
      <w:b/>
      <w:bCs/>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
    <w:name w:val="Light Shading"/>
    <w:basedOn w:val="TableNormal"/>
    <w:uiPriority w:val="60"/>
    <w:semiHidden/>
    <w:rsid w:val="0082194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9E1651"/>
    <w:pPr>
      <w:spacing w:before="60" w:after="60" w:line="192" w:lineRule="atLeast"/>
    </w:pPr>
    <w:rPr>
      <w:rFonts w:eastAsiaTheme="minorHAnsi"/>
      <w:sz w:val="16"/>
      <w:szCs w:val="21"/>
      <w:lang w:eastAsia="en-US"/>
    </w:rPr>
    <w:tblPr>
      <w:tblStyleColBandSize w:val="1"/>
      <w:tblBorders>
        <w:top w:val="single" w:sz="2" w:space="0" w:color="80808B" w:themeColor="accent5"/>
        <w:bottom w:val="single" w:sz="2" w:space="0" w:color="80808B" w:themeColor="accent5"/>
        <w:insideH w:val="single" w:sz="2" w:space="0" w:color="80808B" w:themeColor="accent5"/>
      </w:tblBorders>
      <w:tblCellMar>
        <w:left w:w="113" w:type="dxa"/>
        <w:right w:w="113" w:type="dxa"/>
      </w:tblCellMar>
    </w:tblPr>
    <w:tblStylePr w:type="firstRow">
      <w:pPr>
        <w:keepNext/>
        <w:keepLines/>
        <w:widowControl/>
        <w:wordWrap/>
        <w:spacing w:beforeLines="0" w:before="0" w:beforeAutospacing="0" w:afterLines="0" w:after="0" w:afterAutospacing="0" w:line="260" w:lineRule="atLeast"/>
        <w:ind w:leftChars="0" w:left="0"/>
        <w:jc w:val="left"/>
      </w:pPr>
      <w:rPr>
        <w:b/>
        <w:i w:val="0"/>
        <w:color w:val="007586" w:themeColor="text2"/>
        <w:sz w:val="16"/>
      </w:rPr>
      <w:tblPr/>
      <w:tcPr>
        <w:tcBorders>
          <w:top w:val="single" w:sz="2" w:space="0" w:color="EDF5F7" w:themeColor="background2"/>
          <w:left w:val="nil"/>
          <w:bottom w:val="single" w:sz="24" w:space="0" w:color="CCCCD0" w:themeColor="accent6"/>
          <w:right w:val="nil"/>
          <w:insideH w:val="nil"/>
          <w:insideV w:val="nil"/>
          <w:tl2br w:val="nil"/>
          <w:tr2bl w:val="nil"/>
        </w:tcBorders>
        <w:shd w:val="clear" w:color="auto" w:fill="EDF5F7"/>
        <w:tcMar>
          <w:top w:w="80" w:type="dxa"/>
          <w:left w:w="113" w:type="dxa"/>
          <w:bottom w:w="80" w:type="dxa"/>
          <w:right w:w="113" w:type="dxa"/>
        </w:tcMar>
      </w:tcPr>
    </w:tblStylePr>
    <w:tblStylePr w:type="lastRow">
      <w:rPr>
        <w:b w:val="0"/>
      </w:rPr>
      <w:tblPr/>
      <w:tcPr>
        <w:tcBorders>
          <w:top w:val="nil"/>
          <w:left w:val="nil"/>
          <w:bottom w:val="nil"/>
          <w:right w:val="nil"/>
          <w:insideH w:val="nil"/>
          <w:insideV w:val="nil"/>
          <w:tl2br w:val="nil"/>
          <w:tr2bl w:val="nil"/>
        </w:tcBorders>
      </w:tcPr>
    </w:tblStylePr>
    <w:tblStylePr w:type="firstCol">
      <w:pPr>
        <w:wordWrap/>
        <w:spacing w:beforeLines="0" w:before="50" w:beforeAutospacing="0" w:line="260" w:lineRule="atLeast"/>
        <w:ind w:leftChars="0" w:left="0"/>
        <w:jc w:val="left"/>
      </w:pPr>
      <w:rPr>
        <w:b/>
        <w:color w:val="007586" w:themeColor="text2"/>
        <w:sz w:val="16"/>
      </w:rPr>
    </w:tblStylePr>
    <w:tblStylePr w:type="band1Vert">
      <w:pPr>
        <w:jc w:val="right"/>
      </w:pPr>
    </w:tblStylePr>
    <w:tblStylePr w:type="band2Vert">
      <w:pPr>
        <w:jc w:val="right"/>
      </w:pPr>
    </w:tblStylePr>
  </w:style>
  <w:style w:type="table" w:styleId="LightList-Accent4">
    <w:name w:val="Light List Accent 4"/>
    <w:basedOn w:val="TableNormal"/>
    <w:uiPriority w:val="61"/>
    <w:semiHidden/>
    <w:rsid w:val="009A674F"/>
    <w:pPr>
      <w:spacing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pPr>
        <w:spacing w:before="0" w:after="0" w:line="240" w:lineRule="auto"/>
      </w:pPr>
      <w:rPr>
        <w:b/>
        <w:bCs/>
        <w:color w:val="FFFFFF" w:themeColor="background1"/>
      </w:rPr>
      <w:tblPr/>
      <w:tcPr>
        <w:shd w:val="clear" w:color="auto" w:fill="404050" w:themeFill="accent4"/>
      </w:tcPr>
    </w:tblStylePr>
    <w:tblStylePr w:type="lastRow">
      <w:pPr>
        <w:spacing w:before="0" w:after="0" w:line="240" w:lineRule="auto"/>
      </w:pPr>
      <w:rPr>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tcBorders>
      </w:tcPr>
    </w:tblStylePr>
    <w:tblStylePr w:type="firstCol">
      <w:rPr>
        <w:b/>
        <w:bCs/>
      </w:rPr>
    </w:tblStylePr>
    <w:tblStylePr w:type="lastCol">
      <w:rPr>
        <w:b/>
        <w:bCs/>
      </w:r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style>
  <w:style w:type="table" w:styleId="LightList-Accent1">
    <w:name w:val="Light List Accent 1"/>
    <w:basedOn w:val="TableNormal"/>
    <w:uiPriority w:val="61"/>
    <w:semiHidden/>
    <w:rsid w:val="009A674F"/>
    <w:pPr>
      <w:spacing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pPr>
        <w:spacing w:before="0" w:after="0" w:line="240" w:lineRule="auto"/>
      </w:pPr>
      <w:rPr>
        <w:b/>
        <w:bCs/>
        <w:color w:val="FFFFFF" w:themeColor="background1"/>
      </w:rPr>
      <w:tblPr/>
      <w:tcPr>
        <w:shd w:val="clear" w:color="auto" w:fill="4098A4" w:themeFill="accent1"/>
      </w:tcPr>
    </w:tblStylePr>
    <w:tblStylePr w:type="lastRow">
      <w:pPr>
        <w:spacing w:before="0" w:after="0" w:line="240" w:lineRule="auto"/>
      </w:pPr>
      <w:rPr>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tcBorders>
      </w:tcPr>
    </w:tblStylePr>
    <w:tblStylePr w:type="firstCol">
      <w:rPr>
        <w:b/>
        <w:bCs/>
      </w:rPr>
    </w:tblStylePr>
    <w:tblStylePr w:type="lastCol">
      <w:rPr>
        <w:b/>
        <w:bCs/>
      </w:r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style>
  <w:style w:type="paragraph" w:styleId="TOC1">
    <w:name w:val="toc 1"/>
    <w:basedOn w:val="Normal"/>
    <w:next w:val="Normal"/>
    <w:uiPriority w:val="39"/>
    <w:rsid w:val="009F6216"/>
    <w:pPr>
      <w:pBdr>
        <w:bottom w:val="single" w:sz="2" w:space="4" w:color="000016"/>
        <w:between w:val="single" w:sz="2" w:space="1" w:color="000000" w:themeColor="text1"/>
      </w:pBdr>
      <w:tabs>
        <w:tab w:val="right" w:pos="10206"/>
      </w:tabs>
      <w:spacing w:before="120" w:after="120"/>
      <w:ind w:right="57"/>
    </w:pPr>
    <w:rPr>
      <w:rFonts w:ascii="VIC SemiBold" w:hAnsi="VIC SemiBold"/>
    </w:rPr>
  </w:style>
  <w:style w:type="paragraph" w:styleId="TOC2">
    <w:name w:val="toc 2"/>
    <w:basedOn w:val="Normal"/>
    <w:next w:val="Normal"/>
    <w:uiPriority w:val="39"/>
    <w:rsid w:val="009E1651"/>
    <w:pPr>
      <w:pBdr>
        <w:bottom w:val="single" w:sz="2" w:space="4" w:color="000000" w:themeColor="text1"/>
        <w:between w:val="single" w:sz="2" w:space="0" w:color="000000" w:themeColor="text1"/>
      </w:pBdr>
      <w:tabs>
        <w:tab w:val="left" w:pos="340"/>
        <w:tab w:val="right" w:pos="10206"/>
      </w:tabs>
      <w:spacing w:after="60" w:line="240" w:lineRule="auto"/>
      <w:ind w:right="57"/>
    </w:pPr>
    <w:rPr>
      <w:b/>
      <w:color w:val="007586" w:themeColor="text2"/>
    </w:rPr>
  </w:style>
  <w:style w:type="paragraph" w:styleId="TOC3">
    <w:name w:val="toc 3"/>
    <w:basedOn w:val="TOC2"/>
    <w:next w:val="Normal"/>
    <w:uiPriority w:val="39"/>
    <w:rsid w:val="009E1651"/>
  </w:style>
  <w:style w:type="paragraph" w:styleId="Index1">
    <w:name w:val="index 1"/>
    <w:basedOn w:val="Normal"/>
    <w:next w:val="Normal"/>
    <w:uiPriority w:val="1"/>
    <w:semiHidden/>
    <w:rsid w:val="00DA3AAD"/>
    <w:pPr>
      <w:spacing w:after="60" w:line="240" w:lineRule="auto"/>
    </w:pPr>
    <w:rPr>
      <w:sz w:val="16"/>
    </w:rPr>
  </w:style>
  <w:style w:type="paragraph" w:styleId="Index2">
    <w:name w:val="index 2"/>
    <w:basedOn w:val="Normal"/>
    <w:next w:val="Normal"/>
    <w:uiPriority w:val="1"/>
    <w:semiHidden/>
    <w:rsid w:val="00014B55"/>
    <w:pPr>
      <w:spacing w:after="0" w:line="240" w:lineRule="auto"/>
      <w:ind w:left="216"/>
    </w:pPr>
    <w:rPr>
      <w:sz w:val="16"/>
      <w:szCs w:val="16"/>
    </w:rPr>
  </w:style>
  <w:style w:type="character" w:styleId="Hyperlink">
    <w:name w:val="Hyperlink"/>
    <w:basedOn w:val="DefaultParagraphFont"/>
    <w:uiPriority w:val="99"/>
    <w:rsid w:val="00F966B1"/>
    <w:rPr>
      <w:color w:val="000000" w:themeColor="hyperlink"/>
      <w:u w:val="none"/>
    </w:rPr>
  </w:style>
  <w:style w:type="character" w:customStyle="1" w:styleId="Heading1Char">
    <w:name w:val="Heading 1 Char"/>
    <w:basedOn w:val="DefaultParagraphFont"/>
    <w:link w:val="Heading1"/>
    <w:rsid w:val="00A60C18"/>
    <w:rPr>
      <w:rFonts w:eastAsiaTheme="majorEastAsia" w:cstheme="minorHAnsi"/>
      <w:b/>
      <w:bCs/>
      <w:noProof/>
      <w:color w:val="007586" w:themeColor="text2"/>
      <w:spacing w:val="-1"/>
      <w:sz w:val="48"/>
      <w:szCs w:val="28"/>
      <w:lang w:eastAsia="en-US"/>
    </w:rPr>
  </w:style>
  <w:style w:type="character" w:customStyle="1" w:styleId="Heading2Char">
    <w:name w:val="Heading 2 Char"/>
    <w:basedOn w:val="DefaultParagraphFont"/>
    <w:link w:val="Heading2"/>
    <w:rsid w:val="003B4F97"/>
    <w:rPr>
      <w:rFonts w:eastAsiaTheme="majorEastAsia" w:cstheme="minorHAnsi"/>
      <w:b/>
      <w:bCs/>
      <w:caps/>
      <w:noProof/>
      <w:color w:val="007586" w:themeColor="text2"/>
      <w:sz w:val="24"/>
      <w:szCs w:val="26"/>
      <w:lang w:eastAsia="en-US"/>
    </w:rPr>
  </w:style>
  <w:style w:type="paragraph" w:customStyle="1" w:styleId="Bullet1">
    <w:name w:val="Bullet 1"/>
    <w:uiPriority w:val="1"/>
    <w:qFormat/>
    <w:rsid w:val="003B4F97"/>
    <w:pPr>
      <w:numPr>
        <w:numId w:val="9"/>
      </w:numPr>
      <w:spacing w:before="60" w:after="60" w:line="260" w:lineRule="atLeast"/>
    </w:pPr>
    <w:rPr>
      <w:rFonts w:eastAsia="Times New Roman" w:cstheme="minorHAnsi"/>
      <w:spacing w:val="2"/>
    </w:rPr>
  </w:style>
  <w:style w:type="paragraph" w:customStyle="1" w:styleId="Bullet2">
    <w:name w:val="Bullet 2"/>
    <w:basedOn w:val="Bullet1"/>
    <w:uiPriority w:val="1"/>
    <w:qFormat/>
    <w:rsid w:val="00294A5A"/>
    <w:pPr>
      <w:numPr>
        <w:ilvl w:val="1"/>
      </w:numPr>
    </w:pPr>
  </w:style>
  <w:style w:type="paragraph" w:styleId="Quote">
    <w:name w:val="Quote"/>
    <w:basedOn w:val="Normal"/>
    <w:next w:val="Normal"/>
    <w:link w:val="QuoteChar"/>
    <w:uiPriority w:val="1"/>
    <w:qFormat/>
    <w:rsid w:val="00A05EBC"/>
    <w:pPr>
      <w:ind w:left="567" w:right="567"/>
      <w:jc w:val="center"/>
    </w:pPr>
    <w:rPr>
      <w:i/>
      <w:iCs/>
      <w:color w:val="000000" w:themeColor="text1"/>
    </w:rPr>
  </w:style>
  <w:style w:type="paragraph" w:customStyle="1" w:styleId="Heading1numbered">
    <w:name w:val="Heading 1 numbered"/>
    <w:basedOn w:val="Heading1"/>
    <w:next w:val="NormalIndent"/>
    <w:qFormat/>
    <w:rsid w:val="00BD5018"/>
    <w:pPr>
      <w:framePr w:wrap="around"/>
      <w:numPr>
        <w:numId w:val="10"/>
      </w:numPr>
    </w:pPr>
  </w:style>
  <w:style w:type="paragraph" w:customStyle="1" w:styleId="Heading2numbered">
    <w:name w:val="Heading 2 numbered"/>
    <w:basedOn w:val="Heading2"/>
    <w:next w:val="NormalIndent"/>
    <w:qFormat/>
    <w:rsid w:val="00BD5018"/>
    <w:pPr>
      <w:numPr>
        <w:ilvl w:val="1"/>
        <w:numId w:val="10"/>
      </w:numPr>
    </w:pPr>
  </w:style>
  <w:style w:type="paragraph" w:customStyle="1" w:styleId="Heading3numbered">
    <w:name w:val="Heading 3 numbered"/>
    <w:basedOn w:val="Heading3"/>
    <w:next w:val="NormalIndent"/>
    <w:qFormat/>
    <w:rsid w:val="00BD5018"/>
    <w:pPr>
      <w:numPr>
        <w:ilvl w:val="2"/>
        <w:numId w:val="10"/>
      </w:numPr>
    </w:pPr>
  </w:style>
  <w:style w:type="character" w:customStyle="1" w:styleId="Heading3Char">
    <w:name w:val="Heading 3 Char"/>
    <w:basedOn w:val="DefaultParagraphFont"/>
    <w:link w:val="Heading3"/>
    <w:rsid w:val="003B4F97"/>
    <w:rPr>
      <w:rFonts w:asciiTheme="majorHAnsi" w:eastAsiaTheme="majorEastAsia" w:hAnsiTheme="majorHAnsi" w:cstheme="majorHAnsi"/>
      <w:b/>
      <w:bCs/>
      <w:noProof/>
      <w:color w:val="000000" w:themeColor="text1"/>
      <w:sz w:val="24"/>
      <w:szCs w:val="22"/>
      <w:lang w:val="en-GB" w:eastAsia="en-US"/>
    </w:rPr>
  </w:style>
  <w:style w:type="paragraph" w:customStyle="1" w:styleId="Heading4numbered">
    <w:name w:val="Heading 4 numbered"/>
    <w:basedOn w:val="Heading4"/>
    <w:next w:val="NormalIndent"/>
    <w:qFormat/>
    <w:rsid w:val="00BD5018"/>
    <w:pPr>
      <w:numPr>
        <w:ilvl w:val="3"/>
        <w:numId w:val="10"/>
      </w:numPr>
    </w:pPr>
  </w:style>
  <w:style w:type="character" w:customStyle="1" w:styleId="Heading4Char">
    <w:name w:val="Heading 4 Char"/>
    <w:basedOn w:val="DefaultParagraphFont"/>
    <w:link w:val="Heading4"/>
    <w:rsid w:val="00A60C18"/>
    <w:rPr>
      <w:rFonts w:asciiTheme="majorHAnsi" w:eastAsiaTheme="majorEastAsia" w:hAnsiTheme="majorHAnsi" w:cstheme="majorHAnsi"/>
      <w:b/>
      <w:bCs/>
      <w:iCs/>
      <w:noProof/>
      <w:color w:val="000000" w:themeColor="text1"/>
      <w:lang w:eastAsia="en-US"/>
    </w:rPr>
  </w:style>
  <w:style w:type="paragraph" w:styleId="NormalIndent">
    <w:name w:val="Normal Indent"/>
    <w:basedOn w:val="Normal"/>
    <w:uiPriority w:val="1"/>
    <w:qFormat/>
    <w:rsid w:val="009B62E0"/>
    <w:pPr>
      <w:spacing w:line="252" w:lineRule="auto"/>
      <w:ind w:left="792"/>
    </w:pPr>
  </w:style>
  <w:style w:type="paragraph" w:customStyle="1" w:styleId="NoteNormal">
    <w:name w:val="Note Normal"/>
    <w:basedOn w:val="Normal"/>
    <w:next w:val="Normal"/>
    <w:uiPriority w:val="1"/>
    <w:rsid w:val="00297A47"/>
    <w:pPr>
      <w:spacing w:line="240" w:lineRule="atLeast"/>
      <w:contextualSpacing/>
    </w:pPr>
    <w:rPr>
      <w:sz w:val="16"/>
    </w:rPr>
  </w:style>
  <w:style w:type="paragraph" w:customStyle="1" w:styleId="Spacer">
    <w:name w:val="Spacer"/>
    <w:basedOn w:val="Normal"/>
    <w:uiPriority w:val="1"/>
    <w:semiHidden/>
    <w:qFormat/>
    <w:rsid w:val="00165E66"/>
    <w:pPr>
      <w:spacing w:before="0" w:after="0" w:line="120" w:lineRule="atLeast"/>
    </w:pPr>
    <w:rPr>
      <w:rFonts w:eastAsia="Times New Roman" w:cs="Calibri"/>
      <w:sz w:val="10"/>
      <w:szCs w:val="22"/>
    </w:rPr>
  </w:style>
  <w:style w:type="paragraph" w:styleId="Subtitle">
    <w:name w:val="Subtitle"/>
    <w:next w:val="Normal"/>
    <w:link w:val="SubtitleChar"/>
    <w:uiPriority w:val="99"/>
    <w:rsid w:val="003B4F97"/>
    <w:pPr>
      <w:framePr w:hSpace="5670" w:wrap="around" w:vAnchor="page" w:hAnchor="page" w:x="852" w:y="4310"/>
      <w:spacing w:before="0" w:after="0" w:line="240" w:lineRule="auto"/>
      <w:suppressOverlap/>
    </w:pPr>
    <w:rPr>
      <w:rFonts w:eastAsia="Times New Roman" w:cstheme="minorHAnsi"/>
      <w:color w:val="000000" w:themeColor="text1"/>
      <w:sz w:val="40"/>
      <w:szCs w:val="24"/>
    </w:rPr>
  </w:style>
  <w:style w:type="character" w:customStyle="1" w:styleId="SubtitleChar">
    <w:name w:val="Subtitle Char"/>
    <w:basedOn w:val="DefaultParagraphFont"/>
    <w:link w:val="Subtitle"/>
    <w:uiPriority w:val="99"/>
    <w:rsid w:val="003B4F97"/>
    <w:rPr>
      <w:rFonts w:eastAsia="Times New Roman" w:cstheme="minorHAnsi"/>
      <w:color w:val="000000" w:themeColor="text1"/>
      <w:sz w:val="40"/>
      <w:szCs w:val="24"/>
    </w:rPr>
  </w:style>
  <w:style w:type="paragraph" w:styleId="TOC4">
    <w:name w:val="toc 4"/>
    <w:basedOn w:val="Normal"/>
    <w:next w:val="Normal"/>
    <w:autoRedefine/>
    <w:uiPriority w:val="99"/>
    <w:rsid w:val="00ED64F1"/>
    <w:pPr>
      <w:spacing w:after="100"/>
      <w:ind w:left="600"/>
    </w:pPr>
  </w:style>
  <w:style w:type="paragraph" w:styleId="Title">
    <w:name w:val="Title"/>
    <w:next w:val="Subtitle"/>
    <w:link w:val="TitleChar"/>
    <w:uiPriority w:val="99"/>
    <w:rsid w:val="003B4F97"/>
    <w:pPr>
      <w:framePr w:hSpace="5670" w:wrap="around" w:vAnchor="page" w:hAnchor="page" w:x="852" w:y="4310"/>
      <w:spacing w:before="0" w:after="200" w:line="240" w:lineRule="auto"/>
      <w:ind w:right="284"/>
      <w:contextualSpacing/>
      <w:suppressOverlap/>
    </w:pPr>
    <w:rPr>
      <w:rFonts w:ascii="Arial" w:eastAsia="Times New Roman" w:hAnsi="Arial" w:cs="Arial"/>
      <w:b/>
      <w:color w:val="007586" w:themeColor="text2"/>
      <w:spacing w:val="-4"/>
      <w:sz w:val="76"/>
      <w:szCs w:val="22"/>
    </w:rPr>
  </w:style>
  <w:style w:type="character" w:customStyle="1" w:styleId="TitleChar">
    <w:name w:val="Title Char"/>
    <w:basedOn w:val="DefaultParagraphFont"/>
    <w:link w:val="Title"/>
    <w:uiPriority w:val="99"/>
    <w:rsid w:val="003B4F97"/>
    <w:rPr>
      <w:rFonts w:ascii="Arial" w:eastAsia="Times New Roman" w:hAnsi="Arial" w:cs="Arial"/>
      <w:b/>
      <w:color w:val="007586" w:themeColor="text2"/>
      <w:spacing w:val="-4"/>
      <w:sz w:val="76"/>
      <w:szCs w:val="22"/>
    </w:rPr>
  </w:style>
  <w:style w:type="paragraph" w:styleId="BalloonText">
    <w:name w:val="Balloon Text"/>
    <w:basedOn w:val="Normal"/>
    <w:link w:val="BalloonTextChar"/>
    <w:uiPriority w:val="1"/>
    <w:semiHidden/>
    <w:rsid w:val="00232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1"/>
    <w:semiHidden/>
    <w:rsid w:val="00A05EBC"/>
    <w:rPr>
      <w:rFonts w:ascii="Tahoma" w:hAnsi="Tahoma" w:cs="Tahoma"/>
      <w:sz w:val="16"/>
      <w:szCs w:val="16"/>
    </w:rPr>
  </w:style>
  <w:style w:type="character" w:customStyle="1" w:styleId="QuoteChar">
    <w:name w:val="Quote Char"/>
    <w:basedOn w:val="DefaultParagraphFont"/>
    <w:link w:val="Quote"/>
    <w:uiPriority w:val="1"/>
    <w:rsid w:val="00A05EBC"/>
    <w:rPr>
      <w:i/>
      <w:iCs/>
      <w:color w:val="000000" w:themeColor="text1"/>
    </w:rPr>
  </w:style>
  <w:style w:type="paragraph" w:styleId="IndexHeading">
    <w:name w:val="index heading"/>
    <w:basedOn w:val="Normal"/>
    <w:next w:val="Index1"/>
    <w:uiPriority w:val="1"/>
    <w:semiHidden/>
    <w:rsid w:val="00014B55"/>
    <w:rPr>
      <w:rFonts w:eastAsiaTheme="majorEastAsia" w:cstheme="majorBidi"/>
      <w:b/>
      <w:bCs/>
    </w:rPr>
  </w:style>
  <w:style w:type="paragraph" w:styleId="Header">
    <w:name w:val="header"/>
    <w:basedOn w:val="Normal"/>
    <w:link w:val="HeaderChar"/>
    <w:uiPriority w:val="99"/>
    <w:rsid w:val="00F25F4B"/>
    <w:pPr>
      <w:pBdr>
        <w:bottom w:val="single" w:sz="24" w:space="1" w:color="CCCCD0" w:themeColor="accent6"/>
      </w:pBdr>
      <w:tabs>
        <w:tab w:val="center" w:pos="4513"/>
        <w:tab w:val="right" w:pos="9026"/>
      </w:tabs>
      <w:spacing w:before="0" w:line="240" w:lineRule="auto"/>
    </w:pPr>
  </w:style>
  <w:style w:type="character" w:customStyle="1" w:styleId="HeaderChar">
    <w:name w:val="Header Char"/>
    <w:basedOn w:val="DefaultParagraphFont"/>
    <w:link w:val="Header"/>
    <w:uiPriority w:val="99"/>
    <w:rsid w:val="00F25F4B"/>
  </w:style>
  <w:style w:type="paragraph" w:styleId="Footer">
    <w:name w:val="footer"/>
    <w:basedOn w:val="Normal"/>
    <w:link w:val="FooterChar"/>
    <w:uiPriority w:val="99"/>
    <w:rsid w:val="0026028E"/>
    <w:pPr>
      <w:tabs>
        <w:tab w:val="left" w:pos="1304"/>
      </w:tabs>
      <w:spacing w:before="0" w:after="0" w:line="156" w:lineRule="exact"/>
    </w:pPr>
    <w:rPr>
      <w:sz w:val="13"/>
      <w:szCs w:val="18"/>
    </w:rPr>
  </w:style>
  <w:style w:type="character" w:customStyle="1" w:styleId="FooterChar">
    <w:name w:val="Footer Char"/>
    <w:basedOn w:val="DefaultParagraphFont"/>
    <w:link w:val="Footer"/>
    <w:uiPriority w:val="99"/>
    <w:rsid w:val="00A05EBC"/>
    <w:rPr>
      <w:noProof/>
      <w:sz w:val="13"/>
      <w:szCs w:val="18"/>
    </w:rPr>
  </w:style>
  <w:style w:type="character" w:styleId="PageNumber">
    <w:name w:val="page number"/>
    <w:uiPriority w:val="1"/>
    <w:semiHidden/>
    <w:rsid w:val="00BB59E0"/>
    <w:rPr>
      <w:rFonts w:asciiTheme="minorHAnsi" w:hAnsiTheme="minorHAnsi"/>
      <w:b w:val="0"/>
      <w:color w:val="000000" w:themeColor="text1"/>
    </w:rPr>
  </w:style>
  <w:style w:type="paragraph" w:styleId="TOCHeading">
    <w:name w:val="TOC Heading"/>
    <w:basedOn w:val="Heading1"/>
    <w:next w:val="Normal"/>
    <w:uiPriority w:val="99"/>
    <w:rsid w:val="0026028E"/>
    <w:pPr>
      <w:framePr w:vSpace="1418" w:wrap="around"/>
      <w:outlineLvl w:val="9"/>
    </w:pPr>
    <w:rPr>
      <w:spacing w:val="2"/>
    </w:rPr>
  </w:style>
  <w:style w:type="paragraph" w:customStyle="1" w:styleId="NormalTight">
    <w:name w:val="Normal Tight"/>
    <w:uiPriority w:val="1"/>
    <w:semiHidden/>
    <w:rsid w:val="008D0281"/>
    <w:pPr>
      <w:spacing w:after="0" w:line="240" w:lineRule="auto"/>
      <w:ind w:right="2366"/>
    </w:pPr>
    <w:rPr>
      <w:rFonts w:eastAsia="Times New Roman" w:cs="Calibri"/>
      <w:sz w:val="18"/>
      <w:szCs w:val="19"/>
      <w:lang w:eastAsia="en-US"/>
    </w:rPr>
  </w:style>
  <w:style w:type="paragraph" w:styleId="BodyText">
    <w:name w:val="Body Text"/>
    <w:basedOn w:val="Normal"/>
    <w:link w:val="BodyTextChar"/>
    <w:uiPriority w:val="1"/>
    <w:semiHidden/>
    <w:rsid w:val="00750CBE"/>
    <w:pPr>
      <w:spacing w:before="100" w:line="240" w:lineRule="auto"/>
      <w:ind w:left="794"/>
    </w:pPr>
    <w:rPr>
      <w:rFonts w:ascii="Calibri" w:eastAsia="Times New Roman" w:hAnsi="Calibri" w:cs="Calibri"/>
      <w:sz w:val="22"/>
      <w:szCs w:val="22"/>
    </w:rPr>
  </w:style>
  <w:style w:type="character" w:customStyle="1" w:styleId="BodyTextChar">
    <w:name w:val="Body Text Char"/>
    <w:basedOn w:val="DefaultParagraphFont"/>
    <w:link w:val="BodyText"/>
    <w:uiPriority w:val="1"/>
    <w:semiHidden/>
    <w:rsid w:val="00A05EBC"/>
    <w:rPr>
      <w:rFonts w:ascii="Calibri" w:eastAsia="Times New Roman" w:hAnsi="Calibri" w:cs="Calibri"/>
      <w:sz w:val="22"/>
      <w:szCs w:val="22"/>
    </w:rPr>
  </w:style>
  <w:style w:type="paragraph" w:customStyle="1" w:styleId="Insidecoverspacer">
    <w:name w:val="Inside cover spacer"/>
    <w:basedOn w:val="NormalTight"/>
    <w:uiPriority w:val="1"/>
    <w:semiHidden/>
    <w:qFormat/>
    <w:rsid w:val="00E26B32"/>
    <w:pPr>
      <w:spacing w:before="5800"/>
      <w:ind w:right="1382"/>
    </w:pPr>
  </w:style>
  <w:style w:type="table" w:styleId="ColorfulGrid">
    <w:name w:val="Colorful Grid"/>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ECEF" w:themeFill="accent1" w:themeFillTint="33"/>
    </w:tcPr>
    <w:tblStylePr w:type="firstRow">
      <w:rPr>
        <w:b/>
        <w:bCs/>
      </w:rPr>
      <w:tblPr/>
      <w:tcPr>
        <w:shd w:val="clear" w:color="auto" w:fill="ADD9DF" w:themeFill="accent1" w:themeFillTint="66"/>
      </w:tcPr>
    </w:tblStylePr>
    <w:tblStylePr w:type="lastRow">
      <w:rPr>
        <w:b/>
        <w:bCs/>
        <w:color w:val="000000" w:themeColor="text1"/>
      </w:rPr>
      <w:tblPr/>
      <w:tcPr>
        <w:shd w:val="clear" w:color="auto" w:fill="ADD9DF" w:themeFill="accent1" w:themeFillTint="66"/>
      </w:tcPr>
    </w:tblStylePr>
    <w:tblStylePr w:type="firstCol">
      <w:rPr>
        <w:color w:val="FFFFFF" w:themeColor="background1"/>
      </w:rPr>
      <w:tblPr/>
      <w:tcPr>
        <w:shd w:val="clear" w:color="auto" w:fill="30717A" w:themeFill="accent1" w:themeFillShade="BF"/>
      </w:tcPr>
    </w:tblStylePr>
    <w:tblStylePr w:type="lastCol">
      <w:rPr>
        <w:color w:val="FFFFFF" w:themeColor="background1"/>
      </w:rPr>
      <w:tblPr/>
      <w:tcPr>
        <w:shd w:val="clear" w:color="auto" w:fill="30717A" w:themeFill="accent1" w:themeFillShade="BF"/>
      </w:tc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paragraph" w:customStyle="1" w:styleId="Tabletext">
    <w:name w:val="Table text"/>
    <w:basedOn w:val="Normal"/>
    <w:uiPriority w:val="2"/>
    <w:qFormat/>
    <w:rsid w:val="009E1651"/>
    <w:pPr>
      <w:spacing w:before="60" w:after="60" w:line="192" w:lineRule="atLeast"/>
    </w:pPr>
    <w:rPr>
      <w:rFonts w:eastAsiaTheme="minorHAnsi"/>
      <w:sz w:val="16"/>
      <w:szCs w:val="21"/>
    </w:rPr>
  </w:style>
  <w:style w:type="paragraph" w:customStyle="1" w:styleId="Tabletextright">
    <w:name w:val="Table text right"/>
    <w:basedOn w:val="Tabletext"/>
    <w:uiPriority w:val="2"/>
    <w:qFormat/>
    <w:rsid w:val="00B9053B"/>
    <w:pPr>
      <w:jc w:val="right"/>
    </w:pPr>
  </w:style>
  <w:style w:type="paragraph" w:customStyle="1" w:styleId="Listnum">
    <w:name w:val="List num"/>
    <w:basedOn w:val="Normal"/>
    <w:uiPriority w:val="1"/>
    <w:qFormat/>
    <w:rsid w:val="004A7519"/>
    <w:pPr>
      <w:numPr>
        <w:numId w:val="4"/>
      </w:numPr>
    </w:pPr>
  </w:style>
  <w:style w:type="paragraph" w:customStyle="1" w:styleId="Listnum2">
    <w:name w:val="List num 2"/>
    <w:basedOn w:val="Normal"/>
    <w:uiPriority w:val="1"/>
    <w:qFormat/>
    <w:rsid w:val="004A7519"/>
    <w:pPr>
      <w:numPr>
        <w:ilvl w:val="1"/>
        <w:numId w:val="4"/>
      </w:numPr>
    </w:pPr>
  </w:style>
  <w:style w:type="paragraph" w:customStyle="1" w:styleId="Tabletextcentred">
    <w:name w:val="Table text centred"/>
    <w:basedOn w:val="Tabletext"/>
    <w:uiPriority w:val="2"/>
    <w:qFormat/>
    <w:rsid w:val="00B9053B"/>
    <w:pPr>
      <w:jc w:val="center"/>
    </w:pPr>
  </w:style>
  <w:style w:type="paragraph" w:customStyle="1" w:styleId="Tableheader">
    <w:name w:val="Table header"/>
    <w:basedOn w:val="Normal"/>
    <w:uiPriority w:val="2"/>
    <w:qFormat/>
    <w:rsid w:val="009E1651"/>
    <w:pPr>
      <w:keepNext/>
      <w:keepLines/>
      <w:spacing w:before="0" w:after="0" w:line="260" w:lineRule="atLeast"/>
    </w:pPr>
    <w:rPr>
      <w:rFonts w:eastAsiaTheme="minorHAnsi"/>
      <w:b/>
      <w:color w:val="007586" w:themeColor="text2"/>
      <w:sz w:val="16"/>
      <w:szCs w:val="21"/>
    </w:rPr>
  </w:style>
  <w:style w:type="paragraph" w:customStyle="1" w:styleId="Tablebullet">
    <w:name w:val="Table bullet"/>
    <w:basedOn w:val="Tabletext"/>
    <w:uiPriority w:val="2"/>
    <w:rsid w:val="00937A10"/>
    <w:pPr>
      <w:numPr>
        <w:numId w:val="5"/>
      </w:numPr>
    </w:pPr>
  </w:style>
  <w:style w:type="paragraph" w:customStyle="1" w:styleId="Tabledash">
    <w:name w:val="Table dash"/>
    <w:basedOn w:val="Tablebullet"/>
    <w:uiPriority w:val="2"/>
    <w:rsid w:val="00937A10"/>
    <w:pPr>
      <w:numPr>
        <w:ilvl w:val="1"/>
      </w:numPr>
    </w:pPr>
  </w:style>
  <w:style w:type="paragraph" w:customStyle="1" w:styleId="Tabletextindent">
    <w:name w:val="Table text indent"/>
    <w:basedOn w:val="Tabletext"/>
    <w:uiPriority w:val="2"/>
    <w:qFormat/>
    <w:rsid w:val="00C11CD1"/>
    <w:pPr>
      <w:ind w:left="288"/>
    </w:pPr>
  </w:style>
  <w:style w:type="paragraph" w:styleId="ListParagraph">
    <w:name w:val="List Paragraph"/>
    <w:basedOn w:val="Normal"/>
    <w:uiPriority w:val="34"/>
    <w:qFormat/>
    <w:rsid w:val="004231B5"/>
    <w:pPr>
      <w:ind w:left="720"/>
      <w:contextualSpacing/>
    </w:pPr>
  </w:style>
  <w:style w:type="paragraph" w:customStyle="1" w:styleId="Numpara">
    <w:name w:val="Num para"/>
    <w:basedOn w:val="ListParagraph"/>
    <w:uiPriority w:val="1"/>
    <w:qFormat/>
    <w:rsid w:val="00C72252"/>
    <w:pPr>
      <w:numPr>
        <w:numId w:val="7"/>
      </w:numPr>
      <w:tabs>
        <w:tab w:val="left" w:pos="540"/>
      </w:tabs>
    </w:pPr>
  </w:style>
  <w:style w:type="paragraph" w:styleId="FootnoteText">
    <w:name w:val="footnote text"/>
    <w:basedOn w:val="Normal"/>
    <w:link w:val="FootnoteTextChar"/>
    <w:uiPriority w:val="99"/>
    <w:rsid w:val="006945CA"/>
    <w:pPr>
      <w:spacing w:before="57" w:after="0" w:line="160" w:lineRule="atLeast"/>
    </w:pPr>
    <w:rPr>
      <w:sz w:val="13"/>
    </w:rPr>
  </w:style>
  <w:style w:type="character" w:customStyle="1" w:styleId="FootnoteTextChar">
    <w:name w:val="Footnote Text Char"/>
    <w:basedOn w:val="DefaultParagraphFont"/>
    <w:link w:val="FootnoteText"/>
    <w:uiPriority w:val="99"/>
    <w:rsid w:val="00A05EBC"/>
    <w:rPr>
      <w:sz w:val="13"/>
    </w:rPr>
  </w:style>
  <w:style w:type="character" w:styleId="FootnoteReference">
    <w:name w:val="footnote reference"/>
    <w:basedOn w:val="DefaultParagraphFont"/>
    <w:uiPriority w:val="99"/>
    <w:rsid w:val="00726D2F"/>
    <w:rPr>
      <w:vertAlign w:val="superscript"/>
    </w:rPr>
  </w:style>
  <w:style w:type="table" w:styleId="ColorfulGrid-Accent2">
    <w:name w:val="Colorful Grid Accent 2"/>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F1F3" w:themeFill="accent2" w:themeFillTint="33"/>
    </w:tcPr>
    <w:tblStylePr w:type="firstRow">
      <w:rPr>
        <w:b/>
        <w:bCs/>
      </w:rPr>
      <w:tblPr/>
      <w:tcPr>
        <w:shd w:val="clear" w:color="auto" w:fill="CCE3E7" w:themeFill="accent2" w:themeFillTint="66"/>
      </w:tcPr>
    </w:tblStylePr>
    <w:tblStylePr w:type="lastRow">
      <w:rPr>
        <w:b/>
        <w:bCs/>
        <w:color w:val="000000" w:themeColor="text1"/>
      </w:rPr>
      <w:tblPr/>
      <w:tcPr>
        <w:shd w:val="clear" w:color="auto" w:fill="CCE3E7" w:themeFill="accent2" w:themeFillTint="66"/>
      </w:tcPr>
    </w:tblStylePr>
    <w:tblStylePr w:type="firstCol">
      <w:rPr>
        <w:color w:val="FFFFFF" w:themeColor="background1"/>
      </w:rPr>
      <w:tblPr/>
      <w:tcPr>
        <w:shd w:val="clear" w:color="auto" w:fill="4D98A4" w:themeFill="accent2" w:themeFillShade="BF"/>
      </w:tcPr>
    </w:tblStylePr>
    <w:tblStylePr w:type="lastCol">
      <w:rPr>
        <w:color w:val="FFFFFF" w:themeColor="background1"/>
      </w:rPr>
      <w:tblPr/>
      <w:tcPr>
        <w:shd w:val="clear" w:color="auto" w:fill="4D98A4" w:themeFill="accent2" w:themeFillShade="BF"/>
      </w:tc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ColorfulGrid-Accent3">
    <w:name w:val="Colorful Grid Accent 3"/>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F8F9" w:themeFill="accent3" w:themeFillTint="33"/>
    </w:tcPr>
    <w:tblStylePr w:type="firstRow">
      <w:rPr>
        <w:b/>
        <w:bCs/>
      </w:rPr>
      <w:tblPr/>
      <w:tcPr>
        <w:shd w:val="clear" w:color="auto" w:fill="E5F1F3" w:themeFill="accent3" w:themeFillTint="66"/>
      </w:tcPr>
    </w:tblStylePr>
    <w:tblStylePr w:type="lastRow">
      <w:rPr>
        <w:b/>
        <w:bCs/>
        <w:color w:val="000000" w:themeColor="text1"/>
      </w:rPr>
      <w:tblPr/>
      <w:tcPr>
        <w:shd w:val="clear" w:color="auto" w:fill="E5F1F3" w:themeFill="accent3" w:themeFillTint="66"/>
      </w:tcPr>
    </w:tblStylePr>
    <w:tblStylePr w:type="firstCol">
      <w:rPr>
        <w:color w:val="FFFFFF" w:themeColor="background1"/>
      </w:rPr>
      <w:tblPr/>
      <w:tcPr>
        <w:shd w:val="clear" w:color="auto" w:fill="77B7BF" w:themeFill="accent3" w:themeFillShade="BF"/>
      </w:tcPr>
    </w:tblStylePr>
    <w:tblStylePr w:type="lastCol">
      <w:rPr>
        <w:color w:val="FFFFFF" w:themeColor="background1"/>
      </w:rPr>
      <w:tblPr/>
      <w:tcPr>
        <w:shd w:val="clear" w:color="auto" w:fill="77B7BF" w:themeFill="accent3" w:themeFillShade="BF"/>
      </w:tc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paragraph" w:customStyle="1" w:styleId="Tablenum1">
    <w:name w:val="Table num 1"/>
    <w:basedOn w:val="Normal"/>
    <w:uiPriority w:val="2"/>
    <w:rsid w:val="007F723F"/>
    <w:pPr>
      <w:numPr>
        <w:ilvl w:val="2"/>
        <w:numId w:val="5"/>
      </w:numPr>
      <w:spacing w:before="60" w:after="60"/>
    </w:pPr>
    <w:rPr>
      <w:sz w:val="17"/>
    </w:rPr>
  </w:style>
  <w:style w:type="paragraph" w:customStyle="1" w:styleId="Tablenum2">
    <w:name w:val="Table num 2"/>
    <w:basedOn w:val="Normal"/>
    <w:uiPriority w:val="2"/>
    <w:rsid w:val="007F723F"/>
    <w:pPr>
      <w:numPr>
        <w:ilvl w:val="3"/>
        <w:numId w:val="5"/>
      </w:numPr>
      <w:spacing w:before="60" w:after="60"/>
    </w:pPr>
    <w:rPr>
      <w:sz w:val="17"/>
    </w:rPr>
  </w:style>
  <w:style w:type="paragraph" w:styleId="Caption">
    <w:name w:val="caption"/>
    <w:basedOn w:val="Normal"/>
    <w:next w:val="Normal"/>
    <w:uiPriority w:val="1"/>
    <w:rsid w:val="00A92D94"/>
    <w:pPr>
      <w:spacing w:before="280" w:after="210" w:line="260" w:lineRule="atLeast"/>
    </w:pPr>
    <w:rPr>
      <w:b/>
      <w:bCs/>
      <w:color w:val="007586" w:themeColor="text2"/>
      <w:szCs w:val="18"/>
    </w:rPr>
  </w:style>
  <w:style w:type="paragraph" w:customStyle="1" w:styleId="Tablechartdiagramheading">
    <w:name w:val="Table/chart/diagram heading"/>
    <w:next w:val="Normal"/>
    <w:uiPriority w:val="2"/>
    <w:qFormat/>
    <w:rsid w:val="003B4F97"/>
    <w:pPr>
      <w:tabs>
        <w:tab w:val="left" w:pos="1080"/>
      </w:tabs>
      <w:spacing w:before="180" w:after="60" w:line="260" w:lineRule="atLeast"/>
    </w:pPr>
    <w:rPr>
      <w:rFonts w:cstheme="minorHAnsi"/>
      <w:b/>
      <w:bCs/>
      <w:noProof/>
      <w:color w:val="007586" w:themeColor="text2"/>
      <w:spacing w:val="2"/>
      <w:szCs w:val="18"/>
      <w:lang w:val="en-GB"/>
    </w:rPr>
  </w:style>
  <w:style w:type="character" w:styleId="PlaceholderText">
    <w:name w:val="Placeholder Text"/>
    <w:basedOn w:val="DefaultParagraphFont"/>
    <w:uiPriority w:val="1"/>
    <w:semiHidden/>
    <w:rsid w:val="00966115"/>
    <w:rPr>
      <w:color w:val="808080"/>
    </w:rPr>
  </w:style>
  <w:style w:type="paragraph" w:customStyle="1" w:styleId="FooterOdd">
    <w:name w:val="Footer Odd"/>
    <w:basedOn w:val="Footer"/>
    <w:uiPriority w:val="99"/>
    <w:qFormat/>
    <w:rsid w:val="002A5891"/>
    <w:pPr>
      <w:framePr w:hSpace="17010" w:wrap="around" w:vAnchor="text" w:hAnchor="margin" w:xAlign="right" w:y="1"/>
      <w:pBdr>
        <w:top w:val="single" w:sz="8" w:space="6" w:color="CCCCD0" w:themeColor="accent6"/>
      </w:pBdr>
      <w:jc w:val="right"/>
    </w:pPr>
  </w:style>
  <w:style w:type="paragraph" w:customStyle="1" w:styleId="FooterEven">
    <w:name w:val="Footer Even"/>
    <w:basedOn w:val="Footer"/>
    <w:uiPriority w:val="99"/>
    <w:qFormat/>
    <w:rsid w:val="002A5891"/>
    <w:pPr>
      <w:framePr w:hSpace="17010" w:wrap="around" w:vAnchor="text" w:hAnchor="margin" w:y="1"/>
      <w:pBdr>
        <w:top w:val="single" w:sz="8" w:space="6" w:color="CCCCD0" w:themeColor="accent6"/>
      </w:pBdr>
    </w:pPr>
  </w:style>
  <w:style w:type="paragraph" w:customStyle="1" w:styleId="IntroductoryText">
    <w:name w:val="Introductory Text"/>
    <w:basedOn w:val="Normal"/>
    <w:uiPriority w:val="1"/>
    <w:qFormat/>
    <w:rsid w:val="003B4F97"/>
    <w:pPr>
      <w:spacing w:before="0" w:after="180"/>
    </w:pPr>
    <w:rPr>
      <w:rFonts w:asciiTheme="minorHAnsi" w:hAnsiTheme="minorHAnsi" w:cstheme="minorHAnsi"/>
      <w:bCs/>
      <w:color w:val="007586" w:themeColor="text2"/>
    </w:rPr>
  </w:style>
  <w:style w:type="paragraph" w:styleId="NoSpacing">
    <w:name w:val="No Spacing"/>
    <w:uiPriority w:val="1"/>
    <w:qFormat/>
    <w:rsid w:val="00294A5A"/>
    <w:pPr>
      <w:spacing w:before="0" w:after="0" w:line="240" w:lineRule="auto"/>
    </w:pPr>
  </w:style>
  <w:style w:type="paragraph" w:customStyle="1" w:styleId="Normalfollowingheading">
    <w:name w:val="Normal following heading"/>
    <w:basedOn w:val="Normal"/>
    <w:next w:val="Normal"/>
    <w:uiPriority w:val="1"/>
    <w:qFormat/>
    <w:rsid w:val="00294A5A"/>
    <w:pPr>
      <w:spacing w:before="0"/>
    </w:pPr>
  </w:style>
  <w:style w:type="table" w:styleId="ColorfulGrid-Accent4">
    <w:name w:val="Colorful Grid Accent 4"/>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6D6DE" w:themeFill="accent4" w:themeFillTint="33"/>
    </w:tcPr>
    <w:tblStylePr w:type="firstRow">
      <w:rPr>
        <w:b/>
        <w:bCs/>
      </w:rPr>
      <w:tblPr/>
      <w:tcPr>
        <w:shd w:val="clear" w:color="auto" w:fill="ADADBD" w:themeFill="accent4" w:themeFillTint="66"/>
      </w:tcPr>
    </w:tblStylePr>
    <w:tblStylePr w:type="lastRow">
      <w:rPr>
        <w:b/>
        <w:bCs/>
        <w:color w:val="000000" w:themeColor="text1"/>
      </w:rPr>
      <w:tblPr/>
      <w:tcPr>
        <w:shd w:val="clear" w:color="auto" w:fill="ADADBD" w:themeFill="accent4" w:themeFillTint="66"/>
      </w:tcPr>
    </w:tblStylePr>
    <w:tblStylePr w:type="firstCol">
      <w:rPr>
        <w:color w:val="FFFFFF" w:themeColor="background1"/>
      </w:rPr>
      <w:tblPr/>
      <w:tcPr>
        <w:shd w:val="clear" w:color="auto" w:fill="30303B" w:themeFill="accent4" w:themeFillShade="BF"/>
      </w:tcPr>
    </w:tblStylePr>
    <w:tblStylePr w:type="lastCol">
      <w:rPr>
        <w:color w:val="FFFFFF" w:themeColor="background1"/>
      </w:rPr>
      <w:tblPr/>
      <w:tcPr>
        <w:shd w:val="clear" w:color="auto" w:fill="30303B" w:themeFill="accent4" w:themeFillShade="BF"/>
      </w:tc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ColorfulGrid-Accent5">
    <w:name w:val="Colorful Grid Accent 5"/>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5E7" w:themeFill="accent5" w:themeFillTint="33"/>
    </w:tcPr>
    <w:tblStylePr w:type="firstRow">
      <w:rPr>
        <w:b/>
        <w:bCs/>
      </w:rPr>
      <w:tblPr/>
      <w:tcPr>
        <w:shd w:val="clear" w:color="auto" w:fill="CCCCD0" w:themeFill="accent5" w:themeFillTint="66"/>
      </w:tcPr>
    </w:tblStylePr>
    <w:tblStylePr w:type="lastRow">
      <w:rPr>
        <w:b/>
        <w:bCs/>
        <w:color w:val="000000" w:themeColor="text1"/>
      </w:rPr>
      <w:tblPr/>
      <w:tcPr>
        <w:shd w:val="clear" w:color="auto" w:fill="CCCCD0" w:themeFill="accent5" w:themeFillTint="66"/>
      </w:tcPr>
    </w:tblStylePr>
    <w:tblStylePr w:type="firstCol">
      <w:rPr>
        <w:color w:val="FFFFFF" w:themeColor="background1"/>
      </w:rPr>
      <w:tblPr/>
      <w:tcPr>
        <w:shd w:val="clear" w:color="auto" w:fill="5F5F68" w:themeFill="accent5" w:themeFillShade="BF"/>
      </w:tcPr>
    </w:tblStylePr>
    <w:tblStylePr w:type="lastCol">
      <w:rPr>
        <w:color w:val="FFFFFF" w:themeColor="background1"/>
      </w:rPr>
      <w:tblPr/>
      <w:tcPr>
        <w:shd w:val="clear" w:color="auto" w:fill="5F5F68" w:themeFill="accent5" w:themeFillShade="BF"/>
      </w:tc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ColorfulGrid-Accent6">
    <w:name w:val="Colorful Grid Accent 6"/>
    <w:basedOn w:val="TableNormal"/>
    <w:uiPriority w:val="73"/>
    <w:semiHidden/>
    <w:rsid w:val="00294A5A"/>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F4F5" w:themeFill="accent6" w:themeFillTint="33"/>
    </w:tcPr>
    <w:tblStylePr w:type="firstRow">
      <w:rPr>
        <w:b/>
        <w:bCs/>
      </w:rPr>
      <w:tblPr/>
      <w:tcPr>
        <w:shd w:val="clear" w:color="auto" w:fill="EAEAEC" w:themeFill="accent6" w:themeFillTint="66"/>
      </w:tcPr>
    </w:tblStylePr>
    <w:tblStylePr w:type="lastRow">
      <w:rPr>
        <w:b/>
        <w:bCs/>
        <w:color w:val="000000" w:themeColor="text1"/>
      </w:rPr>
      <w:tblPr/>
      <w:tcPr>
        <w:shd w:val="clear" w:color="auto" w:fill="EAEAEC" w:themeFill="accent6" w:themeFillTint="66"/>
      </w:tcPr>
    </w:tblStylePr>
    <w:tblStylePr w:type="firstCol">
      <w:rPr>
        <w:color w:val="FFFFFF" w:themeColor="background1"/>
      </w:rPr>
      <w:tblPr/>
      <w:tcPr>
        <w:shd w:val="clear" w:color="auto" w:fill="96969E" w:themeFill="accent6" w:themeFillShade="BF"/>
      </w:tcPr>
    </w:tblStylePr>
    <w:tblStylePr w:type="lastCol">
      <w:rPr>
        <w:color w:val="FFFFFF" w:themeColor="background1"/>
      </w:rPr>
      <w:tblPr/>
      <w:tcPr>
        <w:shd w:val="clear" w:color="auto" w:fill="96969E" w:themeFill="accent6" w:themeFillShade="BF"/>
      </w:tc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ColorfulList">
    <w:name w:val="Colorful List"/>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F5F7" w:themeFill="accent1"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E7EB" w:themeFill="accent1" w:themeFillTint="3F"/>
      </w:tcPr>
    </w:tblStylePr>
    <w:tblStylePr w:type="band1Horz">
      <w:tblPr/>
      <w:tcPr>
        <w:shd w:val="clear" w:color="auto" w:fill="D6ECEF" w:themeFill="accent1" w:themeFillTint="33"/>
      </w:tcPr>
    </w:tblStylePr>
  </w:style>
  <w:style w:type="table" w:styleId="ColorfulList-Accent2">
    <w:name w:val="Colorful List Accent 2"/>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8F9" w:themeFill="accent2" w:themeFillTint="19"/>
    </w:tcPr>
    <w:tblStylePr w:type="firstRow">
      <w:rPr>
        <w:b/>
        <w:bCs/>
        <w:color w:val="FFFFFF" w:themeColor="background1"/>
      </w:rPr>
      <w:tblPr/>
      <w:tcPr>
        <w:tcBorders>
          <w:bottom w:val="single" w:sz="12" w:space="0" w:color="FFFFFF" w:themeColor="background1"/>
        </w:tcBorders>
        <w:shd w:val="clear" w:color="auto" w:fill="54A1AE" w:themeFill="accent2" w:themeFillShade="CC"/>
      </w:tcPr>
    </w:tblStylePr>
    <w:tblStylePr w:type="lastRow">
      <w:rPr>
        <w:b/>
        <w:bCs/>
        <w:color w:val="54A1A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DF0" w:themeFill="accent2" w:themeFillTint="3F"/>
      </w:tcPr>
    </w:tblStylePr>
    <w:tblStylePr w:type="band1Horz">
      <w:tblPr/>
      <w:tcPr>
        <w:shd w:val="clear" w:color="auto" w:fill="E5F1F3" w:themeFill="accent2" w:themeFillTint="33"/>
      </w:tcPr>
    </w:tblStylePr>
  </w:style>
  <w:style w:type="table" w:styleId="ColorfulList-Accent3">
    <w:name w:val="Colorful List Accent 3"/>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8FBFC" w:themeFill="accent3" w:themeFillTint="19"/>
    </w:tcPr>
    <w:tblStylePr w:type="firstRow">
      <w:rPr>
        <w:b/>
        <w:bCs/>
        <w:color w:val="FFFFFF" w:themeColor="background1"/>
      </w:rPr>
      <w:tblPr/>
      <w:tcPr>
        <w:tcBorders>
          <w:bottom w:val="single" w:sz="12" w:space="0" w:color="FFFFFF" w:themeColor="background1"/>
        </w:tcBorders>
        <w:shd w:val="clear" w:color="auto" w:fill="33333F" w:themeFill="accent4" w:themeFillShade="CC"/>
      </w:tcPr>
    </w:tblStylePr>
    <w:tblStylePr w:type="lastRow">
      <w:rPr>
        <w:b/>
        <w:bCs/>
        <w:color w:val="33333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6F7" w:themeFill="accent3" w:themeFillTint="3F"/>
      </w:tcPr>
    </w:tblStylePr>
    <w:tblStylePr w:type="band1Horz">
      <w:tblPr/>
      <w:tcPr>
        <w:shd w:val="clear" w:color="auto" w:fill="F2F8F9" w:themeFill="accent3" w:themeFillTint="33"/>
      </w:tcPr>
    </w:tblStylePr>
  </w:style>
  <w:style w:type="table" w:styleId="ColorfulList-Accent4">
    <w:name w:val="Colorful List Accent 4"/>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EBEBEF" w:themeFill="accent4" w:themeFillTint="19"/>
    </w:tcPr>
    <w:tblStylePr w:type="firstRow">
      <w:rPr>
        <w:b/>
        <w:bCs/>
        <w:color w:val="FFFFFF" w:themeColor="background1"/>
      </w:rPr>
      <w:tblPr/>
      <w:tcPr>
        <w:tcBorders>
          <w:bottom w:val="single" w:sz="12" w:space="0" w:color="FFFFFF" w:themeColor="background1"/>
        </w:tcBorders>
        <w:shd w:val="clear" w:color="auto" w:fill="86BEC6" w:themeFill="accent3" w:themeFillShade="CC"/>
      </w:tcPr>
    </w:tblStylePr>
    <w:tblStylePr w:type="lastRow">
      <w:rPr>
        <w:b/>
        <w:bCs/>
        <w:color w:val="86BE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D6" w:themeFill="accent4" w:themeFillTint="3F"/>
      </w:tcPr>
    </w:tblStylePr>
    <w:tblStylePr w:type="band1Horz">
      <w:tblPr/>
      <w:tcPr>
        <w:shd w:val="clear" w:color="auto" w:fill="D6D6DE" w:themeFill="accent4" w:themeFillTint="33"/>
      </w:tcPr>
    </w:tblStylePr>
  </w:style>
  <w:style w:type="table" w:styleId="ColorfulList-Accent5">
    <w:name w:val="Colorful List Accent 5"/>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2F2F3" w:themeFill="accent5" w:themeFillTint="19"/>
    </w:tcPr>
    <w:tblStylePr w:type="firstRow">
      <w:rPr>
        <w:b/>
        <w:bCs/>
        <w:color w:val="FFFFFF" w:themeColor="background1"/>
      </w:rPr>
      <w:tblPr/>
      <w:tcPr>
        <w:tcBorders>
          <w:bottom w:val="single" w:sz="12" w:space="0" w:color="FFFFFF" w:themeColor="background1"/>
        </w:tcBorders>
        <w:shd w:val="clear" w:color="auto" w:fill="A1A1A8" w:themeFill="accent6" w:themeFillShade="CC"/>
      </w:tcPr>
    </w:tblStylePr>
    <w:tblStylePr w:type="lastRow">
      <w:rPr>
        <w:b/>
        <w:bCs/>
        <w:color w:val="A1A1A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E2" w:themeFill="accent5" w:themeFillTint="3F"/>
      </w:tcPr>
    </w:tblStylePr>
    <w:tblStylePr w:type="band1Horz">
      <w:tblPr/>
      <w:tcPr>
        <w:shd w:val="clear" w:color="auto" w:fill="E5E5E7" w:themeFill="accent5" w:themeFillTint="33"/>
      </w:tcPr>
    </w:tblStylePr>
  </w:style>
  <w:style w:type="table" w:styleId="ColorfulList-Accent6">
    <w:name w:val="Colorful List Accent 6"/>
    <w:basedOn w:val="TableNormal"/>
    <w:uiPriority w:val="72"/>
    <w:semiHidden/>
    <w:rsid w:val="00294A5A"/>
    <w:pPr>
      <w:spacing w:before="0" w:after="0" w:line="240" w:lineRule="auto"/>
    </w:pPr>
    <w:rPr>
      <w:color w:val="000000" w:themeColor="text1"/>
    </w:rPr>
    <w:tblPr>
      <w:tblStyleRowBandSize w:val="1"/>
      <w:tblStyleColBandSize w:val="1"/>
    </w:tblPr>
    <w:tcPr>
      <w:shd w:val="clear" w:color="auto" w:fill="F9F9FA" w:themeFill="accent6" w:themeFillTint="19"/>
    </w:tcPr>
    <w:tblStylePr w:type="firstRow">
      <w:rPr>
        <w:b/>
        <w:bCs/>
        <w:color w:val="FFFFFF" w:themeColor="background1"/>
      </w:rPr>
      <w:tblPr/>
      <w:tcPr>
        <w:tcBorders>
          <w:bottom w:val="single" w:sz="12" w:space="0" w:color="FFFFFF" w:themeColor="background1"/>
        </w:tcBorders>
        <w:shd w:val="clear" w:color="auto" w:fill="66666F" w:themeFill="accent5" w:themeFillShade="CC"/>
      </w:tcPr>
    </w:tblStylePr>
    <w:tblStylePr w:type="lastRow">
      <w:rPr>
        <w:b/>
        <w:bCs/>
        <w:color w:val="66666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2F3" w:themeFill="accent6" w:themeFillTint="3F"/>
      </w:tcPr>
    </w:tblStylePr>
    <w:tblStylePr w:type="band1Horz">
      <w:tblPr/>
      <w:tcPr>
        <w:shd w:val="clear" w:color="auto" w:fill="F4F4F5" w:themeFill="accent6" w:themeFillTint="33"/>
      </w:tcPr>
    </w:tblStylePr>
  </w:style>
  <w:style w:type="table" w:styleId="ColorfulShading">
    <w:name w:val="Colorful Shading"/>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4098A4" w:themeColor="accent1"/>
        <w:bottom w:val="single" w:sz="4" w:space="0" w:color="4098A4" w:themeColor="accent1"/>
        <w:right w:val="single" w:sz="4" w:space="0" w:color="4098A4" w:themeColor="accent1"/>
        <w:insideH w:val="single" w:sz="4" w:space="0" w:color="FFFFFF" w:themeColor="background1"/>
        <w:insideV w:val="single" w:sz="4" w:space="0" w:color="FFFFFF" w:themeColor="background1"/>
      </w:tblBorders>
    </w:tblPr>
    <w:tcPr>
      <w:shd w:val="clear" w:color="auto" w:fill="EBF5F7" w:themeFill="accent1"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5A62" w:themeFill="accent1" w:themeFillShade="99"/>
      </w:tcPr>
    </w:tblStylePr>
    <w:tblStylePr w:type="firstCol">
      <w:rPr>
        <w:color w:val="FFFFFF" w:themeColor="background1"/>
      </w:rPr>
      <w:tblPr/>
      <w:tcPr>
        <w:tcBorders>
          <w:top w:val="nil"/>
          <w:left w:val="nil"/>
          <w:bottom w:val="nil"/>
          <w:right w:val="nil"/>
          <w:insideH w:val="single" w:sz="4" w:space="0" w:color="265A62" w:themeColor="accent1" w:themeShade="99"/>
          <w:insideV w:val="nil"/>
        </w:tcBorders>
        <w:shd w:val="clear" w:color="auto" w:fill="265A62"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5A62" w:themeFill="accent1" w:themeFillShade="99"/>
      </w:tcPr>
    </w:tblStylePr>
    <w:tblStylePr w:type="band1Vert">
      <w:tblPr/>
      <w:tcPr>
        <w:shd w:val="clear" w:color="auto" w:fill="ADD9DF" w:themeFill="accent1" w:themeFillTint="66"/>
      </w:tcPr>
    </w:tblStylePr>
    <w:tblStylePr w:type="band1Horz">
      <w:tblPr/>
      <w:tcPr>
        <w:shd w:val="clear" w:color="auto" w:fill="99D0D7"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BAC3" w:themeColor="accent2"/>
        <w:left w:val="single" w:sz="4" w:space="0" w:color="80BAC3" w:themeColor="accent2"/>
        <w:bottom w:val="single" w:sz="4" w:space="0" w:color="80BAC3" w:themeColor="accent2"/>
        <w:right w:val="single" w:sz="4" w:space="0" w:color="80BAC3" w:themeColor="accent2"/>
        <w:insideH w:val="single" w:sz="4" w:space="0" w:color="FFFFFF" w:themeColor="background1"/>
        <w:insideV w:val="single" w:sz="4" w:space="0" w:color="FFFFFF" w:themeColor="background1"/>
      </w:tblBorders>
    </w:tblPr>
    <w:tcPr>
      <w:shd w:val="clear" w:color="auto" w:fill="F2F8F9" w:themeFill="accent2" w:themeFillTint="19"/>
    </w:tcPr>
    <w:tblStylePr w:type="firstRow">
      <w:rPr>
        <w:b/>
        <w:bCs/>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E7983" w:themeFill="accent2" w:themeFillShade="99"/>
      </w:tcPr>
    </w:tblStylePr>
    <w:tblStylePr w:type="firstCol">
      <w:rPr>
        <w:color w:val="FFFFFF" w:themeColor="background1"/>
      </w:rPr>
      <w:tblPr/>
      <w:tcPr>
        <w:tcBorders>
          <w:top w:val="nil"/>
          <w:left w:val="nil"/>
          <w:bottom w:val="nil"/>
          <w:right w:val="nil"/>
          <w:insideH w:val="single" w:sz="4" w:space="0" w:color="3E7983" w:themeColor="accent2" w:themeShade="99"/>
          <w:insideV w:val="nil"/>
        </w:tcBorders>
        <w:shd w:val="clear" w:color="auto" w:fill="3E7983"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E7983" w:themeFill="accent2" w:themeFillShade="99"/>
      </w:tcPr>
    </w:tblStylePr>
    <w:tblStylePr w:type="band1Vert">
      <w:tblPr/>
      <w:tcPr>
        <w:shd w:val="clear" w:color="auto" w:fill="CCE3E7" w:themeFill="accent2" w:themeFillTint="66"/>
      </w:tcPr>
    </w:tblStylePr>
    <w:tblStylePr w:type="band1Horz">
      <w:tblPr/>
      <w:tcPr>
        <w:shd w:val="clear" w:color="auto" w:fill="BFDCE1"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404050" w:themeColor="accent4"/>
        <w:left w:val="single" w:sz="4" w:space="0" w:color="BFDDE1" w:themeColor="accent3"/>
        <w:bottom w:val="single" w:sz="4" w:space="0" w:color="BFDDE1" w:themeColor="accent3"/>
        <w:right w:val="single" w:sz="4" w:space="0" w:color="BFDDE1" w:themeColor="accent3"/>
        <w:insideH w:val="single" w:sz="4" w:space="0" w:color="FFFFFF" w:themeColor="background1"/>
        <w:insideV w:val="single" w:sz="4" w:space="0" w:color="FFFFFF" w:themeColor="background1"/>
      </w:tblBorders>
    </w:tblPr>
    <w:tcPr>
      <w:shd w:val="clear" w:color="auto" w:fill="F8FBFC" w:themeFill="accent3" w:themeFillTint="19"/>
    </w:tcPr>
    <w:tblStylePr w:type="firstRow">
      <w:rPr>
        <w:b/>
        <w:bCs/>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9FA9" w:themeFill="accent3" w:themeFillShade="99"/>
      </w:tcPr>
    </w:tblStylePr>
    <w:tblStylePr w:type="firstCol">
      <w:rPr>
        <w:color w:val="FFFFFF" w:themeColor="background1"/>
      </w:rPr>
      <w:tblPr/>
      <w:tcPr>
        <w:tcBorders>
          <w:top w:val="nil"/>
          <w:left w:val="nil"/>
          <w:bottom w:val="nil"/>
          <w:right w:val="nil"/>
          <w:insideH w:val="single" w:sz="4" w:space="0" w:color="4F9FA9" w:themeColor="accent3" w:themeShade="99"/>
          <w:insideV w:val="nil"/>
        </w:tcBorders>
        <w:shd w:val="clear" w:color="auto" w:fill="4F9FA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9FA9" w:themeFill="accent3" w:themeFillShade="99"/>
      </w:tcPr>
    </w:tblStylePr>
    <w:tblStylePr w:type="band1Vert">
      <w:tblPr/>
      <w:tcPr>
        <w:shd w:val="clear" w:color="auto" w:fill="E5F1F3" w:themeFill="accent3" w:themeFillTint="66"/>
      </w:tcPr>
    </w:tblStylePr>
    <w:tblStylePr w:type="band1Horz">
      <w:tblPr/>
      <w:tcPr>
        <w:shd w:val="clear" w:color="auto" w:fill="DFEEF0" w:themeFill="accent3" w:themeFillTint="7F"/>
      </w:tcPr>
    </w:tblStylePr>
  </w:style>
  <w:style w:type="table" w:styleId="ColorfulShading-Accent4">
    <w:name w:val="Colorful Shading Accent 4"/>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BFDDE1" w:themeColor="accent3"/>
        <w:left w:val="single" w:sz="4" w:space="0" w:color="404050" w:themeColor="accent4"/>
        <w:bottom w:val="single" w:sz="4" w:space="0" w:color="404050" w:themeColor="accent4"/>
        <w:right w:val="single" w:sz="4" w:space="0" w:color="404050" w:themeColor="accent4"/>
        <w:insideH w:val="single" w:sz="4" w:space="0" w:color="FFFFFF" w:themeColor="background1"/>
        <w:insideV w:val="single" w:sz="4" w:space="0" w:color="FFFFFF" w:themeColor="background1"/>
      </w:tblBorders>
    </w:tblPr>
    <w:tcPr>
      <w:shd w:val="clear" w:color="auto" w:fill="EBEBEF" w:themeFill="accent4" w:themeFillTint="19"/>
    </w:tcPr>
    <w:tblStylePr w:type="firstRow">
      <w:rPr>
        <w:b/>
        <w:bCs/>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262F" w:themeFill="accent4" w:themeFillShade="99"/>
      </w:tcPr>
    </w:tblStylePr>
    <w:tblStylePr w:type="firstCol">
      <w:rPr>
        <w:color w:val="FFFFFF" w:themeColor="background1"/>
      </w:rPr>
      <w:tblPr/>
      <w:tcPr>
        <w:tcBorders>
          <w:top w:val="nil"/>
          <w:left w:val="nil"/>
          <w:bottom w:val="nil"/>
          <w:right w:val="nil"/>
          <w:insideH w:val="single" w:sz="4" w:space="0" w:color="26262F" w:themeColor="accent4" w:themeShade="99"/>
          <w:insideV w:val="nil"/>
        </w:tcBorders>
        <w:shd w:val="clear" w:color="auto" w:fill="26262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6262F" w:themeFill="accent4" w:themeFillShade="99"/>
      </w:tcPr>
    </w:tblStylePr>
    <w:tblStylePr w:type="band1Vert">
      <w:tblPr/>
      <w:tcPr>
        <w:shd w:val="clear" w:color="auto" w:fill="ADADBD" w:themeFill="accent4" w:themeFillTint="66"/>
      </w:tcPr>
    </w:tblStylePr>
    <w:tblStylePr w:type="band1Horz">
      <w:tblPr/>
      <w:tcPr>
        <w:shd w:val="clear" w:color="auto" w:fill="9999AE"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CCCCD0" w:themeColor="accent6"/>
        <w:left w:val="single" w:sz="4" w:space="0" w:color="80808B" w:themeColor="accent5"/>
        <w:bottom w:val="single" w:sz="4" w:space="0" w:color="80808B" w:themeColor="accent5"/>
        <w:right w:val="single" w:sz="4" w:space="0" w:color="80808B" w:themeColor="accent5"/>
        <w:insideH w:val="single" w:sz="4" w:space="0" w:color="FFFFFF" w:themeColor="background1"/>
        <w:insideV w:val="single" w:sz="4" w:space="0" w:color="FFFFFF" w:themeColor="background1"/>
      </w:tblBorders>
    </w:tblPr>
    <w:tcPr>
      <w:shd w:val="clear" w:color="auto" w:fill="F2F2F3" w:themeFill="accent5" w:themeFillTint="19"/>
    </w:tcPr>
    <w:tblStylePr w:type="firstRow">
      <w:rPr>
        <w:b/>
        <w:bCs/>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53" w:themeFill="accent5" w:themeFillShade="99"/>
      </w:tcPr>
    </w:tblStylePr>
    <w:tblStylePr w:type="firstCol">
      <w:rPr>
        <w:color w:val="FFFFFF" w:themeColor="background1"/>
      </w:rPr>
      <w:tblPr/>
      <w:tcPr>
        <w:tcBorders>
          <w:top w:val="nil"/>
          <w:left w:val="nil"/>
          <w:bottom w:val="nil"/>
          <w:right w:val="nil"/>
          <w:insideH w:val="single" w:sz="4" w:space="0" w:color="4C4C53" w:themeColor="accent5" w:themeShade="99"/>
          <w:insideV w:val="nil"/>
        </w:tcBorders>
        <w:shd w:val="clear" w:color="auto" w:fill="4C4C5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C4C53" w:themeFill="accent5" w:themeFillShade="99"/>
      </w:tcPr>
    </w:tblStylePr>
    <w:tblStylePr w:type="band1Vert">
      <w:tblPr/>
      <w:tcPr>
        <w:shd w:val="clear" w:color="auto" w:fill="CCCCD0" w:themeFill="accent5" w:themeFillTint="66"/>
      </w:tcPr>
    </w:tblStylePr>
    <w:tblStylePr w:type="band1Horz">
      <w:tblPr/>
      <w:tcPr>
        <w:shd w:val="clear" w:color="auto" w:fill="BFBFC5"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294A5A"/>
    <w:pPr>
      <w:spacing w:before="0" w:after="0" w:line="240" w:lineRule="auto"/>
    </w:pPr>
    <w:rPr>
      <w:color w:val="000000" w:themeColor="text1"/>
    </w:rPr>
    <w:tblPr>
      <w:tblStyleRowBandSize w:val="1"/>
      <w:tblStyleColBandSize w:val="1"/>
      <w:tblBorders>
        <w:top w:val="single" w:sz="24" w:space="0" w:color="80808B" w:themeColor="accent5"/>
        <w:left w:val="single" w:sz="4" w:space="0" w:color="CCCCD0" w:themeColor="accent6"/>
        <w:bottom w:val="single" w:sz="4" w:space="0" w:color="CCCCD0" w:themeColor="accent6"/>
        <w:right w:val="single" w:sz="4" w:space="0" w:color="CCCCD0" w:themeColor="accent6"/>
        <w:insideH w:val="single" w:sz="4" w:space="0" w:color="FFFFFF" w:themeColor="background1"/>
        <w:insideV w:val="single" w:sz="4" w:space="0" w:color="FFFFFF" w:themeColor="background1"/>
      </w:tblBorders>
    </w:tblPr>
    <w:tcPr>
      <w:shd w:val="clear" w:color="auto" w:fill="F9F9FA" w:themeFill="accent6" w:themeFillTint="19"/>
    </w:tcPr>
    <w:tblStylePr w:type="firstRow">
      <w:rPr>
        <w:b/>
        <w:bCs/>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67680" w:themeFill="accent6" w:themeFillShade="99"/>
      </w:tcPr>
    </w:tblStylePr>
    <w:tblStylePr w:type="firstCol">
      <w:rPr>
        <w:color w:val="FFFFFF" w:themeColor="background1"/>
      </w:rPr>
      <w:tblPr/>
      <w:tcPr>
        <w:tcBorders>
          <w:top w:val="nil"/>
          <w:left w:val="nil"/>
          <w:bottom w:val="nil"/>
          <w:right w:val="nil"/>
          <w:insideH w:val="single" w:sz="4" w:space="0" w:color="767680" w:themeColor="accent6" w:themeShade="99"/>
          <w:insideV w:val="nil"/>
        </w:tcBorders>
        <w:shd w:val="clear" w:color="auto" w:fill="76768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67680" w:themeFill="accent6" w:themeFillShade="99"/>
      </w:tcPr>
    </w:tblStylePr>
    <w:tblStylePr w:type="band1Vert">
      <w:tblPr/>
      <w:tcPr>
        <w:shd w:val="clear" w:color="auto" w:fill="EAEAEC" w:themeFill="accent6" w:themeFillTint="66"/>
      </w:tcPr>
    </w:tblStylePr>
    <w:tblStylePr w:type="band1Horz">
      <w:tblPr/>
      <w:tcPr>
        <w:shd w:val="clear" w:color="auto" w:fill="E5E5E7"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98A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B5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0717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0717A" w:themeFill="accent1" w:themeFillShade="BF"/>
      </w:tcPr>
    </w:tblStylePr>
    <w:tblStylePr w:type="band1Vert">
      <w:tblPr/>
      <w:tcPr>
        <w:tcBorders>
          <w:top w:val="nil"/>
          <w:left w:val="nil"/>
          <w:bottom w:val="nil"/>
          <w:right w:val="nil"/>
          <w:insideH w:val="nil"/>
          <w:insideV w:val="nil"/>
        </w:tcBorders>
        <w:shd w:val="clear" w:color="auto" w:fill="30717A" w:themeFill="accent1" w:themeFillShade="BF"/>
      </w:tcPr>
    </w:tblStylePr>
    <w:tblStylePr w:type="band1Horz">
      <w:tblPr/>
      <w:tcPr>
        <w:tcBorders>
          <w:top w:val="nil"/>
          <w:left w:val="nil"/>
          <w:bottom w:val="nil"/>
          <w:right w:val="nil"/>
          <w:insideH w:val="nil"/>
          <w:insideV w:val="nil"/>
        </w:tcBorders>
        <w:shd w:val="clear" w:color="auto" w:fill="30717A" w:themeFill="accent1" w:themeFillShade="BF"/>
      </w:tcPr>
    </w:tblStylePr>
  </w:style>
  <w:style w:type="table" w:styleId="DarkList-Accent2">
    <w:name w:val="Dark List Accent 2"/>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BAC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656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D98A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D98A4" w:themeFill="accent2" w:themeFillShade="BF"/>
      </w:tcPr>
    </w:tblStylePr>
    <w:tblStylePr w:type="band1Vert">
      <w:tblPr/>
      <w:tcPr>
        <w:tcBorders>
          <w:top w:val="nil"/>
          <w:left w:val="nil"/>
          <w:bottom w:val="nil"/>
          <w:right w:val="nil"/>
          <w:insideH w:val="nil"/>
          <w:insideV w:val="nil"/>
        </w:tcBorders>
        <w:shd w:val="clear" w:color="auto" w:fill="4D98A4" w:themeFill="accent2" w:themeFillShade="BF"/>
      </w:tcPr>
    </w:tblStylePr>
    <w:tblStylePr w:type="band1Horz">
      <w:tblPr/>
      <w:tcPr>
        <w:tcBorders>
          <w:top w:val="nil"/>
          <w:left w:val="nil"/>
          <w:bottom w:val="nil"/>
          <w:right w:val="nil"/>
          <w:insideH w:val="nil"/>
          <w:insideV w:val="nil"/>
        </w:tcBorders>
        <w:shd w:val="clear" w:color="auto" w:fill="4D98A4" w:themeFill="accent2" w:themeFillShade="BF"/>
      </w:tcPr>
    </w:tblStylePr>
  </w:style>
  <w:style w:type="table" w:styleId="DarkList-Accent3">
    <w:name w:val="Dark List Accent 3"/>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BFDD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848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7B7B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7B7BF" w:themeFill="accent3" w:themeFillShade="BF"/>
      </w:tcPr>
    </w:tblStylePr>
    <w:tblStylePr w:type="band1Vert">
      <w:tblPr/>
      <w:tcPr>
        <w:tcBorders>
          <w:top w:val="nil"/>
          <w:left w:val="nil"/>
          <w:bottom w:val="nil"/>
          <w:right w:val="nil"/>
          <w:insideH w:val="nil"/>
          <w:insideV w:val="nil"/>
        </w:tcBorders>
        <w:shd w:val="clear" w:color="auto" w:fill="77B7BF" w:themeFill="accent3" w:themeFillShade="BF"/>
      </w:tcPr>
    </w:tblStylePr>
    <w:tblStylePr w:type="band1Horz">
      <w:tblPr/>
      <w:tcPr>
        <w:tcBorders>
          <w:top w:val="nil"/>
          <w:left w:val="nil"/>
          <w:bottom w:val="nil"/>
          <w:right w:val="nil"/>
          <w:insideH w:val="nil"/>
          <w:insideV w:val="nil"/>
        </w:tcBorders>
        <w:shd w:val="clear" w:color="auto" w:fill="77B7BF" w:themeFill="accent3" w:themeFillShade="BF"/>
      </w:tcPr>
    </w:tblStylePr>
  </w:style>
  <w:style w:type="table" w:styleId="DarkList-Accent4">
    <w:name w:val="Dark List Accent 4"/>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40405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2027"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0303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0303B" w:themeFill="accent4" w:themeFillShade="BF"/>
      </w:tcPr>
    </w:tblStylePr>
    <w:tblStylePr w:type="band1Vert">
      <w:tblPr/>
      <w:tcPr>
        <w:tcBorders>
          <w:top w:val="nil"/>
          <w:left w:val="nil"/>
          <w:bottom w:val="nil"/>
          <w:right w:val="nil"/>
          <w:insideH w:val="nil"/>
          <w:insideV w:val="nil"/>
        </w:tcBorders>
        <w:shd w:val="clear" w:color="auto" w:fill="30303B" w:themeFill="accent4" w:themeFillShade="BF"/>
      </w:tcPr>
    </w:tblStylePr>
    <w:tblStylePr w:type="band1Horz">
      <w:tblPr/>
      <w:tcPr>
        <w:tcBorders>
          <w:top w:val="nil"/>
          <w:left w:val="nil"/>
          <w:bottom w:val="nil"/>
          <w:right w:val="nil"/>
          <w:insideH w:val="nil"/>
          <w:insideV w:val="nil"/>
        </w:tcBorders>
        <w:shd w:val="clear" w:color="auto" w:fill="30303B" w:themeFill="accent4" w:themeFillShade="BF"/>
      </w:tcPr>
    </w:tblStylePr>
  </w:style>
  <w:style w:type="table" w:styleId="DarkList-Accent5">
    <w:name w:val="Dark List Accent 5"/>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80808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4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5F5F68"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5F5F68" w:themeFill="accent5" w:themeFillShade="BF"/>
      </w:tcPr>
    </w:tblStylePr>
    <w:tblStylePr w:type="band1Vert">
      <w:tblPr/>
      <w:tcPr>
        <w:tcBorders>
          <w:top w:val="nil"/>
          <w:left w:val="nil"/>
          <w:bottom w:val="nil"/>
          <w:right w:val="nil"/>
          <w:insideH w:val="nil"/>
          <w:insideV w:val="nil"/>
        </w:tcBorders>
        <w:shd w:val="clear" w:color="auto" w:fill="5F5F68" w:themeFill="accent5" w:themeFillShade="BF"/>
      </w:tcPr>
    </w:tblStylePr>
    <w:tblStylePr w:type="band1Horz">
      <w:tblPr/>
      <w:tcPr>
        <w:tcBorders>
          <w:top w:val="nil"/>
          <w:left w:val="nil"/>
          <w:bottom w:val="nil"/>
          <w:right w:val="nil"/>
          <w:insideH w:val="nil"/>
          <w:insideV w:val="nil"/>
        </w:tcBorders>
        <w:shd w:val="clear" w:color="auto" w:fill="5F5F68" w:themeFill="accent5" w:themeFillShade="BF"/>
      </w:tcPr>
    </w:tblStylePr>
  </w:style>
  <w:style w:type="table" w:styleId="DarkList-Accent6">
    <w:name w:val="Dark List Accent 6"/>
    <w:basedOn w:val="TableNormal"/>
    <w:uiPriority w:val="70"/>
    <w:semiHidden/>
    <w:rsid w:val="00294A5A"/>
    <w:pPr>
      <w:spacing w:before="0" w:after="0" w:line="240" w:lineRule="auto"/>
    </w:pPr>
    <w:rPr>
      <w:color w:val="FFFFFF" w:themeColor="background1"/>
    </w:rPr>
    <w:tblPr>
      <w:tblStyleRowBandSize w:val="1"/>
      <w:tblStyleColBandSize w:val="1"/>
    </w:tblPr>
    <w:tcPr>
      <w:shd w:val="clear" w:color="auto" w:fill="CCCCD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626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6969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6969E" w:themeFill="accent6" w:themeFillShade="BF"/>
      </w:tcPr>
    </w:tblStylePr>
    <w:tblStylePr w:type="band1Vert">
      <w:tblPr/>
      <w:tcPr>
        <w:tcBorders>
          <w:top w:val="nil"/>
          <w:left w:val="nil"/>
          <w:bottom w:val="nil"/>
          <w:right w:val="nil"/>
          <w:insideH w:val="nil"/>
          <w:insideV w:val="nil"/>
        </w:tcBorders>
        <w:shd w:val="clear" w:color="auto" w:fill="96969E" w:themeFill="accent6" w:themeFillShade="BF"/>
      </w:tcPr>
    </w:tblStylePr>
    <w:tblStylePr w:type="band1Horz">
      <w:tblPr/>
      <w:tcPr>
        <w:tcBorders>
          <w:top w:val="nil"/>
          <w:left w:val="nil"/>
          <w:bottom w:val="nil"/>
          <w:right w:val="nil"/>
          <w:insideH w:val="nil"/>
          <w:insideV w:val="nil"/>
        </w:tcBorders>
        <w:shd w:val="clear" w:color="auto" w:fill="96969E" w:themeFill="accent6" w:themeFillShade="BF"/>
      </w:tcPr>
    </w:tblStylePr>
  </w:style>
  <w:style w:type="table" w:styleId="GridTable1Light">
    <w:name w:val="Grid Table 1 Light"/>
    <w:basedOn w:val="TableNormal"/>
    <w:uiPriority w:val="46"/>
    <w:semiHidden/>
    <w:rsid w:val="00294A5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294A5A"/>
    <w:pPr>
      <w:spacing w:after="0" w:line="240" w:lineRule="auto"/>
    </w:pPr>
    <w:tblPr>
      <w:tblStyleRowBandSize w:val="1"/>
      <w:tblStyleColBandSize w:val="1"/>
      <w:tblBorders>
        <w:top w:val="single" w:sz="4" w:space="0" w:color="ADD9DF" w:themeColor="accent1" w:themeTint="66"/>
        <w:left w:val="single" w:sz="4" w:space="0" w:color="ADD9DF" w:themeColor="accent1" w:themeTint="66"/>
        <w:bottom w:val="single" w:sz="4" w:space="0" w:color="ADD9DF" w:themeColor="accent1" w:themeTint="66"/>
        <w:right w:val="single" w:sz="4" w:space="0" w:color="ADD9DF" w:themeColor="accent1" w:themeTint="66"/>
        <w:insideH w:val="single" w:sz="4" w:space="0" w:color="ADD9DF" w:themeColor="accent1" w:themeTint="66"/>
        <w:insideV w:val="single" w:sz="4" w:space="0" w:color="ADD9DF" w:themeColor="accent1" w:themeTint="66"/>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2" w:space="0" w:color="85C6C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294A5A"/>
    <w:pPr>
      <w:spacing w:after="0" w:line="240" w:lineRule="auto"/>
    </w:pPr>
    <w:tblPr>
      <w:tblStyleRowBandSize w:val="1"/>
      <w:tblStyleColBandSize w:val="1"/>
      <w:tblBorders>
        <w:top w:val="single" w:sz="4" w:space="0" w:color="CCE3E7" w:themeColor="accent2" w:themeTint="66"/>
        <w:left w:val="single" w:sz="4" w:space="0" w:color="CCE3E7" w:themeColor="accent2" w:themeTint="66"/>
        <w:bottom w:val="single" w:sz="4" w:space="0" w:color="CCE3E7" w:themeColor="accent2" w:themeTint="66"/>
        <w:right w:val="single" w:sz="4" w:space="0" w:color="CCE3E7" w:themeColor="accent2" w:themeTint="66"/>
        <w:insideH w:val="single" w:sz="4" w:space="0" w:color="CCE3E7" w:themeColor="accent2" w:themeTint="66"/>
        <w:insideV w:val="single" w:sz="4" w:space="0" w:color="CCE3E7" w:themeColor="accent2" w:themeTint="66"/>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2" w:space="0" w:color="B2D5D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294A5A"/>
    <w:pPr>
      <w:spacing w:after="0" w:line="240" w:lineRule="auto"/>
    </w:pPr>
    <w:tblPr>
      <w:tblStyleRowBandSize w:val="1"/>
      <w:tblStyleColBandSize w:val="1"/>
      <w:tblBorders>
        <w:top w:val="single" w:sz="4" w:space="0" w:color="E5F1F3" w:themeColor="accent3" w:themeTint="66"/>
        <w:left w:val="single" w:sz="4" w:space="0" w:color="E5F1F3" w:themeColor="accent3" w:themeTint="66"/>
        <w:bottom w:val="single" w:sz="4" w:space="0" w:color="E5F1F3" w:themeColor="accent3" w:themeTint="66"/>
        <w:right w:val="single" w:sz="4" w:space="0" w:color="E5F1F3" w:themeColor="accent3" w:themeTint="66"/>
        <w:insideH w:val="single" w:sz="4" w:space="0" w:color="E5F1F3" w:themeColor="accent3" w:themeTint="66"/>
        <w:insideV w:val="single" w:sz="4" w:space="0" w:color="E5F1F3" w:themeColor="accent3" w:themeTint="66"/>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2" w:space="0" w:color="D8EAED"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294A5A"/>
    <w:pPr>
      <w:spacing w:after="0" w:line="240" w:lineRule="auto"/>
    </w:pPr>
    <w:tblPr>
      <w:tblStyleRowBandSize w:val="1"/>
      <w:tblStyleColBandSize w:val="1"/>
      <w:tblBorders>
        <w:top w:val="single" w:sz="4" w:space="0" w:color="ADADBD" w:themeColor="accent4" w:themeTint="66"/>
        <w:left w:val="single" w:sz="4" w:space="0" w:color="ADADBD" w:themeColor="accent4" w:themeTint="66"/>
        <w:bottom w:val="single" w:sz="4" w:space="0" w:color="ADADBD" w:themeColor="accent4" w:themeTint="66"/>
        <w:right w:val="single" w:sz="4" w:space="0" w:color="ADADBD" w:themeColor="accent4" w:themeTint="66"/>
        <w:insideH w:val="single" w:sz="4" w:space="0" w:color="ADADBD" w:themeColor="accent4" w:themeTint="66"/>
        <w:insideV w:val="single" w:sz="4" w:space="0" w:color="ADADBD" w:themeColor="accent4" w:themeTint="66"/>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2" w:space="0" w:color="84849D"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294A5A"/>
    <w:pPr>
      <w:spacing w:after="0" w:line="240" w:lineRule="auto"/>
    </w:pPr>
    <w:tblPr>
      <w:tblStyleRowBandSize w:val="1"/>
      <w:tblStyleColBandSize w:val="1"/>
      <w:tblBorders>
        <w:top w:val="single" w:sz="4" w:space="0" w:color="CCCCD0" w:themeColor="accent5" w:themeTint="66"/>
        <w:left w:val="single" w:sz="4" w:space="0" w:color="CCCCD0" w:themeColor="accent5" w:themeTint="66"/>
        <w:bottom w:val="single" w:sz="4" w:space="0" w:color="CCCCD0" w:themeColor="accent5" w:themeTint="66"/>
        <w:right w:val="single" w:sz="4" w:space="0" w:color="CCCCD0" w:themeColor="accent5" w:themeTint="66"/>
        <w:insideH w:val="single" w:sz="4" w:space="0" w:color="CCCCD0" w:themeColor="accent5" w:themeTint="66"/>
        <w:insideV w:val="single" w:sz="4" w:space="0" w:color="CCCCD0" w:themeColor="accent5" w:themeTint="66"/>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2" w:space="0" w:color="B2B2B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294A5A"/>
    <w:pPr>
      <w:spacing w:after="0" w:line="240" w:lineRule="auto"/>
    </w:pPr>
    <w:tblPr>
      <w:tblStyleRowBandSize w:val="1"/>
      <w:tblStyleColBandSize w:val="1"/>
      <w:tblBorders>
        <w:top w:val="single" w:sz="4" w:space="0" w:color="EAEAEC" w:themeColor="accent6" w:themeTint="66"/>
        <w:left w:val="single" w:sz="4" w:space="0" w:color="EAEAEC" w:themeColor="accent6" w:themeTint="66"/>
        <w:bottom w:val="single" w:sz="4" w:space="0" w:color="EAEAEC" w:themeColor="accent6" w:themeTint="66"/>
        <w:right w:val="single" w:sz="4" w:space="0" w:color="EAEAEC" w:themeColor="accent6" w:themeTint="66"/>
        <w:insideH w:val="single" w:sz="4" w:space="0" w:color="EAEAEC" w:themeColor="accent6" w:themeTint="66"/>
        <w:insideV w:val="single" w:sz="4" w:space="0" w:color="EAEAEC" w:themeColor="accent6" w:themeTint="66"/>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2" w:space="0" w:color="E0E0E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294A5A"/>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294A5A"/>
    <w:pPr>
      <w:spacing w:after="0" w:line="240" w:lineRule="auto"/>
    </w:pPr>
    <w:tblPr>
      <w:tblStyleRowBandSize w:val="1"/>
      <w:tblStyleColBandSize w:val="1"/>
      <w:tblBorders>
        <w:top w:val="single" w:sz="2" w:space="0" w:color="85C6CF" w:themeColor="accent1" w:themeTint="99"/>
        <w:bottom w:val="single" w:sz="2" w:space="0" w:color="85C6CF" w:themeColor="accent1" w:themeTint="99"/>
        <w:insideH w:val="single" w:sz="2" w:space="0" w:color="85C6CF" w:themeColor="accent1" w:themeTint="99"/>
        <w:insideV w:val="single" w:sz="2" w:space="0" w:color="85C6CF" w:themeColor="accent1" w:themeTint="99"/>
      </w:tblBorders>
    </w:tblPr>
    <w:tblStylePr w:type="firstRow">
      <w:rPr>
        <w:b/>
        <w:bCs/>
      </w:rPr>
      <w:tblPr/>
      <w:tcPr>
        <w:tcBorders>
          <w:top w:val="nil"/>
          <w:bottom w:val="single" w:sz="12" w:space="0" w:color="85C6CF" w:themeColor="accent1" w:themeTint="99"/>
          <w:insideH w:val="nil"/>
          <w:insideV w:val="nil"/>
        </w:tcBorders>
        <w:shd w:val="clear" w:color="auto" w:fill="FFFFFF" w:themeFill="background1"/>
      </w:tcPr>
    </w:tblStylePr>
    <w:tblStylePr w:type="lastRow">
      <w:rPr>
        <w:b/>
        <w:bCs/>
      </w:rPr>
      <w:tblPr/>
      <w:tcPr>
        <w:tcBorders>
          <w:top w:val="double" w:sz="2" w:space="0" w:color="85C6C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2-Accent2">
    <w:name w:val="Grid Table 2 Accent 2"/>
    <w:basedOn w:val="TableNormal"/>
    <w:uiPriority w:val="47"/>
    <w:semiHidden/>
    <w:rsid w:val="00294A5A"/>
    <w:pPr>
      <w:spacing w:after="0" w:line="240" w:lineRule="auto"/>
    </w:pPr>
    <w:tblPr>
      <w:tblStyleRowBandSize w:val="1"/>
      <w:tblStyleColBandSize w:val="1"/>
      <w:tblBorders>
        <w:top w:val="single" w:sz="2" w:space="0" w:color="B2D5DB" w:themeColor="accent2" w:themeTint="99"/>
        <w:bottom w:val="single" w:sz="2" w:space="0" w:color="B2D5DB" w:themeColor="accent2" w:themeTint="99"/>
        <w:insideH w:val="single" w:sz="2" w:space="0" w:color="B2D5DB" w:themeColor="accent2" w:themeTint="99"/>
        <w:insideV w:val="single" w:sz="2" w:space="0" w:color="B2D5DB" w:themeColor="accent2" w:themeTint="99"/>
      </w:tblBorders>
    </w:tblPr>
    <w:tblStylePr w:type="firstRow">
      <w:rPr>
        <w:b/>
        <w:bCs/>
      </w:rPr>
      <w:tblPr/>
      <w:tcPr>
        <w:tcBorders>
          <w:top w:val="nil"/>
          <w:bottom w:val="single" w:sz="12" w:space="0" w:color="B2D5DB" w:themeColor="accent2" w:themeTint="99"/>
          <w:insideH w:val="nil"/>
          <w:insideV w:val="nil"/>
        </w:tcBorders>
        <w:shd w:val="clear" w:color="auto" w:fill="FFFFFF" w:themeFill="background1"/>
      </w:tcPr>
    </w:tblStylePr>
    <w:tblStylePr w:type="lastRow">
      <w:rPr>
        <w:b/>
        <w:bCs/>
      </w:rPr>
      <w:tblPr/>
      <w:tcPr>
        <w:tcBorders>
          <w:top w:val="double" w:sz="2" w:space="0" w:color="B2D5D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2-Accent3">
    <w:name w:val="Grid Table 2 Accent 3"/>
    <w:basedOn w:val="TableNormal"/>
    <w:uiPriority w:val="47"/>
    <w:semiHidden/>
    <w:rsid w:val="00294A5A"/>
    <w:pPr>
      <w:spacing w:after="0" w:line="240" w:lineRule="auto"/>
    </w:pPr>
    <w:tblPr>
      <w:tblStyleRowBandSize w:val="1"/>
      <w:tblStyleColBandSize w:val="1"/>
      <w:tblBorders>
        <w:top w:val="single" w:sz="2" w:space="0" w:color="D8EAED" w:themeColor="accent3" w:themeTint="99"/>
        <w:bottom w:val="single" w:sz="2" w:space="0" w:color="D8EAED" w:themeColor="accent3" w:themeTint="99"/>
        <w:insideH w:val="single" w:sz="2" w:space="0" w:color="D8EAED" w:themeColor="accent3" w:themeTint="99"/>
        <w:insideV w:val="single" w:sz="2" w:space="0" w:color="D8EAED" w:themeColor="accent3" w:themeTint="99"/>
      </w:tblBorders>
    </w:tblPr>
    <w:tblStylePr w:type="firstRow">
      <w:rPr>
        <w:b/>
        <w:bCs/>
      </w:rPr>
      <w:tblPr/>
      <w:tcPr>
        <w:tcBorders>
          <w:top w:val="nil"/>
          <w:bottom w:val="single" w:sz="12" w:space="0" w:color="D8EAED" w:themeColor="accent3" w:themeTint="99"/>
          <w:insideH w:val="nil"/>
          <w:insideV w:val="nil"/>
        </w:tcBorders>
        <w:shd w:val="clear" w:color="auto" w:fill="FFFFFF" w:themeFill="background1"/>
      </w:tcPr>
    </w:tblStylePr>
    <w:tblStylePr w:type="lastRow">
      <w:rPr>
        <w:b/>
        <w:bCs/>
      </w:rPr>
      <w:tblPr/>
      <w:tcPr>
        <w:tcBorders>
          <w:top w:val="double" w:sz="2" w:space="0" w:color="D8EA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2-Accent4">
    <w:name w:val="Grid Table 2 Accent 4"/>
    <w:basedOn w:val="TableNormal"/>
    <w:uiPriority w:val="47"/>
    <w:semiHidden/>
    <w:rsid w:val="00294A5A"/>
    <w:pPr>
      <w:spacing w:after="0" w:line="240" w:lineRule="auto"/>
    </w:pPr>
    <w:tblPr>
      <w:tblStyleRowBandSize w:val="1"/>
      <w:tblStyleColBandSize w:val="1"/>
      <w:tblBorders>
        <w:top w:val="single" w:sz="2" w:space="0" w:color="84849D" w:themeColor="accent4" w:themeTint="99"/>
        <w:bottom w:val="single" w:sz="2" w:space="0" w:color="84849D" w:themeColor="accent4" w:themeTint="99"/>
        <w:insideH w:val="single" w:sz="2" w:space="0" w:color="84849D" w:themeColor="accent4" w:themeTint="99"/>
        <w:insideV w:val="single" w:sz="2" w:space="0" w:color="84849D" w:themeColor="accent4" w:themeTint="99"/>
      </w:tblBorders>
    </w:tblPr>
    <w:tblStylePr w:type="firstRow">
      <w:rPr>
        <w:b/>
        <w:bCs/>
      </w:rPr>
      <w:tblPr/>
      <w:tcPr>
        <w:tcBorders>
          <w:top w:val="nil"/>
          <w:bottom w:val="single" w:sz="12" w:space="0" w:color="84849D" w:themeColor="accent4" w:themeTint="99"/>
          <w:insideH w:val="nil"/>
          <w:insideV w:val="nil"/>
        </w:tcBorders>
        <w:shd w:val="clear" w:color="auto" w:fill="FFFFFF" w:themeFill="background1"/>
      </w:tcPr>
    </w:tblStylePr>
    <w:tblStylePr w:type="lastRow">
      <w:rPr>
        <w:b/>
        <w:bCs/>
      </w:rPr>
      <w:tblPr/>
      <w:tcPr>
        <w:tcBorders>
          <w:top w:val="double" w:sz="2" w:space="0" w:color="84849D"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2-Accent5">
    <w:name w:val="Grid Table 2 Accent 5"/>
    <w:basedOn w:val="TableNormal"/>
    <w:uiPriority w:val="47"/>
    <w:semiHidden/>
    <w:rsid w:val="00294A5A"/>
    <w:pPr>
      <w:spacing w:after="0" w:line="240" w:lineRule="auto"/>
    </w:pPr>
    <w:tblPr>
      <w:tblStyleRowBandSize w:val="1"/>
      <w:tblStyleColBandSize w:val="1"/>
      <w:tblBorders>
        <w:top w:val="single" w:sz="2" w:space="0" w:color="B2B2B9" w:themeColor="accent5" w:themeTint="99"/>
        <w:bottom w:val="single" w:sz="2" w:space="0" w:color="B2B2B9" w:themeColor="accent5" w:themeTint="99"/>
        <w:insideH w:val="single" w:sz="2" w:space="0" w:color="B2B2B9" w:themeColor="accent5" w:themeTint="99"/>
        <w:insideV w:val="single" w:sz="2" w:space="0" w:color="B2B2B9" w:themeColor="accent5" w:themeTint="99"/>
      </w:tblBorders>
    </w:tblPr>
    <w:tblStylePr w:type="firstRow">
      <w:rPr>
        <w:b/>
        <w:bCs/>
      </w:rPr>
      <w:tblPr/>
      <w:tcPr>
        <w:tcBorders>
          <w:top w:val="nil"/>
          <w:bottom w:val="single" w:sz="12" w:space="0" w:color="B2B2B9" w:themeColor="accent5" w:themeTint="99"/>
          <w:insideH w:val="nil"/>
          <w:insideV w:val="nil"/>
        </w:tcBorders>
        <w:shd w:val="clear" w:color="auto" w:fill="FFFFFF" w:themeFill="background1"/>
      </w:tcPr>
    </w:tblStylePr>
    <w:tblStylePr w:type="lastRow">
      <w:rPr>
        <w:b/>
        <w:bCs/>
      </w:rPr>
      <w:tblPr/>
      <w:tcPr>
        <w:tcBorders>
          <w:top w:val="double" w:sz="2" w:space="0" w:color="B2B2B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2-Accent6">
    <w:name w:val="Grid Table 2 Accent 6"/>
    <w:basedOn w:val="TableNormal"/>
    <w:uiPriority w:val="47"/>
    <w:semiHidden/>
    <w:rsid w:val="00294A5A"/>
    <w:pPr>
      <w:spacing w:after="0" w:line="240" w:lineRule="auto"/>
    </w:pPr>
    <w:tblPr>
      <w:tblStyleRowBandSize w:val="1"/>
      <w:tblStyleColBandSize w:val="1"/>
      <w:tblBorders>
        <w:top w:val="single" w:sz="2" w:space="0" w:color="E0E0E2" w:themeColor="accent6" w:themeTint="99"/>
        <w:bottom w:val="single" w:sz="2" w:space="0" w:color="E0E0E2" w:themeColor="accent6" w:themeTint="99"/>
        <w:insideH w:val="single" w:sz="2" w:space="0" w:color="E0E0E2" w:themeColor="accent6" w:themeTint="99"/>
        <w:insideV w:val="single" w:sz="2" w:space="0" w:color="E0E0E2" w:themeColor="accent6" w:themeTint="99"/>
      </w:tblBorders>
    </w:tblPr>
    <w:tblStylePr w:type="firstRow">
      <w:rPr>
        <w:b/>
        <w:bCs/>
      </w:rPr>
      <w:tblPr/>
      <w:tcPr>
        <w:tcBorders>
          <w:top w:val="nil"/>
          <w:bottom w:val="single" w:sz="12" w:space="0" w:color="E0E0E2" w:themeColor="accent6" w:themeTint="99"/>
          <w:insideH w:val="nil"/>
          <w:insideV w:val="nil"/>
        </w:tcBorders>
        <w:shd w:val="clear" w:color="auto" w:fill="FFFFFF" w:themeFill="background1"/>
      </w:tcPr>
    </w:tblStylePr>
    <w:tblStylePr w:type="lastRow">
      <w:rPr>
        <w:b/>
        <w:bCs/>
      </w:rPr>
      <w:tblPr/>
      <w:tcPr>
        <w:tcBorders>
          <w:top w:val="double" w:sz="2" w:space="0" w:color="E0E0E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3">
    <w:name w:val="Grid Table 3"/>
    <w:basedOn w:val="TableNormal"/>
    <w:uiPriority w:val="48"/>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3-Accent2">
    <w:name w:val="Grid Table 3 Accent 2"/>
    <w:basedOn w:val="TableNormal"/>
    <w:uiPriority w:val="48"/>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3-Accent3">
    <w:name w:val="Grid Table 3 Accent 3"/>
    <w:basedOn w:val="TableNormal"/>
    <w:uiPriority w:val="48"/>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3-Accent4">
    <w:name w:val="Grid Table 3 Accent 4"/>
    <w:basedOn w:val="TableNormal"/>
    <w:uiPriority w:val="48"/>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3-Accent5">
    <w:name w:val="Grid Table 3 Accent 5"/>
    <w:basedOn w:val="TableNormal"/>
    <w:uiPriority w:val="48"/>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3-Accent6">
    <w:name w:val="Grid Table 3 Accent 6"/>
    <w:basedOn w:val="TableNormal"/>
    <w:uiPriority w:val="48"/>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GridTable4">
    <w:name w:val="Grid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insideV w:val="nil"/>
        </w:tcBorders>
        <w:shd w:val="clear" w:color="auto" w:fill="4098A4" w:themeFill="accent1"/>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4-Accent2">
    <w:name w:val="Grid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insideV w:val="nil"/>
        </w:tcBorders>
        <w:shd w:val="clear" w:color="auto" w:fill="80BAC3" w:themeFill="accent2"/>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4-Accent3">
    <w:name w:val="Grid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insideV w:val="nil"/>
        </w:tcBorders>
        <w:shd w:val="clear" w:color="auto" w:fill="BFDDE1" w:themeFill="accent3"/>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4-Accent4">
    <w:name w:val="Grid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insideV w:val="nil"/>
        </w:tcBorders>
        <w:shd w:val="clear" w:color="auto" w:fill="404050" w:themeFill="accent4"/>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4-Accent5">
    <w:name w:val="Grid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insideV w:val="nil"/>
        </w:tcBorders>
        <w:shd w:val="clear" w:color="auto" w:fill="80808B" w:themeFill="accent5"/>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4-Accent6">
    <w:name w:val="Grid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insideV w:val="nil"/>
        </w:tcBorders>
        <w:shd w:val="clear" w:color="auto" w:fill="CCCCD0" w:themeFill="accent6"/>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5Dark">
    <w:name w:val="Grid Table 5 Dark"/>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EC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98A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98A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98A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98A4" w:themeFill="accent1"/>
      </w:tcPr>
    </w:tblStylePr>
    <w:tblStylePr w:type="band1Vert">
      <w:tblPr/>
      <w:tcPr>
        <w:shd w:val="clear" w:color="auto" w:fill="ADD9DF" w:themeFill="accent1" w:themeFillTint="66"/>
      </w:tcPr>
    </w:tblStylePr>
    <w:tblStylePr w:type="band1Horz">
      <w:tblPr/>
      <w:tcPr>
        <w:shd w:val="clear" w:color="auto" w:fill="ADD9DF" w:themeFill="accent1" w:themeFillTint="66"/>
      </w:tcPr>
    </w:tblStylePr>
  </w:style>
  <w:style w:type="table" w:styleId="GridTable5Dark-Accent2">
    <w:name w:val="Grid Table 5 Dark Accent 2"/>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F1F3"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BAC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BAC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BAC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BAC3" w:themeFill="accent2"/>
      </w:tcPr>
    </w:tblStylePr>
    <w:tblStylePr w:type="band1Vert">
      <w:tblPr/>
      <w:tcPr>
        <w:shd w:val="clear" w:color="auto" w:fill="CCE3E7" w:themeFill="accent2" w:themeFillTint="66"/>
      </w:tcPr>
    </w:tblStylePr>
    <w:tblStylePr w:type="band1Horz">
      <w:tblPr/>
      <w:tcPr>
        <w:shd w:val="clear" w:color="auto" w:fill="CCE3E7" w:themeFill="accent2" w:themeFillTint="66"/>
      </w:tcPr>
    </w:tblStylePr>
  </w:style>
  <w:style w:type="table" w:styleId="GridTable5Dark-Accent3">
    <w:name w:val="Grid Table 5 Dark Accent 3"/>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8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D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D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D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DE1" w:themeFill="accent3"/>
      </w:tcPr>
    </w:tblStylePr>
    <w:tblStylePr w:type="band1Vert">
      <w:tblPr/>
      <w:tcPr>
        <w:shd w:val="clear" w:color="auto" w:fill="E5F1F3" w:themeFill="accent3" w:themeFillTint="66"/>
      </w:tcPr>
    </w:tblStylePr>
    <w:tblStylePr w:type="band1Horz">
      <w:tblPr/>
      <w:tcPr>
        <w:shd w:val="clear" w:color="auto" w:fill="E5F1F3" w:themeFill="accent3" w:themeFillTint="66"/>
      </w:tcPr>
    </w:tblStylePr>
  </w:style>
  <w:style w:type="table" w:styleId="GridTable5Dark-Accent4">
    <w:name w:val="Grid Table 5 Dark Accent 4"/>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0405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0405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0405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04050" w:themeFill="accent4"/>
      </w:tcPr>
    </w:tblStylePr>
    <w:tblStylePr w:type="band1Vert">
      <w:tblPr/>
      <w:tcPr>
        <w:shd w:val="clear" w:color="auto" w:fill="ADADBD" w:themeFill="accent4" w:themeFillTint="66"/>
      </w:tcPr>
    </w:tblStylePr>
    <w:tblStylePr w:type="band1Horz">
      <w:tblPr/>
      <w:tcPr>
        <w:shd w:val="clear" w:color="auto" w:fill="ADADBD" w:themeFill="accent4" w:themeFillTint="66"/>
      </w:tcPr>
    </w:tblStylePr>
  </w:style>
  <w:style w:type="table" w:styleId="GridTable5Dark-Accent5">
    <w:name w:val="Grid Table 5 Dark Accent 5"/>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5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808B"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808B"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808B"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808B" w:themeFill="accent5"/>
      </w:tcPr>
    </w:tblStylePr>
    <w:tblStylePr w:type="band1Vert">
      <w:tblPr/>
      <w:tcPr>
        <w:shd w:val="clear" w:color="auto" w:fill="CCCCD0" w:themeFill="accent5" w:themeFillTint="66"/>
      </w:tcPr>
    </w:tblStylePr>
    <w:tblStylePr w:type="band1Horz">
      <w:tblPr/>
      <w:tcPr>
        <w:shd w:val="clear" w:color="auto" w:fill="CCCCD0" w:themeFill="accent5" w:themeFillTint="66"/>
      </w:tcPr>
    </w:tblStylePr>
  </w:style>
  <w:style w:type="table" w:styleId="GridTable5Dark-Accent6">
    <w:name w:val="Grid Table 5 Dark Accent 6"/>
    <w:basedOn w:val="TableNormal"/>
    <w:uiPriority w:val="50"/>
    <w:semiHidden/>
    <w:rsid w:val="00294A5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4F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CCCD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CCCD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CCCD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CCCD0" w:themeFill="accent6"/>
      </w:tcPr>
    </w:tblStylePr>
    <w:tblStylePr w:type="band1Vert">
      <w:tblPr/>
      <w:tcPr>
        <w:shd w:val="clear" w:color="auto" w:fill="EAEAEC" w:themeFill="accent6" w:themeFillTint="66"/>
      </w:tcPr>
    </w:tblStylePr>
    <w:tblStylePr w:type="band1Horz">
      <w:tblPr/>
      <w:tcPr>
        <w:shd w:val="clear" w:color="auto" w:fill="EAEAEC" w:themeFill="accent6" w:themeFillTint="66"/>
      </w:tcPr>
    </w:tblStylePr>
  </w:style>
  <w:style w:type="table" w:styleId="GridTable6Colorful">
    <w:name w:val="Grid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bottom w:val="single" w:sz="12" w:space="0" w:color="85C6CF" w:themeColor="accent1" w:themeTint="99"/>
        </w:tcBorders>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GridTable6Colorful-Accent2">
    <w:name w:val="Grid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bottom w:val="single" w:sz="12" w:space="0" w:color="B2D5DB" w:themeColor="accent2" w:themeTint="99"/>
        </w:tcBorders>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GridTable6Colorful-Accent3">
    <w:name w:val="Grid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bottom w:val="single" w:sz="12" w:space="0" w:color="D8EAED" w:themeColor="accent3" w:themeTint="99"/>
        </w:tcBorders>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GridTable6Colorful-Accent4">
    <w:name w:val="Grid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bottom w:val="single" w:sz="12" w:space="0" w:color="84849D" w:themeColor="accent4" w:themeTint="99"/>
        </w:tcBorders>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GridTable6Colorful-Accent5">
    <w:name w:val="Grid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bottom w:val="single" w:sz="12" w:space="0" w:color="B2B2B9" w:themeColor="accent5" w:themeTint="99"/>
        </w:tcBorders>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GridTable6Colorful-Accent6">
    <w:name w:val="Grid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bottom w:val="single" w:sz="12" w:space="0" w:color="E0E0E2" w:themeColor="accent6" w:themeTint="99"/>
        </w:tcBorders>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GridTable7Colorful">
    <w:name w:val="Grid Table 7 Colorful"/>
    <w:basedOn w:val="TableNormal"/>
    <w:uiPriority w:val="52"/>
    <w:semiHidden/>
    <w:rsid w:val="00294A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294A5A"/>
    <w:pPr>
      <w:spacing w:after="0" w:line="240" w:lineRule="auto"/>
    </w:pPr>
    <w:rPr>
      <w:color w:val="30717A" w:themeColor="accent1" w:themeShade="BF"/>
    </w:r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insideV w:val="single" w:sz="4" w:space="0" w:color="85C6C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bottom w:val="single" w:sz="4" w:space="0" w:color="85C6CF" w:themeColor="accent1" w:themeTint="99"/>
        </w:tcBorders>
      </w:tcPr>
    </w:tblStylePr>
    <w:tblStylePr w:type="nwCell">
      <w:tblPr/>
      <w:tcPr>
        <w:tcBorders>
          <w:bottom w:val="single" w:sz="4" w:space="0" w:color="85C6CF" w:themeColor="accent1" w:themeTint="99"/>
        </w:tcBorders>
      </w:tcPr>
    </w:tblStylePr>
    <w:tblStylePr w:type="seCell">
      <w:tblPr/>
      <w:tcPr>
        <w:tcBorders>
          <w:top w:val="single" w:sz="4" w:space="0" w:color="85C6CF" w:themeColor="accent1" w:themeTint="99"/>
        </w:tcBorders>
      </w:tcPr>
    </w:tblStylePr>
    <w:tblStylePr w:type="swCell">
      <w:tblPr/>
      <w:tcPr>
        <w:tcBorders>
          <w:top w:val="single" w:sz="4" w:space="0" w:color="85C6CF" w:themeColor="accent1" w:themeTint="99"/>
        </w:tcBorders>
      </w:tcPr>
    </w:tblStylePr>
  </w:style>
  <w:style w:type="table" w:styleId="GridTable7Colorful-Accent2">
    <w:name w:val="Grid Table 7 Colorful Accent 2"/>
    <w:basedOn w:val="TableNormal"/>
    <w:uiPriority w:val="52"/>
    <w:semiHidden/>
    <w:rsid w:val="00294A5A"/>
    <w:pPr>
      <w:spacing w:after="0" w:line="240" w:lineRule="auto"/>
    </w:pPr>
    <w:rPr>
      <w:color w:val="4D98A4" w:themeColor="accent2" w:themeShade="BF"/>
    </w:r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insideV w:val="single" w:sz="4" w:space="0" w:color="B2D5D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bottom w:val="single" w:sz="4" w:space="0" w:color="B2D5DB" w:themeColor="accent2" w:themeTint="99"/>
        </w:tcBorders>
      </w:tcPr>
    </w:tblStylePr>
    <w:tblStylePr w:type="nwCell">
      <w:tblPr/>
      <w:tcPr>
        <w:tcBorders>
          <w:bottom w:val="single" w:sz="4" w:space="0" w:color="B2D5DB" w:themeColor="accent2" w:themeTint="99"/>
        </w:tcBorders>
      </w:tcPr>
    </w:tblStylePr>
    <w:tblStylePr w:type="seCell">
      <w:tblPr/>
      <w:tcPr>
        <w:tcBorders>
          <w:top w:val="single" w:sz="4" w:space="0" w:color="B2D5DB" w:themeColor="accent2" w:themeTint="99"/>
        </w:tcBorders>
      </w:tcPr>
    </w:tblStylePr>
    <w:tblStylePr w:type="swCell">
      <w:tblPr/>
      <w:tcPr>
        <w:tcBorders>
          <w:top w:val="single" w:sz="4" w:space="0" w:color="B2D5DB" w:themeColor="accent2" w:themeTint="99"/>
        </w:tcBorders>
      </w:tcPr>
    </w:tblStylePr>
  </w:style>
  <w:style w:type="table" w:styleId="GridTable7Colorful-Accent3">
    <w:name w:val="Grid Table 7 Colorful Accent 3"/>
    <w:basedOn w:val="TableNormal"/>
    <w:uiPriority w:val="52"/>
    <w:semiHidden/>
    <w:rsid w:val="00294A5A"/>
    <w:pPr>
      <w:spacing w:after="0" w:line="240" w:lineRule="auto"/>
    </w:pPr>
    <w:rPr>
      <w:color w:val="77B7BF" w:themeColor="accent3" w:themeShade="BF"/>
    </w:r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insideV w:val="single" w:sz="4" w:space="0" w:color="D8EA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bottom w:val="single" w:sz="4" w:space="0" w:color="D8EAED" w:themeColor="accent3" w:themeTint="99"/>
        </w:tcBorders>
      </w:tcPr>
    </w:tblStylePr>
    <w:tblStylePr w:type="nwCell">
      <w:tblPr/>
      <w:tcPr>
        <w:tcBorders>
          <w:bottom w:val="single" w:sz="4" w:space="0" w:color="D8EAED" w:themeColor="accent3" w:themeTint="99"/>
        </w:tcBorders>
      </w:tcPr>
    </w:tblStylePr>
    <w:tblStylePr w:type="seCell">
      <w:tblPr/>
      <w:tcPr>
        <w:tcBorders>
          <w:top w:val="single" w:sz="4" w:space="0" w:color="D8EAED" w:themeColor="accent3" w:themeTint="99"/>
        </w:tcBorders>
      </w:tcPr>
    </w:tblStylePr>
    <w:tblStylePr w:type="swCell">
      <w:tblPr/>
      <w:tcPr>
        <w:tcBorders>
          <w:top w:val="single" w:sz="4" w:space="0" w:color="D8EAED" w:themeColor="accent3" w:themeTint="99"/>
        </w:tcBorders>
      </w:tcPr>
    </w:tblStylePr>
  </w:style>
  <w:style w:type="table" w:styleId="GridTable7Colorful-Accent4">
    <w:name w:val="Grid Table 7 Colorful Accent 4"/>
    <w:basedOn w:val="TableNormal"/>
    <w:uiPriority w:val="52"/>
    <w:semiHidden/>
    <w:rsid w:val="00294A5A"/>
    <w:pPr>
      <w:spacing w:after="0" w:line="240" w:lineRule="auto"/>
    </w:pPr>
    <w:rPr>
      <w:color w:val="30303B" w:themeColor="accent4" w:themeShade="BF"/>
    </w:r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insideV w:val="single" w:sz="4" w:space="0" w:color="84849D"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bottom w:val="single" w:sz="4" w:space="0" w:color="84849D" w:themeColor="accent4" w:themeTint="99"/>
        </w:tcBorders>
      </w:tcPr>
    </w:tblStylePr>
    <w:tblStylePr w:type="nwCell">
      <w:tblPr/>
      <w:tcPr>
        <w:tcBorders>
          <w:bottom w:val="single" w:sz="4" w:space="0" w:color="84849D" w:themeColor="accent4" w:themeTint="99"/>
        </w:tcBorders>
      </w:tcPr>
    </w:tblStylePr>
    <w:tblStylePr w:type="seCell">
      <w:tblPr/>
      <w:tcPr>
        <w:tcBorders>
          <w:top w:val="single" w:sz="4" w:space="0" w:color="84849D" w:themeColor="accent4" w:themeTint="99"/>
        </w:tcBorders>
      </w:tcPr>
    </w:tblStylePr>
    <w:tblStylePr w:type="swCell">
      <w:tblPr/>
      <w:tcPr>
        <w:tcBorders>
          <w:top w:val="single" w:sz="4" w:space="0" w:color="84849D" w:themeColor="accent4" w:themeTint="99"/>
        </w:tcBorders>
      </w:tcPr>
    </w:tblStylePr>
  </w:style>
  <w:style w:type="table" w:styleId="GridTable7Colorful-Accent5">
    <w:name w:val="Grid Table 7 Colorful Accent 5"/>
    <w:basedOn w:val="TableNormal"/>
    <w:uiPriority w:val="52"/>
    <w:semiHidden/>
    <w:rsid w:val="00294A5A"/>
    <w:pPr>
      <w:spacing w:after="0" w:line="240" w:lineRule="auto"/>
    </w:pPr>
    <w:rPr>
      <w:color w:val="5F5F68" w:themeColor="accent5" w:themeShade="BF"/>
    </w:r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insideV w:val="single" w:sz="4" w:space="0" w:color="B2B2B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bottom w:val="single" w:sz="4" w:space="0" w:color="B2B2B9" w:themeColor="accent5" w:themeTint="99"/>
        </w:tcBorders>
      </w:tcPr>
    </w:tblStylePr>
    <w:tblStylePr w:type="nwCell">
      <w:tblPr/>
      <w:tcPr>
        <w:tcBorders>
          <w:bottom w:val="single" w:sz="4" w:space="0" w:color="B2B2B9" w:themeColor="accent5" w:themeTint="99"/>
        </w:tcBorders>
      </w:tcPr>
    </w:tblStylePr>
    <w:tblStylePr w:type="seCell">
      <w:tblPr/>
      <w:tcPr>
        <w:tcBorders>
          <w:top w:val="single" w:sz="4" w:space="0" w:color="B2B2B9" w:themeColor="accent5" w:themeTint="99"/>
        </w:tcBorders>
      </w:tcPr>
    </w:tblStylePr>
    <w:tblStylePr w:type="swCell">
      <w:tblPr/>
      <w:tcPr>
        <w:tcBorders>
          <w:top w:val="single" w:sz="4" w:space="0" w:color="B2B2B9" w:themeColor="accent5" w:themeTint="99"/>
        </w:tcBorders>
      </w:tcPr>
    </w:tblStylePr>
  </w:style>
  <w:style w:type="table" w:styleId="GridTable7Colorful-Accent6">
    <w:name w:val="Grid Table 7 Colorful Accent 6"/>
    <w:basedOn w:val="TableNormal"/>
    <w:uiPriority w:val="52"/>
    <w:semiHidden/>
    <w:rsid w:val="00294A5A"/>
    <w:pPr>
      <w:spacing w:after="0" w:line="240" w:lineRule="auto"/>
    </w:pPr>
    <w:rPr>
      <w:color w:val="96969E" w:themeColor="accent6" w:themeShade="BF"/>
    </w:r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insideV w:val="single" w:sz="4" w:space="0" w:color="E0E0E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bottom w:val="single" w:sz="4" w:space="0" w:color="E0E0E2" w:themeColor="accent6" w:themeTint="99"/>
        </w:tcBorders>
      </w:tcPr>
    </w:tblStylePr>
    <w:tblStylePr w:type="nwCell">
      <w:tblPr/>
      <w:tcPr>
        <w:tcBorders>
          <w:bottom w:val="single" w:sz="4" w:space="0" w:color="E0E0E2" w:themeColor="accent6" w:themeTint="99"/>
        </w:tcBorders>
      </w:tcPr>
    </w:tblStylePr>
    <w:tblStylePr w:type="seCell">
      <w:tblPr/>
      <w:tcPr>
        <w:tcBorders>
          <w:top w:val="single" w:sz="4" w:space="0" w:color="E0E0E2" w:themeColor="accent6" w:themeTint="99"/>
        </w:tcBorders>
      </w:tcPr>
    </w:tblStylePr>
    <w:tblStylePr w:type="swCell">
      <w:tblPr/>
      <w:tcPr>
        <w:tcBorders>
          <w:top w:val="single" w:sz="4" w:space="0" w:color="E0E0E2" w:themeColor="accent6" w:themeTint="99"/>
        </w:tcBorders>
      </w:tcPr>
    </w:tblStylePr>
  </w:style>
  <w:style w:type="table" w:styleId="LightGrid">
    <w:name w:val="Light Grid"/>
    <w:basedOn w:val="TableNormal"/>
    <w:uiPriority w:val="62"/>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294A5A"/>
    <w:pPr>
      <w:spacing w:before="0" w:after="0" w:line="240" w:lineRule="auto"/>
    </w:p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18" w:space="0" w:color="4098A4" w:themeColor="accent1"/>
          <w:right w:val="single" w:sz="8" w:space="0" w:color="4098A4" w:themeColor="accent1"/>
          <w:insideH w:val="nil"/>
          <w:insideV w:val="single" w:sz="8" w:space="0" w:color="4098A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98A4" w:themeColor="accent1"/>
          <w:left w:val="single" w:sz="8" w:space="0" w:color="4098A4" w:themeColor="accent1"/>
          <w:bottom w:val="single" w:sz="8" w:space="0" w:color="4098A4" w:themeColor="accent1"/>
          <w:right w:val="single" w:sz="8" w:space="0" w:color="4098A4" w:themeColor="accent1"/>
          <w:insideH w:val="nil"/>
          <w:insideV w:val="single" w:sz="8" w:space="0" w:color="4098A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tcPr>
    </w:tblStylePr>
    <w:tblStylePr w:type="band1Vert">
      <w:tblPr/>
      <w:tcPr>
        <w:tcBorders>
          <w:top w:val="single" w:sz="8" w:space="0" w:color="4098A4" w:themeColor="accent1"/>
          <w:left w:val="single" w:sz="8" w:space="0" w:color="4098A4" w:themeColor="accent1"/>
          <w:bottom w:val="single" w:sz="8" w:space="0" w:color="4098A4" w:themeColor="accent1"/>
          <w:right w:val="single" w:sz="8" w:space="0" w:color="4098A4" w:themeColor="accent1"/>
        </w:tcBorders>
        <w:shd w:val="clear" w:color="auto" w:fill="CCE7EB" w:themeFill="accent1" w:themeFillTint="3F"/>
      </w:tcPr>
    </w:tblStylePr>
    <w:tblStylePr w:type="band1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shd w:val="clear" w:color="auto" w:fill="CCE7EB" w:themeFill="accent1" w:themeFillTint="3F"/>
      </w:tcPr>
    </w:tblStylePr>
    <w:tblStylePr w:type="band2Horz">
      <w:tblPr/>
      <w:tcPr>
        <w:tcBorders>
          <w:top w:val="single" w:sz="8" w:space="0" w:color="4098A4" w:themeColor="accent1"/>
          <w:left w:val="single" w:sz="8" w:space="0" w:color="4098A4" w:themeColor="accent1"/>
          <w:bottom w:val="single" w:sz="8" w:space="0" w:color="4098A4" w:themeColor="accent1"/>
          <w:right w:val="single" w:sz="8" w:space="0" w:color="4098A4" w:themeColor="accent1"/>
          <w:insideV w:val="single" w:sz="8" w:space="0" w:color="4098A4" w:themeColor="accent1"/>
        </w:tcBorders>
      </w:tcPr>
    </w:tblStylePr>
  </w:style>
  <w:style w:type="table" w:styleId="LightGrid-Accent2">
    <w:name w:val="Light Grid Accent 2"/>
    <w:basedOn w:val="TableNormal"/>
    <w:uiPriority w:val="62"/>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18" w:space="0" w:color="80BAC3" w:themeColor="accent2"/>
          <w:right w:val="single" w:sz="8" w:space="0" w:color="80BAC3" w:themeColor="accent2"/>
          <w:insideH w:val="nil"/>
          <w:insideV w:val="single" w:sz="8" w:space="0" w:color="80BAC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insideH w:val="nil"/>
          <w:insideV w:val="single" w:sz="8" w:space="0" w:color="80BAC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shd w:val="clear" w:color="auto" w:fill="DFEDF0" w:themeFill="accent2" w:themeFillTint="3F"/>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shd w:val="clear" w:color="auto" w:fill="DFEDF0" w:themeFill="accent2" w:themeFillTint="3F"/>
      </w:tcPr>
    </w:tblStylePr>
    <w:tblStylePr w:type="band2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insideV w:val="single" w:sz="8" w:space="0" w:color="80BAC3" w:themeColor="accent2"/>
        </w:tcBorders>
      </w:tcPr>
    </w:tblStylePr>
  </w:style>
  <w:style w:type="table" w:styleId="LightGrid-Accent3">
    <w:name w:val="Light Grid Accent 3"/>
    <w:basedOn w:val="TableNormal"/>
    <w:uiPriority w:val="62"/>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18" w:space="0" w:color="BFDDE1" w:themeColor="accent3"/>
          <w:right w:val="single" w:sz="8" w:space="0" w:color="BFDDE1" w:themeColor="accent3"/>
          <w:insideH w:val="nil"/>
          <w:insideV w:val="single" w:sz="8" w:space="0" w:color="BFDD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insideH w:val="nil"/>
          <w:insideV w:val="single" w:sz="8" w:space="0" w:color="BFDD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shd w:val="clear" w:color="auto" w:fill="EFF6F7" w:themeFill="accent3" w:themeFillTint="3F"/>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shd w:val="clear" w:color="auto" w:fill="EFF6F7" w:themeFill="accent3" w:themeFillTint="3F"/>
      </w:tcPr>
    </w:tblStylePr>
    <w:tblStylePr w:type="band2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insideV w:val="single" w:sz="8" w:space="0" w:color="BFDDE1" w:themeColor="accent3"/>
        </w:tcBorders>
      </w:tcPr>
    </w:tblStylePr>
  </w:style>
  <w:style w:type="table" w:styleId="LightGrid-Accent4">
    <w:name w:val="Light Grid Accent 4"/>
    <w:basedOn w:val="TableNormal"/>
    <w:uiPriority w:val="62"/>
    <w:semiHidden/>
    <w:rsid w:val="00294A5A"/>
    <w:pPr>
      <w:spacing w:before="0" w:after="0" w:line="240" w:lineRule="auto"/>
    </w:p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18" w:space="0" w:color="404050" w:themeColor="accent4"/>
          <w:right w:val="single" w:sz="8" w:space="0" w:color="404050" w:themeColor="accent4"/>
          <w:insideH w:val="nil"/>
          <w:insideV w:val="single" w:sz="8" w:space="0" w:color="40405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04050" w:themeColor="accent4"/>
          <w:left w:val="single" w:sz="8" w:space="0" w:color="404050" w:themeColor="accent4"/>
          <w:bottom w:val="single" w:sz="8" w:space="0" w:color="404050" w:themeColor="accent4"/>
          <w:right w:val="single" w:sz="8" w:space="0" w:color="404050" w:themeColor="accent4"/>
          <w:insideH w:val="nil"/>
          <w:insideV w:val="single" w:sz="8" w:space="0" w:color="40405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tcPr>
    </w:tblStylePr>
    <w:tblStylePr w:type="band1Vert">
      <w:tblPr/>
      <w:tcPr>
        <w:tcBorders>
          <w:top w:val="single" w:sz="8" w:space="0" w:color="404050" w:themeColor="accent4"/>
          <w:left w:val="single" w:sz="8" w:space="0" w:color="404050" w:themeColor="accent4"/>
          <w:bottom w:val="single" w:sz="8" w:space="0" w:color="404050" w:themeColor="accent4"/>
          <w:right w:val="single" w:sz="8" w:space="0" w:color="404050" w:themeColor="accent4"/>
        </w:tcBorders>
        <w:shd w:val="clear" w:color="auto" w:fill="CCCCD6" w:themeFill="accent4" w:themeFillTint="3F"/>
      </w:tcPr>
    </w:tblStylePr>
    <w:tblStylePr w:type="band1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shd w:val="clear" w:color="auto" w:fill="CCCCD6" w:themeFill="accent4" w:themeFillTint="3F"/>
      </w:tcPr>
    </w:tblStylePr>
    <w:tblStylePr w:type="band2Horz">
      <w:tblPr/>
      <w:tcPr>
        <w:tcBorders>
          <w:top w:val="single" w:sz="8" w:space="0" w:color="404050" w:themeColor="accent4"/>
          <w:left w:val="single" w:sz="8" w:space="0" w:color="404050" w:themeColor="accent4"/>
          <w:bottom w:val="single" w:sz="8" w:space="0" w:color="404050" w:themeColor="accent4"/>
          <w:right w:val="single" w:sz="8" w:space="0" w:color="404050" w:themeColor="accent4"/>
          <w:insideV w:val="single" w:sz="8" w:space="0" w:color="404050" w:themeColor="accent4"/>
        </w:tcBorders>
      </w:tcPr>
    </w:tblStylePr>
  </w:style>
  <w:style w:type="table" w:styleId="LightGrid-Accent5">
    <w:name w:val="Light Grid Accent 5"/>
    <w:basedOn w:val="TableNormal"/>
    <w:uiPriority w:val="62"/>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18" w:space="0" w:color="80808B" w:themeColor="accent5"/>
          <w:right w:val="single" w:sz="8" w:space="0" w:color="80808B" w:themeColor="accent5"/>
          <w:insideH w:val="nil"/>
          <w:insideV w:val="single" w:sz="8" w:space="0" w:color="80808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insideH w:val="nil"/>
          <w:insideV w:val="single" w:sz="8" w:space="0" w:color="80808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shd w:val="clear" w:color="auto" w:fill="DFDFE2" w:themeFill="accent5" w:themeFillTint="3F"/>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shd w:val="clear" w:color="auto" w:fill="DFDFE2" w:themeFill="accent5" w:themeFillTint="3F"/>
      </w:tcPr>
    </w:tblStylePr>
    <w:tblStylePr w:type="band2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insideV w:val="single" w:sz="8" w:space="0" w:color="80808B" w:themeColor="accent5"/>
        </w:tcBorders>
      </w:tcPr>
    </w:tblStylePr>
  </w:style>
  <w:style w:type="table" w:styleId="LightGrid-Accent6">
    <w:name w:val="Light Grid Accent 6"/>
    <w:basedOn w:val="TableNormal"/>
    <w:uiPriority w:val="62"/>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18" w:space="0" w:color="CCCCD0" w:themeColor="accent6"/>
          <w:right w:val="single" w:sz="8" w:space="0" w:color="CCCCD0" w:themeColor="accent6"/>
          <w:insideH w:val="nil"/>
          <w:insideV w:val="single" w:sz="8" w:space="0" w:color="CCCCD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insideH w:val="nil"/>
          <w:insideV w:val="single" w:sz="8" w:space="0" w:color="CCCCD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shd w:val="clear" w:color="auto" w:fill="F2F2F3" w:themeFill="accent6" w:themeFillTint="3F"/>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shd w:val="clear" w:color="auto" w:fill="F2F2F3" w:themeFill="accent6" w:themeFillTint="3F"/>
      </w:tcPr>
    </w:tblStylePr>
    <w:tblStylePr w:type="band2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insideV w:val="single" w:sz="8" w:space="0" w:color="CCCCD0" w:themeColor="accent6"/>
        </w:tcBorders>
      </w:tcPr>
    </w:tblStylePr>
  </w:style>
  <w:style w:type="table" w:styleId="LightList">
    <w:name w:val="Light List"/>
    <w:basedOn w:val="TableNormal"/>
    <w:uiPriority w:val="61"/>
    <w:semiHidden/>
    <w:rsid w:val="00294A5A"/>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2">
    <w:name w:val="Light List Accent 2"/>
    <w:basedOn w:val="TableNormal"/>
    <w:uiPriority w:val="61"/>
    <w:semiHidden/>
    <w:rsid w:val="00294A5A"/>
    <w:pPr>
      <w:spacing w:before="0" w:after="0" w:line="240" w:lineRule="auto"/>
    </w:p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pPr>
        <w:spacing w:before="0" w:after="0" w:line="240" w:lineRule="auto"/>
      </w:pPr>
      <w:rPr>
        <w:b/>
        <w:bCs/>
        <w:color w:val="FFFFFF" w:themeColor="background1"/>
      </w:rPr>
      <w:tblPr/>
      <w:tcPr>
        <w:shd w:val="clear" w:color="auto" w:fill="80BAC3" w:themeFill="accent2"/>
      </w:tcPr>
    </w:tblStylePr>
    <w:tblStylePr w:type="lastRow">
      <w:pPr>
        <w:spacing w:before="0" w:after="0" w:line="240" w:lineRule="auto"/>
      </w:pPr>
      <w:rPr>
        <w:b/>
        <w:bCs/>
      </w:rPr>
      <w:tblPr/>
      <w:tcPr>
        <w:tcBorders>
          <w:top w:val="double" w:sz="6" w:space="0" w:color="80BAC3" w:themeColor="accent2"/>
          <w:left w:val="single" w:sz="8" w:space="0" w:color="80BAC3" w:themeColor="accent2"/>
          <w:bottom w:val="single" w:sz="8" w:space="0" w:color="80BAC3" w:themeColor="accent2"/>
          <w:right w:val="single" w:sz="8" w:space="0" w:color="80BAC3" w:themeColor="accent2"/>
        </w:tcBorders>
      </w:tcPr>
    </w:tblStylePr>
    <w:tblStylePr w:type="firstCol">
      <w:rPr>
        <w:b/>
        <w:bCs/>
      </w:rPr>
    </w:tblStylePr>
    <w:tblStylePr w:type="lastCol">
      <w:rPr>
        <w:b/>
        <w:bCs/>
      </w:rPr>
    </w:tblStylePr>
    <w:tblStylePr w:type="band1Vert">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tblStylePr w:type="band1Horz">
      <w:tblPr/>
      <w:tcPr>
        <w:tcBorders>
          <w:top w:val="single" w:sz="8" w:space="0" w:color="80BAC3" w:themeColor="accent2"/>
          <w:left w:val="single" w:sz="8" w:space="0" w:color="80BAC3" w:themeColor="accent2"/>
          <w:bottom w:val="single" w:sz="8" w:space="0" w:color="80BAC3" w:themeColor="accent2"/>
          <w:right w:val="single" w:sz="8" w:space="0" w:color="80BAC3" w:themeColor="accent2"/>
        </w:tcBorders>
      </w:tcPr>
    </w:tblStylePr>
  </w:style>
  <w:style w:type="table" w:styleId="LightList-Accent3">
    <w:name w:val="Light List Accent 3"/>
    <w:basedOn w:val="TableNormal"/>
    <w:uiPriority w:val="61"/>
    <w:semiHidden/>
    <w:rsid w:val="00294A5A"/>
    <w:pPr>
      <w:spacing w:before="0" w:after="0" w:line="240" w:lineRule="auto"/>
    </w:p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pPr>
        <w:spacing w:before="0" w:after="0" w:line="240" w:lineRule="auto"/>
      </w:pPr>
      <w:rPr>
        <w:b/>
        <w:bCs/>
        <w:color w:val="FFFFFF" w:themeColor="background1"/>
      </w:rPr>
      <w:tblPr/>
      <w:tcPr>
        <w:shd w:val="clear" w:color="auto" w:fill="BFDDE1" w:themeFill="accent3"/>
      </w:tcPr>
    </w:tblStylePr>
    <w:tblStylePr w:type="lastRow">
      <w:pPr>
        <w:spacing w:before="0" w:after="0" w:line="240" w:lineRule="auto"/>
      </w:pPr>
      <w:rPr>
        <w:b/>
        <w:bCs/>
      </w:rPr>
      <w:tblPr/>
      <w:tcPr>
        <w:tcBorders>
          <w:top w:val="double" w:sz="6" w:space="0" w:color="BFDDE1" w:themeColor="accent3"/>
          <w:left w:val="single" w:sz="8" w:space="0" w:color="BFDDE1" w:themeColor="accent3"/>
          <w:bottom w:val="single" w:sz="8" w:space="0" w:color="BFDDE1" w:themeColor="accent3"/>
          <w:right w:val="single" w:sz="8" w:space="0" w:color="BFDDE1" w:themeColor="accent3"/>
        </w:tcBorders>
      </w:tcPr>
    </w:tblStylePr>
    <w:tblStylePr w:type="firstCol">
      <w:rPr>
        <w:b/>
        <w:bCs/>
      </w:rPr>
    </w:tblStylePr>
    <w:tblStylePr w:type="lastCol">
      <w:rPr>
        <w:b/>
        <w:bCs/>
      </w:rPr>
    </w:tblStylePr>
    <w:tblStylePr w:type="band1Vert">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tblStylePr w:type="band1Horz">
      <w:tblPr/>
      <w:tcPr>
        <w:tcBorders>
          <w:top w:val="single" w:sz="8" w:space="0" w:color="BFDDE1" w:themeColor="accent3"/>
          <w:left w:val="single" w:sz="8" w:space="0" w:color="BFDDE1" w:themeColor="accent3"/>
          <w:bottom w:val="single" w:sz="8" w:space="0" w:color="BFDDE1" w:themeColor="accent3"/>
          <w:right w:val="single" w:sz="8" w:space="0" w:color="BFDDE1" w:themeColor="accent3"/>
        </w:tcBorders>
      </w:tcPr>
    </w:tblStylePr>
  </w:style>
  <w:style w:type="table" w:styleId="LightList-Accent5">
    <w:name w:val="Light List Accent 5"/>
    <w:basedOn w:val="TableNormal"/>
    <w:uiPriority w:val="61"/>
    <w:semiHidden/>
    <w:rsid w:val="00294A5A"/>
    <w:pPr>
      <w:spacing w:before="0" w:after="0" w:line="240" w:lineRule="auto"/>
    </w:p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pPr>
        <w:spacing w:before="0" w:after="0" w:line="240" w:lineRule="auto"/>
      </w:pPr>
      <w:rPr>
        <w:b/>
        <w:bCs/>
        <w:color w:val="FFFFFF" w:themeColor="background1"/>
      </w:rPr>
      <w:tblPr/>
      <w:tcPr>
        <w:shd w:val="clear" w:color="auto" w:fill="80808B" w:themeFill="accent5"/>
      </w:tcPr>
    </w:tblStylePr>
    <w:tblStylePr w:type="lastRow">
      <w:pPr>
        <w:spacing w:before="0" w:after="0" w:line="240" w:lineRule="auto"/>
      </w:pPr>
      <w:rPr>
        <w:b/>
        <w:bCs/>
      </w:rPr>
      <w:tblPr/>
      <w:tcPr>
        <w:tcBorders>
          <w:top w:val="double" w:sz="6" w:space="0" w:color="80808B" w:themeColor="accent5"/>
          <w:left w:val="single" w:sz="8" w:space="0" w:color="80808B" w:themeColor="accent5"/>
          <w:bottom w:val="single" w:sz="8" w:space="0" w:color="80808B" w:themeColor="accent5"/>
          <w:right w:val="single" w:sz="8" w:space="0" w:color="80808B" w:themeColor="accent5"/>
        </w:tcBorders>
      </w:tcPr>
    </w:tblStylePr>
    <w:tblStylePr w:type="firstCol">
      <w:rPr>
        <w:b/>
        <w:bCs/>
      </w:rPr>
    </w:tblStylePr>
    <w:tblStylePr w:type="lastCol">
      <w:rPr>
        <w:b/>
        <w:bCs/>
      </w:rPr>
    </w:tblStylePr>
    <w:tblStylePr w:type="band1Vert">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tblStylePr w:type="band1Horz">
      <w:tblPr/>
      <w:tcPr>
        <w:tcBorders>
          <w:top w:val="single" w:sz="8" w:space="0" w:color="80808B" w:themeColor="accent5"/>
          <w:left w:val="single" w:sz="8" w:space="0" w:color="80808B" w:themeColor="accent5"/>
          <w:bottom w:val="single" w:sz="8" w:space="0" w:color="80808B" w:themeColor="accent5"/>
          <w:right w:val="single" w:sz="8" w:space="0" w:color="80808B" w:themeColor="accent5"/>
        </w:tcBorders>
      </w:tcPr>
    </w:tblStylePr>
  </w:style>
  <w:style w:type="table" w:styleId="LightList-Accent6">
    <w:name w:val="Light List Accent 6"/>
    <w:basedOn w:val="TableNormal"/>
    <w:uiPriority w:val="61"/>
    <w:semiHidden/>
    <w:rsid w:val="00294A5A"/>
    <w:pPr>
      <w:spacing w:before="0" w:after="0" w:line="240" w:lineRule="auto"/>
    </w:p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pPr>
        <w:spacing w:before="0" w:after="0" w:line="240" w:lineRule="auto"/>
      </w:pPr>
      <w:rPr>
        <w:b/>
        <w:bCs/>
        <w:color w:val="FFFFFF" w:themeColor="background1"/>
      </w:rPr>
      <w:tblPr/>
      <w:tcPr>
        <w:shd w:val="clear" w:color="auto" w:fill="CCCCD0" w:themeFill="accent6"/>
      </w:tcPr>
    </w:tblStylePr>
    <w:tblStylePr w:type="lastRow">
      <w:pPr>
        <w:spacing w:before="0" w:after="0" w:line="240" w:lineRule="auto"/>
      </w:pPr>
      <w:rPr>
        <w:b/>
        <w:bCs/>
      </w:rPr>
      <w:tblPr/>
      <w:tcPr>
        <w:tcBorders>
          <w:top w:val="double" w:sz="6" w:space="0" w:color="CCCCD0" w:themeColor="accent6"/>
          <w:left w:val="single" w:sz="8" w:space="0" w:color="CCCCD0" w:themeColor="accent6"/>
          <w:bottom w:val="single" w:sz="8" w:space="0" w:color="CCCCD0" w:themeColor="accent6"/>
          <w:right w:val="single" w:sz="8" w:space="0" w:color="CCCCD0" w:themeColor="accent6"/>
        </w:tcBorders>
      </w:tcPr>
    </w:tblStylePr>
    <w:tblStylePr w:type="firstCol">
      <w:rPr>
        <w:b/>
        <w:bCs/>
      </w:rPr>
    </w:tblStylePr>
    <w:tblStylePr w:type="lastCol">
      <w:rPr>
        <w:b/>
        <w:bCs/>
      </w:rPr>
    </w:tblStylePr>
    <w:tblStylePr w:type="band1Vert">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tblStylePr w:type="band1Horz">
      <w:tblPr/>
      <w:tcPr>
        <w:tcBorders>
          <w:top w:val="single" w:sz="8" w:space="0" w:color="CCCCD0" w:themeColor="accent6"/>
          <w:left w:val="single" w:sz="8" w:space="0" w:color="CCCCD0" w:themeColor="accent6"/>
          <w:bottom w:val="single" w:sz="8" w:space="0" w:color="CCCCD0" w:themeColor="accent6"/>
          <w:right w:val="single" w:sz="8" w:space="0" w:color="CCCCD0" w:themeColor="accent6"/>
        </w:tcBorders>
      </w:tcPr>
    </w:tblStylePr>
  </w:style>
  <w:style w:type="table" w:styleId="LightShading-Accent1">
    <w:name w:val="Light Shading Accent 1"/>
    <w:basedOn w:val="TableNormal"/>
    <w:uiPriority w:val="60"/>
    <w:semiHidden/>
    <w:rsid w:val="00294A5A"/>
    <w:pPr>
      <w:spacing w:before="0" w:after="0" w:line="240" w:lineRule="auto"/>
    </w:pPr>
    <w:rPr>
      <w:color w:val="30717A" w:themeColor="accent1" w:themeShade="BF"/>
    </w:rPr>
    <w:tblPr>
      <w:tblStyleRowBandSize w:val="1"/>
      <w:tblStyleColBandSize w:val="1"/>
      <w:tblBorders>
        <w:top w:val="single" w:sz="8" w:space="0" w:color="4098A4" w:themeColor="accent1"/>
        <w:bottom w:val="single" w:sz="8" w:space="0" w:color="4098A4" w:themeColor="accent1"/>
      </w:tblBorders>
    </w:tblPr>
    <w:tblStylePr w:type="fir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lastRow">
      <w:pPr>
        <w:spacing w:before="0" w:after="0" w:line="240" w:lineRule="auto"/>
      </w:pPr>
      <w:rPr>
        <w:b/>
        <w:bCs/>
      </w:rPr>
      <w:tblPr/>
      <w:tcPr>
        <w:tcBorders>
          <w:top w:val="single" w:sz="8" w:space="0" w:color="4098A4" w:themeColor="accent1"/>
          <w:left w:val="nil"/>
          <w:bottom w:val="single" w:sz="8" w:space="0" w:color="4098A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left w:val="nil"/>
          <w:right w:val="nil"/>
          <w:insideH w:val="nil"/>
          <w:insideV w:val="nil"/>
        </w:tcBorders>
        <w:shd w:val="clear" w:color="auto" w:fill="CCE7EB" w:themeFill="accent1" w:themeFillTint="3F"/>
      </w:tcPr>
    </w:tblStylePr>
  </w:style>
  <w:style w:type="table" w:styleId="LightShading-Accent2">
    <w:name w:val="Light Shading Accent 2"/>
    <w:basedOn w:val="TableNormal"/>
    <w:uiPriority w:val="60"/>
    <w:semiHidden/>
    <w:rsid w:val="00294A5A"/>
    <w:pPr>
      <w:spacing w:before="0" w:after="0" w:line="240" w:lineRule="auto"/>
    </w:pPr>
    <w:rPr>
      <w:color w:val="4D98A4" w:themeColor="accent2" w:themeShade="BF"/>
    </w:rPr>
    <w:tblPr>
      <w:tblStyleRowBandSize w:val="1"/>
      <w:tblStyleColBandSize w:val="1"/>
      <w:tblBorders>
        <w:top w:val="single" w:sz="8" w:space="0" w:color="80BAC3" w:themeColor="accent2"/>
        <w:bottom w:val="single" w:sz="8" w:space="0" w:color="80BAC3" w:themeColor="accent2"/>
      </w:tblBorders>
    </w:tblPr>
    <w:tblStylePr w:type="fir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lastRow">
      <w:pPr>
        <w:spacing w:before="0" w:after="0" w:line="240" w:lineRule="auto"/>
      </w:pPr>
      <w:rPr>
        <w:b/>
        <w:bCs/>
      </w:rPr>
      <w:tblPr/>
      <w:tcPr>
        <w:tcBorders>
          <w:top w:val="single" w:sz="8" w:space="0" w:color="80BAC3" w:themeColor="accent2"/>
          <w:left w:val="nil"/>
          <w:bottom w:val="single" w:sz="8" w:space="0" w:color="80BAC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left w:val="nil"/>
          <w:right w:val="nil"/>
          <w:insideH w:val="nil"/>
          <w:insideV w:val="nil"/>
        </w:tcBorders>
        <w:shd w:val="clear" w:color="auto" w:fill="DFEDF0" w:themeFill="accent2" w:themeFillTint="3F"/>
      </w:tcPr>
    </w:tblStylePr>
  </w:style>
  <w:style w:type="table" w:styleId="LightShading-Accent3">
    <w:name w:val="Light Shading Accent 3"/>
    <w:basedOn w:val="TableNormal"/>
    <w:uiPriority w:val="60"/>
    <w:semiHidden/>
    <w:rsid w:val="00294A5A"/>
    <w:pPr>
      <w:spacing w:before="0" w:after="0" w:line="240" w:lineRule="auto"/>
    </w:pPr>
    <w:rPr>
      <w:color w:val="77B7BF" w:themeColor="accent3" w:themeShade="BF"/>
    </w:rPr>
    <w:tblPr>
      <w:tblStyleRowBandSize w:val="1"/>
      <w:tblStyleColBandSize w:val="1"/>
      <w:tblBorders>
        <w:top w:val="single" w:sz="8" w:space="0" w:color="BFDDE1" w:themeColor="accent3"/>
        <w:bottom w:val="single" w:sz="8" w:space="0" w:color="BFDDE1" w:themeColor="accent3"/>
      </w:tblBorders>
    </w:tblPr>
    <w:tblStylePr w:type="fir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lastRow">
      <w:pPr>
        <w:spacing w:before="0" w:after="0" w:line="240" w:lineRule="auto"/>
      </w:pPr>
      <w:rPr>
        <w:b/>
        <w:bCs/>
      </w:rPr>
      <w:tblPr/>
      <w:tcPr>
        <w:tcBorders>
          <w:top w:val="single" w:sz="8" w:space="0" w:color="BFDDE1" w:themeColor="accent3"/>
          <w:left w:val="nil"/>
          <w:bottom w:val="single" w:sz="8" w:space="0" w:color="BFDD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left w:val="nil"/>
          <w:right w:val="nil"/>
          <w:insideH w:val="nil"/>
          <w:insideV w:val="nil"/>
        </w:tcBorders>
        <w:shd w:val="clear" w:color="auto" w:fill="EFF6F7" w:themeFill="accent3" w:themeFillTint="3F"/>
      </w:tcPr>
    </w:tblStylePr>
  </w:style>
  <w:style w:type="table" w:styleId="LightShading-Accent4">
    <w:name w:val="Light Shading Accent 4"/>
    <w:basedOn w:val="TableNormal"/>
    <w:uiPriority w:val="60"/>
    <w:semiHidden/>
    <w:rsid w:val="00294A5A"/>
    <w:pPr>
      <w:spacing w:before="0" w:after="0" w:line="240" w:lineRule="auto"/>
    </w:pPr>
    <w:rPr>
      <w:color w:val="30303B" w:themeColor="accent4" w:themeShade="BF"/>
    </w:rPr>
    <w:tblPr>
      <w:tblStyleRowBandSize w:val="1"/>
      <w:tblStyleColBandSize w:val="1"/>
      <w:tblBorders>
        <w:top w:val="single" w:sz="8" w:space="0" w:color="404050" w:themeColor="accent4"/>
        <w:bottom w:val="single" w:sz="8" w:space="0" w:color="404050" w:themeColor="accent4"/>
      </w:tblBorders>
    </w:tblPr>
    <w:tblStylePr w:type="fir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lastRow">
      <w:pPr>
        <w:spacing w:before="0" w:after="0" w:line="240" w:lineRule="auto"/>
      </w:pPr>
      <w:rPr>
        <w:b/>
        <w:bCs/>
      </w:rPr>
      <w:tblPr/>
      <w:tcPr>
        <w:tcBorders>
          <w:top w:val="single" w:sz="8" w:space="0" w:color="404050" w:themeColor="accent4"/>
          <w:left w:val="nil"/>
          <w:bottom w:val="single" w:sz="8" w:space="0" w:color="40405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left w:val="nil"/>
          <w:right w:val="nil"/>
          <w:insideH w:val="nil"/>
          <w:insideV w:val="nil"/>
        </w:tcBorders>
        <w:shd w:val="clear" w:color="auto" w:fill="CCCCD6" w:themeFill="accent4" w:themeFillTint="3F"/>
      </w:tcPr>
    </w:tblStylePr>
  </w:style>
  <w:style w:type="table" w:styleId="LightShading-Accent5">
    <w:name w:val="Light Shading Accent 5"/>
    <w:basedOn w:val="TableNormal"/>
    <w:uiPriority w:val="60"/>
    <w:semiHidden/>
    <w:rsid w:val="00294A5A"/>
    <w:pPr>
      <w:spacing w:before="0" w:after="0" w:line="240" w:lineRule="auto"/>
    </w:pPr>
    <w:rPr>
      <w:color w:val="5F5F68" w:themeColor="accent5" w:themeShade="BF"/>
    </w:rPr>
    <w:tblPr>
      <w:tblStyleRowBandSize w:val="1"/>
      <w:tblStyleColBandSize w:val="1"/>
      <w:tblBorders>
        <w:top w:val="single" w:sz="8" w:space="0" w:color="80808B" w:themeColor="accent5"/>
        <w:bottom w:val="single" w:sz="8" w:space="0" w:color="80808B" w:themeColor="accent5"/>
      </w:tblBorders>
    </w:tblPr>
    <w:tblStylePr w:type="fir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lastRow">
      <w:pPr>
        <w:spacing w:before="0" w:after="0" w:line="240" w:lineRule="auto"/>
      </w:pPr>
      <w:rPr>
        <w:b/>
        <w:bCs/>
      </w:rPr>
      <w:tblPr/>
      <w:tcPr>
        <w:tcBorders>
          <w:top w:val="single" w:sz="8" w:space="0" w:color="80808B" w:themeColor="accent5"/>
          <w:left w:val="nil"/>
          <w:bottom w:val="single" w:sz="8" w:space="0" w:color="80808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left w:val="nil"/>
          <w:right w:val="nil"/>
          <w:insideH w:val="nil"/>
          <w:insideV w:val="nil"/>
        </w:tcBorders>
        <w:shd w:val="clear" w:color="auto" w:fill="DFDFE2" w:themeFill="accent5" w:themeFillTint="3F"/>
      </w:tcPr>
    </w:tblStylePr>
  </w:style>
  <w:style w:type="table" w:styleId="LightShading-Accent6">
    <w:name w:val="Light Shading Accent 6"/>
    <w:basedOn w:val="TableNormal"/>
    <w:uiPriority w:val="60"/>
    <w:semiHidden/>
    <w:rsid w:val="00294A5A"/>
    <w:pPr>
      <w:spacing w:before="0" w:after="0" w:line="240" w:lineRule="auto"/>
    </w:pPr>
    <w:rPr>
      <w:color w:val="96969E" w:themeColor="accent6" w:themeShade="BF"/>
    </w:rPr>
    <w:tblPr>
      <w:tblStyleRowBandSize w:val="1"/>
      <w:tblStyleColBandSize w:val="1"/>
      <w:tblBorders>
        <w:top w:val="single" w:sz="8" w:space="0" w:color="CCCCD0" w:themeColor="accent6"/>
        <w:bottom w:val="single" w:sz="8" w:space="0" w:color="CCCCD0" w:themeColor="accent6"/>
      </w:tblBorders>
    </w:tblPr>
    <w:tblStylePr w:type="fir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lastRow">
      <w:pPr>
        <w:spacing w:before="0" w:after="0" w:line="240" w:lineRule="auto"/>
      </w:pPr>
      <w:rPr>
        <w:b/>
        <w:bCs/>
      </w:rPr>
      <w:tblPr/>
      <w:tcPr>
        <w:tcBorders>
          <w:top w:val="single" w:sz="8" w:space="0" w:color="CCCCD0" w:themeColor="accent6"/>
          <w:left w:val="nil"/>
          <w:bottom w:val="single" w:sz="8" w:space="0" w:color="CCCCD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left w:val="nil"/>
          <w:right w:val="nil"/>
          <w:insideH w:val="nil"/>
          <w:insideV w:val="nil"/>
        </w:tcBorders>
        <w:shd w:val="clear" w:color="auto" w:fill="F2F2F3" w:themeFill="accent6" w:themeFillTint="3F"/>
      </w:tcPr>
    </w:tblStylePr>
  </w:style>
  <w:style w:type="table" w:styleId="ListTable1Light">
    <w:name w:val="List Table 1 Light"/>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5C6CF" w:themeColor="accent1" w:themeTint="99"/>
        </w:tcBorders>
      </w:tcPr>
    </w:tblStylePr>
    <w:tblStylePr w:type="lastRow">
      <w:rPr>
        <w:b/>
        <w:bCs/>
      </w:rPr>
      <w:tblPr/>
      <w:tcPr>
        <w:tcBorders>
          <w:top w:val="sing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1Light-Accent2">
    <w:name w:val="List Table 1 Light Accent 2"/>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D5DB" w:themeColor="accent2" w:themeTint="99"/>
        </w:tcBorders>
      </w:tcPr>
    </w:tblStylePr>
    <w:tblStylePr w:type="lastRow">
      <w:rPr>
        <w:b/>
        <w:bCs/>
      </w:rPr>
      <w:tblPr/>
      <w:tcPr>
        <w:tcBorders>
          <w:top w:val="sing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1Light-Accent3">
    <w:name w:val="List Table 1 Light Accent 3"/>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D8EAED" w:themeColor="accent3" w:themeTint="99"/>
        </w:tcBorders>
      </w:tcPr>
    </w:tblStylePr>
    <w:tblStylePr w:type="lastRow">
      <w:rPr>
        <w:b/>
        <w:bCs/>
      </w:rPr>
      <w:tblPr/>
      <w:tcPr>
        <w:tcBorders>
          <w:top w:val="sing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1Light-Accent4">
    <w:name w:val="List Table 1 Light Accent 4"/>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84849D" w:themeColor="accent4" w:themeTint="99"/>
        </w:tcBorders>
      </w:tcPr>
    </w:tblStylePr>
    <w:tblStylePr w:type="lastRow">
      <w:rPr>
        <w:b/>
        <w:bCs/>
      </w:rPr>
      <w:tblPr/>
      <w:tcPr>
        <w:tcBorders>
          <w:top w:val="sing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1Light-Accent5">
    <w:name w:val="List Table 1 Light Accent 5"/>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B2B2B9" w:themeColor="accent5" w:themeTint="99"/>
        </w:tcBorders>
      </w:tcPr>
    </w:tblStylePr>
    <w:tblStylePr w:type="lastRow">
      <w:rPr>
        <w:b/>
        <w:bCs/>
      </w:rPr>
      <w:tblPr/>
      <w:tcPr>
        <w:tcBorders>
          <w:top w:val="sing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1Light-Accent6">
    <w:name w:val="List Table 1 Light Accent 6"/>
    <w:basedOn w:val="TableNormal"/>
    <w:uiPriority w:val="46"/>
    <w:semiHidden/>
    <w:rsid w:val="00294A5A"/>
    <w:pPr>
      <w:spacing w:after="0" w:line="240" w:lineRule="auto"/>
    </w:pPr>
    <w:tblPr>
      <w:tblStyleRowBandSize w:val="1"/>
      <w:tblStyleColBandSize w:val="1"/>
    </w:tblPr>
    <w:tblStylePr w:type="firstRow">
      <w:rPr>
        <w:b/>
        <w:bCs/>
      </w:rPr>
      <w:tblPr/>
      <w:tcPr>
        <w:tcBorders>
          <w:bottom w:val="single" w:sz="4" w:space="0" w:color="E0E0E2" w:themeColor="accent6" w:themeTint="99"/>
        </w:tcBorders>
      </w:tcPr>
    </w:tblStylePr>
    <w:tblStylePr w:type="lastRow">
      <w:rPr>
        <w:b/>
        <w:bCs/>
      </w:rPr>
      <w:tblPr/>
      <w:tcPr>
        <w:tcBorders>
          <w:top w:val="sing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2">
    <w:name w:val="List Table 2"/>
    <w:basedOn w:val="TableNormal"/>
    <w:uiPriority w:val="47"/>
    <w:semiHidden/>
    <w:rsid w:val="00294A5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semiHidden/>
    <w:rsid w:val="00294A5A"/>
    <w:pPr>
      <w:spacing w:after="0" w:line="240" w:lineRule="auto"/>
    </w:pPr>
    <w:tblPr>
      <w:tblStyleRowBandSize w:val="1"/>
      <w:tblStyleColBandSize w:val="1"/>
      <w:tblBorders>
        <w:top w:val="single" w:sz="4" w:space="0" w:color="85C6CF" w:themeColor="accent1" w:themeTint="99"/>
        <w:bottom w:val="single" w:sz="4" w:space="0" w:color="85C6CF" w:themeColor="accent1" w:themeTint="99"/>
        <w:insideH w:val="single" w:sz="4" w:space="0" w:color="85C6C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2-Accent2">
    <w:name w:val="List Table 2 Accent 2"/>
    <w:basedOn w:val="TableNormal"/>
    <w:uiPriority w:val="47"/>
    <w:semiHidden/>
    <w:rsid w:val="00294A5A"/>
    <w:pPr>
      <w:spacing w:after="0" w:line="240" w:lineRule="auto"/>
    </w:pPr>
    <w:tblPr>
      <w:tblStyleRowBandSize w:val="1"/>
      <w:tblStyleColBandSize w:val="1"/>
      <w:tblBorders>
        <w:top w:val="single" w:sz="4" w:space="0" w:color="B2D5DB" w:themeColor="accent2" w:themeTint="99"/>
        <w:bottom w:val="single" w:sz="4" w:space="0" w:color="B2D5DB" w:themeColor="accent2" w:themeTint="99"/>
        <w:insideH w:val="single" w:sz="4" w:space="0" w:color="B2D5D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2-Accent3">
    <w:name w:val="List Table 2 Accent 3"/>
    <w:basedOn w:val="TableNormal"/>
    <w:uiPriority w:val="47"/>
    <w:semiHidden/>
    <w:rsid w:val="00294A5A"/>
    <w:pPr>
      <w:spacing w:after="0" w:line="240" w:lineRule="auto"/>
    </w:pPr>
    <w:tblPr>
      <w:tblStyleRowBandSize w:val="1"/>
      <w:tblStyleColBandSize w:val="1"/>
      <w:tblBorders>
        <w:top w:val="single" w:sz="4" w:space="0" w:color="D8EAED" w:themeColor="accent3" w:themeTint="99"/>
        <w:bottom w:val="single" w:sz="4" w:space="0" w:color="D8EAED" w:themeColor="accent3" w:themeTint="99"/>
        <w:insideH w:val="single" w:sz="4" w:space="0" w:color="D8EA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2-Accent4">
    <w:name w:val="List Table 2 Accent 4"/>
    <w:basedOn w:val="TableNormal"/>
    <w:uiPriority w:val="47"/>
    <w:semiHidden/>
    <w:rsid w:val="00294A5A"/>
    <w:pPr>
      <w:spacing w:after="0" w:line="240" w:lineRule="auto"/>
    </w:pPr>
    <w:tblPr>
      <w:tblStyleRowBandSize w:val="1"/>
      <w:tblStyleColBandSize w:val="1"/>
      <w:tblBorders>
        <w:top w:val="single" w:sz="4" w:space="0" w:color="84849D" w:themeColor="accent4" w:themeTint="99"/>
        <w:bottom w:val="single" w:sz="4" w:space="0" w:color="84849D" w:themeColor="accent4" w:themeTint="99"/>
        <w:insideH w:val="single" w:sz="4" w:space="0" w:color="84849D"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2-Accent5">
    <w:name w:val="List Table 2 Accent 5"/>
    <w:basedOn w:val="TableNormal"/>
    <w:uiPriority w:val="47"/>
    <w:semiHidden/>
    <w:rsid w:val="00294A5A"/>
    <w:pPr>
      <w:spacing w:after="0" w:line="240" w:lineRule="auto"/>
    </w:pPr>
    <w:tblPr>
      <w:tblStyleRowBandSize w:val="1"/>
      <w:tblStyleColBandSize w:val="1"/>
      <w:tblBorders>
        <w:top w:val="single" w:sz="4" w:space="0" w:color="B2B2B9" w:themeColor="accent5" w:themeTint="99"/>
        <w:bottom w:val="single" w:sz="4" w:space="0" w:color="B2B2B9" w:themeColor="accent5" w:themeTint="99"/>
        <w:insideH w:val="single" w:sz="4" w:space="0" w:color="B2B2B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2-Accent6">
    <w:name w:val="List Table 2 Accent 6"/>
    <w:basedOn w:val="TableNormal"/>
    <w:uiPriority w:val="47"/>
    <w:semiHidden/>
    <w:rsid w:val="00294A5A"/>
    <w:pPr>
      <w:spacing w:after="0" w:line="240" w:lineRule="auto"/>
    </w:pPr>
    <w:tblPr>
      <w:tblStyleRowBandSize w:val="1"/>
      <w:tblStyleColBandSize w:val="1"/>
      <w:tblBorders>
        <w:top w:val="single" w:sz="4" w:space="0" w:color="E0E0E2" w:themeColor="accent6" w:themeTint="99"/>
        <w:bottom w:val="single" w:sz="4" w:space="0" w:color="E0E0E2" w:themeColor="accent6" w:themeTint="99"/>
        <w:insideH w:val="single" w:sz="4" w:space="0" w:color="E0E0E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3">
    <w:name w:val="List Table 3"/>
    <w:basedOn w:val="TableNormal"/>
    <w:uiPriority w:val="48"/>
    <w:semiHidden/>
    <w:rsid w:val="00294A5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semiHidden/>
    <w:rsid w:val="00294A5A"/>
    <w:pPr>
      <w:spacing w:after="0" w:line="240" w:lineRule="auto"/>
    </w:pPr>
    <w:tblPr>
      <w:tblStyleRowBandSize w:val="1"/>
      <w:tblStyleColBandSize w:val="1"/>
      <w:tblBorders>
        <w:top w:val="single" w:sz="4" w:space="0" w:color="4098A4" w:themeColor="accent1"/>
        <w:left w:val="single" w:sz="4" w:space="0" w:color="4098A4" w:themeColor="accent1"/>
        <w:bottom w:val="single" w:sz="4" w:space="0" w:color="4098A4" w:themeColor="accent1"/>
        <w:right w:val="single" w:sz="4" w:space="0" w:color="4098A4" w:themeColor="accent1"/>
      </w:tblBorders>
    </w:tblPr>
    <w:tblStylePr w:type="firstRow">
      <w:rPr>
        <w:b/>
        <w:bCs/>
        <w:color w:val="FFFFFF" w:themeColor="background1"/>
      </w:rPr>
      <w:tblPr/>
      <w:tcPr>
        <w:shd w:val="clear" w:color="auto" w:fill="4098A4" w:themeFill="accent1"/>
      </w:tcPr>
    </w:tblStylePr>
    <w:tblStylePr w:type="lastRow">
      <w:rPr>
        <w:b/>
        <w:bCs/>
      </w:rPr>
      <w:tblPr/>
      <w:tcPr>
        <w:tcBorders>
          <w:top w:val="double" w:sz="4" w:space="0" w:color="4098A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98A4" w:themeColor="accent1"/>
          <w:right w:val="single" w:sz="4" w:space="0" w:color="4098A4" w:themeColor="accent1"/>
        </w:tcBorders>
      </w:tcPr>
    </w:tblStylePr>
    <w:tblStylePr w:type="band1Horz">
      <w:tblPr/>
      <w:tcPr>
        <w:tcBorders>
          <w:top w:val="single" w:sz="4" w:space="0" w:color="4098A4" w:themeColor="accent1"/>
          <w:bottom w:val="single" w:sz="4" w:space="0" w:color="4098A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98A4" w:themeColor="accent1"/>
          <w:left w:val="nil"/>
        </w:tcBorders>
      </w:tcPr>
    </w:tblStylePr>
    <w:tblStylePr w:type="swCell">
      <w:tblPr/>
      <w:tcPr>
        <w:tcBorders>
          <w:top w:val="double" w:sz="4" w:space="0" w:color="4098A4" w:themeColor="accent1"/>
          <w:right w:val="nil"/>
        </w:tcBorders>
      </w:tcPr>
    </w:tblStylePr>
  </w:style>
  <w:style w:type="table" w:styleId="ListTable3-Accent2">
    <w:name w:val="List Table 3 Accent 2"/>
    <w:basedOn w:val="TableNormal"/>
    <w:uiPriority w:val="48"/>
    <w:semiHidden/>
    <w:rsid w:val="00294A5A"/>
    <w:pPr>
      <w:spacing w:after="0" w:line="240" w:lineRule="auto"/>
    </w:pPr>
    <w:tblPr>
      <w:tblStyleRowBandSize w:val="1"/>
      <w:tblStyleColBandSize w:val="1"/>
      <w:tblBorders>
        <w:top w:val="single" w:sz="4" w:space="0" w:color="80BAC3" w:themeColor="accent2"/>
        <w:left w:val="single" w:sz="4" w:space="0" w:color="80BAC3" w:themeColor="accent2"/>
        <w:bottom w:val="single" w:sz="4" w:space="0" w:color="80BAC3" w:themeColor="accent2"/>
        <w:right w:val="single" w:sz="4" w:space="0" w:color="80BAC3" w:themeColor="accent2"/>
      </w:tblBorders>
    </w:tblPr>
    <w:tblStylePr w:type="firstRow">
      <w:rPr>
        <w:b/>
        <w:bCs/>
        <w:color w:val="FFFFFF" w:themeColor="background1"/>
      </w:rPr>
      <w:tblPr/>
      <w:tcPr>
        <w:shd w:val="clear" w:color="auto" w:fill="80BAC3" w:themeFill="accent2"/>
      </w:tcPr>
    </w:tblStylePr>
    <w:tblStylePr w:type="lastRow">
      <w:rPr>
        <w:b/>
        <w:bCs/>
      </w:rPr>
      <w:tblPr/>
      <w:tcPr>
        <w:tcBorders>
          <w:top w:val="double" w:sz="4" w:space="0" w:color="80BAC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BAC3" w:themeColor="accent2"/>
          <w:right w:val="single" w:sz="4" w:space="0" w:color="80BAC3" w:themeColor="accent2"/>
        </w:tcBorders>
      </w:tcPr>
    </w:tblStylePr>
    <w:tblStylePr w:type="band1Horz">
      <w:tblPr/>
      <w:tcPr>
        <w:tcBorders>
          <w:top w:val="single" w:sz="4" w:space="0" w:color="80BAC3" w:themeColor="accent2"/>
          <w:bottom w:val="single" w:sz="4" w:space="0" w:color="80BAC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BAC3" w:themeColor="accent2"/>
          <w:left w:val="nil"/>
        </w:tcBorders>
      </w:tcPr>
    </w:tblStylePr>
    <w:tblStylePr w:type="swCell">
      <w:tblPr/>
      <w:tcPr>
        <w:tcBorders>
          <w:top w:val="double" w:sz="4" w:space="0" w:color="80BAC3" w:themeColor="accent2"/>
          <w:right w:val="nil"/>
        </w:tcBorders>
      </w:tcPr>
    </w:tblStylePr>
  </w:style>
  <w:style w:type="table" w:styleId="ListTable3-Accent3">
    <w:name w:val="List Table 3 Accent 3"/>
    <w:basedOn w:val="TableNormal"/>
    <w:uiPriority w:val="48"/>
    <w:semiHidden/>
    <w:rsid w:val="00294A5A"/>
    <w:pPr>
      <w:spacing w:after="0" w:line="240" w:lineRule="auto"/>
    </w:pPr>
    <w:tblPr>
      <w:tblStyleRowBandSize w:val="1"/>
      <w:tblStyleColBandSize w:val="1"/>
      <w:tblBorders>
        <w:top w:val="single" w:sz="4" w:space="0" w:color="BFDDE1" w:themeColor="accent3"/>
        <w:left w:val="single" w:sz="4" w:space="0" w:color="BFDDE1" w:themeColor="accent3"/>
        <w:bottom w:val="single" w:sz="4" w:space="0" w:color="BFDDE1" w:themeColor="accent3"/>
        <w:right w:val="single" w:sz="4" w:space="0" w:color="BFDDE1" w:themeColor="accent3"/>
      </w:tblBorders>
    </w:tblPr>
    <w:tblStylePr w:type="firstRow">
      <w:rPr>
        <w:b/>
        <w:bCs/>
        <w:color w:val="FFFFFF" w:themeColor="background1"/>
      </w:rPr>
      <w:tblPr/>
      <w:tcPr>
        <w:shd w:val="clear" w:color="auto" w:fill="BFDDE1" w:themeFill="accent3"/>
      </w:tcPr>
    </w:tblStylePr>
    <w:tblStylePr w:type="lastRow">
      <w:rPr>
        <w:b/>
        <w:bCs/>
      </w:rPr>
      <w:tblPr/>
      <w:tcPr>
        <w:tcBorders>
          <w:top w:val="double" w:sz="4" w:space="0" w:color="BFDD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FDDE1" w:themeColor="accent3"/>
          <w:right w:val="single" w:sz="4" w:space="0" w:color="BFDDE1" w:themeColor="accent3"/>
        </w:tcBorders>
      </w:tcPr>
    </w:tblStylePr>
    <w:tblStylePr w:type="band1Horz">
      <w:tblPr/>
      <w:tcPr>
        <w:tcBorders>
          <w:top w:val="single" w:sz="4" w:space="0" w:color="BFDDE1" w:themeColor="accent3"/>
          <w:bottom w:val="single" w:sz="4" w:space="0" w:color="BFDD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FDDE1" w:themeColor="accent3"/>
          <w:left w:val="nil"/>
        </w:tcBorders>
      </w:tcPr>
    </w:tblStylePr>
    <w:tblStylePr w:type="swCell">
      <w:tblPr/>
      <w:tcPr>
        <w:tcBorders>
          <w:top w:val="double" w:sz="4" w:space="0" w:color="BFDDE1" w:themeColor="accent3"/>
          <w:right w:val="nil"/>
        </w:tcBorders>
      </w:tcPr>
    </w:tblStylePr>
  </w:style>
  <w:style w:type="table" w:styleId="ListTable3-Accent4">
    <w:name w:val="List Table 3 Accent 4"/>
    <w:basedOn w:val="TableNormal"/>
    <w:uiPriority w:val="48"/>
    <w:semiHidden/>
    <w:rsid w:val="00294A5A"/>
    <w:pPr>
      <w:spacing w:after="0" w:line="240" w:lineRule="auto"/>
    </w:pPr>
    <w:tblPr>
      <w:tblStyleRowBandSize w:val="1"/>
      <w:tblStyleColBandSize w:val="1"/>
      <w:tblBorders>
        <w:top w:val="single" w:sz="4" w:space="0" w:color="404050" w:themeColor="accent4"/>
        <w:left w:val="single" w:sz="4" w:space="0" w:color="404050" w:themeColor="accent4"/>
        <w:bottom w:val="single" w:sz="4" w:space="0" w:color="404050" w:themeColor="accent4"/>
        <w:right w:val="single" w:sz="4" w:space="0" w:color="404050" w:themeColor="accent4"/>
      </w:tblBorders>
    </w:tblPr>
    <w:tblStylePr w:type="firstRow">
      <w:rPr>
        <w:b/>
        <w:bCs/>
        <w:color w:val="FFFFFF" w:themeColor="background1"/>
      </w:rPr>
      <w:tblPr/>
      <w:tcPr>
        <w:shd w:val="clear" w:color="auto" w:fill="404050" w:themeFill="accent4"/>
      </w:tcPr>
    </w:tblStylePr>
    <w:tblStylePr w:type="lastRow">
      <w:rPr>
        <w:b/>
        <w:bCs/>
      </w:rPr>
      <w:tblPr/>
      <w:tcPr>
        <w:tcBorders>
          <w:top w:val="double" w:sz="4" w:space="0" w:color="40405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04050" w:themeColor="accent4"/>
          <w:right w:val="single" w:sz="4" w:space="0" w:color="404050" w:themeColor="accent4"/>
        </w:tcBorders>
      </w:tcPr>
    </w:tblStylePr>
    <w:tblStylePr w:type="band1Horz">
      <w:tblPr/>
      <w:tcPr>
        <w:tcBorders>
          <w:top w:val="single" w:sz="4" w:space="0" w:color="404050" w:themeColor="accent4"/>
          <w:bottom w:val="single" w:sz="4" w:space="0" w:color="40405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04050" w:themeColor="accent4"/>
          <w:left w:val="nil"/>
        </w:tcBorders>
      </w:tcPr>
    </w:tblStylePr>
    <w:tblStylePr w:type="swCell">
      <w:tblPr/>
      <w:tcPr>
        <w:tcBorders>
          <w:top w:val="double" w:sz="4" w:space="0" w:color="404050" w:themeColor="accent4"/>
          <w:right w:val="nil"/>
        </w:tcBorders>
      </w:tcPr>
    </w:tblStylePr>
  </w:style>
  <w:style w:type="table" w:styleId="ListTable3-Accent5">
    <w:name w:val="List Table 3 Accent 5"/>
    <w:basedOn w:val="TableNormal"/>
    <w:uiPriority w:val="48"/>
    <w:semiHidden/>
    <w:rsid w:val="00294A5A"/>
    <w:pPr>
      <w:spacing w:after="0" w:line="240" w:lineRule="auto"/>
    </w:pPr>
    <w:tblPr>
      <w:tblStyleRowBandSize w:val="1"/>
      <w:tblStyleColBandSize w:val="1"/>
      <w:tblBorders>
        <w:top w:val="single" w:sz="4" w:space="0" w:color="80808B" w:themeColor="accent5"/>
        <w:left w:val="single" w:sz="4" w:space="0" w:color="80808B" w:themeColor="accent5"/>
        <w:bottom w:val="single" w:sz="4" w:space="0" w:color="80808B" w:themeColor="accent5"/>
        <w:right w:val="single" w:sz="4" w:space="0" w:color="80808B" w:themeColor="accent5"/>
      </w:tblBorders>
    </w:tblPr>
    <w:tblStylePr w:type="firstRow">
      <w:rPr>
        <w:b/>
        <w:bCs/>
        <w:color w:val="FFFFFF" w:themeColor="background1"/>
      </w:rPr>
      <w:tblPr/>
      <w:tcPr>
        <w:shd w:val="clear" w:color="auto" w:fill="80808B" w:themeFill="accent5"/>
      </w:tcPr>
    </w:tblStylePr>
    <w:tblStylePr w:type="lastRow">
      <w:rPr>
        <w:b/>
        <w:bCs/>
      </w:rPr>
      <w:tblPr/>
      <w:tcPr>
        <w:tcBorders>
          <w:top w:val="double" w:sz="4" w:space="0" w:color="80808B"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808B" w:themeColor="accent5"/>
          <w:right w:val="single" w:sz="4" w:space="0" w:color="80808B" w:themeColor="accent5"/>
        </w:tcBorders>
      </w:tcPr>
    </w:tblStylePr>
    <w:tblStylePr w:type="band1Horz">
      <w:tblPr/>
      <w:tcPr>
        <w:tcBorders>
          <w:top w:val="single" w:sz="4" w:space="0" w:color="80808B" w:themeColor="accent5"/>
          <w:bottom w:val="single" w:sz="4" w:space="0" w:color="80808B"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808B" w:themeColor="accent5"/>
          <w:left w:val="nil"/>
        </w:tcBorders>
      </w:tcPr>
    </w:tblStylePr>
    <w:tblStylePr w:type="swCell">
      <w:tblPr/>
      <w:tcPr>
        <w:tcBorders>
          <w:top w:val="double" w:sz="4" w:space="0" w:color="80808B" w:themeColor="accent5"/>
          <w:right w:val="nil"/>
        </w:tcBorders>
      </w:tcPr>
    </w:tblStylePr>
  </w:style>
  <w:style w:type="table" w:styleId="ListTable3-Accent6">
    <w:name w:val="List Table 3 Accent 6"/>
    <w:basedOn w:val="TableNormal"/>
    <w:uiPriority w:val="48"/>
    <w:semiHidden/>
    <w:rsid w:val="00294A5A"/>
    <w:pPr>
      <w:spacing w:after="0" w:line="240" w:lineRule="auto"/>
    </w:pPr>
    <w:tblPr>
      <w:tblStyleRowBandSize w:val="1"/>
      <w:tblStyleColBandSize w:val="1"/>
      <w:tblBorders>
        <w:top w:val="single" w:sz="4" w:space="0" w:color="CCCCD0" w:themeColor="accent6"/>
        <w:left w:val="single" w:sz="4" w:space="0" w:color="CCCCD0" w:themeColor="accent6"/>
        <w:bottom w:val="single" w:sz="4" w:space="0" w:color="CCCCD0" w:themeColor="accent6"/>
        <w:right w:val="single" w:sz="4" w:space="0" w:color="CCCCD0" w:themeColor="accent6"/>
      </w:tblBorders>
    </w:tblPr>
    <w:tblStylePr w:type="firstRow">
      <w:rPr>
        <w:b/>
        <w:bCs/>
        <w:color w:val="FFFFFF" w:themeColor="background1"/>
      </w:rPr>
      <w:tblPr/>
      <w:tcPr>
        <w:shd w:val="clear" w:color="auto" w:fill="CCCCD0" w:themeFill="accent6"/>
      </w:tcPr>
    </w:tblStylePr>
    <w:tblStylePr w:type="lastRow">
      <w:rPr>
        <w:b/>
        <w:bCs/>
      </w:rPr>
      <w:tblPr/>
      <w:tcPr>
        <w:tcBorders>
          <w:top w:val="double" w:sz="4" w:space="0" w:color="CCCCD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CCCD0" w:themeColor="accent6"/>
          <w:right w:val="single" w:sz="4" w:space="0" w:color="CCCCD0" w:themeColor="accent6"/>
        </w:tcBorders>
      </w:tcPr>
    </w:tblStylePr>
    <w:tblStylePr w:type="band1Horz">
      <w:tblPr/>
      <w:tcPr>
        <w:tcBorders>
          <w:top w:val="single" w:sz="4" w:space="0" w:color="CCCCD0" w:themeColor="accent6"/>
          <w:bottom w:val="single" w:sz="4" w:space="0" w:color="CCCCD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CCCD0" w:themeColor="accent6"/>
          <w:left w:val="nil"/>
        </w:tcBorders>
      </w:tcPr>
    </w:tblStylePr>
    <w:tblStylePr w:type="swCell">
      <w:tblPr/>
      <w:tcPr>
        <w:tcBorders>
          <w:top w:val="double" w:sz="4" w:space="0" w:color="CCCCD0" w:themeColor="accent6"/>
          <w:right w:val="nil"/>
        </w:tcBorders>
      </w:tcPr>
    </w:tblStylePr>
  </w:style>
  <w:style w:type="table" w:styleId="ListTable4">
    <w:name w:val="List Table 4"/>
    <w:basedOn w:val="TableNormal"/>
    <w:uiPriority w:val="49"/>
    <w:semiHidden/>
    <w:rsid w:val="00294A5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semiHidden/>
    <w:rsid w:val="00294A5A"/>
    <w:pPr>
      <w:spacing w:after="0" w:line="240" w:lineRule="auto"/>
    </w:pPr>
    <w:tblPr>
      <w:tblStyleRowBandSize w:val="1"/>
      <w:tblStyleColBandSize w:val="1"/>
      <w:tblBorders>
        <w:top w:val="single" w:sz="4" w:space="0" w:color="85C6CF" w:themeColor="accent1" w:themeTint="99"/>
        <w:left w:val="single" w:sz="4" w:space="0" w:color="85C6CF" w:themeColor="accent1" w:themeTint="99"/>
        <w:bottom w:val="single" w:sz="4" w:space="0" w:color="85C6CF" w:themeColor="accent1" w:themeTint="99"/>
        <w:right w:val="single" w:sz="4" w:space="0" w:color="85C6CF" w:themeColor="accent1" w:themeTint="99"/>
        <w:insideH w:val="single" w:sz="4" w:space="0" w:color="85C6CF" w:themeColor="accent1" w:themeTint="99"/>
      </w:tblBorders>
    </w:tblPr>
    <w:tblStylePr w:type="firstRow">
      <w:rPr>
        <w:b/>
        <w:bCs/>
        <w:color w:val="FFFFFF" w:themeColor="background1"/>
      </w:rPr>
      <w:tblPr/>
      <w:tcPr>
        <w:tcBorders>
          <w:top w:val="single" w:sz="4" w:space="0" w:color="4098A4" w:themeColor="accent1"/>
          <w:left w:val="single" w:sz="4" w:space="0" w:color="4098A4" w:themeColor="accent1"/>
          <w:bottom w:val="single" w:sz="4" w:space="0" w:color="4098A4" w:themeColor="accent1"/>
          <w:right w:val="single" w:sz="4" w:space="0" w:color="4098A4" w:themeColor="accent1"/>
          <w:insideH w:val="nil"/>
        </w:tcBorders>
        <w:shd w:val="clear" w:color="auto" w:fill="4098A4" w:themeFill="accent1"/>
      </w:tcPr>
    </w:tblStylePr>
    <w:tblStylePr w:type="lastRow">
      <w:rPr>
        <w:b/>
        <w:bCs/>
      </w:rPr>
      <w:tblPr/>
      <w:tcPr>
        <w:tcBorders>
          <w:top w:val="double" w:sz="4" w:space="0" w:color="85C6CF" w:themeColor="accent1" w:themeTint="99"/>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4-Accent2">
    <w:name w:val="List Table 4 Accent 2"/>
    <w:basedOn w:val="TableNormal"/>
    <w:uiPriority w:val="49"/>
    <w:semiHidden/>
    <w:rsid w:val="00294A5A"/>
    <w:pPr>
      <w:spacing w:after="0" w:line="240" w:lineRule="auto"/>
    </w:pPr>
    <w:tblPr>
      <w:tblStyleRowBandSize w:val="1"/>
      <w:tblStyleColBandSize w:val="1"/>
      <w:tblBorders>
        <w:top w:val="single" w:sz="4" w:space="0" w:color="B2D5DB" w:themeColor="accent2" w:themeTint="99"/>
        <w:left w:val="single" w:sz="4" w:space="0" w:color="B2D5DB" w:themeColor="accent2" w:themeTint="99"/>
        <w:bottom w:val="single" w:sz="4" w:space="0" w:color="B2D5DB" w:themeColor="accent2" w:themeTint="99"/>
        <w:right w:val="single" w:sz="4" w:space="0" w:color="B2D5DB" w:themeColor="accent2" w:themeTint="99"/>
        <w:insideH w:val="single" w:sz="4" w:space="0" w:color="B2D5DB" w:themeColor="accent2" w:themeTint="99"/>
      </w:tblBorders>
    </w:tblPr>
    <w:tblStylePr w:type="firstRow">
      <w:rPr>
        <w:b/>
        <w:bCs/>
        <w:color w:val="FFFFFF" w:themeColor="background1"/>
      </w:rPr>
      <w:tblPr/>
      <w:tcPr>
        <w:tcBorders>
          <w:top w:val="single" w:sz="4" w:space="0" w:color="80BAC3" w:themeColor="accent2"/>
          <w:left w:val="single" w:sz="4" w:space="0" w:color="80BAC3" w:themeColor="accent2"/>
          <w:bottom w:val="single" w:sz="4" w:space="0" w:color="80BAC3" w:themeColor="accent2"/>
          <w:right w:val="single" w:sz="4" w:space="0" w:color="80BAC3" w:themeColor="accent2"/>
          <w:insideH w:val="nil"/>
        </w:tcBorders>
        <w:shd w:val="clear" w:color="auto" w:fill="80BAC3" w:themeFill="accent2"/>
      </w:tcPr>
    </w:tblStylePr>
    <w:tblStylePr w:type="lastRow">
      <w:rPr>
        <w:b/>
        <w:bCs/>
      </w:rPr>
      <w:tblPr/>
      <w:tcPr>
        <w:tcBorders>
          <w:top w:val="double" w:sz="4" w:space="0" w:color="B2D5DB" w:themeColor="accent2" w:themeTint="99"/>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4-Accent3">
    <w:name w:val="List Table 4 Accent 3"/>
    <w:basedOn w:val="TableNormal"/>
    <w:uiPriority w:val="49"/>
    <w:semiHidden/>
    <w:rsid w:val="00294A5A"/>
    <w:pPr>
      <w:spacing w:after="0" w:line="240" w:lineRule="auto"/>
    </w:pPr>
    <w:tblPr>
      <w:tblStyleRowBandSize w:val="1"/>
      <w:tblStyleColBandSize w:val="1"/>
      <w:tblBorders>
        <w:top w:val="single" w:sz="4" w:space="0" w:color="D8EAED" w:themeColor="accent3" w:themeTint="99"/>
        <w:left w:val="single" w:sz="4" w:space="0" w:color="D8EAED" w:themeColor="accent3" w:themeTint="99"/>
        <w:bottom w:val="single" w:sz="4" w:space="0" w:color="D8EAED" w:themeColor="accent3" w:themeTint="99"/>
        <w:right w:val="single" w:sz="4" w:space="0" w:color="D8EAED" w:themeColor="accent3" w:themeTint="99"/>
        <w:insideH w:val="single" w:sz="4" w:space="0" w:color="D8EAED" w:themeColor="accent3" w:themeTint="99"/>
      </w:tblBorders>
    </w:tblPr>
    <w:tblStylePr w:type="firstRow">
      <w:rPr>
        <w:b/>
        <w:bCs/>
        <w:color w:val="FFFFFF" w:themeColor="background1"/>
      </w:rPr>
      <w:tblPr/>
      <w:tcPr>
        <w:tcBorders>
          <w:top w:val="single" w:sz="4" w:space="0" w:color="BFDDE1" w:themeColor="accent3"/>
          <w:left w:val="single" w:sz="4" w:space="0" w:color="BFDDE1" w:themeColor="accent3"/>
          <w:bottom w:val="single" w:sz="4" w:space="0" w:color="BFDDE1" w:themeColor="accent3"/>
          <w:right w:val="single" w:sz="4" w:space="0" w:color="BFDDE1" w:themeColor="accent3"/>
          <w:insideH w:val="nil"/>
        </w:tcBorders>
        <w:shd w:val="clear" w:color="auto" w:fill="BFDDE1" w:themeFill="accent3"/>
      </w:tcPr>
    </w:tblStylePr>
    <w:tblStylePr w:type="lastRow">
      <w:rPr>
        <w:b/>
        <w:bCs/>
      </w:rPr>
      <w:tblPr/>
      <w:tcPr>
        <w:tcBorders>
          <w:top w:val="double" w:sz="4" w:space="0" w:color="D8EAED" w:themeColor="accent3" w:themeTint="99"/>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4-Accent4">
    <w:name w:val="List Table 4 Accent 4"/>
    <w:basedOn w:val="TableNormal"/>
    <w:uiPriority w:val="49"/>
    <w:semiHidden/>
    <w:rsid w:val="00294A5A"/>
    <w:pPr>
      <w:spacing w:after="0" w:line="240" w:lineRule="auto"/>
    </w:pPr>
    <w:tblPr>
      <w:tblStyleRowBandSize w:val="1"/>
      <w:tblStyleColBandSize w:val="1"/>
      <w:tblBorders>
        <w:top w:val="single" w:sz="4" w:space="0" w:color="84849D" w:themeColor="accent4" w:themeTint="99"/>
        <w:left w:val="single" w:sz="4" w:space="0" w:color="84849D" w:themeColor="accent4" w:themeTint="99"/>
        <w:bottom w:val="single" w:sz="4" w:space="0" w:color="84849D" w:themeColor="accent4" w:themeTint="99"/>
        <w:right w:val="single" w:sz="4" w:space="0" w:color="84849D" w:themeColor="accent4" w:themeTint="99"/>
        <w:insideH w:val="single" w:sz="4" w:space="0" w:color="84849D" w:themeColor="accent4" w:themeTint="99"/>
      </w:tblBorders>
    </w:tblPr>
    <w:tblStylePr w:type="firstRow">
      <w:rPr>
        <w:b/>
        <w:bCs/>
        <w:color w:val="FFFFFF" w:themeColor="background1"/>
      </w:rPr>
      <w:tblPr/>
      <w:tcPr>
        <w:tcBorders>
          <w:top w:val="single" w:sz="4" w:space="0" w:color="404050" w:themeColor="accent4"/>
          <w:left w:val="single" w:sz="4" w:space="0" w:color="404050" w:themeColor="accent4"/>
          <w:bottom w:val="single" w:sz="4" w:space="0" w:color="404050" w:themeColor="accent4"/>
          <w:right w:val="single" w:sz="4" w:space="0" w:color="404050" w:themeColor="accent4"/>
          <w:insideH w:val="nil"/>
        </w:tcBorders>
        <w:shd w:val="clear" w:color="auto" w:fill="404050" w:themeFill="accent4"/>
      </w:tcPr>
    </w:tblStylePr>
    <w:tblStylePr w:type="lastRow">
      <w:rPr>
        <w:b/>
        <w:bCs/>
      </w:rPr>
      <w:tblPr/>
      <w:tcPr>
        <w:tcBorders>
          <w:top w:val="double" w:sz="4" w:space="0" w:color="84849D" w:themeColor="accent4" w:themeTint="99"/>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4-Accent5">
    <w:name w:val="List Table 4 Accent 5"/>
    <w:basedOn w:val="TableNormal"/>
    <w:uiPriority w:val="49"/>
    <w:semiHidden/>
    <w:rsid w:val="00294A5A"/>
    <w:pPr>
      <w:spacing w:after="0" w:line="240" w:lineRule="auto"/>
    </w:pPr>
    <w:tblPr>
      <w:tblStyleRowBandSize w:val="1"/>
      <w:tblStyleColBandSize w:val="1"/>
      <w:tblBorders>
        <w:top w:val="single" w:sz="4" w:space="0" w:color="B2B2B9" w:themeColor="accent5" w:themeTint="99"/>
        <w:left w:val="single" w:sz="4" w:space="0" w:color="B2B2B9" w:themeColor="accent5" w:themeTint="99"/>
        <w:bottom w:val="single" w:sz="4" w:space="0" w:color="B2B2B9" w:themeColor="accent5" w:themeTint="99"/>
        <w:right w:val="single" w:sz="4" w:space="0" w:color="B2B2B9" w:themeColor="accent5" w:themeTint="99"/>
        <w:insideH w:val="single" w:sz="4" w:space="0" w:color="B2B2B9" w:themeColor="accent5" w:themeTint="99"/>
      </w:tblBorders>
    </w:tblPr>
    <w:tblStylePr w:type="firstRow">
      <w:rPr>
        <w:b/>
        <w:bCs/>
        <w:color w:val="FFFFFF" w:themeColor="background1"/>
      </w:rPr>
      <w:tblPr/>
      <w:tcPr>
        <w:tcBorders>
          <w:top w:val="single" w:sz="4" w:space="0" w:color="80808B" w:themeColor="accent5"/>
          <w:left w:val="single" w:sz="4" w:space="0" w:color="80808B" w:themeColor="accent5"/>
          <w:bottom w:val="single" w:sz="4" w:space="0" w:color="80808B" w:themeColor="accent5"/>
          <w:right w:val="single" w:sz="4" w:space="0" w:color="80808B" w:themeColor="accent5"/>
          <w:insideH w:val="nil"/>
        </w:tcBorders>
        <w:shd w:val="clear" w:color="auto" w:fill="80808B" w:themeFill="accent5"/>
      </w:tcPr>
    </w:tblStylePr>
    <w:tblStylePr w:type="lastRow">
      <w:rPr>
        <w:b/>
        <w:bCs/>
      </w:rPr>
      <w:tblPr/>
      <w:tcPr>
        <w:tcBorders>
          <w:top w:val="double" w:sz="4" w:space="0" w:color="B2B2B9" w:themeColor="accent5" w:themeTint="99"/>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4-Accent6">
    <w:name w:val="List Table 4 Accent 6"/>
    <w:basedOn w:val="TableNormal"/>
    <w:uiPriority w:val="49"/>
    <w:semiHidden/>
    <w:rsid w:val="00294A5A"/>
    <w:pPr>
      <w:spacing w:after="0" w:line="240" w:lineRule="auto"/>
    </w:pPr>
    <w:tblPr>
      <w:tblStyleRowBandSize w:val="1"/>
      <w:tblStyleColBandSize w:val="1"/>
      <w:tblBorders>
        <w:top w:val="single" w:sz="4" w:space="0" w:color="E0E0E2" w:themeColor="accent6" w:themeTint="99"/>
        <w:left w:val="single" w:sz="4" w:space="0" w:color="E0E0E2" w:themeColor="accent6" w:themeTint="99"/>
        <w:bottom w:val="single" w:sz="4" w:space="0" w:color="E0E0E2" w:themeColor="accent6" w:themeTint="99"/>
        <w:right w:val="single" w:sz="4" w:space="0" w:color="E0E0E2" w:themeColor="accent6" w:themeTint="99"/>
        <w:insideH w:val="single" w:sz="4" w:space="0" w:color="E0E0E2" w:themeColor="accent6" w:themeTint="99"/>
      </w:tblBorders>
    </w:tblPr>
    <w:tblStylePr w:type="firstRow">
      <w:rPr>
        <w:b/>
        <w:bCs/>
        <w:color w:val="FFFFFF" w:themeColor="background1"/>
      </w:rPr>
      <w:tblPr/>
      <w:tcPr>
        <w:tcBorders>
          <w:top w:val="single" w:sz="4" w:space="0" w:color="CCCCD0" w:themeColor="accent6"/>
          <w:left w:val="single" w:sz="4" w:space="0" w:color="CCCCD0" w:themeColor="accent6"/>
          <w:bottom w:val="single" w:sz="4" w:space="0" w:color="CCCCD0" w:themeColor="accent6"/>
          <w:right w:val="single" w:sz="4" w:space="0" w:color="CCCCD0" w:themeColor="accent6"/>
          <w:insideH w:val="nil"/>
        </w:tcBorders>
        <w:shd w:val="clear" w:color="auto" w:fill="CCCCD0" w:themeFill="accent6"/>
      </w:tcPr>
    </w:tblStylePr>
    <w:tblStylePr w:type="lastRow">
      <w:rPr>
        <w:b/>
        <w:bCs/>
      </w:rPr>
      <w:tblPr/>
      <w:tcPr>
        <w:tcBorders>
          <w:top w:val="double" w:sz="4" w:space="0" w:color="E0E0E2" w:themeColor="accent6" w:themeTint="99"/>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5Dark">
    <w:name w:val="List Table 5 Dark"/>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98A4" w:themeColor="accent1"/>
        <w:left w:val="single" w:sz="24" w:space="0" w:color="4098A4" w:themeColor="accent1"/>
        <w:bottom w:val="single" w:sz="24" w:space="0" w:color="4098A4" w:themeColor="accent1"/>
        <w:right w:val="single" w:sz="24" w:space="0" w:color="4098A4" w:themeColor="accent1"/>
      </w:tblBorders>
    </w:tblPr>
    <w:tcPr>
      <w:shd w:val="clear" w:color="auto" w:fill="4098A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BAC3" w:themeColor="accent2"/>
        <w:left w:val="single" w:sz="24" w:space="0" w:color="80BAC3" w:themeColor="accent2"/>
        <w:bottom w:val="single" w:sz="24" w:space="0" w:color="80BAC3" w:themeColor="accent2"/>
        <w:right w:val="single" w:sz="24" w:space="0" w:color="80BAC3" w:themeColor="accent2"/>
      </w:tblBorders>
    </w:tblPr>
    <w:tcPr>
      <w:shd w:val="clear" w:color="auto" w:fill="80BAC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BFDDE1" w:themeColor="accent3"/>
        <w:left w:val="single" w:sz="24" w:space="0" w:color="BFDDE1" w:themeColor="accent3"/>
        <w:bottom w:val="single" w:sz="24" w:space="0" w:color="BFDDE1" w:themeColor="accent3"/>
        <w:right w:val="single" w:sz="24" w:space="0" w:color="BFDDE1" w:themeColor="accent3"/>
      </w:tblBorders>
    </w:tblPr>
    <w:tcPr>
      <w:shd w:val="clear" w:color="auto" w:fill="BFDD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404050" w:themeColor="accent4"/>
        <w:left w:val="single" w:sz="24" w:space="0" w:color="404050" w:themeColor="accent4"/>
        <w:bottom w:val="single" w:sz="24" w:space="0" w:color="404050" w:themeColor="accent4"/>
        <w:right w:val="single" w:sz="24" w:space="0" w:color="404050" w:themeColor="accent4"/>
      </w:tblBorders>
    </w:tblPr>
    <w:tcPr>
      <w:shd w:val="clear" w:color="auto" w:fill="40405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80808B" w:themeColor="accent5"/>
        <w:left w:val="single" w:sz="24" w:space="0" w:color="80808B" w:themeColor="accent5"/>
        <w:bottom w:val="single" w:sz="24" w:space="0" w:color="80808B" w:themeColor="accent5"/>
        <w:right w:val="single" w:sz="24" w:space="0" w:color="80808B" w:themeColor="accent5"/>
      </w:tblBorders>
    </w:tblPr>
    <w:tcPr>
      <w:shd w:val="clear" w:color="auto" w:fill="80808B"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294A5A"/>
    <w:pPr>
      <w:spacing w:after="0" w:line="240" w:lineRule="auto"/>
    </w:pPr>
    <w:rPr>
      <w:color w:val="FFFFFF" w:themeColor="background1"/>
    </w:rPr>
    <w:tblPr>
      <w:tblStyleRowBandSize w:val="1"/>
      <w:tblStyleColBandSize w:val="1"/>
      <w:tblBorders>
        <w:top w:val="single" w:sz="24" w:space="0" w:color="CCCCD0" w:themeColor="accent6"/>
        <w:left w:val="single" w:sz="24" w:space="0" w:color="CCCCD0" w:themeColor="accent6"/>
        <w:bottom w:val="single" w:sz="24" w:space="0" w:color="CCCCD0" w:themeColor="accent6"/>
        <w:right w:val="single" w:sz="24" w:space="0" w:color="CCCCD0" w:themeColor="accent6"/>
      </w:tblBorders>
    </w:tblPr>
    <w:tcPr>
      <w:shd w:val="clear" w:color="auto" w:fill="CCCCD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294A5A"/>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294A5A"/>
    <w:pPr>
      <w:spacing w:after="0" w:line="240" w:lineRule="auto"/>
    </w:pPr>
    <w:rPr>
      <w:color w:val="30717A" w:themeColor="accent1" w:themeShade="BF"/>
    </w:rPr>
    <w:tblPr>
      <w:tblStyleRowBandSize w:val="1"/>
      <w:tblStyleColBandSize w:val="1"/>
      <w:tblBorders>
        <w:top w:val="single" w:sz="4" w:space="0" w:color="4098A4" w:themeColor="accent1"/>
        <w:bottom w:val="single" w:sz="4" w:space="0" w:color="4098A4" w:themeColor="accent1"/>
      </w:tblBorders>
    </w:tblPr>
    <w:tblStylePr w:type="firstRow">
      <w:rPr>
        <w:b/>
        <w:bCs/>
      </w:rPr>
      <w:tblPr/>
      <w:tcPr>
        <w:tcBorders>
          <w:bottom w:val="single" w:sz="4" w:space="0" w:color="4098A4" w:themeColor="accent1"/>
        </w:tcBorders>
      </w:tcPr>
    </w:tblStylePr>
    <w:tblStylePr w:type="lastRow">
      <w:rPr>
        <w:b/>
        <w:bCs/>
      </w:rPr>
      <w:tblPr/>
      <w:tcPr>
        <w:tcBorders>
          <w:top w:val="double" w:sz="4" w:space="0" w:color="4098A4" w:themeColor="accent1"/>
        </w:tcBorders>
      </w:tcPr>
    </w:tblStylePr>
    <w:tblStylePr w:type="firstCol">
      <w:rPr>
        <w:b/>
        <w:bCs/>
      </w:rPr>
    </w:tblStylePr>
    <w:tblStylePr w:type="lastCol">
      <w:rPr>
        <w:b/>
        <w:bCs/>
      </w:rPr>
    </w:tblStylePr>
    <w:tblStylePr w:type="band1Vert">
      <w:tblPr/>
      <w:tcPr>
        <w:shd w:val="clear" w:color="auto" w:fill="D6ECEF" w:themeFill="accent1" w:themeFillTint="33"/>
      </w:tcPr>
    </w:tblStylePr>
    <w:tblStylePr w:type="band1Horz">
      <w:tblPr/>
      <w:tcPr>
        <w:shd w:val="clear" w:color="auto" w:fill="D6ECEF" w:themeFill="accent1" w:themeFillTint="33"/>
      </w:tcPr>
    </w:tblStylePr>
  </w:style>
  <w:style w:type="table" w:styleId="ListTable6Colorful-Accent2">
    <w:name w:val="List Table 6 Colorful Accent 2"/>
    <w:basedOn w:val="TableNormal"/>
    <w:uiPriority w:val="51"/>
    <w:semiHidden/>
    <w:rsid w:val="00294A5A"/>
    <w:pPr>
      <w:spacing w:after="0" w:line="240" w:lineRule="auto"/>
    </w:pPr>
    <w:rPr>
      <w:color w:val="4D98A4" w:themeColor="accent2" w:themeShade="BF"/>
    </w:rPr>
    <w:tblPr>
      <w:tblStyleRowBandSize w:val="1"/>
      <w:tblStyleColBandSize w:val="1"/>
      <w:tblBorders>
        <w:top w:val="single" w:sz="4" w:space="0" w:color="80BAC3" w:themeColor="accent2"/>
        <w:bottom w:val="single" w:sz="4" w:space="0" w:color="80BAC3" w:themeColor="accent2"/>
      </w:tblBorders>
    </w:tblPr>
    <w:tblStylePr w:type="firstRow">
      <w:rPr>
        <w:b/>
        <w:bCs/>
      </w:rPr>
      <w:tblPr/>
      <w:tcPr>
        <w:tcBorders>
          <w:bottom w:val="single" w:sz="4" w:space="0" w:color="80BAC3" w:themeColor="accent2"/>
        </w:tcBorders>
      </w:tcPr>
    </w:tblStylePr>
    <w:tblStylePr w:type="lastRow">
      <w:rPr>
        <w:b/>
        <w:bCs/>
      </w:rPr>
      <w:tblPr/>
      <w:tcPr>
        <w:tcBorders>
          <w:top w:val="double" w:sz="4" w:space="0" w:color="80BAC3" w:themeColor="accent2"/>
        </w:tcBorders>
      </w:tcPr>
    </w:tblStylePr>
    <w:tblStylePr w:type="firstCol">
      <w:rPr>
        <w:b/>
        <w:bCs/>
      </w:rPr>
    </w:tblStylePr>
    <w:tblStylePr w:type="lastCol">
      <w:rPr>
        <w:b/>
        <w:bCs/>
      </w:rPr>
    </w:tblStylePr>
    <w:tblStylePr w:type="band1Vert">
      <w:tblPr/>
      <w:tcPr>
        <w:shd w:val="clear" w:color="auto" w:fill="E5F1F3" w:themeFill="accent2" w:themeFillTint="33"/>
      </w:tcPr>
    </w:tblStylePr>
    <w:tblStylePr w:type="band1Horz">
      <w:tblPr/>
      <w:tcPr>
        <w:shd w:val="clear" w:color="auto" w:fill="E5F1F3" w:themeFill="accent2" w:themeFillTint="33"/>
      </w:tcPr>
    </w:tblStylePr>
  </w:style>
  <w:style w:type="table" w:styleId="ListTable6Colorful-Accent3">
    <w:name w:val="List Table 6 Colorful Accent 3"/>
    <w:basedOn w:val="TableNormal"/>
    <w:uiPriority w:val="51"/>
    <w:semiHidden/>
    <w:rsid w:val="00294A5A"/>
    <w:pPr>
      <w:spacing w:after="0" w:line="240" w:lineRule="auto"/>
    </w:pPr>
    <w:rPr>
      <w:color w:val="77B7BF" w:themeColor="accent3" w:themeShade="BF"/>
    </w:rPr>
    <w:tblPr>
      <w:tblStyleRowBandSize w:val="1"/>
      <w:tblStyleColBandSize w:val="1"/>
      <w:tblBorders>
        <w:top w:val="single" w:sz="4" w:space="0" w:color="BFDDE1" w:themeColor="accent3"/>
        <w:bottom w:val="single" w:sz="4" w:space="0" w:color="BFDDE1" w:themeColor="accent3"/>
      </w:tblBorders>
    </w:tblPr>
    <w:tblStylePr w:type="firstRow">
      <w:rPr>
        <w:b/>
        <w:bCs/>
      </w:rPr>
      <w:tblPr/>
      <w:tcPr>
        <w:tcBorders>
          <w:bottom w:val="single" w:sz="4" w:space="0" w:color="BFDDE1" w:themeColor="accent3"/>
        </w:tcBorders>
      </w:tcPr>
    </w:tblStylePr>
    <w:tblStylePr w:type="lastRow">
      <w:rPr>
        <w:b/>
        <w:bCs/>
      </w:rPr>
      <w:tblPr/>
      <w:tcPr>
        <w:tcBorders>
          <w:top w:val="double" w:sz="4" w:space="0" w:color="BFDDE1" w:themeColor="accent3"/>
        </w:tcBorders>
      </w:tcPr>
    </w:tblStylePr>
    <w:tblStylePr w:type="firstCol">
      <w:rPr>
        <w:b/>
        <w:bCs/>
      </w:rPr>
    </w:tblStylePr>
    <w:tblStylePr w:type="lastCol">
      <w:rPr>
        <w:b/>
        <w:bCs/>
      </w:rPr>
    </w:tblStylePr>
    <w:tblStylePr w:type="band1Vert">
      <w:tblPr/>
      <w:tcPr>
        <w:shd w:val="clear" w:color="auto" w:fill="F2F8F9" w:themeFill="accent3" w:themeFillTint="33"/>
      </w:tcPr>
    </w:tblStylePr>
    <w:tblStylePr w:type="band1Horz">
      <w:tblPr/>
      <w:tcPr>
        <w:shd w:val="clear" w:color="auto" w:fill="F2F8F9" w:themeFill="accent3" w:themeFillTint="33"/>
      </w:tcPr>
    </w:tblStylePr>
  </w:style>
  <w:style w:type="table" w:styleId="ListTable6Colorful-Accent4">
    <w:name w:val="List Table 6 Colorful Accent 4"/>
    <w:basedOn w:val="TableNormal"/>
    <w:uiPriority w:val="51"/>
    <w:semiHidden/>
    <w:rsid w:val="00294A5A"/>
    <w:pPr>
      <w:spacing w:after="0" w:line="240" w:lineRule="auto"/>
    </w:pPr>
    <w:rPr>
      <w:color w:val="30303B" w:themeColor="accent4" w:themeShade="BF"/>
    </w:rPr>
    <w:tblPr>
      <w:tblStyleRowBandSize w:val="1"/>
      <w:tblStyleColBandSize w:val="1"/>
      <w:tblBorders>
        <w:top w:val="single" w:sz="4" w:space="0" w:color="404050" w:themeColor="accent4"/>
        <w:bottom w:val="single" w:sz="4" w:space="0" w:color="404050" w:themeColor="accent4"/>
      </w:tblBorders>
    </w:tblPr>
    <w:tblStylePr w:type="firstRow">
      <w:rPr>
        <w:b/>
        <w:bCs/>
      </w:rPr>
      <w:tblPr/>
      <w:tcPr>
        <w:tcBorders>
          <w:bottom w:val="single" w:sz="4" w:space="0" w:color="404050" w:themeColor="accent4"/>
        </w:tcBorders>
      </w:tcPr>
    </w:tblStylePr>
    <w:tblStylePr w:type="lastRow">
      <w:rPr>
        <w:b/>
        <w:bCs/>
      </w:rPr>
      <w:tblPr/>
      <w:tcPr>
        <w:tcBorders>
          <w:top w:val="double" w:sz="4" w:space="0" w:color="404050" w:themeColor="accent4"/>
        </w:tcBorders>
      </w:tcPr>
    </w:tblStylePr>
    <w:tblStylePr w:type="firstCol">
      <w:rPr>
        <w:b/>
        <w:bCs/>
      </w:rPr>
    </w:tblStylePr>
    <w:tblStylePr w:type="lastCol">
      <w:rPr>
        <w:b/>
        <w:bCs/>
      </w:rPr>
    </w:tblStylePr>
    <w:tblStylePr w:type="band1Vert">
      <w:tblPr/>
      <w:tcPr>
        <w:shd w:val="clear" w:color="auto" w:fill="D6D6DE" w:themeFill="accent4" w:themeFillTint="33"/>
      </w:tcPr>
    </w:tblStylePr>
    <w:tblStylePr w:type="band1Horz">
      <w:tblPr/>
      <w:tcPr>
        <w:shd w:val="clear" w:color="auto" w:fill="D6D6DE" w:themeFill="accent4" w:themeFillTint="33"/>
      </w:tcPr>
    </w:tblStylePr>
  </w:style>
  <w:style w:type="table" w:styleId="ListTable6Colorful-Accent5">
    <w:name w:val="List Table 6 Colorful Accent 5"/>
    <w:basedOn w:val="TableNormal"/>
    <w:uiPriority w:val="51"/>
    <w:semiHidden/>
    <w:rsid w:val="00294A5A"/>
    <w:pPr>
      <w:spacing w:after="0" w:line="240" w:lineRule="auto"/>
    </w:pPr>
    <w:rPr>
      <w:color w:val="5F5F68" w:themeColor="accent5" w:themeShade="BF"/>
    </w:rPr>
    <w:tblPr>
      <w:tblStyleRowBandSize w:val="1"/>
      <w:tblStyleColBandSize w:val="1"/>
      <w:tblBorders>
        <w:top w:val="single" w:sz="4" w:space="0" w:color="80808B" w:themeColor="accent5"/>
        <w:bottom w:val="single" w:sz="4" w:space="0" w:color="80808B" w:themeColor="accent5"/>
      </w:tblBorders>
    </w:tblPr>
    <w:tblStylePr w:type="firstRow">
      <w:rPr>
        <w:b/>
        <w:bCs/>
      </w:rPr>
      <w:tblPr/>
      <w:tcPr>
        <w:tcBorders>
          <w:bottom w:val="single" w:sz="4" w:space="0" w:color="80808B" w:themeColor="accent5"/>
        </w:tcBorders>
      </w:tcPr>
    </w:tblStylePr>
    <w:tblStylePr w:type="lastRow">
      <w:rPr>
        <w:b/>
        <w:bCs/>
      </w:rPr>
      <w:tblPr/>
      <w:tcPr>
        <w:tcBorders>
          <w:top w:val="double" w:sz="4" w:space="0" w:color="80808B" w:themeColor="accent5"/>
        </w:tcBorders>
      </w:tcPr>
    </w:tblStylePr>
    <w:tblStylePr w:type="firstCol">
      <w:rPr>
        <w:b/>
        <w:bCs/>
      </w:rPr>
    </w:tblStylePr>
    <w:tblStylePr w:type="lastCol">
      <w:rPr>
        <w:b/>
        <w:bCs/>
      </w:rPr>
    </w:tblStylePr>
    <w:tblStylePr w:type="band1Vert">
      <w:tblPr/>
      <w:tcPr>
        <w:shd w:val="clear" w:color="auto" w:fill="E5E5E7" w:themeFill="accent5" w:themeFillTint="33"/>
      </w:tcPr>
    </w:tblStylePr>
    <w:tblStylePr w:type="band1Horz">
      <w:tblPr/>
      <w:tcPr>
        <w:shd w:val="clear" w:color="auto" w:fill="E5E5E7" w:themeFill="accent5" w:themeFillTint="33"/>
      </w:tcPr>
    </w:tblStylePr>
  </w:style>
  <w:style w:type="table" w:styleId="ListTable6Colorful-Accent6">
    <w:name w:val="List Table 6 Colorful Accent 6"/>
    <w:basedOn w:val="TableNormal"/>
    <w:uiPriority w:val="51"/>
    <w:semiHidden/>
    <w:rsid w:val="00294A5A"/>
    <w:pPr>
      <w:spacing w:after="0" w:line="240" w:lineRule="auto"/>
    </w:pPr>
    <w:rPr>
      <w:color w:val="96969E" w:themeColor="accent6" w:themeShade="BF"/>
    </w:rPr>
    <w:tblPr>
      <w:tblStyleRowBandSize w:val="1"/>
      <w:tblStyleColBandSize w:val="1"/>
      <w:tblBorders>
        <w:top w:val="single" w:sz="4" w:space="0" w:color="CCCCD0" w:themeColor="accent6"/>
        <w:bottom w:val="single" w:sz="4" w:space="0" w:color="CCCCD0" w:themeColor="accent6"/>
      </w:tblBorders>
    </w:tblPr>
    <w:tblStylePr w:type="firstRow">
      <w:rPr>
        <w:b/>
        <w:bCs/>
      </w:rPr>
      <w:tblPr/>
      <w:tcPr>
        <w:tcBorders>
          <w:bottom w:val="single" w:sz="4" w:space="0" w:color="CCCCD0" w:themeColor="accent6"/>
        </w:tcBorders>
      </w:tcPr>
    </w:tblStylePr>
    <w:tblStylePr w:type="lastRow">
      <w:rPr>
        <w:b/>
        <w:bCs/>
      </w:rPr>
      <w:tblPr/>
      <w:tcPr>
        <w:tcBorders>
          <w:top w:val="double" w:sz="4" w:space="0" w:color="CCCCD0" w:themeColor="accent6"/>
        </w:tcBorders>
      </w:tcPr>
    </w:tblStylePr>
    <w:tblStylePr w:type="firstCol">
      <w:rPr>
        <w:b/>
        <w:bCs/>
      </w:rPr>
    </w:tblStylePr>
    <w:tblStylePr w:type="lastCol">
      <w:rPr>
        <w:b/>
        <w:bCs/>
      </w:rPr>
    </w:tblStylePr>
    <w:tblStylePr w:type="band1Vert">
      <w:tblPr/>
      <w:tcPr>
        <w:shd w:val="clear" w:color="auto" w:fill="F4F4F5" w:themeFill="accent6" w:themeFillTint="33"/>
      </w:tcPr>
    </w:tblStylePr>
    <w:tblStylePr w:type="band1Horz">
      <w:tblPr/>
      <w:tcPr>
        <w:shd w:val="clear" w:color="auto" w:fill="F4F4F5" w:themeFill="accent6" w:themeFillTint="33"/>
      </w:tcPr>
    </w:tblStylePr>
  </w:style>
  <w:style w:type="table" w:styleId="ListTable7Colorful">
    <w:name w:val="List Table 7 Colorful"/>
    <w:basedOn w:val="TableNormal"/>
    <w:uiPriority w:val="52"/>
    <w:semiHidden/>
    <w:rsid w:val="00294A5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294A5A"/>
    <w:pPr>
      <w:spacing w:after="0" w:line="240" w:lineRule="auto"/>
    </w:pPr>
    <w:rPr>
      <w:color w:val="30717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98A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98A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98A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98A4" w:themeColor="accent1"/>
        </w:tcBorders>
        <w:shd w:val="clear" w:color="auto" w:fill="FFFFFF" w:themeFill="background1"/>
      </w:tcPr>
    </w:tblStylePr>
    <w:tblStylePr w:type="band1Vert">
      <w:tblPr/>
      <w:tcPr>
        <w:shd w:val="clear" w:color="auto" w:fill="D6ECEF" w:themeFill="accent1" w:themeFillTint="33"/>
      </w:tcPr>
    </w:tblStylePr>
    <w:tblStylePr w:type="band1Horz">
      <w:tblPr/>
      <w:tcPr>
        <w:shd w:val="clear" w:color="auto" w:fill="D6EC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294A5A"/>
    <w:pPr>
      <w:spacing w:after="0" w:line="240" w:lineRule="auto"/>
    </w:pPr>
    <w:rPr>
      <w:color w:val="4D98A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BAC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BAC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BAC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BAC3" w:themeColor="accent2"/>
        </w:tcBorders>
        <w:shd w:val="clear" w:color="auto" w:fill="FFFFFF" w:themeFill="background1"/>
      </w:tcPr>
    </w:tblStylePr>
    <w:tblStylePr w:type="band1Vert">
      <w:tblPr/>
      <w:tcPr>
        <w:shd w:val="clear" w:color="auto" w:fill="E5F1F3" w:themeFill="accent2" w:themeFillTint="33"/>
      </w:tcPr>
    </w:tblStylePr>
    <w:tblStylePr w:type="band1Horz">
      <w:tblPr/>
      <w:tcPr>
        <w:shd w:val="clear" w:color="auto" w:fill="E5F1F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294A5A"/>
    <w:pPr>
      <w:spacing w:after="0" w:line="240" w:lineRule="auto"/>
    </w:pPr>
    <w:rPr>
      <w:color w:val="77B7B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FDD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FDD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FDD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FDDE1" w:themeColor="accent3"/>
        </w:tcBorders>
        <w:shd w:val="clear" w:color="auto" w:fill="FFFFFF" w:themeFill="background1"/>
      </w:tcPr>
    </w:tblStylePr>
    <w:tblStylePr w:type="band1Vert">
      <w:tblPr/>
      <w:tcPr>
        <w:shd w:val="clear" w:color="auto" w:fill="F2F8F9" w:themeFill="accent3" w:themeFillTint="33"/>
      </w:tcPr>
    </w:tblStylePr>
    <w:tblStylePr w:type="band1Horz">
      <w:tblPr/>
      <w:tcPr>
        <w:shd w:val="clear" w:color="auto" w:fill="F2F8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294A5A"/>
    <w:pPr>
      <w:spacing w:after="0" w:line="240" w:lineRule="auto"/>
    </w:pPr>
    <w:rPr>
      <w:color w:val="30303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0405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0405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0405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04050" w:themeColor="accent4"/>
        </w:tcBorders>
        <w:shd w:val="clear" w:color="auto" w:fill="FFFFFF" w:themeFill="background1"/>
      </w:tcPr>
    </w:tblStylePr>
    <w:tblStylePr w:type="band1Vert">
      <w:tblPr/>
      <w:tcPr>
        <w:shd w:val="clear" w:color="auto" w:fill="D6D6DE" w:themeFill="accent4" w:themeFillTint="33"/>
      </w:tcPr>
    </w:tblStylePr>
    <w:tblStylePr w:type="band1Horz">
      <w:tblPr/>
      <w:tcPr>
        <w:shd w:val="clear" w:color="auto" w:fill="D6D6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294A5A"/>
    <w:pPr>
      <w:spacing w:after="0" w:line="240" w:lineRule="auto"/>
    </w:pPr>
    <w:rPr>
      <w:color w:val="5F5F68"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808B"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808B"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808B"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808B" w:themeColor="accent5"/>
        </w:tcBorders>
        <w:shd w:val="clear" w:color="auto" w:fill="FFFFFF" w:themeFill="background1"/>
      </w:tcPr>
    </w:tblStylePr>
    <w:tblStylePr w:type="band1Vert">
      <w:tblPr/>
      <w:tcPr>
        <w:shd w:val="clear" w:color="auto" w:fill="E5E5E7" w:themeFill="accent5" w:themeFillTint="33"/>
      </w:tcPr>
    </w:tblStylePr>
    <w:tblStylePr w:type="band1Horz">
      <w:tblPr/>
      <w:tcPr>
        <w:shd w:val="clear" w:color="auto" w:fill="E5E5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294A5A"/>
    <w:pPr>
      <w:spacing w:after="0" w:line="240" w:lineRule="auto"/>
    </w:pPr>
    <w:rPr>
      <w:color w:val="96969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CCCD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CCCD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CCCD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CCCD0" w:themeColor="accent6"/>
        </w:tcBorders>
        <w:shd w:val="clear" w:color="auto" w:fill="FFFFFF" w:themeFill="background1"/>
      </w:tcPr>
    </w:tblStylePr>
    <w:tblStylePr w:type="band1Vert">
      <w:tblPr/>
      <w:tcPr>
        <w:shd w:val="clear" w:color="auto" w:fill="F4F4F5" w:themeFill="accent6" w:themeFillTint="33"/>
      </w:tcPr>
    </w:tblStylePr>
    <w:tblStylePr w:type="band1Horz">
      <w:tblPr/>
      <w:tcPr>
        <w:shd w:val="clear" w:color="auto" w:fill="F4F4F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insideV w:val="single" w:sz="8" w:space="0" w:color="66B8C3" w:themeColor="accent1" w:themeTint="BF"/>
      </w:tblBorders>
    </w:tblPr>
    <w:tcPr>
      <w:shd w:val="clear" w:color="auto" w:fill="CCE7EB" w:themeFill="accent1" w:themeFillTint="3F"/>
    </w:tcPr>
    <w:tblStylePr w:type="firstRow">
      <w:rPr>
        <w:b/>
        <w:bCs/>
      </w:rPr>
    </w:tblStylePr>
    <w:tblStylePr w:type="lastRow">
      <w:rPr>
        <w:b/>
        <w:bCs/>
      </w:rPr>
      <w:tblPr/>
      <w:tcPr>
        <w:tcBorders>
          <w:top w:val="single" w:sz="18" w:space="0" w:color="66B8C3" w:themeColor="accent1" w:themeTint="BF"/>
        </w:tcBorders>
      </w:tcPr>
    </w:tblStylePr>
    <w:tblStylePr w:type="firstCol">
      <w:rPr>
        <w:b/>
        <w:bCs/>
      </w:rPr>
    </w:tblStylePr>
    <w:tblStylePr w:type="lastCol">
      <w:rPr>
        <w:b/>
        <w:bCs/>
      </w:rPr>
    </w:tblStylePr>
    <w:tblStylePr w:type="band1Vert">
      <w:tblPr/>
      <w:tcPr>
        <w:shd w:val="clear" w:color="auto" w:fill="99D0D7" w:themeFill="accent1" w:themeFillTint="7F"/>
      </w:tcPr>
    </w:tblStylePr>
    <w:tblStylePr w:type="band1Horz">
      <w:tblPr/>
      <w:tcPr>
        <w:shd w:val="clear" w:color="auto" w:fill="99D0D7" w:themeFill="accent1" w:themeFillTint="7F"/>
      </w:tcPr>
    </w:tblStylePr>
  </w:style>
  <w:style w:type="table" w:styleId="MediumGrid1-Accent2">
    <w:name w:val="Medium Grid 1 Accent 2"/>
    <w:basedOn w:val="TableNormal"/>
    <w:uiPriority w:val="67"/>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insideV w:val="single" w:sz="8" w:space="0" w:color="9FCBD2" w:themeColor="accent2" w:themeTint="BF"/>
      </w:tblBorders>
    </w:tblPr>
    <w:tcPr>
      <w:shd w:val="clear" w:color="auto" w:fill="DFEDF0" w:themeFill="accent2" w:themeFillTint="3F"/>
    </w:tcPr>
    <w:tblStylePr w:type="firstRow">
      <w:rPr>
        <w:b/>
        <w:bCs/>
      </w:rPr>
    </w:tblStylePr>
    <w:tblStylePr w:type="lastRow">
      <w:rPr>
        <w:b/>
        <w:bCs/>
      </w:rPr>
      <w:tblPr/>
      <w:tcPr>
        <w:tcBorders>
          <w:top w:val="single" w:sz="18" w:space="0" w:color="9FCBD2" w:themeColor="accent2" w:themeTint="BF"/>
        </w:tcBorders>
      </w:tcPr>
    </w:tblStylePr>
    <w:tblStylePr w:type="firstCol">
      <w:rPr>
        <w:b/>
        <w:bCs/>
      </w:rPr>
    </w:tblStylePr>
    <w:tblStylePr w:type="lastCol">
      <w:rPr>
        <w:b/>
        <w:bCs/>
      </w:rPr>
    </w:tblStylePr>
    <w:tblStylePr w:type="band1Vert">
      <w:tblPr/>
      <w:tcPr>
        <w:shd w:val="clear" w:color="auto" w:fill="BFDCE1" w:themeFill="accent2" w:themeFillTint="7F"/>
      </w:tcPr>
    </w:tblStylePr>
    <w:tblStylePr w:type="band1Horz">
      <w:tblPr/>
      <w:tcPr>
        <w:shd w:val="clear" w:color="auto" w:fill="BFDCE1" w:themeFill="accent2" w:themeFillTint="7F"/>
      </w:tcPr>
    </w:tblStylePr>
  </w:style>
  <w:style w:type="table" w:styleId="MediumGrid1-Accent3">
    <w:name w:val="Medium Grid 1 Accent 3"/>
    <w:basedOn w:val="TableNormal"/>
    <w:uiPriority w:val="67"/>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insideV w:val="single" w:sz="8" w:space="0" w:color="CEE5E8" w:themeColor="accent3" w:themeTint="BF"/>
      </w:tblBorders>
    </w:tblPr>
    <w:tcPr>
      <w:shd w:val="clear" w:color="auto" w:fill="EFF6F7" w:themeFill="accent3" w:themeFillTint="3F"/>
    </w:tcPr>
    <w:tblStylePr w:type="firstRow">
      <w:rPr>
        <w:b/>
        <w:bCs/>
      </w:rPr>
    </w:tblStylePr>
    <w:tblStylePr w:type="lastRow">
      <w:rPr>
        <w:b/>
        <w:bCs/>
      </w:rPr>
      <w:tblPr/>
      <w:tcPr>
        <w:tcBorders>
          <w:top w:val="single" w:sz="18" w:space="0" w:color="CEE5E8" w:themeColor="accent3" w:themeTint="BF"/>
        </w:tcBorders>
      </w:tcPr>
    </w:tblStylePr>
    <w:tblStylePr w:type="firstCol">
      <w:rPr>
        <w:b/>
        <w:bCs/>
      </w:rPr>
    </w:tblStylePr>
    <w:tblStylePr w:type="lastCol">
      <w:rPr>
        <w:b/>
        <w:bCs/>
      </w:rPr>
    </w:tblStylePr>
    <w:tblStylePr w:type="band1Vert">
      <w:tblPr/>
      <w:tcPr>
        <w:shd w:val="clear" w:color="auto" w:fill="DFEEF0" w:themeFill="accent3" w:themeFillTint="7F"/>
      </w:tcPr>
    </w:tblStylePr>
    <w:tblStylePr w:type="band1Horz">
      <w:tblPr/>
      <w:tcPr>
        <w:shd w:val="clear" w:color="auto" w:fill="DFEEF0" w:themeFill="accent3" w:themeFillTint="7F"/>
      </w:tcPr>
    </w:tblStylePr>
  </w:style>
  <w:style w:type="table" w:styleId="MediumGrid1-Accent4">
    <w:name w:val="Medium Grid 1 Accent 4"/>
    <w:basedOn w:val="TableNormal"/>
    <w:uiPriority w:val="67"/>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insideV w:val="single" w:sz="8" w:space="0" w:color="686882" w:themeColor="accent4" w:themeTint="BF"/>
      </w:tblBorders>
    </w:tblPr>
    <w:tcPr>
      <w:shd w:val="clear" w:color="auto" w:fill="CCCCD6" w:themeFill="accent4" w:themeFillTint="3F"/>
    </w:tcPr>
    <w:tblStylePr w:type="firstRow">
      <w:rPr>
        <w:b/>
        <w:bCs/>
      </w:rPr>
    </w:tblStylePr>
    <w:tblStylePr w:type="lastRow">
      <w:rPr>
        <w:b/>
        <w:bCs/>
      </w:rPr>
      <w:tblPr/>
      <w:tcPr>
        <w:tcBorders>
          <w:top w:val="single" w:sz="18" w:space="0" w:color="686882" w:themeColor="accent4" w:themeTint="BF"/>
        </w:tcBorders>
      </w:tcPr>
    </w:tblStylePr>
    <w:tblStylePr w:type="firstCol">
      <w:rPr>
        <w:b/>
        <w:bCs/>
      </w:rPr>
    </w:tblStylePr>
    <w:tblStylePr w:type="lastCol">
      <w:rPr>
        <w:b/>
        <w:bCs/>
      </w:rPr>
    </w:tblStylePr>
    <w:tblStylePr w:type="band1Vert">
      <w:tblPr/>
      <w:tcPr>
        <w:shd w:val="clear" w:color="auto" w:fill="9999AE" w:themeFill="accent4" w:themeFillTint="7F"/>
      </w:tcPr>
    </w:tblStylePr>
    <w:tblStylePr w:type="band1Horz">
      <w:tblPr/>
      <w:tcPr>
        <w:shd w:val="clear" w:color="auto" w:fill="9999AE" w:themeFill="accent4" w:themeFillTint="7F"/>
      </w:tcPr>
    </w:tblStylePr>
  </w:style>
  <w:style w:type="table" w:styleId="MediumGrid1-Accent5">
    <w:name w:val="Medium Grid 1 Accent 5"/>
    <w:basedOn w:val="TableNormal"/>
    <w:uiPriority w:val="67"/>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insideV w:val="single" w:sz="8" w:space="0" w:color="9F9FA8" w:themeColor="accent5" w:themeTint="BF"/>
      </w:tblBorders>
    </w:tblPr>
    <w:tcPr>
      <w:shd w:val="clear" w:color="auto" w:fill="DFDFE2" w:themeFill="accent5" w:themeFillTint="3F"/>
    </w:tcPr>
    <w:tblStylePr w:type="firstRow">
      <w:rPr>
        <w:b/>
        <w:bCs/>
      </w:rPr>
    </w:tblStylePr>
    <w:tblStylePr w:type="lastRow">
      <w:rPr>
        <w:b/>
        <w:bCs/>
      </w:rPr>
      <w:tblPr/>
      <w:tcPr>
        <w:tcBorders>
          <w:top w:val="single" w:sz="18" w:space="0" w:color="9F9FA8" w:themeColor="accent5" w:themeTint="BF"/>
        </w:tcBorders>
      </w:tcPr>
    </w:tblStylePr>
    <w:tblStylePr w:type="firstCol">
      <w:rPr>
        <w:b/>
        <w:bCs/>
      </w:rPr>
    </w:tblStylePr>
    <w:tblStylePr w:type="lastCol">
      <w:rPr>
        <w:b/>
        <w:bCs/>
      </w:rPr>
    </w:tblStylePr>
    <w:tblStylePr w:type="band1Vert">
      <w:tblPr/>
      <w:tcPr>
        <w:shd w:val="clear" w:color="auto" w:fill="BFBFC5" w:themeFill="accent5" w:themeFillTint="7F"/>
      </w:tcPr>
    </w:tblStylePr>
    <w:tblStylePr w:type="band1Horz">
      <w:tblPr/>
      <w:tcPr>
        <w:shd w:val="clear" w:color="auto" w:fill="BFBFC5" w:themeFill="accent5" w:themeFillTint="7F"/>
      </w:tcPr>
    </w:tblStylePr>
  </w:style>
  <w:style w:type="table" w:styleId="MediumGrid1-Accent6">
    <w:name w:val="Medium Grid 1 Accent 6"/>
    <w:basedOn w:val="TableNormal"/>
    <w:uiPriority w:val="67"/>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insideV w:val="single" w:sz="8" w:space="0" w:color="D8D8DB" w:themeColor="accent6" w:themeTint="BF"/>
      </w:tblBorders>
    </w:tblPr>
    <w:tcPr>
      <w:shd w:val="clear" w:color="auto" w:fill="F2F2F3" w:themeFill="accent6" w:themeFillTint="3F"/>
    </w:tcPr>
    <w:tblStylePr w:type="firstRow">
      <w:rPr>
        <w:b/>
        <w:bCs/>
      </w:rPr>
    </w:tblStylePr>
    <w:tblStylePr w:type="lastRow">
      <w:rPr>
        <w:b/>
        <w:bCs/>
      </w:rPr>
      <w:tblPr/>
      <w:tcPr>
        <w:tcBorders>
          <w:top w:val="single" w:sz="18" w:space="0" w:color="D8D8DB" w:themeColor="accent6" w:themeTint="BF"/>
        </w:tcBorders>
      </w:tcPr>
    </w:tblStylePr>
    <w:tblStylePr w:type="firstCol">
      <w:rPr>
        <w:b/>
        <w:bCs/>
      </w:rPr>
    </w:tblStylePr>
    <w:tblStylePr w:type="lastCol">
      <w:rPr>
        <w:b/>
        <w:bCs/>
      </w:rPr>
    </w:tblStylePr>
    <w:tblStylePr w:type="band1Vert">
      <w:tblPr/>
      <w:tcPr>
        <w:shd w:val="clear" w:color="auto" w:fill="E5E5E7" w:themeFill="accent6" w:themeFillTint="7F"/>
      </w:tcPr>
    </w:tblStylePr>
    <w:tblStylePr w:type="band1Horz">
      <w:tblPr/>
      <w:tcPr>
        <w:shd w:val="clear" w:color="auto" w:fill="E5E5E7" w:themeFill="accent6" w:themeFillTint="7F"/>
      </w:tcPr>
    </w:tblStylePr>
  </w:style>
  <w:style w:type="table" w:styleId="MediumGrid2">
    <w:name w:val="Medium Grid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insideH w:val="single" w:sz="8" w:space="0" w:color="4098A4" w:themeColor="accent1"/>
        <w:insideV w:val="single" w:sz="8" w:space="0" w:color="4098A4" w:themeColor="accent1"/>
      </w:tblBorders>
    </w:tblPr>
    <w:tcPr>
      <w:shd w:val="clear" w:color="auto" w:fill="CCE7EB" w:themeFill="accent1" w:themeFillTint="3F"/>
    </w:tcPr>
    <w:tblStylePr w:type="firstRow">
      <w:rPr>
        <w:b/>
        <w:bCs/>
        <w:color w:val="000000" w:themeColor="text1"/>
      </w:rPr>
      <w:tblPr/>
      <w:tcPr>
        <w:shd w:val="clear" w:color="auto" w:fill="EBF5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ECEF" w:themeFill="accent1" w:themeFillTint="33"/>
      </w:tcPr>
    </w:tblStylePr>
    <w:tblStylePr w:type="band1Vert">
      <w:tblPr/>
      <w:tcPr>
        <w:shd w:val="clear" w:color="auto" w:fill="99D0D7" w:themeFill="accent1" w:themeFillTint="7F"/>
      </w:tcPr>
    </w:tblStylePr>
    <w:tblStylePr w:type="band1Horz">
      <w:tblPr/>
      <w:tcPr>
        <w:tcBorders>
          <w:insideH w:val="single" w:sz="6" w:space="0" w:color="4098A4" w:themeColor="accent1"/>
          <w:insideV w:val="single" w:sz="6" w:space="0" w:color="4098A4" w:themeColor="accent1"/>
        </w:tcBorders>
        <w:shd w:val="clear" w:color="auto" w:fill="99D0D7"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insideH w:val="single" w:sz="8" w:space="0" w:color="80BAC3" w:themeColor="accent2"/>
        <w:insideV w:val="single" w:sz="8" w:space="0" w:color="80BAC3" w:themeColor="accent2"/>
      </w:tblBorders>
    </w:tblPr>
    <w:tcPr>
      <w:shd w:val="clear" w:color="auto" w:fill="DFEDF0" w:themeFill="accent2" w:themeFillTint="3F"/>
    </w:tcPr>
    <w:tblStylePr w:type="firstRow">
      <w:rPr>
        <w:b/>
        <w:bCs/>
        <w:color w:val="000000" w:themeColor="text1"/>
      </w:rPr>
      <w:tblPr/>
      <w:tcPr>
        <w:shd w:val="clear" w:color="auto" w:fill="F2F8F9"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F1F3" w:themeFill="accent2" w:themeFillTint="33"/>
      </w:tcPr>
    </w:tblStylePr>
    <w:tblStylePr w:type="band1Vert">
      <w:tblPr/>
      <w:tcPr>
        <w:shd w:val="clear" w:color="auto" w:fill="BFDCE1" w:themeFill="accent2" w:themeFillTint="7F"/>
      </w:tcPr>
    </w:tblStylePr>
    <w:tblStylePr w:type="band1Horz">
      <w:tblPr/>
      <w:tcPr>
        <w:tcBorders>
          <w:insideH w:val="single" w:sz="6" w:space="0" w:color="80BAC3" w:themeColor="accent2"/>
          <w:insideV w:val="single" w:sz="6" w:space="0" w:color="80BAC3" w:themeColor="accent2"/>
        </w:tcBorders>
        <w:shd w:val="clear" w:color="auto" w:fill="BFDCE1"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insideH w:val="single" w:sz="8" w:space="0" w:color="BFDDE1" w:themeColor="accent3"/>
        <w:insideV w:val="single" w:sz="8" w:space="0" w:color="BFDDE1" w:themeColor="accent3"/>
      </w:tblBorders>
    </w:tblPr>
    <w:tcPr>
      <w:shd w:val="clear" w:color="auto" w:fill="EFF6F7" w:themeFill="accent3" w:themeFillTint="3F"/>
    </w:tcPr>
    <w:tblStylePr w:type="firstRow">
      <w:rPr>
        <w:b/>
        <w:bCs/>
        <w:color w:val="000000" w:themeColor="text1"/>
      </w:rPr>
      <w:tblPr/>
      <w:tcPr>
        <w:shd w:val="clear" w:color="auto" w:fill="F8FB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8F9" w:themeFill="accent3" w:themeFillTint="33"/>
      </w:tcPr>
    </w:tblStylePr>
    <w:tblStylePr w:type="band1Vert">
      <w:tblPr/>
      <w:tcPr>
        <w:shd w:val="clear" w:color="auto" w:fill="DFEEF0" w:themeFill="accent3" w:themeFillTint="7F"/>
      </w:tcPr>
    </w:tblStylePr>
    <w:tblStylePr w:type="band1Horz">
      <w:tblPr/>
      <w:tcPr>
        <w:tcBorders>
          <w:insideH w:val="single" w:sz="6" w:space="0" w:color="BFDDE1" w:themeColor="accent3"/>
          <w:insideV w:val="single" w:sz="6" w:space="0" w:color="BFDDE1" w:themeColor="accent3"/>
        </w:tcBorders>
        <w:shd w:val="clear" w:color="auto" w:fill="DFEEF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insideH w:val="single" w:sz="8" w:space="0" w:color="404050" w:themeColor="accent4"/>
        <w:insideV w:val="single" w:sz="8" w:space="0" w:color="404050" w:themeColor="accent4"/>
      </w:tblBorders>
    </w:tblPr>
    <w:tcPr>
      <w:shd w:val="clear" w:color="auto" w:fill="CCCCD6" w:themeFill="accent4" w:themeFillTint="3F"/>
    </w:tcPr>
    <w:tblStylePr w:type="firstRow">
      <w:rPr>
        <w:b/>
        <w:bCs/>
        <w:color w:val="000000" w:themeColor="text1"/>
      </w:rPr>
      <w:tblPr/>
      <w:tcPr>
        <w:shd w:val="clear" w:color="auto" w:fill="EBEB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6D6DE" w:themeFill="accent4" w:themeFillTint="33"/>
      </w:tcPr>
    </w:tblStylePr>
    <w:tblStylePr w:type="band1Vert">
      <w:tblPr/>
      <w:tcPr>
        <w:shd w:val="clear" w:color="auto" w:fill="9999AE" w:themeFill="accent4" w:themeFillTint="7F"/>
      </w:tcPr>
    </w:tblStylePr>
    <w:tblStylePr w:type="band1Horz">
      <w:tblPr/>
      <w:tcPr>
        <w:tcBorders>
          <w:insideH w:val="single" w:sz="6" w:space="0" w:color="404050" w:themeColor="accent4"/>
          <w:insideV w:val="single" w:sz="6" w:space="0" w:color="404050" w:themeColor="accent4"/>
        </w:tcBorders>
        <w:shd w:val="clear" w:color="auto" w:fill="9999AE"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insideH w:val="single" w:sz="8" w:space="0" w:color="80808B" w:themeColor="accent5"/>
        <w:insideV w:val="single" w:sz="8" w:space="0" w:color="80808B" w:themeColor="accent5"/>
      </w:tblBorders>
    </w:tblPr>
    <w:tcPr>
      <w:shd w:val="clear" w:color="auto" w:fill="DFDFE2" w:themeFill="accent5" w:themeFillTint="3F"/>
    </w:tcPr>
    <w:tblStylePr w:type="firstRow">
      <w:rPr>
        <w:b/>
        <w:bCs/>
        <w:color w:val="000000" w:themeColor="text1"/>
      </w:rPr>
      <w:tblPr/>
      <w:tcPr>
        <w:shd w:val="clear" w:color="auto" w:fill="F2F2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7" w:themeFill="accent5" w:themeFillTint="33"/>
      </w:tcPr>
    </w:tblStylePr>
    <w:tblStylePr w:type="band1Vert">
      <w:tblPr/>
      <w:tcPr>
        <w:shd w:val="clear" w:color="auto" w:fill="BFBFC5" w:themeFill="accent5" w:themeFillTint="7F"/>
      </w:tcPr>
    </w:tblStylePr>
    <w:tblStylePr w:type="band1Horz">
      <w:tblPr/>
      <w:tcPr>
        <w:tcBorders>
          <w:insideH w:val="single" w:sz="6" w:space="0" w:color="80808B" w:themeColor="accent5"/>
          <w:insideV w:val="single" w:sz="6" w:space="0" w:color="80808B" w:themeColor="accent5"/>
        </w:tcBorders>
        <w:shd w:val="clear" w:color="auto" w:fill="BFBFC5"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insideH w:val="single" w:sz="8" w:space="0" w:color="CCCCD0" w:themeColor="accent6"/>
        <w:insideV w:val="single" w:sz="8" w:space="0" w:color="CCCCD0" w:themeColor="accent6"/>
      </w:tblBorders>
    </w:tblPr>
    <w:tcPr>
      <w:shd w:val="clear" w:color="auto" w:fill="F2F2F3" w:themeFill="accent6" w:themeFillTint="3F"/>
    </w:tcPr>
    <w:tblStylePr w:type="firstRow">
      <w:rPr>
        <w:b/>
        <w:bCs/>
        <w:color w:val="000000" w:themeColor="text1"/>
      </w:rPr>
      <w:tblPr/>
      <w:tcPr>
        <w:shd w:val="clear" w:color="auto" w:fill="F9F9F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F4F5" w:themeFill="accent6" w:themeFillTint="33"/>
      </w:tcPr>
    </w:tblStylePr>
    <w:tblStylePr w:type="band1Vert">
      <w:tblPr/>
      <w:tcPr>
        <w:shd w:val="clear" w:color="auto" w:fill="E5E5E7" w:themeFill="accent6" w:themeFillTint="7F"/>
      </w:tcPr>
    </w:tblStylePr>
    <w:tblStylePr w:type="band1Horz">
      <w:tblPr/>
      <w:tcPr>
        <w:tcBorders>
          <w:insideH w:val="single" w:sz="6" w:space="0" w:color="CCCCD0" w:themeColor="accent6"/>
          <w:insideV w:val="single" w:sz="6" w:space="0" w:color="CCCCD0" w:themeColor="accent6"/>
        </w:tcBorders>
        <w:shd w:val="clear" w:color="auto" w:fill="E5E5E7"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E7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98A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98A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98A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D0D7"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D0D7" w:themeFill="accent1" w:themeFillTint="7F"/>
      </w:tcPr>
    </w:tblStylePr>
  </w:style>
  <w:style w:type="table" w:styleId="MediumGrid3-Accent2">
    <w:name w:val="Medium Grid 3 Accent 2"/>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D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BAC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BAC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BAC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DCE1"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DCE1" w:themeFill="accent2" w:themeFillTint="7F"/>
      </w:tcPr>
    </w:tblStylePr>
  </w:style>
  <w:style w:type="table" w:styleId="MediumGrid3-Accent3">
    <w:name w:val="Medium Grid 3 Accent 3"/>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6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DD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DD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DD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E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EF0" w:themeFill="accent3" w:themeFillTint="7F"/>
      </w:tcPr>
    </w:tblStylePr>
  </w:style>
  <w:style w:type="table" w:styleId="MediumGrid3-Accent4">
    <w:name w:val="Medium Grid 3 Accent 4"/>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D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0405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0405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0405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AE"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AE" w:themeFill="accent4" w:themeFillTint="7F"/>
      </w:tcPr>
    </w:tblStylePr>
  </w:style>
  <w:style w:type="table" w:styleId="MediumGrid3-Accent5">
    <w:name w:val="Medium Grid 3 Accent 5"/>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E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C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C5" w:themeFill="accent5" w:themeFillTint="7F"/>
      </w:tcPr>
    </w:tblStylePr>
  </w:style>
  <w:style w:type="table" w:styleId="MediumGrid3-Accent6">
    <w:name w:val="Medium Grid 3 Accent 6"/>
    <w:basedOn w:val="TableNormal"/>
    <w:uiPriority w:val="69"/>
    <w:semiHidden/>
    <w:rsid w:val="00294A5A"/>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2F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CCD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CCD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CCD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5E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5E7" w:themeFill="accent6" w:themeFillTint="7F"/>
      </w:tcPr>
    </w:tblStylePr>
  </w:style>
  <w:style w:type="table" w:styleId="MediumList1">
    <w:name w:val="Medium Lis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7586"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98A4" w:themeColor="accent1"/>
        <w:bottom w:val="single" w:sz="8" w:space="0" w:color="4098A4" w:themeColor="accent1"/>
      </w:tblBorders>
    </w:tblPr>
    <w:tblStylePr w:type="firstRow">
      <w:rPr>
        <w:rFonts w:asciiTheme="majorHAnsi" w:eastAsiaTheme="majorEastAsia" w:hAnsiTheme="majorHAnsi" w:cstheme="majorBidi"/>
      </w:rPr>
      <w:tblPr/>
      <w:tcPr>
        <w:tcBorders>
          <w:top w:val="nil"/>
          <w:bottom w:val="single" w:sz="8" w:space="0" w:color="4098A4" w:themeColor="accent1"/>
        </w:tcBorders>
      </w:tcPr>
    </w:tblStylePr>
    <w:tblStylePr w:type="lastRow">
      <w:rPr>
        <w:b/>
        <w:bCs/>
        <w:color w:val="007586" w:themeColor="text2"/>
      </w:rPr>
      <w:tblPr/>
      <w:tcPr>
        <w:tcBorders>
          <w:top w:val="single" w:sz="8" w:space="0" w:color="4098A4" w:themeColor="accent1"/>
          <w:bottom w:val="single" w:sz="8" w:space="0" w:color="4098A4" w:themeColor="accent1"/>
        </w:tcBorders>
      </w:tcPr>
    </w:tblStylePr>
    <w:tblStylePr w:type="firstCol">
      <w:rPr>
        <w:b/>
        <w:bCs/>
      </w:rPr>
    </w:tblStylePr>
    <w:tblStylePr w:type="lastCol">
      <w:rPr>
        <w:b/>
        <w:bCs/>
      </w:rPr>
      <w:tblPr/>
      <w:tcPr>
        <w:tcBorders>
          <w:top w:val="single" w:sz="8" w:space="0" w:color="4098A4" w:themeColor="accent1"/>
          <w:bottom w:val="single" w:sz="8" w:space="0" w:color="4098A4" w:themeColor="accent1"/>
        </w:tcBorders>
      </w:tcPr>
    </w:tblStylePr>
    <w:tblStylePr w:type="band1Vert">
      <w:tblPr/>
      <w:tcPr>
        <w:shd w:val="clear" w:color="auto" w:fill="CCE7EB" w:themeFill="accent1" w:themeFillTint="3F"/>
      </w:tcPr>
    </w:tblStylePr>
    <w:tblStylePr w:type="band1Horz">
      <w:tblPr/>
      <w:tcPr>
        <w:shd w:val="clear" w:color="auto" w:fill="CCE7EB" w:themeFill="accent1" w:themeFillTint="3F"/>
      </w:tcPr>
    </w:tblStylePr>
  </w:style>
  <w:style w:type="table" w:styleId="MediumList1-Accent2">
    <w:name w:val="Medium List 1 Accent 2"/>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BAC3" w:themeColor="accent2"/>
        <w:bottom w:val="single" w:sz="8" w:space="0" w:color="80BAC3" w:themeColor="accent2"/>
      </w:tblBorders>
    </w:tblPr>
    <w:tblStylePr w:type="firstRow">
      <w:rPr>
        <w:rFonts w:asciiTheme="majorHAnsi" w:eastAsiaTheme="majorEastAsia" w:hAnsiTheme="majorHAnsi" w:cstheme="majorBidi"/>
      </w:rPr>
      <w:tblPr/>
      <w:tcPr>
        <w:tcBorders>
          <w:top w:val="nil"/>
          <w:bottom w:val="single" w:sz="8" w:space="0" w:color="80BAC3" w:themeColor="accent2"/>
        </w:tcBorders>
      </w:tcPr>
    </w:tblStylePr>
    <w:tblStylePr w:type="lastRow">
      <w:rPr>
        <w:b/>
        <w:bCs/>
        <w:color w:val="007586" w:themeColor="text2"/>
      </w:rPr>
      <w:tblPr/>
      <w:tcPr>
        <w:tcBorders>
          <w:top w:val="single" w:sz="8" w:space="0" w:color="80BAC3" w:themeColor="accent2"/>
          <w:bottom w:val="single" w:sz="8" w:space="0" w:color="80BAC3" w:themeColor="accent2"/>
        </w:tcBorders>
      </w:tcPr>
    </w:tblStylePr>
    <w:tblStylePr w:type="firstCol">
      <w:rPr>
        <w:b/>
        <w:bCs/>
      </w:rPr>
    </w:tblStylePr>
    <w:tblStylePr w:type="lastCol">
      <w:rPr>
        <w:b/>
        <w:bCs/>
      </w:rPr>
      <w:tblPr/>
      <w:tcPr>
        <w:tcBorders>
          <w:top w:val="single" w:sz="8" w:space="0" w:color="80BAC3" w:themeColor="accent2"/>
          <w:bottom w:val="single" w:sz="8" w:space="0" w:color="80BAC3" w:themeColor="accent2"/>
        </w:tcBorders>
      </w:tcPr>
    </w:tblStylePr>
    <w:tblStylePr w:type="band1Vert">
      <w:tblPr/>
      <w:tcPr>
        <w:shd w:val="clear" w:color="auto" w:fill="DFEDF0" w:themeFill="accent2" w:themeFillTint="3F"/>
      </w:tcPr>
    </w:tblStylePr>
    <w:tblStylePr w:type="band1Horz">
      <w:tblPr/>
      <w:tcPr>
        <w:shd w:val="clear" w:color="auto" w:fill="DFEDF0" w:themeFill="accent2" w:themeFillTint="3F"/>
      </w:tcPr>
    </w:tblStylePr>
  </w:style>
  <w:style w:type="table" w:styleId="MediumList1-Accent3">
    <w:name w:val="Medium List 1 Accent 3"/>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BFDDE1" w:themeColor="accent3"/>
        <w:bottom w:val="single" w:sz="8" w:space="0" w:color="BFDDE1" w:themeColor="accent3"/>
      </w:tblBorders>
    </w:tblPr>
    <w:tblStylePr w:type="firstRow">
      <w:rPr>
        <w:rFonts w:asciiTheme="majorHAnsi" w:eastAsiaTheme="majorEastAsia" w:hAnsiTheme="majorHAnsi" w:cstheme="majorBidi"/>
      </w:rPr>
      <w:tblPr/>
      <w:tcPr>
        <w:tcBorders>
          <w:top w:val="nil"/>
          <w:bottom w:val="single" w:sz="8" w:space="0" w:color="BFDDE1" w:themeColor="accent3"/>
        </w:tcBorders>
      </w:tcPr>
    </w:tblStylePr>
    <w:tblStylePr w:type="lastRow">
      <w:rPr>
        <w:b/>
        <w:bCs/>
        <w:color w:val="007586" w:themeColor="text2"/>
      </w:rPr>
      <w:tblPr/>
      <w:tcPr>
        <w:tcBorders>
          <w:top w:val="single" w:sz="8" w:space="0" w:color="BFDDE1" w:themeColor="accent3"/>
          <w:bottom w:val="single" w:sz="8" w:space="0" w:color="BFDDE1" w:themeColor="accent3"/>
        </w:tcBorders>
      </w:tcPr>
    </w:tblStylePr>
    <w:tblStylePr w:type="firstCol">
      <w:rPr>
        <w:b/>
        <w:bCs/>
      </w:rPr>
    </w:tblStylePr>
    <w:tblStylePr w:type="lastCol">
      <w:rPr>
        <w:b/>
        <w:bCs/>
      </w:rPr>
      <w:tblPr/>
      <w:tcPr>
        <w:tcBorders>
          <w:top w:val="single" w:sz="8" w:space="0" w:color="BFDDE1" w:themeColor="accent3"/>
          <w:bottom w:val="single" w:sz="8" w:space="0" w:color="BFDDE1" w:themeColor="accent3"/>
        </w:tcBorders>
      </w:tcPr>
    </w:tblStylePr>
    <w:tblStylePr w:type="band1Vert">
      <w:tblPr/>
      <w:tcPr>
        <w:shd w:val="clear" w:color="auto" w:fill="EFF6F7" w:themeFill="accent3" w:themeFillTint="3F"/>
      </w:tcPr>
    </w:tblStylePr>
    <w:tblStylePr w:type="band1Horz">
      <w:tblPr/>
      <w:tcPr>
        <w:shd w:val="clear" w:color="auto" w:fill="EFF6F7" w:themeFill="accent3" w:themeFillTint="3F"/>
      </w:tcPr>
    </w:tblStylePr>
  </w:style>
  <w:style w:type="table" w:styleId="MediumList1-Accent4">
    <w:name w:val="Medium List 1 Accent 4"/>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404050" w:themeColor="accent4"/>
        <w:bottom w:val="single" w:sz="8" w:space="0" w:color="404050" w:themeColor="accent4"/>
      </w:tblBorders>
    </w:tblPr>
    <w:tblStylePr w:type="firstRow">
      <w:rPr>
        <w:rFonts w:asciiTheme="majorHAnsi" w:eastAsiaTheme="majorEastAsia" w:hAnsiTheme="majorHAnsi" w:cstheme="majorBidi"/>
      </w:rPr>
      <w:tblPr/>
      <w:tcPr>
        <w:tcBorders>
          <w:top w:val="nil"/>
          <w:bottom w:val="single" w:sz="8" w:space="0" w:color="404050" w:themeColor="accent4"/>
        </w:tcBorders>
      </w:tcPr>
    </w:tblStylePr>
    <w:tblStylePr w:type="lastRow">
      <w:rPr>
        <w:b/>
        <w:bCs/>
        <w:color w:val="007586" w:themeColor="text2"/>
      </w:rPr>
      <w:tblPr/>
      <w:tcPr>
        <w:tcBorders>
          <w:top w:val="single" w:sz="8" w:space="0" w:color="404050" w:themeColor="accent4"/>
          <w:bottom w:val="single" w:sz="8" w:space="0" w:color="404050" w:themeColor="accent4"/>
        </w:tcBorders>
      </w:tcPr>
    </w:tblStylePr>
    <w:tblStylePr w:type="firstCol">
      <w:rPr>
        <w:b/>
        <w:bCs/>
      </w:rPr>
    </w:tblStylePr>
    <w:tblStylePr w:type="lastCol">
      <w:rPr>
        <w:b/>
        <w:bCs/>
      </w:rPr>
      <w:tblPr/>
      <w:tcPr>
        <w:tcBorders>
          <w:top w:val="single" w:sz="8" w:space="0" w:color="404050" w:themeColor="accent4"/>
          <w:bottom w:val="single" w:sz="8" w:space="0" w:color="404050" w:themeColor="accent4"/>
        </w:tcBorders>
      </w:tcPr>
    </w:tblStylePr>
    <w:tblStylePr w:type="band1Vert">
      <w:tblPr/>
      <w:tcPr>
        <w:shd w:val="clear" w:color="auto" w:fill="CCCCD6" w:themeFill="accent4" w:themeFillTint="3F"/>
      </w:tcPr>
    </w:tblStylePr>
    <w:tblStylePr w:type="band1Horz">
      <w:tblPr/>
      <w:tcPr>
        <w:shd w:val="clear" w:color="auto" w:fill="CCCCD6" w:themeFill="accent4" w:themeFillTint="3F"/>
      </w:tcPr>
    </w:tblStylePr>
  </w:style>
  <w:style w:type="table" w:styleId="MediumList1-Accent5">
    <w:name w:val="Medium List 1 Accent 5"/>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80808B" w:themeColor="accent5"/>
        <w:bottom w:val="single" w:sz="8" w:space="0" w:color="80808B" w:themeColor="accent5"/>
      </w:tblBorders>
    </w:tblPr>
    <w:tblStylePr w:type="firstRow">
      <w:rPr>
        <w:rFonts w:asciiTheme="majorHAnsi" w:eastAsiaTheme="majorEastAsia" w:hAnsiTheme="majorHAnsi" w:cstheme="majorBidi"/>
      </w:rPr>
      <w:tblPr/>
      <w:tcPr>
        <w:tcBorders>
          <w:top w:val="nil"/>
          <w:bottom w:val="single" w:sz="8" w:space="0" w:color="80808B" w:themeColor="accent5"/>
        </w:tcBorders>
      </w:tcPr>
    </w:tblStylePr>
    <w:tblStylePr w:type="lastRow">
      <w:rPr>
        <w:b/>
        <w:bCs/>
        <w:color w:val="007586" w:themeColor="text2"/>
      </w:rPr>
      <w:tblPr/>
      <w:tcPr>
        <w:tcBorders>
          <w:top w:val="single" w:sz="8" w:space="0" w:color="80808B" w:themeColor="accent5"/>
          <w:bottom w:val="single" w:sz="8" w:space="0" w:color="80808B" w:themeColor="accent5"/>
        </w:tcBorders>
      </w:tcPr>
    </w:tblStylePr>
    <w:tblStylePr w:type="firstCol">
      <w:rPr>
        <w:b/>
        <w:bCs/>
      </w:rPr>
    </w:tblStylePr>
    <w:tblStylePr w:type="lastCol">
      <w:rPr>
        <w:b/>
        <w:bCs/>
      </w:rPr>
      <w:tblPr/>
      <w:tcPr>
        <w:tcBorders>
          <w:top w:val="single" w:sz="8" w:space="0" w:color="80808B" w:themeColor="accent5"/>
          <w:bottom w:val="single" w:sz="8" w:space="0" w:color="80808B" w:themeColor="accent5"/>
        </w:tcBorders>
      </w:tcPr>
    </w:tblStylePr>
    <w:tblStylePr w:type="band1Vert">
      <w:tblPr/>
      <w:tcPr>
        <w:shd w:val="clear" w:color="auto" w:fill="DFDFE2" w:themeFill="accent5" w:themeFillTint="3F"/>
      </w:tcPr>
    </w:tblStylePr>
    <w:tblStylePr w:type="band1Horz">
      <w:tblPr/>
      <w:tcPr>
        <w:shd w:val="clear" w:color="auto" w:fill="DFDFE2" w:themeFill="accent5" w:themeFillTint="3F"/>
      </w:tcPr>
    </w:tblStylePr>
  </w:style>
  <w:style w:type="table" w:styleId="MediumList1-Accent6">
    <w:name w:val="Medium List 1 Accent 6"/>
    <w:basedOn w:val="TableNormal"/>
    <w:uiPriority w:val="65"/>
    <w:semiHidden/>
    <w:rsid w:val="00294A5A"/>
    <w:pPr>
      <w:spacing w:before="0" w:after="0" w:line="240" w:lineRule="auto"/>
    </w:pPr>
    <w:rPr>
      <w:color w:val="000000" w:themeColor="text1"/>
    </w:rPr>
    <w:tblPr>
      <w:tblStyleRowBandSize w:val="1"/>
      <w:tblStyleColBandSize w:val="1"/>
      <w:tblBorders>
        <w:top w:val="single" w:sz="8" w:space="0" w:color="CCCCD0" w:themeColor="accent6"/>
        <w:bottom w:val="single" w:sz="8" w:space="0" w:color="CCCCD0" w:themeColor="accent6"/>
      </w:tblBorders>
    </w:tblPr>
    <w:tblStylePr w:type="firstRow">
      <w:rPr>
        <w:rFonts w:asciiTheme="majorHAnsi" w:eastAsiaTheme="majorEastAsia" w:hAnsiTheme="majorHAnsi" w:cstheme="majorBidi"/>
      </w:rPr>
      <w:tblPr/>
      <w:tcPr>
        <w:tcBorders>
          <w:top w:val="nil"/>
          <w:bottom w:val="single" w:sz="8" w:space="0" w:color="CCCCD0" w:themeColor="accent6"/>
        </w:tcBorders>
      </w:tcPr>
    </w:tblStylePr>
    <w:tblStylePr w:type="lastRow">
      <w:rPr>
        <w:b/>
        <w:bCs/>
        <w:color w:val="007586" w:themeColor="text2"/>
      </w:rPr>
      <w:tblPr/>
      <w:tcPr>
        <w:tcBorders>
          <w:top w:val="single" w:sz="8" w:space="0" w:color="CCCCD0" w:themeColor="accent6"/>
          <w:bottom w:val="single" w:sz="8" w:space="0" w:color="CCCCD0" w:themeColor="accent6"/>
        </w:tcBorders>
      </w:tcPr>
    </w:tblStylePr>
    <w:tblStylePr w:type="firstCol">
      <w:rPr>
        <w:b/>
        <w:bCs/>
      </w:rPr>
    </w:tblStylePr>
    <w:tblStylePr w:type="lastCol">
      <w:rPr>
        <w:b/>
        <w:bCs/>
      </w:rPr>
      <w:tblPr/>
      <w:tcPr>
        <w:tcBorders>
          <w:top w:val="single" w:sz="8" w:space="0" w:color="CCCCD0" w:themeColor="accent6"/>
          <w:bottom w:val="single" w:sz="8" w:space="0" w:color="CCCCD0" w:themeColor="accent6"/>
        </w:tcBorders>
      </w:tcPr>
    </w:tblStylePr>
    <w:tblStylePr w:type="band1Vert">
      <w:tblPr/>
      <w:tcPr>
        <w:shd w:val="clear" w:color="auto" w:fill="F2F2F3" w:themeFill="accent6" w:themeFillTint="3F"/>
      </w:tcPr>
    </w:tblStylePr>
    <w:tblStylePr w:type="band1Horz">
      <w:tblPr/>
      <w:tcPr>
        <w:shd w:val="clear" w:color="auto" w:fill="F2F2F3" w:themeFill="accent6" w:themeFillTint="3F"/>
      </w:tcPr>
    </w:tblStylePr>
  </w:style>
  <w:style w:type="table" w:styleId="MediumList2">
    <w:name w:val="Medium Lis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98A4" w:themeColor="accent1"/>
        <w:left w:val="single" w:sz="8" w:space="0" w:color="4098A4" w:themeColor="accent1"/>
        <w:bottom w:val="single" w:sz="8" w:space="0" w:color="4098A4" w:themeColor="accent1"/>
        <w:right w:val="single" w:sz="8" w:space="0" w:color="4098A4" w:themeColor="accent1"/>
      </w:tblBorders>
    </w:tblPr>
    <w:tblStylePr w:type="firstRow">
      <w:rPr>
        <w:sz w:val="24"/>
        <w:szCs w:val="24"/>
      </w:rPr>
      <w:tblPr/>
      <w:tcPr>
        <w:tcBorders>
          <w:top w:val="nil"/>
          <w:left w:val="nil"/>
          <w:bottom w:val="single" w:sz="24" w:space="0" w:color="4098A4" w:themeColor="accent1"/>
          <w:right w:val="nil"/>
          <w:insideH w:val="nil"/>
          <w:insideV w:val="nil"/>
        </w:tcBorders>
        <w:shd w:val="clear" w:color="auto" w:fill="FFFFFF" w:themeFill="background1"/>
      </w:tcPr>
    </w:tblStylePr>
    <w:tblStylePr w:type="lastRow">
      <w:tblPr/>
      <w:tcPr>
        <w:tcBorders>
          <w:top w:val="single" w:sz="8" w:space="0" w:color="4098A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8A4" w:themeColor="accent1"/>
          <w:insideH w:val="nil"/>
          <w:insideV w:val="nil"/>
        </w:tcBorders>
        <w:shd w:val="clear" w:color="auto" w:fill="FFFFFF" w:themeFill="background1"/>
      </w:tcPr>
    </w:tblStylePr>
    <w:tblStylePr w:type="lastCol">
      <w:tblPr/>
      <w:tcPr>
        <w:tcBorders>
          <w:top w:val="nil"/>
          <w:left w:val="single" w:sz="8" w:space="0" w:color="4098A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7EB" w:themeFill="accent1" w:themeFillTint="3F"/>
      </w:tcPr>
    </w:tblStylePr>
    <w:tblStylePr w:type="band1Horz">
      <w:tblPr/>
      <w:tcPr>
        <w:tcBorders>
          <w:top w:val="nil"/>
          <w:bottom w:val="nil"/>
          <w:insideH w:val="nil"/>
          <w:insideV w:val="nil"/>
        </w:tcBorders>
        <w:shd w:val="clear" w:color="auto" w:fill="CCE7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BAC3" w:themeColor="accent2"/>
        <w:left w:val="single" w:sz="8" w:space="0" w:color="80BAC3" w:themeColor="accent2"/>
        <w:bottom w:val="single" w:sz="8" w:space="0" w:color="80BAC3" w:themeColor="accent2"/>
        <w:right w:val="single" w:sz="8" w:space="0" w:color="80BAC3" w:themeColor="accent2"/>
      </w:tblBorders>
    </w:tblPr>
    <w:tblStylePr w:type="firstRow">
      <w:rPr>
        <w:sz w:val="24"/>
        <w:szCs w:val="24"/>
      </w:rPr>
      <w:tblPr/>
      <w:tcPr>
        <w:tcBorders>
          <w:top w:val="nil"/>
          <w:left w:val="nil"/>
          <w:bottom w:val="single" w:sz="24" w:space="0" w:color="80BAC3" w:themeColor="accent2"/>
          <w:right w:val="nil"/>
          <w:insideH w:val="nil"/>
          <w:insideV w:val="nil"/>
        </w:tcBorders>
        <w:shd w:val="clear" w:color="auto" w:fill="FFFFFF" w:themeFill="background1"/>
      </w:tcPr>
    </w:tblStylePr>
    <w:tblStylePr w:type="lastRow">
      <w:tblPr/>
      <w:tcPr>
        <w:tcBorders>
          <w:top w:val="single" w:sz="8" w:space="0" w:color="80BAC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BAC3" w:themeColor="accent2"/>
          <w:insideH w:val="nil"/>
          <w:insideV w:val="nil"/>
        </w:tcBorders>
        <w:shd w:val="clear" w:color="auto" w:fill="FFFFFF" w:themeFill="background1"/>
      </w:tcPr>
    </w:tblStylePr>
    <w:tblStylePr w:type="lastCol">
      <w:tblPr/>
      <w:tcPr>
        <w:tcBorders>
          <w:top w:val="nil"/>
          <w:left w:val="single" w:sz="8" w:space="0" w:color="80BAC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DF0" w:themeFill="accent2" w:themeFillTint="3F"/>
      </w:tcPr>
    </w:tblStylePr>
    <w:tblStylePr w:type="band1Horz">
      <w:tblPr/>
      <w:tcPr>
        <w:tcBorders>
          <w:top w:val="nil"/>
          <w:bottom w:val="nil"/>
          <w:insideH w:val="nil"/>
          <w:insideV w:val="nil"/>
        </w:tcBorders>
        <w:shd w:val="clear" w:color="auto" w:fill="DFED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FDDE1" w:themeColor="accent3"/>
        <w:left w:val="single" w:sz="8" w:space="0" w:color="BFDDE1" w:themeColor="accent3"/>
        <w:bottom w:val="single" w:sz="8" w:space="0" w:color="BFDDE1" w:themeColor="accent3"/>
        <w:right w:val="single" w:sz="8" w:space="0" w:color="BFDDE1" w:themeColor="accent3"/>
      </w:tblBorders>
    </w:tblPr>
    <w:tblStylePr w:type="firstRow">
      <w:rPr>
        <w:sz w:val="24"/>
        <w:szCs w:val="24"/>
      </w:rPr>
      <w:tblPr/>
      <w:tcPr>
        <w:tcBorders>
          <w:top w:val="nil"/>
          <w:left w:val="nil"/>
          <w:bottom w:val="single" w:sz="24" w:space="0" w:color="BFDDE1" w:themeColor="accent3"/>
          <w:right w:val="nil"/>
          <w:insideH w:val="nil"/>
          <w:insideV w:val="nil"/>
        </w:tcBorders>
        <w:shd w:val="clear" w:color="auto" w:fill="FFFFFF" w:themeFill="background1"/>
      </w:tcPr>
    </w:tblStylePr>
    <w:tblStylePr w:type="lastRow">
      <w:tblPr/>
      <w:tcPr>
        <w:tcBorders>
          <w:top w:val="single" w:sz="8" w:space="0" w:color="BFDD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FDDE1" w:themeColor="accent3"/>
          <w:insideH w:val="nil"/>
          <w:insideV w:val="nil"/>
        </w:tcBorders>
        <w:shd w:val="clear" w:color="auto" w:fill="FFFFFF" w:themeFill="background1"/>
      </w:tcPr>
    </w:tblStylePr>
    <w:tblStylePr w:type="lastCol">
      <w:tblPr/>
      <w:tcPr>
        <w:tcBorders>
          <w:top w:val="nil"/>
          <w:left w:val="single" w:sz="8" w:space="0" w:color="BFDD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6F7" w:themeFill="accent3" w:themeFillTint="3F"/>
      </w:tcPr>
    </w:tblStylePr>
    <w:tblStylePr w:type="band1Horz">
      <w:tblPr/>
      <w:tcPr>
        <w:tcBorders>
          <w:top w:val="nil"/>
          <w:bottom w:val="nil"/>
          <w:insideH w:val="nil"/>
          <w:insideV w:val="nil"/>
        </w:tcBorders>
        <w:shd w:val="clear" w:color="auto" w:fill="EFF6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04050" w:themeColor="accent4"/>
        <w:left w:val="single" w:sz="8" w:space="0" w:color="404050" w:themeColor="accent4"/>
        <w:bottom w:val="single" w:sz="8" w:space="0" w:color="404050" w:themeColor="accent4"/>
        <w:right w:val="single" w:sz="8" w:space="0" w:color="404050" w:themeColor="accent4"/>
      </w:tblBorders>
    </w:tblPr>
    <w:tblStylePr w:type="firstRow">
      <w:rPr>
        <w:sz w:val="24"/>
        <w:szCs w:val="24"/>
      </w:rPr>
      <w:tblPr/>
      <w:tcPr>
        <w:tcBorders>
          <w:top w:val="nil"/>
          <w:left w:val="nil"/>
          <w:bottom w:val="single" w:sz="24" w:space="0" w:color="404050" w:themeColor="accent4"/>
          <w:right w:val="nil"/>
          <w:insideH w:val="nil"/>
          <w:insideV w:val="nil"/>
        </w:tcBorders>
        <w:shd w:val="clear" w:color="auto" w:fill="FFFFFF" w:themeFill="background1"/>
      </w:tcPr>
    </w:tblStylePr>
    <w:tblStylePr w:type="lastRow">
      <w:tblPr/>
      <w:tcPr>
        <w:tcBorders>
          <w:top w:val="single" w:sz="8" w:space="0" w:color="40405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4050" w:themeColor="accent4"/>
          <w:insideH w:val="nil"/>
          <w:insideV w:val="nil"/>
        </w:tcBorders>
        <w:shd w:val="clear" w:color="auto" w:fill="FFFFFF" w:themeFill="background1"/>
      </w:tcPr>
    </w:tblStylePr>
    <w:tblStylePr w:type="lastCol">
      <w:tblPr/>
      <w:tcPr>
        <w:tcBorders>
          <w:top w:val="nil"/>
          <w:left w:val="single" w:sz="8" w:space="0" w:color="40405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D6" w:themeFill="accent4" w:themeFillTint="3F"/>
      </w:tcPr>
    </w:tblStylePr>
    <w:tblStylePr w:type="band1Horz">
      <w:tblPr/>
      <w:tcPr>
        <w:tcBorders>
          <w:top w:val="nil"/>
          <w:bottom w:val="nil"/>
          <w:insideH w:val="nil"/>
          <w:insideV w:val="nil"/>
        </w:tcBorders>
        <w:shd w:val="clear" w:color="auto" w:fill="CCCCD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808B" w:themeColor="accent5"/>
        <w:left w:val="single" w:sz="8" w:space="0" w:color="80808B" w:themeColor="accent5"/>
        <w:bottom w:val="single" w:sz="8" w:space="0" w:color="80808B" w:themeColor="accent5"/>
        <w:right w:val="single" w:sz="8" w:space="0" w:color="80808B" w:themeColor="accent5"/>
      </w:tblBorders>
    </w:tblPr>
    <w:tblStylePr w:type="firstRow">
      <w:rPr>
        <w:sz w:val="24"/>
        <w:szCs w:val="24"/>
      </w:rPr>
      <w:tblPr/>
      <w:tcPr>
        <w:tcBorders>
          <w:top w:val="nil"/>
          <w:left w:val="nil"/>
          <w:bottom w:val="single" w:sz="24" w:space="0" w:color="80808B" w:themeColor="accent5"/>
          <w:right w:val="nil"/>
          <w:insideH w:val="nil"/>
          <w:insideV w:val="nil"/>
        </w:tcBorders>
        <w:shd w:val="clear" w:color="auto" w:fill="FFFFFF" w:themeFill="background1"/>
      </w:tcPr>
    </w:tblStylePr>
    <w:tblStylePr w:type="lastRow">
      <w:tblPr/>
      <w:tcPr>
        <w:tcBorders>
          <w:top w:val="single" w:sz="8" w:space="0" w:color="80808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B" w:themeColor="accent5"/>
          <w:insideH w:val="nil"/>
          <w:insideV w:val="nil"/>
        </w:tcBorders>
        <w:shd w:val="clear" w:color="auto" w:fill="FFFFFF" w:themeFill="background1"/>
      </w:tcPr>
    </w:tblStylePr>
    <w:tblStylePr w:type="lastCol">
      <w:tblPr/>
      <w:tcPr>
        <w:tcBorders>
          <w:top w:val="nil"/>
          <w:left w:val="single" w:sz="8" w:space="0" w:color="80808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E2" w:themeFill="accent5" w:themeFillTint="3F"/>
      </w:tcPr>
    </w:tblStylePr>
    <w:tblStylePr w:type="band1Horz">
      <w:tblPr/>
      <w:tcPr>
        <w:tcBorders>
          <w:top w:val="nil"/>
          <w:bottom w:val="nil"/>
          <w:insideH w:val="nil"/>
          <w:insideV w:val="nil"/>
        </w:tcBorders>
        <w:shd w:val="clear" w:color="auto" w:fill="DFDFE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294A5A"/>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CCD0" w:themeColor="accent6"/>
        <w:left w:val="single" w:sz="8" w:space="0" w:color="CCCCD0" w:themeColor="accent6"/>
        <w:bottom w:val="single" w:sz="8" w:space="0" w:color="CCCCD0" w:themeColor="accent6"/>
        <w:right w:val="single" w:sz="8" w:space="0" w:color="CCCCD0" w:themeColor="accent6"/>
      </w:tblBorders>
    </w:tblPr>
    <w:tblStylePr w:type="firstRow">
      <w:rPr>
        <w:sz w:val="24"/>
        <w:szCs w:val="24"/>
      </w:rPr>
      <w:tblPr/>
      <w:tcPr>
        <w:tcBorders>
          <w:top w:val="nil"/>
          <w:left w:val="nil"/>
          <w:bottom w:val="single" w:sz="24" w:space="0" w:color="CCCCD0" w:themeColor="accent6"/>
          <w:right w:val="nil"/>
          <w:insideH w:val="nil"/>
          <w:insideV w:val="nil"/>
        </w:tcBorders>
        <w:shd w:val="clear" w:color="auto" w:fill="FFFFFF" w:themeFill="background1"/>
      </w:tcPr>
    </w:tblStylePr>
    <w:tblStylePr w:type="lastRow">
      <w:tblPr/>
      <w:tcPr>
        <w:tcBorders>
          <w:top w:val="single" w:sz="8" w:space="0" w:color="CCCCD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CCD0" w:themeColor="accent6"/>
          <w:insideH w:val="nil"/>
          <w:insideV w:val="nil"/>
        </w:tcBorders>
        <w:shd w:val="clear" w:color="auto" w:fill="FFFFFF" w:themeFill="background1"/>
      </w:tcPr>
    </w:tblStylePr>
    <w:tblStylePr w:type="lastCol">
      <w:tblPr/>
      <w:tcPr>
        <w:tcBorders>
          <w:top w:val="nil"/>
          <w:left w:val="single" w:sz="8" w:space="0" w:color="CCCCD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2F3" w:themeFill="accent6" w:themeFillTint="3F"/>
      </w:tcPr>
    </w:tblStylePr>
    <w:tblStylePr w:type="band1Horz">
      <w:tblPr/>
      <w:tcPr>
        <w:tcBorders>
          <w:top w:val="nil"/>
          <w:bottom w:val="nil"/>
          <w:insideH w:val="nil"/>
          <w:insideV w:val="nil"/>
        </w:tcBorders>
        <w:shd w:val="clear" w:color="auto" w:fill="F2F2F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294A5A"/>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294A5A"/>
    <w:pPr>
      <w:spacing w:before="0" w:after="0" w:line="240" w:lineRule="auto"/>
    </w:pPr>
    <w:tblPr>
      <w:tblStyleRowBandSize w:val="1"/>
      <w:tblStyleColBandSize w:val="1"/>
      <w:tbl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single" w:sz="8" w:space="0" w:color="66B8C3" w:themeColor="accent1" w:themeTint="BF"/>
      </w:tblBorders>
    </w:tblPr>
    <w:tblStylePr w:type="firstRow">
      <w:pPr>
        <w:spacing w:before="0" w:after="0" w:line="240" w:lineRule="auto"/>
      </w:pPr>
      <w:rPr>
        <w:b/>
        <w:bCs/>
        <w:color w:val="FFFFFF" w:themeColor="background1"/>
      </w:rPr>
      <w:tblPr/>
      <w:tcPr>
        <w:tcBorders>
          <w:top w:val="single" w:sz="8"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shd w:val="clear" w:color="auto" w:fill="4098A4" w:themeFill="accent1"/>
      </w:tcPr>
    </w:tblStylePr>
    <w:tblStylePr w:type="lastRow">
      <w:pPr>
        <w:spacing w:before="0" w:after="0" w:line="240" w:lineRule="auto"/>
      </w:pPr>
      <w:rPr>
        <w:b/>
        <w:bCs/>
      </w:rPr>
      <w:tblPr/>
      <w:tcPr>
        <w:tcBorders>
          <w:top w:val="double" w:sz="6" w:space="0" w:color="66B8C3" w:themeColor="accent1" w:themeTint="BF"/>
          <w:left w:val="single" w:sz="8" w:space="0" w:color="66B8C3" w:themeColor="accent1" w:themeTint="BF"/>
          <w:bottom w:val="single" w:sz="8" w:space="0" w:color="66B8C3" w:themeColor="accent1" w:themeTint="BF"/>
          <w:right w:val="single" w:sz="8" w:space="0" w:color="66B8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CCE7EB" w:themeFill="accent1" w:themeFillTint="3F"/>
      </w:tcPr>
    </w:tblStylePr>
    <w:tblStylePr w:type="band1Horz">
      <w:tblPr/>
      <w:tcPr>
        <w:tcBorders>
          <w:insideH w:val="nil"/>
          <w:insideV w:val="nil"/>
        </w:tcBorders>
        <w:shd w:val="clear" w:color="auto" w:fill="CCE7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294A5A"/>
    <w:pPr>
      <w:spacing w:before="0" w:after="0" w:line="240" w:lineRule="auto"/>
    </w:pPr>
    <w:tblPr>
      <w:tblStyleRowBandSize w:val="1"/>
      <w:tblStyleColBandSize w:val="1"/>
      <w:tbl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single" w:sz="8" w:space="0" w:color="9FCBD2" w:themeColor="accent2" w:themeTint="BF"/>
      </w:tblBorders>
    </w:tblPr>
    <w:tblStylePr w:type="firstRow">
      <w:pPr>
        <w:spacing w:before="0" w:after="0" w:line="240" w:lineRule="auto"/>
      </w:pPr>
      <w:rPr>
        <w:b/>
        <w:bCs/>
        <w:color w:val="FFFFFF" w:themeColor="background1"/>
      </w:rPr>
      <w:tblPr/>
      <w:tcPr>
        <w:tcBorders>
          <w:top w:val="single" w:sz="8"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shd w:val="clear" w:color="auto" w:fill="80BAC3" w:themeFill="accent2"/>
      </w:tcPr>
    </w:tblStylePr>
    <w:tblStylePr w:type="lastRow">
      <w:pPr>
        <w:spacing w:before="0" w:after="0" w:line="240" w:lineRule="auto"/>
      </w:pPr>
      <w:rPr>
        <w:b/>
        <w:bCs/>
      </w:rPr>
      <w:tblPr/>
      <w:tcPr>
        <w:tcBorders>
          <w:top w:val="double" w:sz="6" w:space="0" w:color="9FCBD2" w:themeColor="accent2" w:themeTint="BF"/>
          <w:left w:val="single" w:sz="8" w:space="0" w:color="9FCBD2" w:themeColor="accent2" w:themeTint="BF"/>
          <w:bottom w:val="single" w:sz="8" w:space="0" w:color="9FCBD2" w:themeColor="accent2" w:themeTint="BF"/>
          <w:right w:val="single" w:sz="8" w:space="0" w:color="9FCBD2" w:themeColor="accent2" w:themeTint="BF"/>
          <w:insideH w:val="nil"/>
          <w:insideV w:val="nil"/>
        </w:tcBorders>
      </w:tcPr>
    </w:tblStylePr>
    <w:tblStylePr w:type="firstCol">
      <w:rPr>
        <w:b/>
        <w:bCs/>
      </w:rPr>
    </w:tblStylePr>
    <w:tblStylePr w:type="lastCol">
      <w:rPr>
        <w:b/>
        <w:bCs/>
      </w:rPr>
    </w:tblStylePr>
    <w:tblStylePr w:type="band1Vert">
      <w:tblPr/>
      <w:tcPr>
        <w:shd w:val="clear" w:color="auto" w:fill="DFEDF0" w:themeFill="accent2" w:themeFillTint="3F"/>
      </w:tcPr>
    </w:tblStylePr>
    <w:tblStylePr w:type="band1Horz">
      <w:tblPr/>
      <w:tcPr>
        <w:tcBorders>
          <w:insideH w:val="nil"/>
          <w:insideV w:val="nil"/>
        </w:tcBorders>
        <w:shd w:val="clear" w:color="auto" w:fill="DFEDF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294A5A"/>
    <w:pPr>
      <w:spacing w:before="0" w:after="0" w:line="240" w:lineRule="auto"/>
    </w:pPr>
    <w:tblPr>
      <w:tblStyleRowBandSize w:val="1"/>
      <w:tblStyleColBandSize w:val="1"/>
      <w:tbl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single" w:sz="8" w:space="0" w:color="CEE5E8" w:themeColor="accent3" w:themeTint="BF"/>
      </w:tblBorders>
    </w:tblPr>
    <w:tblStylePr w:type="firstRow">
      <w:pPr>
        <w:spacing w:before="0" w:after="0" w:line="240" w:lineRule="auto"/>
      </w:pPr>
      <w:rPr>
        <w:b/>
        <w:bCs/>
        <w:color w:val="FFFFFF" w:themeColor="background1"/>
      </w:rPr>
      <w:tblPr/>
      <w:tcPr>
        <w:tcBorders>
          <w:top w:val="single" w:sz="8"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shd w:val="clear" w:color="auto" w:fill="BFDDE1" w:themeFill="accent3"/>
      </w:tcPr>
    </w:tblStylePr>
    <w:tblStylePr w:type="lastRow">
      <w:pPr>
        <w:spacing w:before="0" w:after="0" w:line="240" w:lineRule="auto"/>
      </w:pPr>
      <w:rPr>
        <w:b/>
        <w:bCs/>
      </w:rPr>
      <w:tblPr/>
      <w:tcPr>
        <w:tcBorders>
          <w:top w:val="double" w:sz="6" w:space="0" w:color="CEE5E8" w:themeColor="accent3" w:themeTint="BF"/>
          <w:left w:val="single" w:sz="8" w:space="0" w:color="CEE5E8" w:themeColor="accent3" w:themeTint="BF"/>
          <w:bottom w:val="single" w:sz="8" w:space="0" w:color="CEE5E8" w:themeColor="accent3" w:themeTint="BF"/>
          <w:right w:val="single" w:sz="8" w:space="0" w:color="CEE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EFF6F7" w:themeFill="accent3" w:themeFillTint="3F"/>
      </w:tcPr>
    </w:tblStylePr>
    <w:tblStylePr w:type="band1Horz">
      <w:tblPr/>
      <w:tcPr>
        <w:tcBorders>
          <w:insideH w:val="nil"/>
          <w:insideV w:val="nil"/>
        </w:tcBorders>
        <w:shd w:val="clear" w:color="auto" w:fill="EFF6F7"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294A5A"/>
    <w:pPr>
      <w:spacing w:before="0" w:after="0" w:line="240" w:lineRule="auto"/>
    </w:pPr>
    <w:tblPr>
      <w:tblStyleRowBandSize w:val="1"/>
      <w:tblStyleColBandSize w:val="1"/>
      <w:tbl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single" w:sz="8" w:space="0" w:color="686882" w:themeColor="accent4" w:themeTint="BF"/>
      </w:tblBorders>
    </w:tblPr>
    <w:tblStylePr w:type="firstRow">
      <w:pPr>
        <w:spacing w:before="0" w:after="0" w:line="240" w:lineRule="auto"/>
      </w:pPr>
      <w:rPr>
        <w:b/>
        <w:bCs/>
        <w:color w:val="FFFFFF" w:themeColor="background1"/>
      </w:rPr>
      <w:tblPr/>
      <w:tcPr>
        <w:tcBorders>
          <w:top w:val="single" w:sz="8"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shd w:val="clear" w:color="auto" w:fill="404050" w:themeFill="accent4"/>
      </w:tcPr>
    </w:tblStylePr>
    <w:tblStylePr w:type="lastRow">
      <w:pPr>
        <w:spacing w:before="0" w:after="0" w:line="240" w:lineRule="auto"/>
      </w:pPr>
      <w:rPr>
        <w:b/>
        <w:bCs/>
      </w:rPr>
      <w:tblPr/>
      <w:tcPr>
        <w:tcBorders>
          <w:top w:val="double" w:sz="6" w:space="0" w:color="686882" w:themeColor="accent4" w:themeTint="BF"/>
          <w:left w:val="single" w:sz="8" w:space="0" w:color="686882" w:themeColor="accent4" w:themeTint="BF"/>
          <w:bottom w:val="single" w:sz="8" w:space="0" w:color="686882" w:themeColor="accent4" w:themeTint="BF"/>
          <w:right w:val="single" w:sz="8" w:space="0" w:color="686882" w:themeColor="accent4" w:themeTint="BF"/>
          <w:insideH w:val="nil"/>
          <w:insideV w:val="nil"/>
        </w:tcBorders>
      </w:tcPr>
    </w:tblStylePr>
    <w:tblStylePr w:type="firstCol">
      <w:rPr>
        <w:b/>
        <w:bCs/>
      </w:rPr>
    </w:tblStylePr>
    <w:tblStylePr w:type="lastCol">
      <w:rPr>
        <w:b/>
        <w:bCs/>
      </w:rPr>
    </w:tblStylePr>
    <w:tblStylePr w:type="band1Vert">
      <w:tblPr/>
      <w:tcPr>
        <w:shd w:val="clear" w:color="auto" w:fill="CCCCD6" w:themeFill="accent4" w:themeFillTint="3F"/>
      </w:tcPr>
    </w:tblStylePr>
    <w:tblStylePr w:type="band1Horz">
      <w:tblPr/>
      <w:tcPr>
        <w:tcBorders>
          <w:insideH w:val="nil"/>
          <w:insideV w:val="nil"/>
        </w:tcBorders>
        <w:shd w:val="clear" w:color="auto" w:fill="CCCCD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294A5A"/>
    <w:pPr>
      <w:spacing w:before="0" w:after="0" w:line="240" w:lineRule="auto"/>
    </w:pPr>
    <w:tblPr>
      <w:tblStyleRowBandSize w:val="1"/>
      <w:tblStyleColBandSize w:val="1"/>
      <w:tbl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single" w:sz="8" w:space="0" w:color="9F9FA8" w:themeColor="accent5" w:themeTint="BF"/>
      </w:tblBorders>
    </w:tblPr>
    <w:tblStylePr w:type="firstRow">
      <w:pPr>
        <w:spacing w:before="0" w:after="0" w:line="240" w:lineRule="auto"/>
      </w:pPr>
      <w:rPr>
        <w:b/>
        <w:bCs/>
        <w:color w:val="FFFFFF" w:themeColor="background1"/>
      </w:rPr>
      <w:tblPr/>
      <w:tcPr>
        <w:tcBorders>
          <w:top w:val="single" w:sz="8"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shd w:val="clear" w:color="auto" w:fill="80808B" w:themeFill="accent5"/>
      </w:tcPr>
    </w:tblStylePr>
    <w:tblStylePr w:type="lastRow">
      <w:pPr>
        <w:spacing w:before="0" w:after="0" w:line="240" w:lineRule="auto"/>
      </w:pPr>
      <w:rPr>
        <w:b/>
        <w:bCs/>
      </w:rPr>
      <w:tblPr/>
      <w:tcPr>
        <w:tcBorders>
          <w:top w:val="double" w:sz="6" w:space="0" w:color="9F9FA8" w:themeColor="accent5" w:themeTint="BF"/>
          <w:left w:val="single" w:sz="8" w:space="0" w:color="9F9FA8" w:themeColor="accent5" w:themeTint="BF"/>
          <w:bottom w:val="single" w:sz="8" w:space="0" w:color="9F9FA8" w:themeColor="accent5" w:themeTint="BF"/>
          <w:right w:val="single" w:sz="8" w:space="0" w:color="9F9F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DFDFE2" w:themeFill="accent5" w:themeFillTint="3F"/>
      </w:tcPr>
    </w:tblStylePr>
    <w:tblStylePr w:type="band1Horz">
      <w:tblPr/>
      <w:tcPr>
        <w:tcBorders>
          <w:insideH w:val="nil"/>
          <w:insideV w:val="nil"/>
        </w:tcBorders>
        <w:shd w:val="clear" w:color="auto" w:fill="DFDFE2"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294A5A"/>
    <w:pPr>
      <w:spacing w:before="0" w:after="0" w:line="240" w:lineRule="auto"/>
    </w:pPr>
    <w:tblPr>
      <w:tblStyleRowBandSize w:val="1"/>
      <w:tblStyleColBandSize w:val="1"/>
      <w:tbl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single" w:sz="8" w:space="0" w:color="D8D8DB" w:themeColor="accent6" w:themeTint="BF"/>
      </w:tblBorders>
    </w:tblPr>
    <w:tblStylePr w:type="firstRow">
      <w:pPr>
        <w:spacing w:before="0" w:after="0" w:line="240" w:lineRule="auto"/>
      </w:pPr>
      <w:rPr>
        <w:b/>
        <w:bCs/>
        <w:color w:val="FFFFFF" w:themeColor="background1"/>
      </w:rPr>
      <w:tblPr/>
      <w:tcPr>
        <w:tcBorders>
          <w:top w:val="single" w:sz="8"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shd w:val="clear" w:color="auto" w:fill="CCCCD0" w:themeFill="accent6"/>
      </w:tcPr>
    </w:tblStylePr>
    <w:tblStylePr w:type="lastRow">
      <w:pPr>
        <w:spacing w:before="0" w:after="0" w:line="240" w:lineRule="auto"/>
      </w:pPr>
      <w:rPr>
        <w:b/>
        <w:bCs/>
      </w:rPr>
      <w:tblPr/>
      <w:tcPr>
        <w:tcBorders>
          <w:top w:val="double" w:sz="6" w:space="0" w:color="D8D8DB" w:themeColor="accent6" w:themeTint="BF"/>
          <w:left w:val="single" w:sz="8" w:space="0" w:color="D8D8DB" w:themeColor="accent6" w:themeTint="BF"/>
          <w:bottom w:val="single" w:sz="8" w:space="0" w:color="D8D8DB" w:themeColor="accent6" w:themeTint="BF"/>
          <w:right w:val="single" w:sz="8" w:space="0" w:color="D8D8DB" w:themeColor="accent6" w:themeTint="BF"/>
          <w:insideH w:val="nil"/>
          <w:insideV w:val="nil"/>
        </w:tcBorders>
      </w:tcPr>
    </w:tblStylePr>
    <w:tblStylePr w:type="firstCol">
      <w:rPr>
        <w:b/>
        <w:bCs/>
      </w:rPr>
    </w:tblStylePr>
    <w:tblStylePr w:type="lastCol">
      <w:rPr>
        <w:b/>
        <w:bCs/>
      </w:rPr>
    </w:tblStylePr>
    <w:tblStylePr w:type="band1Vert">
      <w:tblPr/>
      <w:tcPr>
        <w:shd w:val="clear" w:color="auto" w:fill="F2F2F3" w:themeFill="accent6" w:themeFillTint="3F"/>
      </w:tcPr>
    </w:tblStylePr>
    <w:tblStylePr w:type="band1Horz">
      <w:tblPr/>
      <w:tcPr>
        <w:tcBorders>
          <w:insideH w:val="nil"/>
          <w:insideV w:val="nil"/>
        </w:tcBorders>
        <w:shd w:val="clear" w:color="auto" w:fill="F2F2F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8A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8A4" w:themeFill="accent1"/>
      </w:tcPr>
    </w:tblStylePr>
    <w:tblStylePr w:type="lastCol">
      <w:rPr>
        <w:b/>
        <w:bCs/>
        <w:color w:val="FFFFFF" w:themeColor="background1"/>
      </w:rPr>
      <w:tblPr/>
      <w:tcPr>
        <w:tcBorders>
          <w:left w:val="nil"/>
          <w:right w:val="nil"/>
          <w:insideH w:val="nil"/>
          <w:insideV w:val="nil"/>
        </w:tcBorders>
        <w:shd w:val="clear" w:color="auto" w:fill="4098A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BAC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BAC3" w:themeFill="accent2"/>
      </w:tcPr>
    </w:tblStylePr>
    <w:tblStylePr w:type="lastCol">
      <w:rPr>
        <w:b/>
        <w:bCs/>
        <w:color w:val="FFFFFF" w:themeColor="background1"/>
      </w:rPr>
      <w:tblPr/>
      <w:tcPr>
        <w:tcBorders>
          <w:left w:val="nil"/>
          <w:right w:val="nil"/>
          <w:insideH w:val="nil"/>
          <w:insideV w:val="nil"/>
        </w:tcBorders>
        <w:shd w:val="clear" w:color="auto" w:fill="80BAC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FDD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FDDE1" w:themeFill="accent3"/>
      </w:tcPr>
    </w:tblStylePr>
    <w:tblStylePr w:type="lastCol">
      <w:rPr>
        <w:b/>
        <w:bCs/>
        <w:color w:val="FFFFFF" w:themeColor="background1"/>
      </w:rPr>
      <w:tblPr/>
      <w:tcPr>
        <w:tcBorders>
          <w:left w:val="nil"/>
          <w:right w:val="nil"/>
          <w:insideH w:val="nil"/>
          <w:insideV w:val="nil"/>
        </w:tcBorders>
        <w:shd w:val="clear" w:color="auto" w:fill="BFDD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405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4050" w:themeFill="accent4"/>
      </w:tcPr>
    </w:tblStylePr>
    <w:tblStylePr w:type="lastCol">
      <w:rPr>
        <w:b/>
        <w:bCs/>
        <w:color w:val="FFFFFF" w:themeColor="background1"/>
      </w:rPr>
      <w:tblPr/>
      <w:tcPr>
        <w:tcBorders>
          <w:left w:val="nil"/>
          <w:right w:val="nil"/>
          <w:insideH w:val="nil"/>
          <w:insideV w:val="nil"/>
        </w:tcBorders>
        <w:shd w:val="clear" w:color="auto" w:fill="40405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B" w:themeFill="accent5"/>
      </w:tcPr>
    </w:tblStylePr>
    <w:tblStylePr w:type="lastCol">
      <w:rPr>
        <w:b/>
        <w:bCs/>
        <w:color w:val="FFFFFF" w:themeColor="background1"/>
      </w:rPr>
      <w:tblPr/>
      <w:tcPr>
        <w:tcBorders>
          <w:left w:val="nil"/>
          <w:right w:val="nil"/>
          <w:insideH w:val="nil"/>
          <w:insideV w:val="nil"/>
        </w:tcBorders>
        <w:shd w:val="clear" w:color="auto" w:fill="80808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294A5A"/>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CCD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CCD0" w:themeFill="accent6"/>
      </w:tcPr>
    </w:tblStylePr>
    <w:tblStylePr w:type="lastCol">
      <w:rPr>
        <w:b/>
        <w:bCs/>
        <w:color w:val="FFFFFF" w:themeColor="background1"/>
      </w:rPr>
      <w:tblPr/>
      <w:tcPr>
        <w:tcBorders>
          <w:left w:val="nil"/>
          <w:right w:val="nil"/>
          <w:insideH w:val="nil"/>
          <w:insideV w:val="nil"/>
        </w:tcBorders>
        <w:shd w:val="clear" w:color="auto" w:fill="CCCCD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294A5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294A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294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294A5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294A5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294A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ulloutText">
    <w:name w:val="Pullout Text"/>
    <w:basedOn w:val="Normal"/>
    <w:uiPriority w:val="1"/>
    <w:qFormat/>
    <w:rsid w:val="007E098F"/>
    <w:pPr>
      <w:spacing w:before="100" w:after="100"/>
    </w:pPr>
    <w:rPr>
      <w:color w:val="007586" w:themeColor="text2"/>
    </w:rPr>
  </w:style>
  <w:style w:type="paragraph" w:customStyle="1" w:styleId="PulloutHeading">
    <w:name w:val="Pullout Heading"/>
    <w:basedOn w:val="PulloutText"/>
    <w:next w:val="PulloutText"/>
    <w:uiPriority w:val="1"/>
    <w:qFormat/>
    <w:rsid w:val="007E098F"/>
    <w:pPr>
      <w:spacing w:before="0" w:line="216" w:lineRule="auto"/>
    </w:pPr>
    <w:rPr>
      <w:b/>
      <w:sz w:val="24"/>
    </w:rPr>
  </w:style>
  <w:style w:type="table" w:customStyle="1" w:styleId="SCVInformationTable">
    <w:name w:val="SCV Information Table"/>
    <w:basedOn w:val="TableNormal"/>
    <w:uiPriority w:val="99"/>
    <w:rsid w:val="0086277A"/>
    <w:pPr>
      <w:spacing w:before="0" w:after="80" w:line="240" w:lineRule="auto"/>
      <w:ind w:left="170"/>
    </w:pPr>
    <w:rPr>
      <w:sz w:val="15"/>
    </w:rPr>
    <w:tblPr>
      <w:tblCellMar>
        <w:top w:w="323" w:type="dxa"/>
        <w:left w:w="0" w:type="dxa"/>
        <w:right w:w="0" w:type="dxa"/>
      </w:tblCellMar>
    </w:tblPr>
    <w:tcPr>
      <w:shd w:val="clear" w:color="auto" w:fill="F2F2F3"/>
    </w:tcPr>
  </w:style>
  <w:style w:type="paragraph" w:styleId="Date">
    <w:name w:val="Date"/>
    <w:basedOn w:val="Normal"/>
    <w:next w:val="Normal"/>
    <w:link w:val="DateChar"/>
    <w:uiPriority w:val="99"/>
    <w:rsid w:val="003B4F97"/>
    <w:pPr>
      <w:framePr w:hSpace="5670" w:wrap="around" w:vAnchor="page" w:hAnchor="page" w:x="852" w:y="4310"/>
      <w:spacing w:before="0" w:after="70" w:line="312" w:lineRule="auto"/>
      <w:suppressOverlap/>
    </w:pPr>
    <w:rPr>
      <w:rFonts w:asciiTheme="minorHAnsi" w:hAnsiTheme="minorHAnsi" w:cstheme="minorHAnsi"/>
      <w:b/>
      <w:sz w:val="28"/>
    </w:rPr>
  </w:style>
  <w:style w:type="character" w:customStyle="1" w:styleId="DateChar">
    <w:name w:val="Date Char"/>
    <w:basedOn w:val="DefaultParagraphFont"/>
    <w:link w:val="Date"/>
    <w:uiPriority w:val="99"/>
    <w:rsid w:val="003B4F97"/>
    <w:rPr>
      <w:rFonts w:cstheme="minorHAnsi"/>
      <w:b/>
      <w:noProof/>
      <w:sz w:val="28"/>
      <w:lang w:eastAsia="en-US"/>
    </w:rPr>
  </w:style>
  <w:style w:type="paragraph" w:styleId="NormalWeb">
    <w:name w:val="Normal (Web)"/>
    <w:basedOn w:val="Normal"/>
    <w:uiPriority w:val="99"/>
    <w:semiHidden/>
    <w:rsid w:val="005F15F1"/>
    <w:pPr>
      <w:spacing w:before="0" w:after="0" w:line="260" w:lineRule="atLeast"/>
    </w:pPr>
    <w:rPr>
      <w:rFonts w:eastAsia="Times New Roman" w:cs="Times New Roman"/>
      <w:color w:val="000000" w:themeColor="text1"/>
      <w:szCs w:val="24"/>
    </w:rPr>
  </w:style>
  <w:style w:type="paragraph" w:customStyle="1" w:styleId="Footnotes">
    <w:name w:val="Footnotes"/>
    <w:basedOn w:val="Normal"/>
    <w:uiPriority w:val="99"/>
    <w:rsid w:val="005A5A79"/>
    <w:pPr>
      <w:suppressAutoHyphens/>
      <w:autoSpaceDE w:val="0"/>
      <w:autoSpaceDN w:val="0"/>
      <w:adjustRightInd w:val="0"/>
      <w:spacing w:before="0" w:after="57" w:line="160" w:lineRule="atLeast"/>
      <w:ind w:left="170" w:hanging="170"/>
      <w:textAlignment w:val="center"/>
    </w:pPr>
    <w:rPr>
      <w:rFonts w:cs="VIC"/>
      <w:noProof w:val="0"/>
      <w:color w:val="0F151F"/>
      <w:sz w:val="13"/>
      <w:szCs w:val="13"/>
      <w:lang w:val="en-GB" w:eastAsia="en-AU"/>
    </w:rPr>
  </w:style>
  <w:style w:type="character" w:styleId="CommentReference">
    <w:name w:val="annotation reference"/>
    <w:basedOn w:val="DefaultParagraphFont"/>
    <w:uiPriority w:val="1"/>
    <w:semiHidden/>
    <w:unhideWhenUsed/>
    <w:rsid w:val="007E73B3"/>
    <w:rPr>
      <w:sz w:val="16"/>
      <w:szCs w:val="16"/>
    </w:rPr>
  </w:style>
  <w:style w:type="paragraph" w:styleId="CommentText">
    <w:name w:val="annotation text"/>
    <w:basedOn w:val="Normal"/>
    <w:link w:val="CommentTextChar"/>
    <w:uiPriority w:val="1"/>
    <w:semiHidden/>
    <w:unhideWhenUsed/>
    <w:rsid w:val="007E73B3"/>
    <w:pPr>
      <w:spacing w:line="240" w:lineRule="auto"/>
    </w:pPr>
  </w:style>
  <w:style w:type="character" w:customStyle="1" w:styleId="CommentTextChar">
    <w:name w:val="Comment Text Char"/>
    <w:basedOn w:val="DefaultParagraphFont"/>
    <w:link w:val="CommentText"/>
    <w:uiPriority w:val="1"/>
    <w:semiHidden/>
    <w:rsid w:val="007E73B3"/>
    <w:rPr>
      <w:rFonts w:ascii="VIC" w:hAnsi="VIC"/>
      <w:noProof/>
      <w:lang w:eastAsia="en-US"/>
    </w:rPr>
  </w:style>
  <w:style w:type="paragraph" w:styleId="CommentSubject">
    <w:name w:val="annotation subject"/>
    <w:basedOn w:val="CommentText"/>
    <w:next w:val="CommentText"/>
    <w:link w:val="CommentSubjectChar"/>
    <w:uiPriority w:val="1"/>
    <w:semiHidden/>
    <w:unhideWhenUsed/>
    <w:rsid w:val="007E73B3"/>
    <w:rPr>
      <w:b/>
      <w:bCs/>
    </w:rPr>
  </w:style>
  <w:style w:type="character" w:customStyle="1" w:styleId="CommentSubjectChar">
    <w:name w:val="Comment Subject Char"/>
    <w:basedOn w:val="CommentTextChar"/>
    <w:link w:val="CommentSubject"/>
    <w:uiPriority w:val="1"/>
    <w:semiHidden/>
    <w:rsid w:val="007E73B3"/>
    <w:rPr>
      <w:rFonts w:ascii="VIC" w:hAnsi="VIC"/>
      <w:b/>
      <w:bCs/>
      <w:noProof/>
      <w:lang w:eastAsia="en-US"/>
    </w:rPr>
  </w:style>
  <w:style w:type="paragraph" w:styleId="Revision">
    <w:name w:val="Revision"/>
    <w:hidden/>
    <w:uiPriority w:val="99"/>
    <w:semiHidden/>
    <w:rsid w:val="00C61AD0"/>
    <w:pPr>
      <w:spacing w:before="0" w:after="0" w:line="240" w:lineRule="auto"/>
    </w:pPr>
    <w:rPr>
      <w:rFonts w:ascii="VIC" w:hAnsi="VIC"/>
      <w:noProof/>
      <w:lang w:eastAsia="en-US"/>
    </w:rPr>
  </w:style>
  <w:style w:type="character" w:styleId="FollowedHyperlink">
    <w:name w:val="FollowedHyperlink"/>
    <w:basedOn w:val="DefaultParagraphFont"/>
    <w:uiPriority w:val="1"/>
    <w:semiHidden/>
    <w:unhideWhenUsed/>
    <w:rsid w:val="00C61AD0"/>
    <w:rPr>
      <w:color w:val="007586" w:themeColor="followedHyperlink"/>
      <w:u w:val="single"/>
    </w:rPr>
  </w:style>
  <w:style w:type="character" w:styleId="UnresolvedMention">
    <w:name w:val="Unresolved Mention"/>
    <w:basedOn w:val="DefaultParagraphFont"/>
    <w:uiPriority w:val="99"/>
    <w:unhideWhenUsed/>
    <w:rsid w:val="003147B3"/>
    <w:rPr>
      <w:color w:val="605E5C"/>
      <w:shd w:val="clear" w:color="auto" w:fill="E1DFDD"/>
    </w:rPr>
  </w:style>
  <w:style w:type="character" w:styleId="Mention">
    <w:name w:val="Mention"/>
    <w:basedOn w:val="DefaultParagraphFont"/>
    <w:uiPriority w:val="99"/>
    <w:unhideWhenUsed/>
    <w:rsid w:val="003147B3"/>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28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7.png"/><Relationship Id="rId39" Type="http://schemas.openxmlformats.org/officeDocument/2006/relationships/image" Target="media/image14.png"/><Relationship Id="rId21" Type="http://schemas.openxmlformats.org/officeDocument/2006/relationships/header" Target="header5.xml"/><Relationship Id="rId34" Type="http://schemas.openxmlformats.org/officeDocument/2006/relationships/chart" Target="charts/chart5.xml"/><Relationship Id="rId42" Type="http://schemas.openxmlformats.org/officeDocument/2006/relationships/chart" Target="charts/chart9.xml"/><Relationship Id="rId47" Type="http://schemas.openxmlformats.org/officeDocument/2006/relationships/image" Target="media/image18.png"/><Relationship Id="rId50" Type="http://schemas.openxmlformats.org/officeDocument/2006/relationships/chart" Target="charts/chart13.xml"/><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4.xml"/><Relationship Id="rId29" Type="http://schemas.openxmlformats.org/officeDocument/2006/relationships/image" Target="media/image9.png"/><Relationship Id="rId41" Type="http://schemas.openxmlformats.org/officeDocument/2006/relationships/image" Target="media/image15.png"/><Relationship Id="rId54" Type="http://schemas.openxmlformats.org/officeDocument/2006/relationships/chart" Target="charts/chart15.xml"/><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chart" Target="charts/chart7.xml"/><Relationship Id="rId40" Type="http://schemas.openxmlformats.org/officeDocument/2006/relationships/chart" Target="charts/chart8.xml"/><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hyperlink" Target="https://www2.health.vic.gov.au/hospitals-and-health-services/patient-care/perinatal-reproductive/maternity-newborn-services/maternity-newborn-care"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image" Target="media/image19.png"/><Relationship Id="rId57" Type="http://schemas.openxmlformats.org/officeDocument/2006/relationships/hyperlink" Target="https://www.cambridge.org/core/journals/fetal-and-maternal-medicine-review/article/classification-of-caesarean-sections/1489F66B41725CF7719525EC11655D4C" TargetMode="Externa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chart" Target="charts/chart4.xml"/><Relationship Id="rId44" Type="http://schemas.openxmlformats.org/officeDocument/2006/relationships/chart" Target="charts/chart10.xml"/><Relationship Id="rId52" Type="http://schemas.openxmlformats.org/officeDocument/2006/relationships/chart" Target="charts/chart14.xml"/><Relationship Id="rId60"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chart" Target="charts/chart2.xml"/><Relationship Id="rId30" Type="http://schemas.openxmlformats.org/officeDocument/2006/relationships/chart" Target="charts/chart3.xml"/><Relationship Id="rId35" Type="http://schemas.openxmlformats.org/officeDocument/2006/relationships/chart" Target="charts/chart6.xml"/><Relationship Id="rId43" Type="http://schemas.openxmlformats.org/officeDocument/2006/relationships/image" Target="media/image16.png"/><Relationship Id="rId48" Type="http://schemas.openxmlformats.org/officeDocument/2006/relationships/chart" Target="charts/chart12.xml"/><Relationship Id="rId56" Type="http://schemas.openxmlformats.org/officeDocument/2006/relationships/hyperlink" Target="https://www.mja.com.au/journal/2012/197/5/australian-national-birthweight-percentiles-sex-and-gestational-age-1998-2007" TargetMode="External"/><Relationship Id="rId64"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image" Target="media/image20.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safercare.vic" TargetMode="External"/><Relationship Id="rId25" Type="http://schemas.openxmlformats.org/officeDocument/2006/relationships/chart" Target="charts/chart1.xml"/><Relationship Id="rId33" Type="http://schemas.openxmlformats.org/officeDocument/2006/relationships/image" Target="media/image11.png"/><Relationship Id="rId38" Type="http://schemas.openxmlformats.org/officeDocument/2006/relationships/image" Target="media/image13.png"/><Relationship Id="rId46" Type="http://schemas.openxmlformats.org/officeDocument/2006/relationships/chart" Target="charts/chart11.xml"/><Relationship Id="rId59" Type="http://schemas.openxmlformats.org/officeDocument/2006/relationships/hyperlink" Target="https://obgyn.onlinelibrary.wiley.com/doi/full/10.1111/1471-0528.135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mja.com.au/journal/2012/197/5/australian-national-birthweight-percentiles-sex-and-gestational-age-1998&#8211;2007"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7.xml"/></Relationships>
</file>

<file path=word/charts/_rels/chart12.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8.xml"/></Relationships>
</file>

<file path=word/charts/_rels/chart15.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9.xml"/></Relationships>
</file>

<file path=word/charts/_rels/chart2.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6.xml"/></Relationships>
</file>

<file path=word/charts/_rels/chart9.xml.rels><?xml version="1.0" encoding="UTF-8" standalone="yes"?>
<Relationships xmlns="http://schemas.openxmlformats.org/package/2006/relationships"><Relationship Id="rId3" Type="http://schemas.openxmlformats.org/officeDocument/2006/relationships/oleObject" Target="file:///\\N059\GROUP\Q%20&amp;%20S%20Branch\15.%20Data%20analysis\Support%20for%20CCOPM\PSPI%20Report\OUTPUT\FINAL%202019_20%20PSPI%20Indicators%20bycampus%20DATAandGRAPHS%2014Jan2021.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64649959719363"/>
          <c:y val="1.5336360242731511E-2"/>
          <c:w val="0.68620658256604639"/>
          <c:h val="0.95331340824052802"/>
        </c:manualLayout>
      </c:layout>
      <c:barChart>
        <c:barDir val="bar"/>
        <c:grouping val="clustered"/>
        <c:varyColors val="0"/>
        <c:ser>
          <c:idx val="0"/>
          <c:order val="0"/>
          <c:spPr>
            <a:solidFill>
              <a:schemeClr val="accent1"/>
            </a:solidFill>
            <a:ln>
              <a:noFill/>
            </a:ln>
            <a:effectLst/>
          </c:spPr>
          <c:invertIfNegative val="0"/>
          <c:cat>
            <c:multiLvlStrRef>
              <c:f>Indicator1a!$A$4:$B$55</c:f>
              <c:multiLvlStrCache>
                <c:ptCount val="52"/>
                <c:lvl>
                  <c:pt idx="0">
                    <c:v>STATEWIDE</c:v>
                  </c:pt>
                  <c:pt idx="1">
                    <c:v>The Royal Women's Hospital</c:v>
                  </c:pt>
                  <c:pt idx="2">
                    <c:v>Mercy Hospital for Women</c:v>
                  </c:pt>
                  <c:pt idx="3">
                    <c:v>Sunshine Hospital</c:v>
                  </c:pt>
                  <c:pt idx="4">
                    <c:v>Monash Medical Centre (Clayton)</c:v>
                  </c:pt>
                  <c:pt idx="5">
                    <c:v>Frankston Hospital</c:v>
                  </c:pt>
                  <c:pt idx="6">
                    <c:v>Werribee Mercy Hospital</c:v>
                  </c:pt>
                  <c:pt idx="7">
                    <c:v>Women's at Sandringham</c:v>
                  </c:pt>
                  <c:pt idx="8">
                    <c:v>Northern Hospital Epping</c:v>
                  </c:pt>
                  <c:pt idx="9">
                    <c:v>Wodonga Hospital</c:v>
                  </c:pt>
                  <c:pt idx="10">
                    <c:v>Box Hill Hospital</c:v>
                  </c:pt>
                  <c:pt idx="11">
                    <c:v>Angliss Hospital</c:v>
                  </c:pt>
                  <c:pt idx="12">
                    <c:v>Bendigo Hospital</c:v>
                  </c:pt>
                  <c:pt idx="13">
                    <c:v>University Hospital Geelong</c:v>
                  </c:pt>
                  <c:pt idx="14">
                    <c:v>Casey Hospital</c:v>
                  </c:pt>
                  <c:pt idx="15">
                    <c:v>Ballarat Base Hospital</c:v>
                  </c:pt>
                  <c:pt idx="16">
                    <c:v>Dandenong Hospital</c:v>
                  </c:pt>
                  <c:pt idx="17">
                    <c:v>Mildura Base Hospital</c:v>
                  </c:pt>
                  <c:pt idx="18">
                    <c:v>Goulburn Valley Health (Shepparton)</c:v>
                  </c:pt>
                  <c:pt idx="19">
                    <c:v>Warrnambool Base Hospital</c:v>
                  </c:pt>
                  <c:pt idx="20">
                    <c:v>Latrobe Regional Hospital</c:v>
                  </c:pt>
                  <c:pt idx="21">
                    <c:v>West Gippsland Hospital</c:v>
                  </c:pt>
                  <c:pt idx="22">
                    <c:v>Wimmera Base Hospital</c:v>
                  </c:pt>
                  <c:pt idx="23">
                    <c:v>Northeast Health Wangaratta</c:v>
                  </c:pt>
                  <c:pt idx="24">
                    <c:v>Sale Hospital</c:v>
                  </c:pt>
                  <c:pt idx="25">
                    <c:v>Echuca Hospital</c:v>
                  </c:pt>
                  <c:pt idx="26">
                    <c:v>Bairnsdale Hospital</c:v>
                  </c:pt>
                  <c:pt idx="27">
                    <c:v>Bacchus Marsh &amp; Melton Regional Hospital</c:v>
                  </c:pt>
                  <c:pt idx="28">
                    <c:v>Kilmore &amp; District Hospital</c:v>
                  </c:pt>
                  <c:pt idx="29">
                    <c:v>Swan Hill Hospital</c:v>
                  </c:pt>
                  <c:pt idx="30">
                    <c:v>Leongatha Hospital</c:v>
                  </c:pt>
                  <c:pt idx="31">
                    <c:v>Wonthaggi Hospital</c:v>
                  </c:pt>
                  <c:pt idx="32">
                    <c:v>Colac Hospital</c:v>
                  </c:pt>
                  <c:pt idx="33">
                    <c:v>Mansfield District Hospital</c:v>
                  </c:pt>
                  <c:pt idx="34">
                    <c:v>Benalla &amp; District Memorial Hospital</c:v>
                  </c:pt>
                  <c:pt idx="35">
                    <c:v>Portland Hospital</c:v>
                  </c:pt>
                  <c:pt idx="36">
                    <c:v>Frances Perry</c:v>
                  </c:pt>
                  <c:pt idx="37">
                    <c:v>St Vincents Private</c:v>
                  </c:pt>
                  <c:pt idx="38">
                    <c:v>Freemasons</c:v>
                  </c:pt>
                  <c:pt idx="39">
                    <c:v>Cabrini M</c:v>
                  </c:pt>
                  <c:pt idx="40">
                    <c:v>Mitcham Private</c:v>
                  </c:pt>
                  <c:pt idx="41">
                    <c:v>Waverley Private</c:v>
                  </c:pt>
                  <c:pt idx="42">
                    <c:v>Berwick Hospital</c:v>
                  </c:pt>
                  <c:pt idx="43">
                    <c:v>Northpark Private</c:v>
                  </c:pt>
                  <c:pt idx="44">
                    <c:v>Jessie McPherson</c:v>
                  </c:pt>
                  <c:pt idx="45">
                    <c:v>Bays Mornington</c:v>
                  </c:pt>
                  <c:pt idx="46">
                    <c:v>Epworth Geelong</c:v>
                  </c:pt>
                  <c:pt idx="47">
                    <c:v>St JOG Geelong</c:v>
                  </c:pt>
                  <c:pt idx="48">
                    <c:v>Peninsula Private</c:v>
                  </c:pt>
                  <c:pt idx="49">
                    <c:v>St JOG Ballarat</c:v>
                  </c:pt>
                  <c:pt idx="50">
                    <c:v>St Vincents Private Hospital Werribee</c:v>
                  </c:pt>
                  <c:pt idx="51">
                    <c:v>St JOG Bendigo</c:v>
                  </c:pt>
                </c:lvl>
                <c:lvl>
                  <c:pt idx="1">
                    <c:v>Level 6</c:v>
                  </c:pt>
                  <c:pt idx="5">
                    <c:v>Level 5 and 4</c:v>
                  </c:pt>
                  <c:pt idx="25">
                    <c:v>Level 3 and 2</c:v>
                  </c:pt>
                  <c:pt idx="36">
                    <c:v>Private</c:v>
                  </c:pt>
                </c:lvl>
              </c:multiLvlStrCache>
            </c:multiLvlStrRef>
          </c:cat>
          <c:val>
            <c:numRef>
              <c:f>Indicator1a!$E$4:$E$55</c:f>
              <c:numCache>
                <c:formatCode>0.0%</c:formatCode>
                <c:ptCount val="52"/>
                <c:pt idx="0">
                  <c:v>0.17341490545050056</c:v>
                </c:pt>
                <c:pt idx="1">
                  <c:v>0.114519427402863</c:v>
                </c:pt>
                <c:pt idx="2">
                  <c:v>0.12112676056338029</c:v>
                </c:pt>
                <c:pt idx="3">
                  <c:v>9.0163934426229511E-2</c:v>
                </c:pt>
                <c:pt idx="4">
                  <c:v>0.13533834586466165</c:v>
                </c:pt>
                <c:pt idx="5">
                  <c:v>0.18032786885245902</c:v>
                </c:pt>
                <c:pt idx="6">
                  <c:v>7.5842696629213488E-2</c:v>
                </c:pt>
                <c:pt idx="7">
                  <c:v>0.14071856287425147</c:v>
                </c:pt>
                <c:pt idx="8">
                  <c:v>0.13620071684587814</c:v>
                </c:pt>
                <c:pt idx="9">
                  <c:v>0.11057692307692309</c:v>
                </c:pt>
                <c:pt idx="10">
                  <c:v>0.10294117647058823</c:v>
                </c:pt>
                <c:pt idx="11">
                  <c:v>9.793814432989692E-2</c:v>
                </c:pt>
                <c:pt idx="12">
                  <c:v>0.16463414634146342</c:v>
                </c:pt>
                <c:pt idx="13">
                  <c:v>6.25E-2</c:v>
                </c:pt>
                <c:pt idx="14">
                  <c:v>6.666666666666668E-2</c:v>
                </c:pt>
                <c:pt idx="15">
                  <c:v>0.28695652173913044</c:v>
                </c:pt>
                <c:pt idx="16">
                  <c:v>5.7692307692307689E-2</c:v>
                </c:pt>
                <c:pt idx="17">
                  <c:v>6.9306930693069313E-2</c:v>
                </c:pt>
                <c:pt idx="18">
                  <c:v>5.1546391752577317E-2</c:v>
                </c:pt>
                <c:pt idx="19">
                  <c:v>0.19444444444444448</c:v>
                </c:pt>
                <c:pt idx="20">
                  <c:v>7.5471698113207544E-2</c:v>
                </c:pt>
                <c:pt idx="21">
                  <c:v>0.2</c:v>
                </c:pt>
                <c:pt idx="22">
                  <c:v>0.25</c:v>
                </c:pt>
                <c:pt idx="23">
                  <c:v>0.13888888888888887</c:v>
                </c:pt>
                <c:pt idx="25">
                  <c:v>0.12698412698412698</c:v>
                </c:pt>
                <c:pt idx="27">
                  <c:v>0.11428571428571428</c:v>
                </c:pt>
                <c:pt idx="28">
                  <c:v>0.1176470588235294</c:v>
                </c:pt>
                <c:pt idx="29">
                  <c:v>7.407407407407407E-2</c:v>
                </c:pt>
                <c:pt idx="30">
                  <c:v>0.16</c:v>
                </c:pt>
                <c:pt idx="31">
                  <c:v>0.21052631578947367</c:v>
                </c:pt>
                <c:pt idx="33">
                  <c:v>0.30769230769230771</c:v>
                </c:pt>
                <c:pt idx="36">
                  <c:v>0.29909365558912387</c:v>
                </c:pt>
                <c:pt idx="37">
                  <c:v>0.16477272727272727</c:v>
                </c:pt>
                <c:pt idx="38">
                  <c:v>0.27833001988071571</c:v>
                </c:pt>
                <c:pt idx="39">
                  <c:v>0.24362606232294617</c:v>
                </c:pt>
                <c:pt idx="40">
                  <c:v>0.29929577464788731</c:v>
                </c:pt>
                <c:pt idx="41">
                  <c:v>0.26960784313725489</c:v>
                </c:pt>
                <c:pt idx="42">
                  <c:v>0.2162162162162162</c:v>
                </c:pt>
                <c:pt idx="43">
                  <c:v>0.33333333333333326</c:v>
                </c:pt>
                <c:pt idx="44">
                  <c:v>0.25555555555555554</c:v>
                </c:pt>
                <c:pt idx="45">
                  <c:v>0.3370786516853933</c:v>
                </c:pt>
                <c:pt idx="46">
                  <c:v>0.21176470588235294</c:v>
                </c:pt>
                <c:pt idx="47">
                  <c:v>0.37804878048780488</c:v>
                </c:pt>
                <c:pt idx="48">
                  <c:v>0.36764705882352944</c:v>
                </c:pt>
                <c:pt idx="49">
                  <c:v>0.37735849056603776</c:v>
                </c:pt>
                <c:pt idx="50">
                  <c:v>0.25</c:v>
                </c:pt>
                <c:pt idx="51">
                  <c:v>0.2</c:v>
                </c:pt>
              </c:numCache>
            </c:numRef>
          </c:val>
          <c:extLst>
            <c:ext xmlns:c16="http://schemas.microsoft.com/office/drawing/2014/chart" uri="{C3380CC4-5D6E-409C-BE32-E72D297353CC}">
              <c16:uniqueId val="{00000000-B5F8-414B-8B23-511D73B4A92A}"/>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Indicator1a!$A$65</c:f>
              <c:strCache>
                <c:ptCount val="1"/>
                <c:pt idx="0">
                  <c:v>Most favourable (First quartile)</c:v>
                </c:pt>
              </c:strCache>
            </c:strRef>
          </c:tx>
          <c:spPr>
            <a:ln w="28575" cap="rnd">
              <a:solidFill>
                <a:srgbClr val="00B050"/>
              </a:solidFill>
              <a:round/>
            </a:ln>
            <a:effectLst/>
          </c:spPr>
          <c:marker>
            <c:symbol val="none"/>
          </c:marker>
          <c:xVal>
            <c:numRef>
              <c:f>Indicator1a!$D$65:$D$66</c:f>
              <c:numCache>
                <c:formatCode>0.0%</c:formatCode>
                <c:ptCount val="2"/>
                <c:pt idx="0">
                  <c:v>0.11057692307692307</c:v>
                </c:pt>
                <c:pt idx="1">
                  <c:v>0.11057692307692307</c:v>
                </c:pt>
              </c:numCache>
            </c:numRef>
          </c:xVal>
          <c:yVal>
            <c:numRef>
              <c:f>Indicator1a!$E$65:$E$66</c:f>
              <c:numCache>
                <c:formatCode>0.0%</c:formatCode>
                <c:ptCount val="2"/>
                <c:pt idx="0">
                  <c:v>0</c:v>
                </c:pt>
                <c:pt idx="1">
                  <c:v>1.2E-2</c:v>
                </c:pt>
              </c:numCache>
            </c:numRef>
          </c:yVal>
          <c:smooth val="0"/>
          <c:extLst>
            <c:ext xmlns:c16="http://schemas.microsoft.com/office/drawing/2014/chart" uri="{C3380CC4-5D6E-409C-BE32-E72D297353CC}">
              <c16:uniqueId val="{00000002-B5F8-414B-8B23-511D73B4A92A}"/>
            </c:ext>
          </c:extLst>
        </c:ser>
        <c:ser>
          <c:idx val="2"/>
          <c:order val="2"/>
          <c:tx>
            <c:v>Least favourable</c:v>
          </c:tx>
          <c:spPr>
            <a:ln w="28575" cap="rnd">
              <a:solidFill>
                <a:srgbClr val="FF0000"/>
              </a:solidFill>
              <a:round/>
            </a:ln>
            <a:effectLst/>
          </c:spPr>
          <c:marker>
            <c:symbol val="none"/>
          </c:marker>
          <c:xVal>
            <c:numRef>
              <c:f>Indicator1a!$D$67:$D$68</c:f>
              <c:numCache>
                <c:formatCode>0.0%</c:formatCode>
                <c:ptCount val="2"/>
                <c:pt idx="0">
                  <c:v>0.25555555555555554</c:v>
                </c:pt>
                <c:pt idx="1">
                  <c:v>0.25555555555555554</c:v>
                </c:pt>
              </c:numCache>
            </c:numRef>
          </c:xVal>
          <c:yVal>
            <c:numRef>
              <c:f>Indicator1a!$E$67:$E$68</c:f>
              <c:numCache>
                <c:formatCode>0.0%</c:formatCode>
                <c:ptCount val="2"/>
                <c:pt idx="0">
                  <c:v>0</c:v>
                </c:pt>
                <c:pt idx="1">
                  <c:v>1.2E-2</c:v>
                </c:pt>
              </c:numCache>
            </c:numRef>
          </c:yVal>
          <c:smooth val="0"/>
          <c:extLst>
            <c:ext xmlns:c16="http://schemas.microsoft.com/office/drawing/2014/chart" uri="{C3380CC4-5D6E-409C-BE32-E72D297353CC}">
              <c16:uniqueId val="{00000004-B5F8-414B-8B23-511D73B4A92A}"/>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38000000000000006"/>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826524722434001"/>
          <c:y val="1.583764360154755E-2"/>
          <c:w val="0.65047781169650931"/>
          <c:h val="0.9517057405070416"/>
        </c:manualLayout>
      </c:layout>
      <c:barChart>
        <c:barDir val="bar"/>
        <c:grouping val="clustered"/>
        <c:varyColors val="0"/>
        <c:ser>
          <c:idx val="0"/>
          <c:order val="0"/>
          <c:spPr>
            <a:solidFill>
              <a:schemeClr val="accent1"/>
            </a:solidFill>
            <a:ln>
              <a:noFill/>
            </a:ln>
            <a:effectLst/>
          </c:spPr>
          <c:invertIfNegative val="0"/>
          <c:cat>
            <c:multiLvlStrRef>
              <c:f>Indicator7!$A$4:$B$44</c:f>
              <c:multiLvlStrCache>
                <c:ptCount val="41"/>
                <c:lvl>
                  <c:pt idx="0">
                    <c:v>ALL PUBLIC AND PRIVATE HOSPITALS</c:v>
                  </c:pt>
                  <c:pt idx="1">
                    <c:v>The Royal Women's Hospital</c:v>
                  </c:pt>
                  <c:pt idx="2">
                    <c:v>Sunshine Hospital</c:v>
                  </c:pt>
                  <c:pt idx="3">
                    <c:v>Mercy Hospital for Women</c:v>
                  </c:pt>
                  <c:pt idx="4">
                    <c:v>Frankston Hospital</c:v>
                  </c:pt>
                  <c:pt idx="5">
                    <c:v>Northern Hospital Epping</c:v>
                  </c:pt>
                  <c:pt idx="6">
                    <c:v>Bendigo Hospital</c:v>
                  </c:pt>
                  <c:pt idx="7">
                    <c:v>Ballarat Base Hospital</c:v>
                  </c:pt>
                  <c:pt idx="8">
                    <c:v>Casey Hospital</c:v>
                  </c:pt>
                  <c:pt idx="9">
                    <c:v>Angliss Hospital</c:v>
                  </c:pt>
                  <c:pt idx="10">
                    <c:v>University Hospital Geelong</c:v>
                  </c:pt>
                  <c:pt idx="11">
                    <c:v>Wodonga Hospital</c:v>
                  </c:pt>
                  <c:pt idx="12">
                    <c:v>Latrobe Regional Hospital</c:v>
                  </c:pt>
                  <c:pt idx="13">
                    <c:v>Goulburn Valley Health (Shepparton)</c:v>
                  </c:pt>
                  <c:pt idx="14">
                    <c:v>Werribee Mercy Hospital</c:v>
                  </c:pt>
                  <c:pt idx="15">
                    <c:v>Dandenong Hospital</c:v>
                  </c:pt>
                  <c:pt idx="16">
                    <c:v>Box Hill Hospital</c:v>
                  </c:pt>
                  <c:pt idx="17">
                    <c:v>Mildura Base Hospital</c:v>
                  </c:pt>
                  <c:pt idx="18">
                    <c:v>West Gippsland Hospital</c:v>
                  </c:pt>
                  <c:pt idx="19">
                    <c:v>Warrnambool Base Hospital</c:v>
                  </c:pt>
                  <c:pt idx="20">
                    <c:v>Northeast Health Wangaratta</c:v>
                  </c:pt>
                  <c:pt idx="21">
                    <c:v>Sale Hospital</c:v>
                  </c:pt>
                  <c:pt idx="22">
                    <c:v>Wimmera Base Hospital</c:v>
                  </c:pt>
                  <c:pt idx="23">
                    <c:v>Women's at Sandringham</c:v>
                  </c:pt>
                  <c:pt idx="24">
                    <c:v>Bacchus Marsh &amp; Melton Regional Hospital</c:v>
                  </c:pt>
                  <c:pt idx="25">
                    <c:v>Echuca Hospital</c:v>
                  </c:pt>
                  <c:pt idx="26">
                    <c:v>Bairnsdale Hospital</c:v>
                  </c:pt>
                  <c:pt idx="27">
                    <c:v>Wonthaggi Hospital</c:v>
                  </c:pt>
                  <c:pt idx="28">
                    <c:v>Kilmore &amp; District Hospital</c:v>
                  </c:pt>
                  <c:pt idx="29">
                    <c:v>Ararat Hospital</c:v>
                  </c:pt>
                  <c:pt idx="30">
                    <c:v>Swan Hill Hospital</c:v>
                  </c:pt>
                  <c:pt idx="31">
                    <c:v>Hamilton Base Hospital</c:v>
                  </c:pt>
                  <c:pt idx="32">
                    <c:v>Leongatha Hospital</c:v>
                  </c:pt>
                  <c:pt idx="33">
                    <c:v>Portland Hospital</c:v>
                  </c:pt>
                  <c:pt idx="34">
                    <c:v>Colac Hospital</c:v>
                  </c:pt>
                  <c:pt idx="35">
                    <c:v>Maryborough Hospital</c:v>
                  </c:pt>
                  <c:pt idx="36">
                    <c:v>St Vincents Private</c:v>
                  </c:pt>
                  <c:pt idx="37">
                    <c:v>Northpark Private</c:v>
                  </c:pt>
                  <c:pt idx="38">
                    <c:v>Cabrini M</c:v>
                  </c:pt>
                  <c:pt idx="39">
                    <c:v>Frances Perry</c:v>
                  </c:pt>
                  <c:pt idx="40">
                    <c:v>Mitcham Private</c:v>
                  </c:pt>
                </c:lvl>
                <c:lvl>
                  <c:pt idx="1">
                    <c:v>Level 6</c:v>
                  </c:pt>
                  <c:pt idx="4">
                    <c:v>Level 5 and 4</c:v>
                  </c:pt>
                  <c:pt idx="24">
                    <c:v>Level 3 and 2</c:v>
                  </c:pt>
                  <c:pt idx="36">
                    <c:v>Private</c:v>
                  </c:pt>
                </c:lvl>
              </c:multiLvlStrCache>
            </c:multiLvlStrRef>
          </c:cat>
          <c:val>
            <c:numRef>
              <c:f>Indicator7!$E$4:$E$44</c:f>
              <c:numCache>
                <c:formatCode>0.0%</c:formatCode>
                <c:ptCount val="41"/>
                <c:pt idx="0">
                  <c:v>0.27987101154107263</c:v>
                </c:pt>
                <c:pt idx="1">
                  <c:v>0.45473251028806577</c:v>
                </c:pt>
                <c:pt idx="2">
                  <c:v>0.24948453608247423</c:v>
                </c:pt>
                <c:pt idx="3">
                  <c:v>0.115</c:v>
                </c:pt>
                <c:pt idx="4">
                  <c:v>0.34968017057569301</c:v>
                </c:pt>
                <c:pt idx="5">
                  <c:v>0.35643564356435642</c:v>
                </c:pt>
                <c:pt idx="6">
                  <c:v>0.20512820512820512</c:v>
                </c:pt>
                <c:pt idx="7">
                  <c:v>0.12345679012345681</c:v>
                </c:pt>
                <c:pt idx="8">
                  <c:v>0.45416666666666666</c:v>
                </c:pt>
                <c:pt idx="9">
                  <c:v>0.2752293577981651</c:v>
                </c:pt>
                <c:pt idx="10">
                  <c:v>5.1401869158878497E-2</c:v>
                </c:pt>
                <c:pt idx="11">
                  <c:v>0.12690355329949238</c:v>
                </c:pt>
                <c:pt idx="12">
                  <c:v>0.15706806282722513</c:v>
                </c:pt>
                <c:pt idx="13">
                  <c:v>0.20212765957446804</c:v>
                </c:pt>
                <c:pt idx="14">
                  <c:v>0.12352941176470589</c:v>
                </c:pt>
                <c:pt idx="15">
                  <c:v>0.36094674556213024</c:v>
                </c:pt>
                <c:pt idx="16">
                  <c:v>0.35119047619047611</c:v>
                </c:pt>
                <c:pt idx="17">
                  <c:v>0.28662420382165604</c:v>
                </c:pt>
                <c:pt idx="18">
                  <c:v>0.2857142857142857</c:v>
                </c:pt>
                <c:pt idx="19">
                  <c:v>0.31428571428571428</c:v>
                </c:pt>
                <c:pt idx="20">
                  <c:v>0.19767441860465115</c:v>
                </c:pt>
                <c:pt idx="21">
                  <c:v>0.33333333333333326</c:v>
                </c:pt>
                <c:pt idx="22">
                  <c:v>0.15217391304347827</c:v>
                </c:pt>
                <c:pt idx="23">
                  <c:v>0.25806451612903225</c:v>
                </c:pt>
                <c:pt idx="24">
                  <c:v>0.25396825396825395</c:v>
                </c:pt>
                <c:pt idx="25">
                  <c:v>0.17241379310344829</c:v>
                </c:pt>
                <c:pt idx="26">
                  <c:v>0.10526315789473684</c:v>
                </c:pt>
                <c:pt idx="27">
                  <c:v>0.17391304347826086</c:v>
                </c:pt>
                <c:pt idx="28">
                  <c:v>0.18181818181818182</c:v>
                </c:pt>
                <c:pt idx="29">
                  <c:v>0.1875</c:v>
                </c:pt>
                <c:pt idx="30">
                  <c:v>0.125</c:v>
                </c:pt>
                <c:pt idx="31">
                  <c:v>8.3333333333333315E-2</c:v>
                </c:pt>
                <c:pt idx="32">
                  <c:v>0</c:v>
                </c:pt>
                <c:pt idx="33">
                  <c:v>0</c:v>
                </c:pt>
                <c:pt idx="34">
                  <c:v>0.36363636363636365</c:v>
                </c:pt>
                <c:pt idx="35">
                  <c:v>0</c:v>
                </c:pt>
                <c:pt idx="36">
                  <c:v>0.85294117647058831</c:v>
                </c:pt>
                <c:pt idx="37">
                  <c:v>0.65384615384615385</c:v>
                </c:pt>
                <c:pt idx="38">
                  <c:v>0.82352941176470584</c:v>
                </c:pt>
                <c:pt idx="39">
                  <c:v>0.5</c:v>
                </c:pt>
                <c:pt idx="40">
                  <c:v>0.6</c:v>
                </c:pt>
              </c:numCache>
            </c:numRef>
          </c:val>
          <c:extLst>
            <c:ext xmlns:c16="http://schemas.microsoft.com/office/drawing/2014/chart" uri="{C3380CC4-5D6E-409C-BE32-E72D297353CC}">
              <c16:uniqueId val="{00000000-3D8E-47C3-8E03-C3BD8B3A6824}"/>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Indicator7!$A$53</c:f>
              <c:strCache>
                <c:ptCount val="1"/>
                <c:pt idx="0">
                  <c:v>Most favourable (First quartile)</c:v>
                </c:pt>
              </c:strCache>
            </c:strRef>
          </c:tx>
          <c:spPr>
            <a:ln w="28575" cap="rnd">
              <a:solidFill>
                <a:srgbClr val="FF0000"/>
              </a:solidFill>
              <a:round/>
            </a:ln>
            <a:effectLst/>
          </c:spPr>
          <c:marker>
            <c:symbol val="none"/>
          </c:marker>
          <c:xVal>
            <c:numRef>
              <c:f>Indicator7!$D$53:$D$54</c:f>
              <c:numCache>
                <c:formatCode>0.0%</c:formatCode>
                <c:ptCount val="2"/>
                <c:pt idx="0">
                  <c:v>0.125</c:v>
                </c:pt>
                <c:pt idx="1">
                  <c:v>0.125</c:v>
                </c:pt>
              </c:numCache>
            </c:numRef>
          </c:xVal>
          <c:yVal>
            <c:numRef>
              <c:f>Indicator7!$E$53:$E$54</c:f>
              <c:numCache>
                <c:formatCode>0.0%</c:formatCode>
                <c:ptCount val="2"/>
                <c:pt idx="0">
                  <c:v>0</c:v>
                </c:pt>
                <c:pt idx="1">
                  <c:v>1.2E-2</c:v>
                </c:pt>
              </c:numCache>
            </c:numRef>
          </c:yVal>
          <c:smooth val="0"/>
          <c:extLst>
            <c:ext xmlns:c16="http://schemas.microsoft.com/office/drawing/2014/chart" uri="{C3380CC4-5D6E-409C-BE32-E72D297353CC}">
              <c16:uniqueId val="{00000002-3D8E-47C3-8E03-C3BD8B3A6824}"/>
            </c:ext>
          </c:extLst>
        </c:ser>
        <c:ser>
          <c:idx val="2"/>
          <c:order val="2"/>
          <c:tx>
            <c:v>Least favourable</c:v>
          </c:tx>
          <c:spPr>
            <a:ln w="28575" cap="rnd">
              <a:solidFill>
                <a:schemeClr val="accent2"/>
              </a:solidFill>
              <a:round/>
            </a:ln>
            <a:effectLst/>
          </c:spPr>
          <c:marker>
            <c:symbol val="none"/>
          </c:marker>
          <c:dPt>
            <c:idx val="1"/>
            <c:marker>
              <c:symbol val="none"/>
            </c:marker>
            <c:bubble3D val="0"/>
            <c:spPr>
              <a:ln w="28575" cap="rnd">
                <a:solidFill>
                  <a:srgbClr val="00B050"/>
                </a:solidFill>
                <a:round/>
              </a:ln>
              <a:effectLst/>
            </c:spPr>
            <c:extLst>
              <c:ext xmlns:c16="http://schemas.microsoft.com/office/drawing/2014/chart" uri="{C3380CC4-5D6E-409C-BE32-E72D297353CC}">
                <c16:uniqueId val="{00000004-3D8E-47C3-8E03-C3BD8B3A6824}"/>
              </c:ext>
            </c:extLst>
          </c:dPt>
          <c:xVal>
            <c:numRef>
              <c:f>Indicator7!$D$55:$D$56</c:f>
              <c:numCache>
                <c:formatCode>0.0%</c:formatCode>
                <c:ptCount val="2"/>
                <c:pt idx="0">
                  <c:v>0.35119047619047611</c:v>
                </c:pt>
                <c:pt idx="1">
                  <c:v>0.35119047619047611</c:v>
                </c:pt>
              </c:numCache>
            </c:numRef>
          </c:xVal>
          <c:yVal>
            <c:numRef>
              <c:f>Indicator7!$E$55:$E$56</c:f>
              <c:numCache>
                <c:formatCode>0.0%</c:formatCode>
                <c:ptCount val="2"/>
                <c:pt idx="0">
                  <c:v>0</c:v>
                </c:pt>
                <c:pt idx="1">
                  <c:v>1.2E-2</c:v>
                </c:pt>
              </c:numCache>
            </c:numRef>
          </c:yVal>
          <c:smooth val="0"/>
          <c:extLst>
            <c:ext xmlns:c16="http://schemas.microsoft.com/office/drawing/2014/chart" uri="{C3380CC4-5D6E-409C-BE32-E72D297353CC}">
              <c16:uniqueId val="{00000005-3D8E-47C3-8E03-C3BD8B3A6824}"/>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860000000000000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8978752457"/>
          <c:y val="1.511471513821966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444557515932482"/>
          <c:y val="1.2632767918935505E-2"/>
          <c:w val="0.6392216724121117"/>
          <c:h val="0.96481333490030163"/>
        </c:manualLayout>
      </c:layout>
      <c:barChart>
        <c:barDir val="bar"/>
        <c:grouping val="clustered"/>
        <c:varyColors val="0"/>
        <c:ser>
          <c:idx val="0"/>
          <c:order val="0"/>
          <c:spPr>
            <a:solidFill>
              <a:schemeClr val="accent1"/>
            </a:solidFill>
            <a:ln>
              <a:noFill/>
            </a:ln>
            <a:effectLst/>
          </c:spPr>
          <c:invertIfNegative val="0"/>
          <c:cat>
            <c:multiLvlStrRef>
              <c:f>Indicator10!$A$4:$B$64</c:f>
              <c:multiLvlStrCache>
                <c:ptCount val="61"/>
                <c:lvl>
                  <c:pt idx="0">
                    <c:v>ALL PUBLIC AND PRIVATE HOSPITALS</c:v>
                  </c:pt>
                  <c:pt idx="1">
                    <c:v>The Royal Women's Hospital</c:v>
                  </c:pt>
                  <c:pt idx="2">
                    <c:v>Sunshine Hospital</c:v>
                  </c:pt>
                  <c:pt idx="3">
                    <c:v>Mercy Hospital for Women</c:v>
                  </c:pt>
                  <c:pt idx="4">
                    <c:v>Monash Medical Centre (Clayton)</c:v>
                  </c:pt>
                  <c:pt idx="5">
                    <c:v>Werribee Mercy Hospital</c:v>
                  </c:pt>
                  <c:pt idx="6">
                    <c:v>Northern Hospital Epping</c:v>
                  </c:pt>
                  <c:pt idx="7">
                    <c:v>Frankston Hospital</c:v>
                  </c:pt>
                  <c:pt idx="8">
                    <c:v>Casey Hospital</c:v>
                  </c:pt>
                  <c:pt idx="9">
                    <c:v>University Hospital Geelong</c:v>
                  </c:pt>
                  <c:pt idx="10">
                    <c:v>Box Hill Hospital</c:v>
                  </c:pt>
                  <c:pt idx="11">
                    <c:v>Wodonga Hospital</c:v>
                  </c:pt>
                  <c:pt idx="12">
                    <c:v>Bendigo Hospital</c:v>
                  </c:pt>
                  <c:pt idx="13">
                    <c:v>Ballarat Base Hospital</c:v>
                  </c:pt>
                  <c:pt idx="14">
                    <c:v>Goulburn Valley Health (Shepparton)</c:v>
                  </c:pt>
                  <c:pt idx="15">
                    <c:v>Latrobe Regional Hospital</c:v>
                  </c:pt>
                  <c:pt idx="16">
                    <c:v>Dandenong Hospital</c:v>
                  </c:pt>
                  <c:pt idx="17">
                    <c:v>Angliss Hospital</c:v>
                  </c:pt>
                  <c:pt idx="18">
                    <c:v>Women's at Sandringham</c:v>
                  </c:pt>
                  <c:pt idx="19">
                    <c:v>West Gippsland Hospital</c:v>
                  </c:pt>
                  <c:pt idx="20">
                    <c:v>Mildura Base Hospital</c:v>
                  </c:pt>
                  <c:pt idx="21">
                    <c:v>Warrnambool Base Hospital</c:v>
                  </c:pt>
                  <c:pt idx="22">
                    <c:v>Northeast Health Wangaratta</c:v>
                  </c:pt>
                  <c:pt idx="23">
                    <c:v>Bacchus Marsh &amp; Melton Regional Hospital</c:v>
                  </c:pt>
                  <c:pt idx="24">
                    <c:v>Echuca Hospital</c:v>
                  </c:pt>
                  <c:pt idx="25">
                    <c:v>Sale Hospital</c:v>
                  </c:pt>
                  <c:pt idx="26">
                    <c:v>Bairnsdale Hospital</c:v>
                  </c:pt>
                  <c:pt idx="27">
                    <c:v>Wimmera Base Hospital</c:v>
                  </c:pt>
                  <c:pt idx="28">
                    <c:v>Kilmore &amp; District Hospital</c:v>
                  </c:pt>
                  <c:pt idx="29">
                    <c:v>Swan Hill Hospital</c:v>
                  </c:pt>
                  <c:pt idx="30">
                    <c:v>Leongatha Hospital</c:v>
                  </c:pt>
                  <c:pt idx="31">
                    <c:v>Wonthaggi Hospital</c:v>
                  </c:pt>
                  <c:pt idx="32">
                    <c:v>Colac Hospital</c:v>
                  </c:pt>
                  <c:pt idx="33">
                    <c:v>Hamilton Base Hospital</c:v>
                  </c:pt>
                  <c:pt idx="34">
                    <c:v>Ararat Hospital</c:v>
                  </c:pt>
                  <c:pt idx="35">
                    <c:v>Portland Hospital</c:v>
                  </c:pt>
                  <c:pt idx="36">
                    <c:v>Mansfield District Hospital</c:v>
                  </c:pt>
                  <c:pt idx="37">
                    <c:v>Benalla &amp; District Memorial Hospital</c:v>
                  </c:pt>
                  <c:pt idx="38">
                    <c:v>South Gippsland Hospital</c:v>
                  </c:pt>
                  <c:pt idx="39">
                    <c:v>Castlemaine Hospital</c:v>
                  </c:pt>
                  <c:pt idx="40">
                    <c:v>Maryborough Hospital</c:v>
                  </c:pt>
                  <c:pt idx="41">
                    <c:v>Cohuna District Hospital</c:v>
                  </c:pt>
                  <c:pt idx="42">
                    <c:v>Camperdown Hospital</c:v>
                  </c:pt>
                  <c:pt idx="43">
                    <c:v>Terang Hospital</c:v>
                  </c:pt>
                  <c:pt idx="44">
                    <c:v>Frances Perry</c:v>
                  </c:pt>
                  <c:pt idx="45">
                    <c:v>Freemasons</c:v>
                  </c:pt>
                  <c:pt idx="46">
                    <c:v>St Vincents Private</c:v>
                  </c:pt>
                  <c:pt idx="47">
                    <c:v>Cabrini M</c:v>
                  </c:pt>
                  <c:pt idx="48">
                    <c:v>Mitcham Private</c:v>
                  </c:pt>
                  <c:pt idx="49">
                    <c:v>Waverley Private</c:v>
                  </c:pt>
                  <c:pt idx="50">
                    <c:v>Jessie McPherson</c:v>
                  </c:pt>
                  <c:pt idx="51">
                    <c:v>Berwick Hospital</c:v>
                  </c:pt>
                  <c:pt idx="52">
                    <c:v>Northpark Private</c:v>
                  </c:pt>
                  <c:pt idx="53">
                    <c:v>St JOG Geelong</c:v>
                  </c:pt>
                  <c:pt idx="54">
                    <c:v>Bays Mornington</c:v>
                  </c:pt>
                  <c:pt idx="55">
                    <c:v>St JOG Ballarat</c:v>
                  </c:pt>
                  <c:pt idx="56">
                    <c:v>Peninsula Private</c:v>
                  </c:pt>
                  <c:pt idx="57">
                    <c:v>Epworth Geelong</c:v>
                  </c:pt>
                  <c:pt idx="58">
                    <c:v>St JOG Bendigo</c:v>
                  </c:pt>
                  <c:pt idx="59">
                    <c:v>St Vincents Private Hospital Werribee</c:v>
                  </c:pt>
                  <c:pt idx="60">
                    <c:v>Knox Private</c:v>
                  </c:pt>
                </c:lvl>
                <c:lvl>
                  <c:pt idx="1">
                    <c:v>Level 6</c:v>
                  </c:pt>
                  <c:pt idx="5">
                    <c:v>Level 5 and 4</c:v>
                  </c:pt>
                  <c:pt idx="16">
                    <c:v>Level 3 and 2</c:v>
                  </c:pt>
                  <c:pt idx="44">
                    <c:v>Private</c:v>
                  </c:pt>
                </c:lvl>
              </c:multiLvlStrCache>
            </c:multiLvlStrRef>
          </c:cat>
          <c:val>
            <c:numRef>
              <c:f>Indicator10!$E$4:$E$64</c:f>
              <c:numCache>
                <c:formatCode>0.0%</c:formatCode>
                <c:ptCount val="61"/>
                <c:pt idx="0">
                  <c:v>1.2545009361947286E-2</c:v>
                </c:pt>
                <c:pt idx="1">
                  <c:v>1.264456437933693E-2</c:v>
                </c:pt>
                <c:pt idx="2">
                  <c:v>8.5470085470085479E-3</c:v>
                </c:pt>
                <c:pt idx="3">
                  <c:v>1.5418949076891864E-2</c:v>
                </c:pt>
                <c:pt idx="4">
                  <c:v>1.6539050535987747E-2</c:v>
                </c:pt>
                <c:pt idx="5">
                  <c:v>5.3992611537368573E-3</c:v>
                </c:pt>
                <c:pt idx="6">
                  <c:v>1.1879378617118489E-2</c:v>
                </c:pt>
                <c:pt idx="7">
                  <c:v>1.5309932785660941E-2</c:v>
                </c:pt>
                <c:pt idx="8">
                  <c:v>1.3233348037053373E-2</c:v>
                </c:pt>
                <c:pt idx="9">
                  <c:v>1.4234875444839857E-2</c:v>
                </c:pt>
                <c:pt idx="10">
                  <c:v>1.2134831460674157E-2</c:v>
                </c:pt>
                <c:pt idx="11">
                  <c:v>1.1873350923482849E-2</c:v>
                </c:pt>
                <c:pt idx="12">
                  <c:v>2.4700070571630209E-2</c:v>
                </c:pt>
                <c:pt idx="13">
                  <c:v>1.8010963194988253E-2</c:v>
                </c:pt>
                <c:pt idx="14">
                  <c:v>1.4319809069212409E-2</c:v>
                </c:pt>
                <c:pt idx="15">
                  <c:v>1.7567567567567569E-2</c:v>
                </c:pt>
                <c:pt idx="16">
                  <c:v>8.2474226804123713E-3</c:v>
                </c:pt>
                <c:pt idx="17">
                  <c:v>1.5592515592515595E-2</c:v>
                </c:pt>
                <c:pt idx="18">
                  <c:v>2.0053475935828877E-2</c:v>
                </c:pt>
                <c:pt idx="19">
                  <c:v>1.2300123001230012E-2</c:v>
                </c:pt>
                <c:pt idx="20">
                  <c:v>2.5401069518716578E-2</c:v>
                </c:pt>
                <c:pt idx="21">
                  <c:v>9.5693779904306216E-3</c:v>
                </c:pt>
                <c:pt idx="22">
                  <c:v>1.6155088852988692E-2</c:v>
                </c:pt>
                <c:pt idx="23">
                  <c:v>6.5075921908893707E-3</c:v>
                </c:pt>
                <c:pt idx="24">
                  <c:v>1.0471204188481676E-2</c:v>
                </c:pt>
                <c:pt idx="25">
                  <c:v>1.2779552715654952E-2</c:v>
                </c:pt>
                <c:pt idx="26">
                  <c:v>1.3422818791946307E-2</c:v>
                </c:pt>
                <c:pt idx="27">
                  <c:v>1.4184397163120567E-2</c:v>
                </c:pt>
                <c:pt idx="28">
                  <c:v>1.2345679012345678E-2</c:v>
                </c:pt>
                <c:pt idx="29">
                  <c:v>1.282051282051282E-2</c:v>
                </c:pt>
                <c:pt idx="30">
                  <c:v>2.1126760563380281E-2</c:v>
                </c:pt>
                <c:pt idx="31">
                  <c:v>1.4492753623188406E-2</c:v>
                </c:pt>
                <c:pt idx="32">
                  <c:v>7.8125E-3</c:v>
                </c:pt>
                <c:pt idx="33">
                  <c:v>8.130081300813009E-3</c:v>
                </c:pt>
                <c:pt idx="34">
                  <c:v>3.0612244897959183E-2</c:v>
                </c:pt>
                <c:pt idx="35">
                  <c:v>1.4925373134328356E-2</c:v>
                </c:pt>
                <c:pt idx="36">
                  <c:v>1.7241379310344827E-2</c:v>
                </c:pt>
                <c:pt idx="37">
                  <c:v>1.7241379310344827E-2</c:v>
                </c:pt>
                <c:pt idx="38">
                  <c:v>1.8518518518518517E-2</c:v>
                </c:pt>
                <c:pt idx="39">
                  <c:v>2.3809523809523808E-2</c:v>
                </c:pt>
                <c:pt idx="40">
                  <c:v>0</c:v>
                </c:pt>
                <c:pt idx="41">
                  <c:v>2.5000000000000001E-2</c:v>
                </c:pt>
                <c:pt idx="42">
                  <c:v>3.4482758620689655E-2</c:v>
                </c:pt>
                <c:pt idx="43">
                  <c:v>0</c:v>
                </c:pt>
                <c:pt idx="44">
                  <c:v>7.9767947788252341E-3</c:v>
                </c:pt>
                <c:pt idx="45">
                  <c:v>8.8954781319495919E-3</c:v>
                </c:pt>
                <c:pt idx="46">
                  <c:v>6.5975494816211122E-3</c:v>
                </c:pt>
                <c:pt idx="47">
                  <c:v>9.1575091575091579E-3</c:v>
                </c:pt>
                <c:pt idx="48">
                  <c:v>7.6465590484282074E-3</c:v>
                </c:pt>
                <c:pt idx="49">
                  <c:v>1.3268998793727383E-2</c:v>
                </c:pt>
                <c:pt idx="50">
                  <c:v>8.8607594936708865E-3</c:v>
                </c:pt>
                <c:pt idx="51">
                  <c:v>1.3245033112582783E-2</c:v>
                </c:pt>
                <c:pt idx="52">
                  <c:v>2.0440251572327043E-2</c:v>
                </c:pt>
                <c:pt idx="53">
                  <c:v>2.0080321285140562E-2</c:v>
                </c:pt>
                <c:pt idx="54">
                  <c:v>4.5351473922902496E-3</c:v>
                </c:pt>
                <c:pt idx="55">
                  <c:v>2.088772845953003E-2</c:v>
                </c:pt>
                <c:pt idx="56">
                  <c:v>2.976190476190476E-3</c:v>
                </c:pt>
                <c:pt idx="57">
                  <c:v>2.5000000000000001E-2</c:v>
                </c:pt>
                <c:pt idx="58">
                  <c:v>1.465201465201465E-2</c:v>
                </c:pt>
                <c:pt idx="59">
                  <c:v>7.4626865671641798E-3</c:v>
                </c:pt>
                <c:pt idx="60">
                  <c:v>0</c:v>
                </c:pt>
              </c:numCache>
            </c:numRef>
          </c:val>
          <c:extLst>
            <c:ext xmlns:c16="http://schemas.microsoft.com/office/drawing/2014/chart" uri="{C3380CC4-5D6E-409C-BE32-E72D297353CC}">
              <c16:uniqueId val="{00000000-2AE8-48EE-9C93-22A69A39256C}"/>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Indicator10!$A$73</c:f>
              <c:strCache>
                <c:ptCount val="1"/>
                <c:pt idx="0">
                  <c:v>Most favourable (First quartile)</c:v>
                </c:pt>
              </c:strCache>
            </c:strRef>
          </c:tx>
          <c:spPr>
            <a:ln w="28575" cap="rnd">
              <a:solidFill>
                <a:srgbClr val="00B050"/>
              </a:solidFill>
              <a:round/>
            </a:ln>
            <a:effectLst/>
          </c:spPr>
          <c:marker>
            <c:symbol val="none"/>
          </c:marker>
          <c:xVal>
            <c:numRef>
              <c:f>Indicator10!$D$73:$D$74</c:f>
              <c:numCache>
                <c:formatCode>0.0%</c:formatCode>
                <c:ptCount val="2"/>
                <c:pt idx="0">
                  <c:v>8.5470085470085479E-3</c:v>
                </c:pt>
                <c:pt idx="1">
                  <c:v>8.5470085470085479E-3</c:v>
                </c:pt>
              </c:numCache>
            </c:numRef>
          </c:xVal>
          <c:yVal>
            <c:numRef>
              <c:f>Indicator10!$E$73:$E$74</c:f>
              <c:numCache>
                <c:formatCode>0.0%</c:formatCode>
                <c:ptCount val="2"/>
                <c:pt idx="0">
                  <c:v>0</c:v>
                </c:pt>
                <c:pt idx="1">
                  <c:v>1.2E-2</c:v>
                </c:pt>
              </c:numCache>
            </c:numRef>
          </c:yVal>
          <c:smooth val="0"/>
          <c:extLst>
            <c:ext xmlns:c16="http://schemas.microsoft.com/office/drawing/2014/chart" uri="{C3380CC4-5D6E-409C-BE32-E72D297353CC}">
              <c16:uniqueId val="{00000002-2AE8-48EE-9C93-22A69A39256C}"/>
            </c:ext>
          </c:extLst>
        </c:ser>
        <c:ser>
          <c:idx val="2"/>
          <c:order val="2"/>
          <c:tx>
            <c:v>Least favourable</c:v>
          </c:tx>
          <c:spPr>
            <a:ln w="28575" cap="rnd">
              <a:solidFill>
                <a:schemeClr val="accent2"/>
              </a:solidFill>
              <a:round/>
            </a:ln>
            <a:effectLst/>
          </c:spPr>
          <c:marker>
            <c:symbol val="none"/>
          </c:marker>
          <c:dPt>
            <c:idx val="1"/>
            <c:marker>
              <c:symbol val="none"/>
            </c:marker>
            <c:bubble3D val="0"/>
            <c:spPr>
              <a:ln w="28575" cap="rnd">
                <a:solidFill>
                  <a:srgbClr val="FF0000"/>
                </a:solidFill>
                <a:round/>
              </a:ln>
              <a:effectLst/>
            </c:spPr>
            <c:extLst>
              <c:ext xmlns:c16="http://schemas.microsoft.com/office/drawing/2014/chart" uri="{C3380CC4-5D6E-409C-BE32-E72D297353CC}">
                <c16:uniqueId val="{00000004-2AE8-48EE-9C93-22A69A39256C}"/>
              </c:ext>
            </c:extLst>
          </c:dPt>
          <c:xVal>
            <c:numRef>
              <c:f>Indicator10!$D$75:$D$76</c:f>
              <c:numCache>
                <c:formatCode>0.0%</c:formatCode>
                <c:ptCount val="2"/>
                <c:pt idx="0">
                  <c:v>1.7567567567567569E-2</c:v>
                </c:pt>
                <c:pt idx="1">
                  <c:v>1.7567567567567569E-2</c:v>
                </c:pt>
              </c:numCache>
            </c:numRef>
          </c:xVal>
          <c:yVal>
            <c:numRef>
              <c:f>Indicator10!$E$75:$E$76</c:f>
              <c:numCache>
                <c:formatCode>0.0%</c:formatCode>
                <c:ptCount val="2"/>
                <c:pt idx="0">
                  <c:v>0</c:v>
                </c:pt>
                <c:pt idx="1">
                  <c:v>1.2E-2</c:v>
                </c:pt>
              </c:numCache>
            </c:numRef>
          </c:yVal>
          <c:smooth val="0"/>
          <c:extLst>
            <c:ext xmlns:c16="http://schemas.microsoft.com/office/drawing/2014/chart" uri="{C3380CC4-5D6E-409C-BE32-E72D297353CC}">
              <c16:uniqueId val="{00000005-2AE8-48EE-9C93-22A69A39256C}"/>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majorUnit val="1.0000000000000002E-2"/>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45476320055581287"/>
          <c:y val="1.0476040898294257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871240859690662"/>
          <c:y val="1.9398278375221026E-2"/>
          <c:w val="0.64950459446195252"/>
          <c:h val="0.94470365677620638"/>
        </c:manualLayout>
      </c:layout>
      <c:barChart>
        <c:barDir val="bar"/>
        <c:grouping val="clustered"/>
        <c:varyColors val="0"/>
        <c:ser>
          <c:idx val="0"/>
          <c:order val="0"/>
          <c:spPr>
            <a:solidFill>
              <a:schemeClr val="accent1"/>
            </a:solidFill>
            <a:ln>
              <a:noFill/>
            </a:ln>
            <a:effectLst/>
          </c:spPr>
          <c:invertIfNegative val="0"/>
          <c:cat>
            <c:multiLvlStrRef>
              <c:f>Indicator11a!$A$4:$B$37</c:f>
              <c:multiLvlStrCache>
                <c:ptCount val="34"/>
                <c:lvl>
                  <c:pt idx="0">
                    <c:v>ALL PUBLIC HOSPITALS</c:v>
                  </c:pt>
                  <c:pt idx="1">
                    <c:v>The Royal Women's Hospital</c:v>
                  </c:pt>
                  <c:pt idx="2">
                    <c:v>Mercy Hospital for Women</c:v>
                  </c:pt>
                  <c:pt idx="3">
                    <c:v>Monash Medical Centre (Clayton)</c:v>
                  </c:pt>
                  <c:pt idx="4">
                    <c:v>Sunshine Hospital</c:v>
                  </c:pt>
                  <c:pt idx="5">
                    <c:v>Frankston Hospital</c:v>
                  </c:pt>
                  <c:pt idx="6">
                    <c:v>Box Hill Hospital</c:v>
                  </c:pt>
                  <c:pt idx="7">
                    <c:v>Dandenong Hospital</c:v>
                  </c:pt>
                  <c:pt idx="8">
                    <c:v>University Hospital Geelong</c:v>
                  </c:pt>
                  <c:pt idx="9">
                    <c:v>Ballarat Base Hospital</c:v>
                  </c:pt>
                  <c:pt idx="10">
                    <c:v>Angliss Hospital</c:v>
                  </c:pt>
                  <c:pt idx="11">
                    <c:v>Casey Hospital</c:v>
                  </c:pt>
                  <c:pt idx="12">
                    <c:v>Women's at Sandringham</c:v>
                  </c:pt>
                  <c:pt idx="13">
                    <c:v>Werribee Mercy Hospital</c:v>
                  </c:pt>
                  <c:pt idx="14">
                    <c:v>Northern Hospital Epping</c:v>
                  </c:pt>
                  <c:pt idx="15">
                    <c:v>Wodonga Hospital</c:v>
                  </c:pt>
                  <c:pt idx="16">
                    <c:v>Bendigo Hospital</c:v>
                  </c:pt>
                  <c:pt idx="17">
                    <c:v>Warrnambool Base Hospital</c:v>
                  </c:pt>
                  <c:pt idx="18">
                    <c:v>West Gippsland Hospital</c:v>
                  </c:pt>
                  <c:pt idx="19">
                    <c:v>Latrobe Regional Hospital</c:v>
                  </c:pt>
                  <c:pt idx="20">
                    <c:v>Goulburn Valley Health (Shepparton)</c:v>
                  </c:pt>
                  <c:pt idx="21">
                    <c:v>Northeast Health Wangaratta</c:v>
                  </c:pt>
                  <c:pt idx="22">
                    <c:v>Wimmera Base Hospital</c:v>
                  </c:pt>
                  <c:pt idx="23">
                    <c:v>Sale Hospital</c:v>
                  </c:pt>
                  <c:pt idx="24">
                    <c:v>Echuca Hospital</c:v>
                  </c:pt>
                  <c:pt idx="25">
                    <c:v>Bacchus Marsh &amp; Melton Regional Hospital</c:v>
                  </c:pt>
                  <c:pt idx="26">
                    <c:v>Bairnsdale Hospital</c:v>
                  </c:pt>
                  <c:pt idx="27">
                    <c:v>Kilmore &amp; District Hospital</c:v>
                  </c:pt>
                  <c:pt idx="28">
                    <c:v>Wonthaggi Hospital</c:v>
                  </c:pt>
                  <c:pt idx="29">
                    <c:v>Hamilton Base Hospital</c:v>
                  </c:pt>
                  <c:pt idx="30">
                    <c:v>Colac Hospital</c:v>
                  </c:pt>
                  <c:pt idx="31">
                    <c:v>Swan Hill Hospital</c:v>
                  </c:pt>
                  <c:pt idx="32">
                    <c:v>Benalla &amp; District Memorial Hospital</c:v>
                  </c:pt>
                  <c:pt idx="33">
                    <c:v>Terang Hospital</c:v>
                  </c:pt>
                </c:lvl>
                <c:lvl>
                  <c:pt idx="1">
                    <c:v>Level 6</c:v>
                  </c:pt>
                  <c:pt idx="5">
                    <c:v>Level 5 and 4</c:v>
                  </c:pt>
                  <c:pt idx="24">
                    <c:v>Level 3 </c:v>
                  </c:pt>
                </c:lvl>
              </c:multiLvlStrCache>
            </c:multiLvlStrRef>
          </c:cat>
          <c:val>
            <c:numRef>
              <c:f>Indicator11a!$D$4:$D$37</c:f>
              <c:numCache>
                <c:formatCode>0.0%</c:formatCode>
                <c:ptCount val="34"/>
                <c:pt idx="0">
                  <c:v>0.80014679572457448</c:v>
                </c:pt>
                <c:pt idx="1">
                  <c:v>0.79415274463007157</c:v>
                </c:pt>
                <c:pt idx="2">
                  <c:v>0.84418604651162787</c:v>
                </c:pt>
                <c:pt idx="3">
                  <c:v>0.82075471698113212</c:v>
                </c:pt>
                <c:pt idx="4">
                  <c:v>0.75980392156862731</c:v>
                </c:pt>
                <c:pt idx="5">
                  <c:v>0.74486803519061584</c:v>
                </c:pt>
                <c:pt idx="6">
                  <c:v>0.7815384615384614</c:v>
                </c:pt>
                <c:pt idx="7">
                  <c:v>0.8136645962732918</c:v>
                </c:pt>
                <c:pt idx="8">
                  <c:v>0.79537953795379535</c:v>
                </c:pt>
                <c:pt idx="9">
                  <c:v>0.79661016949152541</c:v>
                </c:pt>
                <c:pt idx="10">
                  <c:v>0.83623693379790942</c:v>
                </c:pt>
                <c:pt idx="11">
                  <c:v>0.82889733840304181</c:v>
                </c:pt>
                <c:pt idx="12">
                  <c:v>0.78244274809160308</c:v>
                </c:pt>
                <c:pt idx="13">
                  <c:v>0.78800000000000003</c:v>
                </c:pt>
                <c:pt idx="14">
                  <c:v>0.78260869565217395</c:v>
                </c:pt>
                <c:pt idx="15">
                  <c:v>0.85454545454545461</c:v>
                </c:pt>
                <c:pt idx="16">
                  <c:v>0.78846153846153844</c:v>
                </c:pt>
                <c:pt idx="17">
                  <c:v>0.82278481012658244</c:v>
                </c:pt>
                <c:pt idx="18">
                  <c:v>0.84285714285714286</c:v>
                </c:pt>
                <c:pt idx="19">
                  <c:v>0.69841269841269837</c:v>
                </c:pt>
                <c:pt idx="20">
                  <c:v>0.6964285714285714</c:v>
                </c:pt>
                <c:pt idx="21">
                  <c:v>0.85185185185185186</c:v>
                </c:pt>
                <c:pt idx="22">
                  <c:v>0.97368421052631582</c:v>
                </c:pt>
                <c:pt idx="23">
                  <c:v>0.85185185185185186</c:v>
                </c:pt>
                <c:pt idx="24">
                  <c:v>0.86746987951807231</c:v>
                </c:pt>
                <c:pt idx="25">
                  <c:v>0.91025641025641024</c:v>
                </c:pt>
                <c:pt idx="26">
                  <c:v>0.74137931034482762</c:v>
                </c:pt>
                <c:pt idx="27">
                  <c:v>0.83673469387755106</c:v>
                </c:pt>
                <c:pt idx="28">
                  <c:v>0.9375</c:v>
                </c:pt>
                <c:pt idx="29">
                  <c:v>0.89285714285714302</c:v>
                </c:pt>
                <c:pt idx="30">
                  <c:v>0.89285714285714302</c:v>
                </c:pt>
                <c:pt idx="31">
                  <c:v>0.81481481481481477</c:v>
                </c:pt>
                <c:pt idx="32">
                  <c:v>0.77777777777777779</c:v>
                </c:pt>
                <c:pt idx="33">
                  <c:v>0.90909090909090917</c:v>
                </c:pt>
              </c:numCache>
            </c:numRef>
          </c:val>
          <c:extLst>
            <c:ext xmlns:c16="http://schemas.microsoft.com/office/drawing/2014/chart" uri="{C3380CC4-5D6E-409C-BE32-E72D297353CC}">
              <c16:uniqueId val="{00000000-A9FF-4709-9B0B-D4B756F9CF79}"/>
            </c:ext>
          </c:extLst>
        </c:ser>
        <c:dLbls>
          <c:showLegendKey val="0"/>
          <c:showVal val="0"/>
          <c:showCatName val="0"/>
          <c:showSerName val="0"/>
          <c:showPercent val="0"/>
          <c:showBubbleSize val="0"/>
        </c:dLbls>
        <c:gapWidth val="182"/>
        <c:axId val="594563072"/>
        <c:axId val="594565368"/>
      </c:ba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9252045669908672"/>
          <c:y val="1.6001338758829642E-2"/>
          <c:w val="0.66606935060204886"/>
          <c:h val="0.9535736053127587"/>
        </c:manualLayout>
      </c:layout>
      <c:barChart>
        <c:barDir val="bar"/>
        <c:grouping val="clustered"/>
        <c:varyColors val="0"/>
        <c:ser>
          <c:idx val="0"/>
          <c:order val="0"/>
          <c:spPr>
            <a:solidFill>
              <a:schemeClr val="accent1"/>
            </a:solidFill>
            <a:ln>
              <a:noFill/>
            </a:ln>
            <a:effectLst/>
          </c:spPr>
          <c:invertIfNegative val="0"/>
          <c:cat>
            <c:multiLvlStrRef>
              <c:f>Indicator11b!$A$4:$B$37</c:f>
              <c:multiLvlStrCache>
                <c:ptCount val="34"/>
                <c:lvl>
                  <c:pt idx="0">
                    <c:v>ALL PUBLIC HOSPITALS</c:v>
                  </c:pt>
                  <c:pt idx="1">
                    <c:v>The Royal Women's Hospital</c:v>
                  </c:pt>
                  <c:pt idx="2">
                    <c:v>Mercy Hospital for Women</c:v>
                  </c:pt>
                  <c:pt idx="3">
                    <c:v>Monash Medical Centre (Clayton)</c:v>
                  </c:pt>
                  <c:pt idx="4">
                    <c:v>Sunshine Hospital</c:v>
                  </c:pt>
                  <c:pt idx="5">
                    <c:v>Frankston Hospital</c:v>
                  </c:pt>
                  <c:pt idx="6">
                    <c:v>Box Hill Hospital</c:v>
                  </c:pt>
                  <c:pt idx="7">
                    <c:v>Dandenong Hospital</c:v>
                  </c:pt>
                  <c:pt idx="8">
                    <c:v>University Hospital Geelong</c:v>
                  </c:pt>
                  <c:pt idx="9">
                    <c:v>Ballarat Base Hospital</c:v>
                  </c:pt>
                  <c:pt idx="10">
                    <c:v>Angliss Hospital</c:v>
                  </c:pt>
                  <c:pt idx="11">
                    <c:v>Casey Hospital</c:v>
                  </c:pt>
                  <c:pt idx="12">
                    <c:v>Women's at Sandringham</c:v>
                  </c:pt>
                  <c:pt idx="13">
                    <c:v>Werribee Mercy Hospital</c:v>
                  </c:pt>
                  <c:pt idx="14">
                    <c:v>Northern Hospital Epping</c:v>
                  </c:pt>
                  <c:pt idx="15">
                    <c:v>Wodonga Hospital</c:v>
                  </c:pt>
                  <c:pt idx="16">
                    <c:v>Bendigo Hospital</c:v>
                  </c:pt>
                  <c:pt idx="17">
                    <c:v>Warrnambool Base Hospital</c:v>
                  </c:pt>
                  <c:pt idx="18">
                    <c:v>West Gippsland Hospital</c:v>
                  </c:pt>
                  <c:pt idx="19">
                    <c:v>Latrobe Regional Hospital</c:v>
                  </c:pt>
                  <c:pt idx="20">
                    <c:v>Goulburn Valley Health (Shepparton)</c:v>
                  </c:pt>
                  <c:pt idx="21">
                    <c:v>Northeast Health Wangaratta</c:v>
                  </c:pt>
                  <c:pt idx="22">
                    <c:v>Wimmera Base Hospital</c:v>
                  </c:pt>
                  <c:pt idx="23">
                    <c:v>Sale Hospital</c:v>
                  </c:pt>
                  <c:pt idx="24">
                    <c:v>Echuca Hospital</c:v>
                  </c:pt>
                  <c:pt idx="25">
                    <c:v>Bacchus Marsh &amp; Melton Regional Hospital</c:v>
                  </c:pt>
                  <c:pt idx="26">
                    <c:v>Bairnsdale Hospital</c:v>
                  </c:pt>
                  <c:pt idx="27">
                    <c:v>Kilmore &amp; District Hospital</c:v>
                  </c:pt>
                  <c:pt idx="28">
                    <c:v>Wonthaggi Hospital</c:v>
                  </c:pt>
                  <c:pt idx="29">
                    <c:v>Colac Hospital</c:v>
                  </c:pt>
                  <c:pt idx="30">
                    <c:v>Hamilton Base Hospital</c:v>
                  </c:pt>
                  <c:pt idx="31">
                    <c:v>Swan Hill Hospital</c:v>
                  </c:pt>
                  <c:pt idx="32">
                    <c:v>Benalla &amp; District Memorial Hospital</c:v>
                  </c:pt>
                  <c:pt idx="33">
                    <c:v>Terang Hospital</c:v>
                  </c:pt>
                </c:lvl>
                <c:lvl>
                  <c:pt idx="1">
                    <c:v>Level 6</c:v>
                  </c:pt>
                  <c:pt idx="5">
                    <c:v>Level 5 and 4</c:v>
                  </c:pt>
                  <c:pt idx="24">
                    <c:v>Level 3 </c:v>
                  </c:pt>
                </c:lvl>
              </c:multiLvlStrCache>
            </c:multiLvlStrRef>
          </c:cat>
          <c:val>
            <c:numRef>
              <c:f>Indicator11b!$D$4:$D$37</c:f>
              <c:numCache>
                <c:formatCode>0.0%</c:formatCode>
                <c:ptCount val="34"/>
                <c:pt idx="0">
                  <c:v>0.47231961666007888</c:v>
                </c:pt>
                <c:pt idx="1">
                  <c:v>0.44754810676598394</c:v>
                </c:pt>
                <c:pt idx="2">
                  <c:v>0.44146341463414634</c:v>
                </c:pt>
                <c:pt idx="3">
                  <c:v>0.46</c:v>
                </c:pt>
                <c:pt idx="4">
                  <c:v>0.59585492227979275</c:v>
                </c:pt>
                <c:pt idx="5">
                  <c:v>0.43037974683544306</c:v>
                </c:pt>
                <c:pt idx="6">
                  <c:v>0.49206349206349198</c:v>
                </c:pt>
                <c:pt idx="7">
                  <c:v>0.61612903225806448</c:v>
                </c:pt>
                <c:pt idx="8">
                  <c:v>0.43252595155709345</c:v>
                </c:pt>
                <c:pt idx="9">
                  <c:v>0.54804270462633453</c:v>
                </c:pt>
                <c:pt idx="10">
                  <c:v>0.5617977528089888</c:v>
                </c:pt>
                <c:pt idx="11">
                  <c:v>0.51612903225806461</c:v>
                </c:pt>
                <c:pt idx="12">
                  <c:v>0.46963562753036431</c:v>
                </c:pt>
                <c:pt idx="13">
                  <c:v>0.5</c:v>
                </c:pt>
                <c:pt idx="14">
                  <c:v>0.57868020304568524</c:v>
                </c:pt>
                <c:pt idx="15">
                  <c:v>0.49044585987261147</c:v>
                </c:pt>
                <c:pt idx="16">
                  <c:v>0.52348993288590606</c:v>
                </c:pt>
                <c:pt idx="17">
                  <c:v>0.48684210526315791</c:v>
                </c:pt>
                <c:pt idx="18">
                  <c:v>0.55737704918032782</c:v>
                </c:pt>
                <c:pt idx="19">
                  <c:v>0.52631578947368418</c:v>
                </c:pt>
                <c:pt idx="20">
                  <c:v>0.42592592592592593</c:v>
                </c:pt>
                <c:pt idx="21">
                  <c:v>0.50980392156862742</c:v>
                </c:pt>
                <c:pt idx="22">
                  <c:v>0.65789473684210531</c:v>
                </c:pt>
                <c:pt idx="23">
                  <c:v>0.68</c:v>
                </c:pt>
                <c:pt idx="24">
                  <c:v>0.58974358974358976</c:v>
                </c:pt>
                <c:pt idx="25">
                  <c:v>0.64935064935064934</c:v>
                </c:pt>
                <c:pt idx="26">
                  <c:v>0.44230769230769235</c:v>
                </c:pt>
                <c:pt idx="27">
                  <c:v>0.53191489361702127</c:v>
                </c:pt>
                <c:pt idx="28">
                  <c:v>0.71875</c:v>
                </c:pt>
                <c:pt idx="29">
                  <c:v>0.51851851851851849</c:v>
                </c:pt>
                <c:pt idx="30">
                  <c:v>0.54545454545454541</c:v>
                </c:pt>
                <c:pt idx="31">
                  <c:v>0.72</c:v>
                </c:pt>
                <c:pt idx="32">
                  <c:v>0.58823529411764708</c:v>
                </c:pt>
                <c:pt idx="33">
                  <c:v>0.7</c:v>
                </c:pt>
              </c:numCache>
            </c:numRef>
          </c:val>
          <c:extLst>
            <c:ext xmlns:c16="http://schemas.microsoft.com/office/drawing/2014/chart" uri="{C3380CC4-5D6E-409C-BE32-E72D297353CC}">
              <c16:uniqueId val="{00000000-786D-4A4E-A5DC-ACDC300570D9}"/>
            </c:ext>
          </c:extLst>
        </c:ser>
        <c:dLbls>
          <c:showLegendKey val="0"/>
          <c:showVal val="0"/>
          <c:showCatName val="0"/>
          <c:showSerName val="0"/>
          <c:showPercent val="0"/>
          <c:showBubbleSize val="0"/>
        </c:dLbls>
        <c:gapWidth val="182"/>
        <c:axId val="594563072"/>
        <c:axId val="594565368"/>
      </c:ba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554230701562147"/>
          <c:y val="1.5053167253848769E-2"/>
          <c:w val="0.63996857801634055"/>
          <c:h val="0.95620481425151926"/>
        </c:manualLayout>
      </c:layout>
      <c:barChart>
        <c:barDir val="bar"/>
        <c:grouping val="clustered"/>
        <c:varyColors val="0"/>
        <c:ser>
          <c:idx val="0"/>
          <c:order val="0"/>
          <c:spPr>
            <a:solidFill>
              <a:schemeClr val="accent1"/>
            </a:solidFill>
            <a:ln>
              <a:noFill/>
            </a:ln>
            <a:effectLst/>
          </c:spPr>
          <c:invertIfNegative val="0"/>
          <c:cat>
            <c:multiLvlStrRef>
              <c:f>Indicator12b!$A$4:$B$64</c:f>
              <c:multiLvlStrCache>
                <c:ptCount val="61"/>
                <c:lvl>
                  <c:pt idx="0">
                    <c:v>ALL PUBLIC AND PRIVATE HOSPITALS</c:v>
                  </c:pt>
                  <c:pt idx="1">
                    <c:v>The Royal Women's Hospital</c:v>
                  </c:pt>
                  <c:pt idx="2">
                    <c:v>Sunshine Hospital</c:v>
                  </c:pt>
                  <c:pt idx="3">
                    <c:v>Mercy Hospital for Women</c:v>
                  </c:pt>
                  <c:pt idx="4">
                    <c:v>Monash Medical Centre (Clayton)</c:v>
                  </c:pt>
                  <c:pt idx="5">
                    <c:v>Werribee Mercy Hospital</c:v>
                  </c:pt>
                  <c:pt idx="6">
                    <c:v>Northern Hospital Epping</c:v>
                  </c:pt>
                  <c:pt idx="7">
                    <c:v>Frankston Hospital</c:v>
                  </c:pt>
                  <c:pt idx="8">
                    <c:v>Dandenong Hospital</c:v>
                  </c:pt>
                  <c:pt idx="9">
                    <c:v>Box Hill Hospital</c:v>
                  </c:pt>
                  <c:pt idx="10">
                    <c:v>University Hospital Geelong</c:v>
                  </c:pt>
                  <c:pt idx="11">
                    <c:v>Casey Hospital</c:v>
                  </c:pt>
                  <c:pt idx="12">
                    <c:v>Angliss Hospital</c:v>
                  </c:pt>
                  <c:pt idx="13">
                    <c:v>Wodonga Hospital</c:v>
                  </c:pt>
                  <c:pt idx="14">
                    <c:v>Bendigo Hospital</c:v>
                  </c:pt>
                  <c:pt idx="15">
                    <c:v>Women's at Sandringham</c:v>
                  </c:pt>
                  <c:pt idx="16">
                    <c:v>Ballarat Base Hospital</c:v>
                  </c:pt>
                  <c:pt idx="17">
                    <c:v>Goulburn Valley Health (Shepparton)</c:v>
                  </c:pt>
                  <c:pt idx="18">
                    <c:v>West Gippsland Hospital</c:v>
                  </c:pt>
                  <c:pt idx="19">
                    <c:v>Mildura Base Hospital</c:v>
                  </c:pt>
                  <c:pt idx="20">
                    <c:v>Latrobe Regional Hospital</c:v>
                  </c:pt>
                  <c:pt idx="21">
                    <c:v>Northeast Health Wangaratta</c:v>
                  </c:pt>
                  <c:pt idx="22">
                    <c:v>Warrnambool Base Hospital</c:v>
                  </c:pt>
                  <c:pt idx="23">
                    <c:v>Sale Hospital</c:v>
                  </c:pt>
                  <c:pt idx="24">
                    <c:v>Wimmera Base Hospital</c:v>
                  </c:pt>
                  <c:pt idx="25">
                    <c:v>Bacchus Marsh &amp; Melton Regional Hospital</c:v>
                  </c:pt>
                  <c:pt idx="26">
                    <c:v>Echuca Hospital</c:v>
                  </c:pt>
                  <c:pt idx="27">
                    <c:v>Bairnsdale Hospital</c:v>
                  </c:pt>
                  <c:pt idx="28">
                    <c:v>Kilmore &amp; District Hospital</c:v>
                  </c:pt>
                  <c:pt idx="29">
                    <c:v>Swan Hill Hospital</c:v>
                  </c:pt>
                  <c:pt idx="30">
                    <c:v>Leongatha Hospital</c:v>
                  </c:pt>
                  <c:pt idx="31">
                    <c:v>Wonthaggi Hospital</c:v>
                  </c:pt>
                  <c:pt idx="32">
                    <c:v>Colac Hospital</c:v>
                  </c:pt>
                  <c:pt idx="33">
                    <c:v>Hamilton Base Hospital</c:v>
                  </c:pt>
                  <c:pt idx="34">
                    <c:v>Ararat Hospital</c:v>
                  </c:pt>
                  <c:pt idx="35">
                    <c:v>Portland Hospital</c:v>
                  </c:pt>
                  <c:pt idx="36">
                    <c:v>Mansfield District Hospital</c:v>
                  </c:pt>
                  <c:pt idx="37">
                    <c:v>Benalla &amp; District Memorial Hospital</c:v>
                  </c:pt>
                  <c:pt idx="38">
                    <c:v>South Gippsland Hospital</c:v>
                  </c:pt>
                  <c:pt idx="39">
                    <c:v>Castlemaine Hospital</c:v>
                  </c:pt>
                  <c:pt idx="40">
                    <c:v>Maryborough Hospital</c:v>
                  </c:pt>
                  <c:pt idx="41">
                    <c:v>Cohuna District Hospital</c:v>
                  </c:pt>
                  <c:pt idx="42">
                    <c:v>Camperdown Hospital</c:v>
                  </c:pt>
                  <c:pt idx="43">
                    <c:v>Terang Hospital</c:v>
                  </c:pt>
                  <c:pt idx="44">
                    <c:v>Frances Perry</c:v>
                  </c:pt>
                  <c:pt idx="45">
                    <c:v>Freemasons</c:v>
                  </c:pt>
                  <c:pt idx="46">
                    <c:v>St Vincents Private</c:v>
                  </c:pt>
                  <c:pt idx="47">
                    <c:v>Cabrini M</c:v>
                  </c:pt>
                  <c:pt idx="48">
                    <c:v>Mitcham Private</c:v>
                  </c:pt>
                  <c:pt idx="49">
                    <c:v>Jessie McPherson</c:v>
                  </c:pt>
                  <c:pt idx="50">
                    <c:v>Waverley Private</c:v>
                  </c:pt>
                  <c:pt idx="51">
                    <c:v>Berwick Hospital</c:v>
                  </c:pt>
                  <c:pt idx="52">
                    <c:v>Northpark Private</c:v>
                  </c:pt>
                  <c:pt idx="53">
                    <c:v>St JOG Geelong</c:v>
                  </c:pt>
                  <c:pt idx="54">
                    <c:v>Bays Mornington</c:v>
                  </c:pt>
                  <c:pt idx="55">
                    <c:v>St JOG Ballarat</c:v>
                  </c:pt>
                  <c:pt idx="56">
                    <c:v>Peninsula Private</c:v>
                  </c:pt>
                  <c:pt idx="57">
                    <c:v>Epworth Geelong</c:v>
                  </c:pt>
                  <c:pt idx="58">
                    <c:v>St JOG Bendigo</c:v>
                  </c:pt>
                  <c:pt idx="59">
                    <c:v>St Vincents Private Hospital Werribee</c:v>
                  </c:pt>
                  <c:pt idx="60">
                    <c:v>Knox Private</c:v>
                  </c:pt>
                </c:lvl>
                <c:lvl>
                  <c:pt idx="1">
                    <c:v>Level 6</c:v>
                  </c:pt>
                  <c:pt idx="5">
                    <c:v>Level 5 and 4</c:v>
                  </c:pt>
                  <c:pt idx="25">
                    <c:v>Level 3 and 2</c:v>
                  </c:pt>
                  <c:pt idx="44">
                    <c:v>Private</c:v>
                  </c:pt>
                </c:lvl>
              </c:multiLvlStrCache>
            </c:multiLvlStrRef>
          </c:cat>
          <c:val>
            <c:numRef>
              <c:f>Indicator12b!$E$4:$E$64</c:f>
              <c:numCache>
                <c:formatCode>0.0%</c:formatCode>
                <c:ptCount val="61"/>
                <c:pt idx="0">
                  <c:v>0.74746732657953752</c:v>
                </c:pt>
                <c:pt idx="1">
                  <c:v>0.69737187910643894</c:v>
                </c:pt>
                <c:pt idx="2">
                  <c:v>0.8731639882495249</c:v>
                </c:pt>
                <c:pt idx="3">
                  <c:v>0.66979492526937778</c:v>
                </c:pt>
                <c:pt idx="4">
                  <c:v>0.83788613735001283</c:v>
                </c:pt>
                <c:pt idx="5">
                  <c:v>0.70401034928848649</c:v>
                </c:pt>
                <c:pt idx="6">
                  <c:v>0.76855524079320103</c:v>
                </c:pt>
                <c:pt idx="7">
                  <c:v>0.80284623394654631</c:v>
                </c:pt>
                <c:pt idx="8">
                  <c:v>0.76186859096088111</c:v>
                </c:pt>
                <c:pt idx="9">
                  <c:v>0.78215120810600158</c:v>
                </c:pt>
                <c:pt idx="10">
                  <c:v>0.79118697895990475</c:v>
                </c:pt>
                <c:pt idx="11">
                  <c:v>0.74608276416231423</c:v>
                </c:pt>
                <c:pt idx="12">
                  <c:v>0.71940163191296458</c:v>
                </c:pt>
                <c:pt idx="13">
                  <c:v>0.63100303951367787</c:v>
                </c:pt>
                <c:pt idx="14">
                  <c:v>0.77645585472761425</c:v>
                </c:pt>
                <c:pt idx="15">
                  <c:v>0.86553030303030298</c:v>
                </c:pt>
                <c:pt idx="16">
                  <c:v>0.82739726027397265</c:v>
                </c:pt>
                <c:pt idx="17">
                  <c:v>0.74008350730688932</c:v>
                </c:pt>
                <c:pt idx="18">
                  <c:v>0.80181200453001145</c:v>
                </c:pt>
                <c:pt idx="19">
                  <c:v>0.65554231227651971</c:v>
                </c:pt>
                <c:pt idx="20">
                  <c:v>0.62799043062200954</c:v>
                </c:pt>
                <c:pt idx="21">
                  <c:v>0.87427745664739887</c:v>
                </c:pt>
                <c:pt idx="22">
                  <c:v>0.74289985052316898</c:v>
                </c:pt>
                <c:pt idx="23">
                  <c:v>0.77173913043478271</c:v>
                </c:pt>
                <c:pt idx="24">
                  <c:v>0.57044673539518898</c:v>
                </c:pt>
                <c:pt idx="25">
                  <c:v>0.7882599580712788</c:v>
                </c:pt>
                <c:pt idx="26">
                  <c:v>0.76081424936386766</c:v>
                </c:pt>
                <c:pt idx="27">
                  <c:v>0.7606557377049179</c:v>
                </c:pt>
                <c:pt idx="28">
                  <c:v>0.75555555555555554</c:v>
                </c:pt>
                <c:pt idx="29">
                  <c:v>0.80487804878048808</c:v>
                </c:pt>
                <c:pt idx="30">
                  <c:v>0.77272727272727271</c:v>
                </c:pt>
                <c:pt idx="31">
                  <c:v>0.76027397260273977</c:v>
                </c:pt>
                <c:pt idx="32">
                  <c:v>0.80152671755725191</c:v>
                </c:pt>
                <c:pt idx="33">
                  <c:v>0.90476190476190477</c:v>
                </c:pt>
                <c:pt idx="34">
                  <c:v>0.84</c:v>
                </c:pt>
                <c:pt idx="35">
                  <c:v>0.80263157894736858</c:v>
                </c:pt>
                <c:pt idx="36">
                  <c:v>0.77049180327868849</c:v>
                </c:pt>
                <c:pt idx="37">
                  <c:v>0.78688524590163933</c:v>
                </c:pt>
                <c:pt idx="38">
                  <c:v>0.74074074074074081</c:v>
                </c:pt>
                <c:pt idx="39">
                  <c:v>0.68181818181818177</c:v>
                </c:pt>
                <c:pt idx="40">
                  <c:v>0.88372093023255816</c:v>
                </c:pt>
                <c:pt idx="41">
                  <c:v>0.90243902439024393</c:v>
                </c:pt>
                <c:pt idx="42">
                  <c:v>0.86206896551724133</c:v>
                </c:pt>
                <c:pt idx="43">
                  <c:v>0.84210526315789469</c:v>
                </c:pt>
                <c:pt idx="44">
                  <c:v>0.80019556714471973</c:v>
                </c:pt>
                <c:pt idx="45">
                  <c:v>0.83327592146055807</c:v>
                </c:pt>
                <c:pt idx="46">
                  <c:v>0.67363481228668942</c:v>
                </c:pt>
                <c:pt idx="47">
                  <c:v>0.54069119286510592</c:v>
                </c:pt>
                <c:pt idx="48">
                  <c:v>0.71135646687697163</c:v>
                </c:pt>
                <c:pt idx="49">
                  <c:v>0.6919032597266036</c:v>
                </c:pt>
                <c:pt idx="50">
                  <c:v>0.64391353811149032</c:v>
                </c:pt>
                <c:pt idx="51">
                  <c:v>0.74033816425120758</c:v>
                </c:pt>
                <c:pt idx="52">
                  <c:v>0.59463087248322144</c:v>
                </c:pt>
                <c:pt idx="53">
                  <c:v>0.82664233576642332</c:v>
                </c:pt>
                <c:pt idx="54">
                  <c:v>0.80439560439560442</c:v>
                </c:pt>
                <c:pt idx="55">
                  <c:v>0.73933649289099523</c:v>
                </c:pt>
                <c:pt idx="56">
                  <c:v>1.9830028328611894E-2</c:v>
                </c:pt>
                <c:pt idx="57">
                  <c:v>0.66176470588235303</c:v>
                </c:pt>
                <c:pt idx="58">
                  <c:v>0.77112676056338036</c:v>
                </c:pt>
                <c:pt idx="59">
                  <c:v>0.71232876712328763</c:v>
                </c:pt>
                <c:pt idx="60">
                  <c:v>0.8</c:v>
                </c:pt>
              </c:numCache>
            </c:numRef>
          </c:val>
          <c:extLst>
            <c:ext xmlns:c16="http://schemas.microsoft.com/office/drawing/2014/chart" uri="{C3380CC4-5D6E-409C-BE32-E72D297353CC}">
              <c16:uniqueId val="{00000000-C4E0-4FBD-809E-B63AD107478D}"/>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Indicator12b!$A$73</c:f>
              <c:strCache>
                <c:ptCount val="1"/>
                <c:pt idx="0">
                  <c:v>Most favourable (First quartile)</c:v>
                </c:pt>
              </c:strCache>
            </c:strRef>
          </c:tx>
          <c:spPr>
            <a:ln w="28575" cap="rnd">
              <a:solidFill>
                <a:srgbClr val="FF0000"/>
              </a:solidFill>
              <a:round/>
            </a:ln>
            <a:effectLst/>
          </c:spPr>
          <c:marker>
            <c:symbol val="none"/>
          </c:marker>
          <c:xVal>
            <c:numRef>
              <c:f>Indicator12b!$D$73:$D$74</c:f>
              <c:numCache>
                <c:formatCode>0.0%</c:formatCode>
                <c:ptCount val="2"/>
                <c:pt idx="0">
                  <c:v>0.71135646687697163</c:v>
                </c:pt>
                <c:pt idx="1">
                  <c:v>0.71135646687697163</c:v>
                </c:pt>
              </c:numCache>
            </c:numRef>
          </c:xVal>
          <c:yVal>
            <c:numRef>
              <c:f>Indicator12b!$E$73:$E$74</c:f>
              <c:numCache>
                <c:formatCode>0.0%</c:formatCode>
                <c:ptCount val="2"/>
                <c:pt idx="0">
                  <c:v>0</c:v>
                </c:pt>
                <c:pt idx="1">
                  <c:v>1.2E-2</c:v>
                </c:pt>
              </c:numCache>
            </c:numRef>
          </c:yVal>
          <c:smooth val="0"/>
          <c:extLst>
            <c:ext xmlns:c16="http://schemas.microsoft.com/office/drawing/2014/chart" uri="{C3380CC4-5D6E-409C-BE32-E72D297353CC}">
              <c16:uniqueId val="{00000002-C4E0-4FBD-809E-B63AD107478D}"/>
            </c:ext>
          </c:extLst>
        </c:ser>
        <c:ser>
          <c:idx val="2"/>
          <c:order val="2"/>
          <c:tx>
            <c:v>Least favourable</c:v>
          </c:tx>
          <c:spPr>
            <a:ln w="28575" cap="rnd">
              <a:solidFill>
                <a:srgbClr val="00B050"/>
              </a:solidFill>
              <a:round/>
            </a:ln>
            <a:effectLst/>
          </c:spPr>
          <c:marker>
            <c:symbol val="none"/>
          </c:marker>
          <c:xVal>
            <c:numRef>
              <c:f>Indicator12b!$D$75:$D$76</c:f>
              <c:numCache>
                <c:formatCode>0.0%</c:formatCode>
                <c:ptCount val="2"/>
                <c:pt idx="0">
                  <c:v>0.80487804878048796</c:v>
                </c:pt>
                <c:pt idx="1">
                  <c:v>0.80487804878048796</c:v>
                </c:pt>
              </c:numCache>
            </c:numRef>
          </c:xVal>
          <c:yVal>
            <c:numRef>
              <c:f>Indicator12b!$E$75:$E$76</c:f>
              <c:numCache>
                <c:formatCode>0.0%</c:formatCode>
                <c:ptCount val="2"/>
                <c:pt idx="0">
                  <c:v>0</c:v>
                </c:pt>
                <c:pt idx="1">
                  <c:v>1.2E-2</c:v>
                </c:pt>
              </c:numCache>
            </c:numRef>
          </c:yVal>
          <c:smooth val="0"/>
          <c:extLst>
            <c:ext xmlns:c16="http://schemas.microsoft.com/office/drawing/2014/chart" uri="{C3380CC4-5D6E-409C-BE32-E72D297353CC}">
              <c16:uniqueId val="{00000004-C4E0-4FBD-809E-B63AD107478D}"/>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397055963849283"/>
          <c:y val="1.4774178868667057E-2"/>
          <c:w val="0.6697935347262306"/>
          <c:h val="0.9603582885472649"/>
        </c:manualLayout>
      </c:layout>
      <c:barChart>
        <c:barDir val="bar"/>
        <c:grouping val="clustered"/>
        <c:varyColors val="0"/>
        <c:ser>
          <c:idx val="0"/>
          <c:order val="0"/>
          <c:spPr>
            <a:solidFill>
              <a:schemeClr val="accent1"/>
            </a:solidFill>
            <a:ln>
              <a:noFill/>
            </a:ln>
            <a:effectLst/>
          </c:spPr>
          <c:invertIfNegative val="0"/>
          <c:cat>
            <c:multiLvlStrRef>
              <c:f>Indicator13!$A$4:$B$64</c:f>
              <c:multiLvlStrCache>
                <c:ptCount val="61"/>
                <c:lvl>
                  <c:pt idx="0">
                    <c:v>STATEWIDE</c:v>
                  </c:pt>
                  <c:pt idx="1">
                    <c:v>The Royal Women's Hospital</c:v>
                  </c:pt>
                  <c:pt idx="2">
                    <c:v>Sunshine Hospital</c:v>
                  </c:pt>
                  <c:pt idx="3">
                    <c:v>Mercy Hospital for Women</c:v>
                  </c:pt>
                  <c:pt idx="4">
                    <c:v>Monash Medical Centre (Clayton)</c:v>
                  </c:pt>
                  <c:pt idx="5">
                    <c:v>Werribee Mercy Hospital</c:v>
                  </c:pt>
                  <c:pt idx="6">
                    <c:v>Northern Hospital Epping</c:v>
                  </c:pt>
                  <c:pt idx="7">
                    <c:v>Frankston Hospital</c:v>
                  </c:pt>
                  <c:pt idx="8">
                    <c:v>Dandenong Hospital</c:v>
                  </c:pt>
                  <c:pt idx="9">
                    <c:v>Box Hill Hospital</c:v>
                  </c:pt>
                  <c:pt idx="10">
                    <c:v>University Hospital Geelong</c:v>
                  </c:pt>
                  <c:pt idx="11">
                    <c:v>Casey Hospital</c:v>
                  </c:pt>
                  <c:pt idx="12">
                    <c:v>Angliss Hospital</c:v>
                  </c:pt>
                  <c:pt idx="13">
                    <c:v>Wodonga Hospital</c:v>
                  </c:pt>
                  <c:pt idx="14">
                    <c:v>Bendigo Hospital</c:v>
                  </c:pt>
                  <c:pt idx="15">
                    <c:v>Women's at Sandringham</c:v>
                  </c:pt>
                  <c:pt idx="16">
                    <c:v>Ballarat Base Hospital</c:v>
                  </c:pt>
                  <c:pt idx="17">
                    <c:v>Goulburn Valley Health (Shepparton)</c:v>
                  </c:pt>
                  <c:pt idx="18">
                    <c:v>West Gippsland Hospital</c:v>
                  </c:pt>
                  <c:pt idx="19">
                    <c:v>Mildura Base Hospital</c:v>
                  </c:pt>
                  <c:pt idx="20">
                    <c:v>Latrobe Regional Hospital</c:v>
                  </c:pt>
                  <c:pt idx="21">
                    <c:v>Northeast Health Wangaratta</c:v>
                  </c:pt>
                  <c:pt idx="22">
                    <c:v>Warrnambool Base Hospital</c:v>
                  </c:pt>
                  <c:pt idx="23">
                    <c:v>Sale Hospital</c:v>
                  </c:pt>
                  <c:pt idx="24">
                    <c:v>Wimmera Base Hospital</c:v>
                  </c:pt>
                  <c:pt idx="25">
                    <c:v>Bacchus Marsh &amp; Melton Regional Hospital</c:v>
                  </c:pt>
                  <c:pt idx="26">
                    <c:v>Echuca Hospital</c:v>
                  </c:pt>
                  <c:pt idx="27">
                    <c:v>Bairnsdale Hospital</c:v>
                  </c:pt>
                  <c:pt idx="28">
                    <c:v>Kilmore &amp; District Hospital</c:v>
                  </c:pt>
                  <c:pt idx="29">
                    <c:v>Swan Hill Hospital</c:v>
                  </c:pt>
                  <c:pt idx="30">
                    <c:v>Leongatha Hospital</c:v>
                  </c:pt>
                  <c:pt idx="31">
                    <c:v>Wonthaggi Hospital</c:v>
                  </c:pt>
                  <c:pt idx="32">
                    <c:v>Colac Hospital</c:v>
                  </c:pt>
                  <c:pt idx="33">
                    <c:v>Hamilton Base Hospital</c:v>
                  </c:pt>
                  <c:pt idx="34">
                    <c:v>Ararat Hospital</c:v>
                  </c:pt>
                  <c:pt idx="35">
                    <c:v>Portland Hospital</c:v>
                  </c:pt>
                  <c:pt idx="36">
                    <c:v>Mansfield District Hospital</c:v>
                  </c:pt>
                  <c:pt idx="37">
                    <c:v>Benalla &amp; District Memorial Hospital</c:v>
                  </c:pt>
                  <c:pt idx="38">
                    <c:v>South Gippsland Hospital</c:v>
                  </c:pt>
                  <c:pt idx="39">
                    <c:v>Castlemaine Hospital</c:v>
                  </c:pt>
                  <c:pt idx="40">
                    <c:v>Maryborough Hospital</c:v>
                  </c:pt>
                  <c:pt idx="41">
                    <c:v>Cohuna District Hospital</c:v>
                  </c:pt>
                  <c:pt idx="42">
                    <c:v>Camperdown Hospital</c:v>
                  </c:pt>
                  <c:pt idx="43">
                    <c:v>Terang Hospital</c:v>
                  </c:pt>
                  <c:pt idx="44">
                    <c:v>Frances Perry</c:v>
                  </c:pt>
                  <c:pt idx="45">
                    <c:v>Freemasons</c:v>
                  </c:pt>
                  <c:pt idx="46">
                    <c:v>St Vincents Private</c:v>
                  </c:pt>
                  <c:pt idx="47">
                    <c:v>Cabrini M</c:v>
                  </c:pt>
                  <c:pt idx="48">
                    <c:v>Mitcham Private</c:v>
                  </c:pt>
                  <c:pt idx="49">
                    <c:v>Jessie McPherson</c:v>
                  </c:pt>
                  <c:pt idx="50">
                    <c:v>Waverley Private</c:v>
                  </c:pt>
                  <c:pt idx="51">
                    <c:v>Berwick Hospital</c:v>
                  </c:pt>
                  <c:pt idx="52">
                    <c:v>Northpark Private</c:v>
                  </c:pt>
                  <c:pt idx="53">
                    <c:v>St JOG Geelong</c:v>
                  </c:pt>
                  <c:pt idx="54">
                    <c:v>Bays Mornington</c:v>
                  </c:pt>
                  <c:pt idx="55">
                    <c:v>St JOG Ballarat</c:v>
                  </c:pt>
                  <c:pt idx="56">
                    <c:v>Peninsula Private</c:v>
                  </c:pt>
                  <c:pt idx="57">
                    <c:v>Epworth Geelong</c:v>
                  </c:pt>
                  <c:pt idx="58">
                    <c:v>St JOG Bendigo</c:v>
                  </c:pt>
                  <c:pt idx="59">
                    <c:v>St Vincents Private Hospital Werribee</c:v>
                  </c:pt>
                  <c:pt idx="60">
                    <c:v>Knox Private</c:v>
                  </c:pt>
                </c:lvl>
                <c:lvl>
                  <c:pt idx="1">
                    <c:v>Level 6</c:v>
                  </c:pt>
                  <c:pt idx="5">
                    <c:v>Level 5 and 4</c:v>
                  </c:pt>
                  <c:pt idx="25">
                    <c:v>Level 3 and 2</c:v>
                  </c:pt>
                  <c:pt idx="44">
                    <c:v>Private</c:v>
                  </c:pt>
                </c:lvl>
              </c:multiLvlStrCache>
            </c:multiLvlStrRef>
          </c:cat>
          <c:val>
            <c:numRef>
              <c:f>Indicator13!$E$4:$E$64</c:f>
              <c:numCache>
                <c:formatCode>0.0%</c:formatCode>
                <c:ptCount val="61"/>
                <c:pt idx="0">
                  <c:v>2.4347176036913876E-2</c:v>
                </c:pt>
                <c:pt idx="1">
                  <c:v>2.6149802890932983E-2</c:v>
                </c:pt>
                <c:pt idx="2">
                  <c:v>4.1817867634352857E-2</c:v>
                </c:pt>
                <c:pt idx="3">
                  <c:v>3.8408063955509206E-2</c:v>
                </c:pt>
                <c:pt idx="4">
                  <c:v>3.9060505488894559E-2</c:v>
                </c:pt>
                <c:pt idx="5">
                  <c:v>2.1733505821474774E-2</c:v>
                </c:pt>
                <c:pt idx="6">
                  <c:v>2.2096317280453259E-2</c:v>
                </c:pt>
                <c:pt idx="7">
                  <c:v>2.7073932662270046E-2</c:v>
                </c:pt>
                <c:pt idx="8">
                  <c:v>2.4686669198632737E-2</c:v>
                </c:pt>
                <c:pt idx="9">
                  <c:v>3.0787217459080279E-2</c:v>
                </c:pt>
                <c:pt idx="10">
                  <c:v>2.6994839221913459E-2</c:v>
                </c:pt>
                <c:pt idx="11">
                  <c:v>2.9329047810365608E-2</c:v>
                </c:pt>
                <c:pt idx="12">
                  <c:v>2.9918404351767906E-2</c:v>
                </c:pt>
                <c:pt idx="13">
                  <c:v>1.9452887537993919E-2</c:v>
                </c:pt>
                <c:pt idx="14">
                  <c:v>2.1289918597370072E-2</c:v>
                </c:pt>
                <c:pt idx="15">
                  <c:v>2.2727272727272728E-2</c:v>
                </c:pt>
                <c:pt idx="16">
                  <c:v>1.4383561643835616E-2</c:v>
                </c:pt>
                <c:pt idx="17">
                  <c:v>2.0876826722338208E-2</c:v>
                </c:pt>
                <c:pt idx="18">
                  <c:v>4.0770101925254813E-2</c:v>
                </c:pt>
                <c:pt idx="19">
                  <c:v>9.5351609058402856E-3</c:v>
                </c:pt>
                <c:pt idx="20">
                  <c:v>2.1531100478468897E-2</c:v>
                </c:pt>
                <c:pt idx="21">
                  <c:v>2.0231213872832374E-2</c:v>
                </c:pt>
                <c:pt idx="22">
                  <c:v>2.0926756352765322E-2</c:v>
                </c:pt>
                <c:pt idx="23">
                  <c:v>1.9021739130434784E-2</c:v>
                </c:pt>
                <c:pt idx="24">
                  <c:v>2.4054982817869421E-2</c:v>
                </c:pt>
                <c:pt idx="25">
                  <c:v>3.1446540880503145E-2</c:v>
                </c:pt>
                <c:pt idx="26">
                  <c:v>3.0534351145038167E-2</c:v>
                </c:pt>
                <c:pt idx="27">
                  <c:v>1.9672131147540982E-2</c:v>
                </c:pt>
                <c:pt idx="28">
                  <c:v>3.888888888888889E-2</c:v>
                </c:pt>
                <c:pt idx="29">
                  <c:v>2.4390243902439025E-2</c:v>
                </c:pt>
                <c:pt idx="30">
                  <c:v>2.5974025974025972E-2</c:v>
                </c:pt>
                <c:pt idx="31">
                  <c:v>4.7945205479452052E-2</c:v>
                </c:pt>
                <c:pt idx="32">
                  <c:v>3.0534351145038167E-2</c:v>
                </c:pt>
                <c:pt idx="33">
                  <c:v>7.9365079365079361E-3</c:v>
                </c:pt>
                <c:pt idx="34">
                  <c:v>0.03</c:v>
                </c:pt>
                <c:pt idx="35">
                  <c:v>0</c:v>
                </c:pt>
                <c:pt idx="36">
                  <c:v>0</c:v>
                </c:pt>
                <c:pt idx="37">
                  <c:v>3.2786885245901641E-2</c:v>
                </c:pt>
                <c:pt idx="38">
                  <c:v>3.7037037037037035E-2</c:v>
                </c:pt>
                <c:pt idx="39">
                  <c:v>0</c:v>
                </c:pt>
                <c:pt idx="40">
                  <c:v>0</c:v>
                </c:pt>
                <c:pt idx="41">
                  <c:v>4.878048780487805E-2</c:v>
                </c:pt>
                <c:pt idx="42">
                  <c:v>0</c:v>
                </c:pt>
                <c:pt idx="43">
                  <c:v>0</c:v>
                </c:pt>
                <c:pt idx="44">
                  <c:v>6.192959582790091E-3</c:v>
                </c:pt>
                <c:pt idx="45">
                  <c:v>9.9896658629004473E-3</c:v>
                </c:pt>
                <c:pt idx="46">
                  <c:v>9.8122866894197955E-3</c:v>
                </c:pt>
                <c:pt idx="47">
                  <c:v>0</c:v>
                </c:pt>
                <c:pt idx="48">
                  <c:v>7.0977917981072556E-3</c:v>
                </c:pt>
                <c:pt idx="49">
                  <c:v>1.3669821240799159E-2</c:v>
                </c:pt>
                <c:pt idx="50">
                  <c:v>1.2514220705346985E-2</c:v>
                </c:pt>
                <c:pt idx="51">
                  <c:v>7.246376811594203E-3</c:v>
                </c:pt>
                <c:pt idx="52">
                  <c:v>9.3959731543624154E-3</c:v>
                </c:pt>
                <c:pt idx="53">
                  <c:v>1.0948905109489052E-2</c:v>
                </c:pt>
                <c:pt idx="54">
                  <c:v>2.6373626373626374E-2</c:v>
                </c:pt>
                <c:pt idx="55">
                  <c:v>2.132701421800948E-2</c:v>
                </c:pt>
                <c:pt idx="56">
                  <c:v>1.9830028328611894E-2</c:v>
                </c:pt>
                <c:pt idx="57">
                  <c:v>2.3529411764705882E-2</c:v>
                </c:pt>
                <c:pt idx="58">
                  <c:v>7.0422535211267616E-3</c:v>
                </c:pt>
                <c:pt idx="59">
                  <c:v>2.0547945205479451E-2</c:v>
                </c:pt>
                <c:pt idx="60">
                  <c:v>0</c:v>
                </c:pt>
              </c:numCache>
            </c:numRef>
          </c:val>
          <c:extLst>
            <c:ext xmlns:c16="http://schemas.microsoft.com/office/drawing/2014/chart" uri="{C3380CC4-5D6E-409C-BE32-E72D297353CC}">
              <c16:uniqueId val="{00000000-8900-41E5-B3D6-0E3A7956A226}"/>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Indicator13!$A$73</c:f>
              <c:strCache>
                <c:ptCount val="1"/>
                <c:pt idx="0">
                  <c:v>Most favourable (First quartile)</c:v>
                </c:pt>
              </c:strCache>
            </c:strRef>
          </c:tx>
          <c:spPr>
            <a:ln w="28575" cap="rnd">
              <a:solidFill>
                <a:srgbClr val="00B050"/>
              </a:solidFill>
              <a:round/>
            </a:ln>
            <a:effectLst/>
          </c:spPr>
          <c:marker>
            <c:symbol val="none"/>
          </c:marker>
          <c:xVal>
            <c:numRef>
              <c:f>Indicator13!$D$73:$D$74</c:f>
              <c:numCache>
                <c:formatCode>0.0%</c:formatCode>
                <c:ptCount val="2"/>
                <c:pt idx="0">
                  <c:v>9.5351609058402856E-3</c:v>
                </c:pt>
                <c:pt idx="1">
                  <c:v>9.5351609058402856E-3</c:v>
                </c:pt>
              </c:numCache>
            </c:numRef>
          </c:xVal>
          <c:yVal>
            <c:numRef>
              <c:f>Indicator13!$E$73:$E$74</c:f>
              <c:numCache>
                <c:formatCode>0.0%</c:formatCode>
                <c:ptCount val="2"/>
                <c:pt idx="0">
                  <c:v>0</c:v>
                </c:pt>
                <c:pt idx="1">
                  <c:v>1.2E-2</c:v>
                </c:pt>
              </c:numCache>
            </c:numRef>
          </c:yVal>
          <c:smooth val="0"/>
          <c:extLst>
            <c:ext xmlns:c16="http://schemas.microsoft.com/office/drawing/2014/chart" uri="{C3380CC4-5D6E-409C-BE32-E72D297353CC}">
              <c16:uniqueId val="{00000003-8900-41E5-B3D6-0E3A7956A226}"/>
            </c:ext>
          </c:extLst>
        </c:ser>
        <c:ser>
          <c:idx val="2"/>
          <c:order val="2"/>
          <c:tx>
            <c:v>Least favourable</c:v>
          </c:tx>
          <c:spPr>
            <a:ln w="28575" cap="rnd">
              <a:solidFill>
                <a:srgbClr val="FF0000"/>
              </a:solidFill>
              <a:round/>
            </a:ln>
            <a:effectLst/>
          </c:spPr>
          <c:marker>
            <c:symbol val="none"/>
          </c:marker>
          <c:xVal>
            <c:numRef>
              <c:f>Indicator13!$D$75:$D$76</c:f>
              <c:numCache>
                <c:formatCode>0.0%</c:formatCode>
                <c:ptCount val="2"/>
                <c:pt idx="0">
                  <c:v>2.9918404351767906E-2</c:v>
                </c:pt>
                <c:pt idx="1">
                  <c:v>2.9918404351767906E-2</c:v>
                </c:pt>
              </c:numCache>
            </c:numRef>
          </c:xVal>
          <c:yVal>
            <c:numRef>
              <c:f>Indicator13!$E$75:$E$76</c:f>
              <c:numCache>
                <c:formatCode>0.0%</c:formatCode>
                <c:ptCount val="2"/>
                <c:pt idx="0">
                  <c:v>0</c:v>
                </c:pt>
                <c:pt idx="1">
                  <c:v>1.2E-2</c:v>
                </c:pt>
              </c:numCache>
            </c:numRef>
          </c:yVal>
          <c:smooth val="0"/>
          <c:extLst>
            <c:ext xmlns:c16="http://schemas.microsoft.com/office/drawing/2014/chart" uri="{C3380CC4-5D6E-409C-BE32-E72D297353CC}">
              <c16:uniqueId val="{00000005-8900-41E5-B3D6-0E3A7956A226}"/>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6.0000000000000012E-2"/>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latin typeface="VIC" panose="00000500000000000000" pitchFamily="2"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7729020246465824"/>
          <c:y val="1.3209562145732356E-2"/>
          <c:w val="0.65129276341200582"/>
          <c:h val="0.95709085333405486"/>
        </c:manualLayout>
      </c:layout>
      <c:barChart>
        <c:barDir val="bar"/>
        <c:grouping val="clustered"/>
        <c:varyColors val="0"/>
        <c:ser>
          <c:idx val="0"/>
          <c:order val="0"/>
          <c:spPr>
            <a:solidFill>
              <a:schemeClr val="accent1"/>
            </a:solidFill>
            <a:ln>
              <a:noFill/>
            </a:ln>
            <a:effectLst/>
          </c:spPr>
          <c:invertIfNegative val="0"/>
          <c:cat>
            <c:multiLvlStrRef>
              <c:f>Indicator1bi!$A$4:$B$58</c:f>
              <c:multiLvlStrCache>
                <c:ptCount val="55"/>
                <c:lvl>
                  <c:pt idx="0">
                    <c:v>ALL PUBLIC AND PRIVATE HOSPITALS</c:v>
                  </c:pt>
                  <c:pt idx="1">
                    <c:v>The Royal Women's Hospital</c:v>
                  </c:pt>
                  <c:pt idx="2">
                    <c:v>Mercy Hospital for Women</c:v>
                  </c:pt>
                  <c:pt idx="3">
                    <c:v>Sunshine Hospital</c:v>
                  </c:pt>
                  <c:pt idx="4">
                    <c:v>Monash Medical Centre (Clayton)</c:v>
                  </c:pt>
                  <c:pt idx="5">
                    <c:v>Werribee Mercy Hospital</c:v>
                  </c:pt>
                  <c:pt idx="6">
                    <c:v>Frankston Hospital</c:v>
                  </c:pt>
                  <c:pt idx="7">
                    <c:v>Northern Hospital Epping</c:v>
                  </c:pt>
                  <c:pt idx="8">
                    <c:v>Box Hill Hospital</c:v>
                  </c:pt>
                  <c:pt idx="9">
                    <c:v>Dandenong Hospital</c:v>
                  </c:pt>
                  <c:pt idx="10">
                    <c:v>Casey Hospital</c:v>
                  </c:pt>
                  <c:pt idx="11">
                    <c:v>Angliss Hospital</c:v>
                  </c:pt>
                  <c:pt idx="12">
                    <c:v>Women's at Sandringham</c:v>
                  </c:pt>
                  <c:pt idx="13">
                    <c:v>University Hospital Geelong</c:v>
                  </c:pt>
                  <c:pt idx="14">
                    <c:v>Wodonga Hospital</c:v>
                  </c:pt>
                  <c:pt idx="15">
                    <c:v>Bendigo Hospital</c:v>
                  </c:pt>
                  <c:pt idx="16">
                    <c:v>Goulburn Valley Health (Shepparton)</c:v>
                  </c:pt>
                  <c:pt idx="17">
                    <c:v>Ballarat Base Hospital</c:v>
                  </c:pt>
                  <c:pt idx="18">
                    <c:v>Latrobe Regional Hospital</c:v>
                  </c:pt>
                  <c:pt idx="19">
                    <c:v>West Gippsland Hospital</c:v>
                  </c:pt>
                  <c:pt idx="20">
                    <c:v>Mildura Base Hospital</c:v>
                  </c:pt>
                  <c:pt idx="21">
                    <c:v>Northeast Health Wangaratta</c:v>
                  </c:pt>
                  <c:pt idx="22">
                    <c:v>Warrnambool Base Hospital</c:v>
                  </c:pt>
                  <c:pt idx="23">
                    <c:v>Sale Hospital</c:v>
                  </c:pt>
                  <c:pt idx="24">
                    <c:v>Wimmera Base Hospital</c:v>
                  </c:pt>
                  <c:pt idx="25">
                    <c:v>Echuca Hospital</c:v>
                  </c:pt>
                  <c:pt idx="26">
                    <c:v>Bacchus Marsh &amp; Melton Regional Hospital</c:v>
                  </c:pt>
                  <c:pt idx="27">
                    <c:v>Bairnsdale Hospital</c:v>
                  </c:pt>
                  <c:pt idx="28">
                    <c:v>Swan Hill Hospital</c:v>
                  </c:pt>
                  <c:pt idx="29">
                    <c:v>Kilmore &amp; District Hospital</c:v>
                  </c:pt>
                  <c:pt idx="30">
                    <c:v>Leongatha Hospital</c:v>
                  </c:pt>
                  <c:pt idx="31">
                    <c:v>Wonthaggi Hospital</c:v>
                  </c:pt>
                  <c:pt idx="32">
                    <c:v>Ararat Hospital</c:v>
                  </c:pt>
                  <c:pt idx="33">
                    <c:v>Colac Hospital</c:v>
                  </c:pt>
                  <c:pt idx="34">
                    <c:v>Hamilton Base Hospital</c:v>
                  </c:pt>
                  <c:pt idx="35">
                    <c:v>Portland Hospital</c:v>
                  </c:pt>
                  <c:pt idx="36">
                    <c:v>Castlemaine Hospital</c:v>
                  </c:pt>
                  <c:pt idx="37">
                    <c:v>Benalla &amp; District Memorial Hospital</c:v>
                  </c:pt>
                  <c:pt idx="38">
                    <c:v>Mansfield District Hospital</c:v>
                  </c:pt>
                  <c:pt idx="39">
                    <c:v>Frances Perry</c:v>
                  </c:pt>
                  <c:pt idx="40">
                    <c:v>St Vincents Private</c:v>
                  </c:pt>
                  <c:pt idx="41">
                    <c:v>Freemasons</c:v>
                  </c:pt>
                  <c:pt idx="42">
                    <c:v>Cabrini M</c:v>
                  </c:pt>
                  <c:pt idx="43">
                    <c:v>Mitcham Private</c:v>
                  </c:pt>
                  <c:pt idx="44">
                    <c:v>Berwick Hospital</c:v>
                  </c:pt>
                  <c:pt idx="45">
                    <c:v>Waverley Private</c:v>
                  </c:pt>
                  <c:pt idx="46">
                    <c:v>Jessie McPherson</c:v>
                  </c:pt>
                  <c:pt idx="47">
                    <c:v>Northpark Private</c:v>
                  </c:pt>
                  <c:pt idx="48">
                    <c:v>Epworth Geelong</c:v>
                  </c:pt>
                  <c:pt idx="49">
                    <c:v>Bays Mornington</c:v>
                  </c:pt>
                  <c:pt idx="50">
                    <c:v>St JOG Bendigo</c:v>
                  </c:pt>
                  <c:pt idx="51">
                    <c:v>St JOG Geelong</c:v>
                  </c:pt>
                  <c:pt idx="52">
                    <c:v>Peninsula Private</c:v>
                  </c:pt>
                  <c:pt idx="53">
                    <c:v>St JOG Ballarat</c:v>
                  </c:pt>
                  <c:pt idx="54">
                    <c:v>St Vincents Private Hospital Werribee</c:v>
                  </c:pt>
                </c:lvl>
                <c:lvl>
                  <c:pt idx="1">
                    <c:v>Level 6</c:v>
                  </c:pt>
                  <c:pt idx="5">
                    <c:v>Level 5 and 4</c:v>
                  </c:pt>
                  <c:pt idx="25">
                    <c:v>Level 3 and 2</c:v>
                  </c:pt>
                  <c:pt idx="39">
                    <c:v>Private</c:v>
                  </c:pt>
                </c:lvl>
              </c:multiLvlStrCache>
            </c:multiLvlStrRef>
          </c:cat>
          <c:val>
            <c:numRef>
              <c:f>Indicator1bi!$E$4:$E$58</c:f>
              <c:numCache>
                <c:formatCode>0.0%</c:formatCode>
                <c:ptCount val="55"/>
                <c:pt idx="0">
                  <c:v>0.17954141636348253</c:v>
                </c:pt>
                <c:pt idx="1">
                  <c:v>0.16153319644079395</c:v>
                </c:pt>
                <c:pt idx="2">
                  <c:v>0.1533957845433255</c:v>
                </c:pt>
                <c:pt idx="3">
                  <c:v>0.1500646830530401</c:v>
                </c:pt>
                <c:pt idx="4">
                  <c:v>9.5427435387673953E-2</c:v>
                </c:pt>
                <c:pt idx="5">
                  <c:v>0.28326996197718629</c:v>
                </c:pt>
                <c:pt idx="6">
                  <c:v>0.16969696969696973</c:v>
                </c:pt>
                <c:pt idx="7">
                  <c:v>0.20594479830148626</c:v>
                </c:pt>
                <c:pt idx="8">
                  <c:v>0.21460176991150445</c:v>
                </c:pt>
                <c:pt idx="9">
                  <c:v>0.13507109004739337</c:v>
                </c:pt>
                <c:pt idx="10">
                  <c:v>0.16793893129770993</c:v>
                </c:pt>
                <c:pt idx="11">
                  <c:v>0.1969309462915601</c:v>
                </c:pt>
                <c:pt idx="12">
                  <c:v>0.12144702842377261</c:v>
                </c:pt>
                <c:pt idx="13">
                  <c:v>0.20491803278688528</c:v>
                </c:pt>
                <c:pt idx="14">
                  <c:v>9.5238095238095233E-2</c:v>
                </c:pt>
                <c:pt idx="15">
                  <c:v>0.13157894736842105</c:v>
                </c:pt>
                <c:pt idx="16">
                  <c:v>0.21917808219178081</c:v>
                </c:pt>
                <c:pt idx="17">
                  <c:v>0.14583333333333334</c:v>
                </c:pt>
                <c:pt idx="18">
                  <c:v>0.184</c:v>
                </c:pt>
                <c:pt idx="19">
                  <c:v>0.10256410256410256</c:v>
                </c:pt>
                <c:pt idx="20">
                  <c:v>0.15384615384615383</c:v>
                </c:pt>
                <c:pt idx="21">
                  <c:v>0.14583333333333334</c:v>
                </c:pt>
                <c:pt idx="22">
                  <c:v>8.6956521739130446E-2</c:v>
                </c:pt>
                <c:pt idx="23">
                  <c:v>0.17741935483870969</c:v>
                </c:pt>
                <c:pt idx="24">
                  <c:v>0.1702127659574468</c:v>
                </c:pt>
                <c:pt idx="25">
                  <c:v>0.379746835443038</c:v>
                </c:pt>
                <c:pt idx="26">
                  <c:v>0.20895522388059701</c:v>
                </c:pt>
                <c:pt idx="27">
                  <c:v>0.24242424242424238</c:v>
                </c:pt>
                <c:pt idx="28">
                  <c:v>0.20454545454545456</c:v>
                </c:pt>
                <c:pt idx="29">
                  <c:v>0.30769230769230771</c:v>
                </c:pt>
                <c:pt idx="30">
                  <c:v>0.14814814814814811</c:v>
                </c:pt>
                <c:pt idx="31">
                  <c:v>0.11538461538461538</c:v>
                </c:pt>
                <c:pt idx="32">
                  <c:v>0.28000000000000003</c:v>
                </c:pt>
                <c:pt idx="33">
                  <c:v>0.125</c:v>
                </c:pt>
                <c:pt idx="34">
                  <c:v>0.21052631578947367</c:v>
                </c:pt>
                <c:pt idx="35">
                  <c:v>0.16666666666666663</c:v>
                </c:pt>
                <c:pt idx="36">
                  <c:v>0</c:v>
                </c:pt>
                <c:pt idx="37">
                  <c:v>0.2857142857142857</c:v>
                </c:pt>
                <c:pt idx="38">
                  <c:v>0.16666666666666663</c:v>
                </c:pt>
                <c:pt idx="39">
                  <c:v>0.26484018264840181</c:v>
                </c:pt>
                <c:pt idx="40">
                  <c:v>0.19633507853403145</c:v>
                </c:pt>
                <c:pt idx="41">
                  <c:v>0.20353982300884962</c:v>
                </c:pt>
                <c:pt idx="42">
                  <c:v>0.152</c:v>
                </c:pt>
                <c:pt idx="43">
                  <c:v>0.30113636363636365</c:v>
                </c:pt>
                <c:pt idx="44">
                  <c:v>0.22222222222222221</c:v>
                </c:pt>
                <c:pt idx="45">
                  <c:v>0.23664122137404578</c:v>
                </c:pt>
                <c:pt idx="46">
                  <c:v>0.15</c:v>
                </c:pt>
                <c:pt idx="47">
                  <c:v>9.5238095238095233E-2</c:v>
                </c:pt>
                <c:pt idx="48">
                  <c:v>0.17721518987341769</c:v>
                </c:pt>
                <c:pt idx="49">
                  <c:v>0.11864406779661016</c:v>
                </c:pt>
                <c:pt idx="50">
                  <c:v>0.31111111111111112</c:v>
                </c:pt>
                <c:pt idx="51">
                  <c:v>0.36363636363636365</c:v>
                </c:pt>
                <c:pt idx="52">
                  <c:v>0.32500000000000001</c:v>
                </c:pt>
                <c:pt idx="53">
                  <c:v>0.31578947368421051</c:v>
                </c:pt>
                <c:pt idx="54">
                  <c:v>0.39285714285714285</c:v>
                </c:pt>
              </c:numCache>
            </c:numRef>
          </c:val>
          <c:extLst>
            <c:ext xmlns:c16="http://schemas.microsoft.com/office/drawing/2014/chart" uri="{C3380CC4-5D6E-409C-BE32-E72D297353CC}">
              <c16:uniqueId val="{00000000-2427-4E95-AB1B-33EE1D1140AD}"/>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Indicator1bi!$A$67</c:f>
              <c:strCache>
                <c:ptCount val="1"/>
                <c:pt idx="0">
                  <c:v>Most favourable (First quartile)</c:v>
                </c:pt>
              </c:strCache>
            </c:strRef>
          </c:tx>
          <c:spPr>
            <a:ln w="28575" cap="rnd">
              <a:solidFill>
                <a:srgbClr val="00B050"/>
              </a:solidFill>
              <a:round/>
            </a:ln>
            <a:effectLst/>
          </c:spPr>
          <c:marker>
            <c:symbol val="none"/>
          </c:marker>
          <c:xVal>
            <c:numRef>
              <c:f>Indicator1bi!$D$67:$D$68</c:f>
              <c:numCache>
                <c:formatCode>0.0%</c:formatCode>
                <c:ptCount val="2"/>
                <c:pt idx="0">
                  <c:v>0.14583333333333334</c:v>
                </c:pt>
                <c:pt idx="1">
                  <c:v>0.14583333333333334</c:v>
                </c:pt>
              </c:numCache>
            </c:numRef>
          </c:xVal>
          <c:yVal>
            <c:numRef>
              <c:f>Indicator1bi!$E$67:$E$68</c:f>
              <c:numCache>
                <c:formatCode>0.0%</c:formatCode>
                <c:ptCount val="2"/>
                <c:pt idx="0">
                  <c:v>0</c:v>
                </c:pt>
                <c:pt idx="1">
                  <c:v>1.2E-2</c:v>
                </c:pt>
              </c:numCache>
            </c:numRef>
          </c:yVal>
          <c:smooth val="0"/>
          <c:extLst>
            <c:ext xmlns:c16="http://schemas.microsoft.com/office/drawing/2014/chart" uri="{C3380CC4-5D6E-409C-BE32-E72D297353CC}">
              <c16:uniqueId val="{00000002-2427-4E95-AB1B-33EE1D1140AD}"/>
            </c:ext>
          </c:extLst>
        </c:ser>
        <c:ser>
          <c:idx val="2"/>
          <c:order val="2"/>
          <c:tx>
            <c:v>Least favourable</c:v>
          </c:tx>
          <c:spPr>
            <a:ln w="28575" cap="rnd">
              <a:solidFill>
                <a:srgbClr val="FF0000"/>
              </a:solidFill>
              <a:round/>
            </a:ln>
            <a:effectLst/>
          </c:spPr>
          <c:marker>
            <c:symbol val="none"/>
          </c:marker>
          <c:xVal>
            <c:numRef>
              <c:f>Indicator1bi!$D$69:$D$70</c:f>
              <c:numCache>
                <c:formatCode>0.0%</c:formatCode>
                <c:ptCount val="2"/>
                <c:pt idx="0">
                  <c:v>0.23664122137404578</c:v>
                </c:pt>
                <c:pt idx="1">
                  <c:v>0.23664122137404578</c:v>
                </c:pt>
              </c:numCache>
            </c:numRef>
          </c:xVal>
          <c:yVal>
            <c:numRef>
              <c:f>Indicator1bi!$E$69:$E$70</c:f>
              <c:numCache>
                <c:formatCode>0.0%</c:formatCode>
                <c:ptCount val="2"/>
                <c:pt idx="0">
                  <c:v>0</c:v>
                </c:pt>
                <c:pt idx="1">
                  <c:v>1.2E-2</c:v>
                </c:pt>
              </c:numCache>
            </c:numRef>
          </c:yVal>
          <c:smooth val="0"/>
          <c:extLst>
            <c:ext xmlns:c16="http://schemas.microsoft.com/office/drawing/2014/chart" uri="{C3380CC4-5D6E-409C-BE32-E72D297353CC}">
              <c16:uniqueId val="{00000004-2427-4E95-AB1B-33EE1D1140AD}"/>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45"/>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4453582703083773"/>
          <c:y val="6.3520679474092121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2119564043126514"/>
          <c:y val="1.4698290700010622E-2"/>
          <c:w val="0.6371385931717376"/>
          <c:h val="0.9517281756162731"/>
        </c:manualLayout>
      </c:layout>
      <c:barChart>
        <c:barDir val="bar"/>
        <c:grouping val="clustered"/>
        <c:varyColors val="0"/>
        <c:ser>
          <c:idx val="0"/>
          <c:order val="0"/>
          <c:spPr>
            <a:solidFill>
              <a:schemeClr val="accent1"/>
            </a:solidFill>
            <a:ln>
              <a:noFill/>
            </a:ln>
            <a:effectLst/>
          </c:spPr>
          <c:invertIfNegative val="0"/>
          <c:cat>
            <c:multiLvlStrRef>
              <c:f>Indicator1bii!$A$4:$B$55</c:f>
              <c:multiLvlStrCache>
                <c:ptCount val="52"/>
                <c:lvl>
                  <c:pt idx="0">
                    <c:v>ALL PUBLIC AND PRIVATE HOSPITALS</c:v>
                  </c:pt>
                  <c:pt idx="1">
                    <c:v>The Royal Women's Hospital</c:v>
                  </c:pt>
                  <c:pt idx="2">
                    <c:v>Mercy Hospital for Women</c:v>
                  </c:pt>
                  <c:pt idx="3">
                    <c:v>Sunshine Hospital</c:v>
                  </c:pt>
                  <c:pt idx="4">
                    <c:v>Monash Medical Centre (Clayton)</c:v>
                  </c:pt>
                  <c:pt idx="5">
                    <c:v>Werribee Mercy Hospital</c:v>
                  </c:pt>
                  <c:pt idx="6">
                    <c:v>Northern Hospital Epping</c:v>
                  </c:pt>
                  <c:pt idx="7">
                    <c:v>Dandenong Hospital</c:v>
                  </c:pt>
                  <c:pt idx="8">
                    <c:v>Frankston Hospital</c:v>
                  </c:pt>
                  <c:pt idx="9">
                    <c:v>Box Hill Hospital</c:v>
                  </c:pt>
                  <c:pt idx="10">
                    <c:v>Casey Hospital</c:v>
                  </c:pt>
                  <c:pt idx="11">
                    <c:v>University Hospital Geelong</c:v>
                  </c:pt>
                  <c:pt idx="12">
                    <c:v>Angliss Hospital</c:v>
                  </c:pt>
                  <c:pt idx="13">
                    <c:v>Women's at Sandringham</c:v>
                  </c:pt>
                  <c:pt idx="14">
                    <c:v>Ballarat Base Hospital</c:v>
                  </c:pt>
                  <c:pt idx="15">
                    <c:v>Bendigo Hospital</c:v>
                  </c:pt>
                  <c:pt idx="16">
                    <c:v>Wodonga Hospital</c:v>
                  </c:pt>
                  <c:pt idx="17">
                    <c:v>West Gippsland Hospital</c:v>
                  </c:pt>
                  <c:pt idx="18">
                    <c:v>Warrnambool Base Hospital</c:v>
                  </c:pt>
                  <c:pt idx="19">
                    <c:v>Latrobe Regional Hospital</c:v>
                  </c:pt>
                  <c:pt idx="20">
                    <c:v>Mildura Base Hospital</c:v>
                  </c:pt>
                  <c:pt idx="21">
                    <c:v>Northeast Health Wangaratta</c:v>
                  </c:pt>
                  <c:pt idx="22">
                    <c:v>Goulburn Valley Health (Shepparton)</c:v>
                  </c:pt>
                  <c:pt idx="23">
                    <c:v>Sale Hospital</c:v>
                  </c:pt>
                  <c:pt idx="24">
                    <c:v>Wimmera Base Hospital</c:v>
                  </c:pt>
                  <c:pt idx="25">
                    <c:v>Bacchus Marsh &amp; Melton Regional Hospital</c:v>
                  </c:pt>
                  <c:pt idx="26">
                    <c:v>Echuca Hospital</c:v>
                  </c:pt>
                  <c:pt idx="27">
                    <c:v>Bairnsdale Hospital</c:v>
                  </c:pt>
                  <c:pt idx="28">
                    <c:v>Kilmore &amp; District Hospital</c:v>
                  </c:pt>
                  <c:pt idx="29">
                    <c:v>Wonthaggi Hospital</c:v>
                  </c:pt>
                  <c:pt idx="30">
                    <c:v>Hamilton Base Hospital</c:v>
                  </c:pt>
                  <c:pt idx="31">
                    <c:v>Leongatha Hospital</c:v>
                  </c:pt>
                  <c:pt idx="32">
                    <c:v>Colac Hospital</c:v>
                  </c:pt>
                  <c:pt idx="33">
                    <c:v>Swan Hill Hospital</c:v>
                  </c:pt>
                  <c:pt idx="34">
                    <c:v>South Gippsland Hospital</c:v>
                  </c:pt>
                  <c:pt idx="35">
                    <c:v>Ararat Hospital</c:v>
                  </c:pt>
                  <c:pt idx="36">
                    <c:v>Freemasons</c:v>
                  </c:pt>
                  <c:pt idx="37">
                    <c:v>Frances Perry</c:v>
                  </c:pt>
                  <c:pt idx="38">
                    <c:v>St Vincents Private</c:v>
                  </c:pt>
                  <c:pt idx="39">
                    <c:v>Cabrini M</c:v>
                  </c:pt>
                  <c:pt idx="40">
                    <c:v>Mitcham Private</c:v>
                  </c:pt>
                  <c:pt idx="41">
                    <c:v>Jessie McPherson</c:v>
                  </c:pt>
                  <c:pt idx="42">
                    <c:v>Waverley Private</c:v>
                  </c:pt>
                  <c:pt idx="43">
                    <c:v>Northpark Private</c:v>
                  </c:pt>
                  <c:pt idx="44">
                    <c:v>Berwick Hospital</c:v>
                  </c:pt>
                  <c:pt idx="45">
                    <c:v>Bays Mornington</c:v>
                  </c:pt>
                  <c:pt idx="46">
                    <c:v>St JOG Geelong</c:v>
                  </c:pt>
                  <c:pt idx="47">
                    <c:v>Epworth Geelong</c:v>
                  </c:pt>
                  <c:pt idx="48">
                    <c:v>St JOG Ballarat</c:v>
                  </c:pt>
                  <c:pt idx="49">
                    <c:v>Peninsula Private</c:v>
                  </c:pt>
                  <c:pt idx="50">
                    <c:v>St JOG Bendigo</c:v>
                  </c:pt>
                  <c:pt idx="51">
                    <c:v>St Vincents Private Hospital Werribee</c:v>
                  </c:pt>
                </c:lvl>
                <c:lvl>
                  <c:pt idx="1">
                    <c:v>Level 6</c:v>
                  </c:pt>
                  <c:pt idx="5">
                    <c:v>Level 5 and 4</c:v>
                  </c:pt>
                  <c:pt idx="25">
                    <c:v>Level 3 and 2</c:v>
                  </c:pt>
                  <c:pt idx="36">
                    <c:v>Private</c:v>
                  </c:pt>
                </c:lvl>
              </c:multiLvlStrCache>
            </c:multiLvlStrRef>
          </c:cat>
          <c:val>
            <c:numRef>
              <c:f>Indicator1bii!$E$4:$E$55</c:f>
              <c:numCache>
                <c:formatCode>0.0%</c:formatCode>
                <c:ptCount val="52"/>
                <c:pt idx="0">
                  <c:v>0.31630811936155445</c:v>
                </c:pt>
                <c:pt idx="1">
                  <c:v>0.26453298497713912</c:v>
                </c:pt>
                <c:pt idx="2">
                  <c:v>0.31411359724612736</c:v>
                </c:pt>
                <c:pt idx="3">
                  <c:v>0.31438721136767317</c:v>
                </c:pt>
                <c:pt idx="4">
                  <c:v>0.20110192837465565</c:v>
                </c:pt>
                <c:pt idx="5">
                  <c:v>0.43899204244031831</c:v>
                </c:pt>
                <c:pt idx="6">
                  <c:v>0.34330708661417325</c:v>
                </c:pt>
                <c:pt idx="7">
                  <c:v>0.29940119760479039</c:v>
                </c:pt>
                <c:pt idx="8">
                  <c:v>0.28600000000000003</c:v>
                </c:pt>
                <c:pt idx="9">
                  <c:v>0.34232365145228216</c:v>
                </c:pt>
                <c:pt idx="10">
                  <c:v>0.30995475113122173</c:v>
                </c:pt>
                <c:pt idx="11">
                  <c:v>0.33409610983981691</c:v>
                </c:pt>
                <c:pt idx="12">
                  <c:v>0.36144578313253012</c:v>
                </c:pt>
                <c:pt idx="13">
                  <c:v>0.24566473988439305</c:v>
                </c:pt>
                <c:pt idx="14">
                  <c:v>0.30990415335463256</c:v>
                </c:pt>
                <c:pt idx="15">
                  <c:v>0.26774193548387099</c:v>
                </c:pt>
                <c:pt idx="16">
                  <c:v>0.27756653992395436</c:v>
                </c:pt>
                <c:pt idx="17">
                  <c:v>0.26519337016574585</c:v>
                </c:pt>
                <c:pt idx="18">
                  <c:v>0.24087591240875914</c:v>
                </c:pt>
                <c:pt idx="19">
                  <c:v>0.33834586466165412</c:v>
                </c:pt>
                <c:pt idx="20">
                  <c:v>0.376</c:v>
                </c:pt>
                <c:pt idx="21">
                  <c:v>0.38793103448275867</c:v>
                </c:pt>
                <c:pt idx="22">
                  <c:v>0.41228070175438591</c:v>
                </c:pt>
                <c:pt idx="23">
                  <c:v>0.51666666666666672</c:v>
                </c:pt>
                <c:pt idx="24">
                  <c:v>0.40425531914893609</c:v>
                </c:pt>
                <c:pt idx="25">
                  <c:v>0.25263157894736837</c:v>
                </c:pt>
                <c:pt idx="26">
                  <c:v>0.38095238095238093</c:v>
                </c:pt>
                <c:pt idx="27">
                  <c:v>0.34210526315789475</c:v>
                </c:pt>
                <c:pt idx="28">
                  <c:v>0.33333333333333326</c:v>
                </c:pt>
                <c:pt idx="29">
                  <c:v>0.44</c:v>
                </c:pt>
                <c:pt idx="30">
                  <c:v>0.36363636363636365</c:v>
                </c:pt>
                <c:pt idx="31">
                  <c:v>0.54545454545454541</c:v>
                </c:pt>
                <c:pt idx="32">
                  <c:v>0.47619047619047611</c:v>
                </c:pt>
                <c:pt idx="33">
                  <c:v>0.29411764705882354</c:v>
                </c:pt>
                <c:pt idx="34">
                  <c:v>0.46153846153846151</c:v>
                </c:pt>
                <c:pt idx="35">
                  <c:v>0.7</c:v>
                </c:pt>
                <c:pt idx="36">
                  <c:v>0.32830820770519265</c:v>
                </c:pt>
                <c:pt idx="37">
                  <c:v>0.33776091081593923</c:v>
                </c:pt>
                <c:pt idx="38">
                  <c:v>0.30640668523676878</c:v>
                </c:pt>
                <c:pt idx="39">
                  <c:v>0.25320512820512819</c:v>
                </c:pt>
                <c:pt idx="40">
                  <c:v>0.38257575757575757</c:v>
                </c:pt>
                <c:pt idx="41">
                  <c:v>0.291866028708134</c:v>
                </c:pt>
                <c:pt idx="42">
                  <c:v>0.38271604938271603</c:v>
                </c:pt>
                <c:pt idx="43">
                  <c:v>0.31578947368421051</c:v>
                </c:pt>
                <c:pt idx="44">
                  <c:v>0.34375</c:v>
                </c:pt>
                <c:pt idx="45">
                  <c:v>0.35353535353535359</c:v>
                </c:pt>
                <c:pt idx="46">
                  <c:v>0.45679012345679015</c:v>
                </c:pt>
                <c:pt idx="47">
                  <c:v>0.22368421052631579</c:v>
                </c:pt>
                <c:pt idx="48">
                  <c:v>0.41269841269841268</c:v>
                </c:pt>
                <c:pt idx="49">
                  <c:v>0.29032258064516131</c:v>
                </c:pt>
                <c:pt idx="50">
                  <c:v>0.48936170212765956</c:v>
                </c:pt>
                <c:pt idx="51">
                  <c:v>0.47368421052631576</c:v>
                </c:pt>
              </c:numCache>
            </c:numRef>
          </c:val>
          <c:extLst>
            <c:ext xmlns:c16="http://schemas.microsoft.com/office/drawing/2014/chart" uri="{C3380CC4-5D6E-409C-BE32-E72D297353CC}">
              <c16:uniqueId val="{00000000-64DE-49A2-9478-EFE292FF6748}"/>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Indicator1bii!$A$64</c:f>
              <c:strCache>
                <c:ptCount val="1"/>
                <c:pt idx="0">
                  <c:v>Most favourable (First quartile)</c:v>
                </c:pt>
              </c:strCache>
            </c:strRef>
          </c:tx>
          <c:spPr>
            <a:ln w="28575" cap="rnd">
              <a:solidFill>
                <a:srgbClr val="00B050"/>
              </a:solidFill>
              <a:round/>
            </a:ln>
            <a:effectLst/>
          </c:spPr>
          <c:marker>
            <c:symbol val="none"/>
          </c:marker>
          <c:xVal>
            <c:numRef>
              <c:f>Indicator1bii!$D$64:$D$65</c:f>
              <c:numCache>
                <c:formatCode>0.0%</c:formatCode>
                <c:ptCount val="2"/>
                <c:pt idx="0">
                  <c:v>0.291866028708134</c:v>
                </c:pt>
                <c:pt idx="1">
                  <c:v>0.291866028708134</c:v>
                </c:pt>
              </c:numCache>
            </c:numRef>
          </c:xVal>
          <c:yVal>
            <c:numRef>
              <c:f>Indicator1bii!$E$64:$E$65</c:f>
              <c:numCache>
                <c:formatCode>0.0%</c:formatCode>
                <c:ptCount val="2"/>
                <c:pt idx="0">
                  <c:v>0</c:v>
                </c:pt>
                <c:pt idx="1">
                  <c:v>1.2E-2</c:v>
                </c:pt>
              </c:numCache>
            </c:numRef>
          </c:yVal>
          <c:smooth val="0"/>
          <c:extLst>
            <c:ext xmlns:c16="http://schemas.microsoft.com/office/drawing/2014/chart" uri="{C3380CC4-5D6E-409C-BE32-E72D297353CC}">
              <c16:uniqueId val="{00000002-64DE-49A2-9478-EFE292FF6748}"/>
            </c:ext>
          </c:extLst>
        </c:ser>
        <c:ser>
          <c:idx val="2"/>
          <c:order val="2"/>
          <c:tx>
            <c:v>Least favourable</c:v>
          </c:tx>
          <c:spPr>
            <a:ln w="28575" cap="rnd">
              <a:solidFill>
                <a:srgbClr val="FF0000"/>
              </a:solidFill>
              <a:round/>
            </a:ln>
            <a:effectLst/>
          </c:spPr>
          <c:marker>
            <c:symbol val="none"/>
          </c:marker>
          <c:xVal>
            <c:numRef>
              <c:f>Indicator1bii!$D$66:$D$67</c:f>
              <c:numCache>
                <c:formatCode>0.0%</c:formatCode>
                <c:ptCount val="2"/>
                <c:pt idx="0">
                  <c:v>0.40425531914893609</c:v>
                </c:pt>
                <c:pt idx="1">
                  <c:v>0.40425531914893609</c:v>
                </c:pt>
              </c:numCache>
            </c:numRef>
          </c:xVal>
          <c:yVal>
            <c:numRef>
              <c:f>Indicator1bii!$E$66:$E$67</c:f>
              <c:numCache>
                <c:formatCode>0.0%</c:formatCode>
                <c:ptCount val="2"/>
                <c:pt idx="0">
                  <c:v>0</c:v>
                </c:pt>
                <c:pt idx="1">
                  <c:v>1.2E-2</c:v>
                </c:pt>
              </c:numCache>
            </c:numRef>
          </c:yVal>
          <c:smooth val="0"/>
          <c:extLst>
            <c:ext xmlns:c16="http://schemas.microsoft.com/office/drawing/2014/chart" uri="{C3380CC4-5D6E-409C-BE32-E72D297353CC}">
              <c16:uniqueId val="{00000004-64DE-49A2-9478-EFE292FF6748}"/>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8"/>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720" b="0" i="0" u="none" strike="noStrike" kern="1200" spc="0" baseline="0">
                <a:solidFill>
                  <a:schemeClr val="tx1">
                    <a:lumMod val="65000"/>
                    <a:lumOff val="35000"/>
                  </a:schemeClr>
                </a:solidFill>
                <a:latin typeface="VIC" panose="00000500000000000000" pitchFamily="2" charset="0"/>
                <a:ea typeface="+mn-ea"/>
                <a:cs typeface="+mn-cs"/>
              </a:defRPr>
            </a:pPr>
            <a:r>
              <a:rPr lang="en-AU"/>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720" b="0" i="0" u="none" strike="noStrike" kern="1200" spc="0" baseline="0">
              <a:solidFill>
                <a:schemeClr val="tx1">
                  <a:lumMod val="65000"/>
                  <a:lumOff val="35000"/>
                </a:schemeClr>
              </a:solidFill>
              <a:latin typeface="VIC" panose="00000500000000000000" pitchFamily="2" charset="0"/>
              <a:ea typeface="+mn-ea"/>
              <a:cs typeface="+mn-cs"/>
            </a:defRPr>
          </a:pPr>
          <a:endParaRPr lang="en-US"/>
        </a:p>
      </c:txPr>
    </c:title>
    <c:autoTitleDeleted val="0"/>
    <c:plotArea>
      <c:layout>
        <c:manualLayout>
          <c:layoutTarget val="inner"/>
          <c:xMode val="edge"/>
          <c:yMode val="edge"/>
          <c:x val="0.32916134263704844"/>
          <c:y val="1.3264604810996561E-2"/>
          <c:w val="0.63686575763395425"/>
          <c:h val="0.95477663230240539"/>
        </c:manualLayout>
      </c:layout>
      <c:barChart>
        <c:barDir val="bar"/>
        <c:grouping val="clustered"/>
        <c:varyColors val="0"/>
        <c:ser>
          <c:idx val="0"/>
          <c:order val="0"/>
          <c:spPr>
            <a:solidFill>
              <a:schemeClr val="accent1"/>
            </a:solidFill>
            <a:ln>
              <a:noFill/>
            </a:ln>
            <a:effectLst/>
          </c:spPr>
          <c:invertIfNegative val="0"/>
          <c:cat>
            <c:multiLvlStrRef>
              <c:f>Indicator1ci!$A$4:$B$57</c:f>
              <c:multiLvlStrCache>
                <c:ptCount val="54"/>
                <c:lvl>
                  <c:pt idx="0">
                    <c:v>ALL PUBLIC AND PRIVATE HOSPITALS</c:v>
                  </c:pt>
                  <c:pt idx="1">
                    <c:v>The Royal Women's Hospital</c:v>
                  </c:pt>
                  <c:pt idx="2">
                    <c:v>Sunshine Hospital</c:v>
                  </c:pt>
                  <c:pt idx="3">
                    <c:v>Mercy Hospital for Women</c:v>
                  </c:pt>
                  <c:pt idx="4">
                    <c:v>Monash Medical Centre (Clayton)</c:v>
                  </c:pt>
                  <c:pt idx="5">
                    <c:v>Frankston Hospital</c:v>
                  </c:pt>
                  <c:pt idx="6">
                    <c:v>Northern Hospital Epping</c:v>
                  </c:pt>
                  <c:pt idx="7">
                    <c:v>Dandenong Hospital</c:v>
                  </c:pt>
                  <c:pt idx="8">
                    <c:v>Werribee Mercy Hospital</c:v>
                  </c:pt>
                  <c:pt idx="9">
                    <c:v>Casey Hospital</c:v>
                  </c:pt>
                  <c:pt idx="10">
                    <c:v>Box Hill Hospital</c:v>
                  </c:pt>
                  <c:pt idx="11">
                    <c:v>Angliss Hospital</c:v>
                  </c:pt>
                  <c:pt idx="12">
                    <c:v>University Hospital Geelong</c:v>
                  </c:pt>
                  <c:pt idx="13">
                    <c:v>Women's at Sandringham</c:v>
                  </c:pt>
                  <c:pt idx="14">
                    <c:v>Bendigo Hospital</c:v>
                  </c:pt>
                  <c:pt idx="15">
                    <c:v>Wodonga Hospital</c:v>
                  </c:pt>
                  <c:pt idx="16">
                    <c:v>Ballarat Base Hospital</c:v>
                  </c:pt>
                  <c:pt idx="17">
                    <c:v>West Gippsland Hospital</c:v>
                  </c:pt>
                  <c:pt idx="18">
                    <c:v>Goulburn Valley Health (Shepparton)</c:v>
                  </c:pt>
                  <c:pt idx="19">
                    <c:v>Mildura Base Hospital</c:v>
                  </c:pt>
                  <c:pt idx="20">
                    <c:v>Warrnambool Base Hospital</c:v>
                  </c:pt>
                  <c:pt idx="21">
                    <c:v>Latrobe Regional Hospital</c:v>
                  </c:pt>
                  <c:pt idx="22">
                    <c:v>Northeast Health Wangaratta</c:v>
                  </c:pt>
                  <c:pt idx="23">
                    <c:v>Sale Hospital</c:v>
                  </c:pt>
                  <c:pt idx="24">
                    <c:v>Wimmera Base Hospital</c:v>
                  </c:pt>
                  <c:pt idx="25">
                    <c:v>Bacchus Marsh &amp; Melton Regional Hospital</c:v>
                  </c:pt>
                  <c:pt idx="26">
                    <c:v>Echuca Hospital</c:v>
                  </c:pt>
                  <c:pt idx="27">
                    <c:v>Bairnsdale Hospital</c:v>
                  </c:pt>
                  <c:pt idx="28">
                    <c:v>Swan Hill Hospital</c:v>
                  </c:pt>
                  <c:pt idx="29">
                    <c:v>Kilmore &amp; District Hospital</c:v>
                  </c:pt>
                  <c:pt idx="30">
                    <c:v>Wonthaggi Hospital</c:v>
                  </c:pt>
                  <c:pt idx="31">
                    <c:v>Leongatha Hospital</c:v>
                  </c:pt>
                  <c:pt idx="32">
                    <c:v>Colac Hospital</c:v>
                  </c:pt>
                  <c:pt idx="33">
                    <c:v>Ararat Hospital</c:v>
                  </c:pt>
                  <c:pt idx="34">
                    <c:v>Hamilton Base Hospital</c:v>
                  </c:pt>
                  <c:pt idx="35">
                    <c:v>Portland Hospital</c:v>
                  </c:pt>
                  <c:pt idx="36">
                    <c:v>Mansfield District Hospital</c:v>
                  </c:pt>
                  <c:pt idx="37">
                    <c:v>Castlemaine Hospital</c:v>
                  </c:pt>
                  <c:pt idx="38">
                    <c:v>Frances Perry</c:v>
                  </c:pt>
                  <c:pt idx="39">
                    <c:v>St Vincents Private</c:v>
                  </c:pt>
                  <c:pt idx="40">
                    <c:v>Freemasons</c:v>
                  </c:pt>
                  <c:pt idx="41">
                    <c:v>Cabrini M</c:v>
                  </c:pt>
                  <c:pt idx="42">
                    <c:v>Jessie McPherson</c:v>
                  </c:pt>
                  <c:pt idx="43">
                    <c:v>Mitcham Private</c:v>
                  </c:pt>
                  <c:pt idx="44">
                    <c:v>Berwick Hospital</c:v>
                  </c:pt>
                  <c:pt idx="45">
                    <c:v>Waverley Private</c:v>
                  </c:pt>
                  <c:pt idx="46">
                    <c:v>Northpark Private</c:v>
                  </c:pt>
                  <c:pt idx="47">
                    <c:v>Bays Mornington</c:v>
                  </c:pt>
                  <c:pt idx="48">
                    <c:v>Peninsula Private</c:v>
                  </c:pt>
                  <c:pt idx="49">
                    <c:v>Epworth Geelong</c:v>
                  </c:pt>
                  <c:pt idx="50">
                    <c:v>St JOG Ballarat</c:v>
                  </c:pt>
                  <c:pt idx="51">
                    <c:v>St JOG Bendigo</c:v>
                  </c:pt>
                  <c:pt idx="52">
                    <c:v>St Vincents Private Hospital Werribee</c:v>
                  </c:pt>
                  <c:pt idx="53">
                    <c:v>St JOG Geelong</c:v>
                  </c:pt>
                </c:lvl>
                <c:lvl>
                  <c:pt idx="1">
                    <c:v>Level 6</c:v>
                  </c:pt>
                  <c:pt idx="5">
                    <c:v>Level 5 and 4</c:v>
                  </c:pt>
                  <c:pt idx="25">
                    <c:v>Level 3 and 2</c:v>
                  </c:pt>
                  <c:pt idx="38">
                    <c:v>Private</c:v>
                  </c:pt>
                </c:lvl>
              </c:multiLvlStrCache>
            </c:multiLvlStrRef>
          </c:cat>
          <c:val>
            <c:numRef>
              <c:f>Indicator1ci!$E$4:$E$57</c:f>
              <c:numCache>
                <c:formatCode>0.0%</c:formatCode>
                <c:ptCount val="54"/>
                <c:pt idx="0">
                  <c:v>4.1937752769474236E-2</c:v>
                </c:pt>
                <c:pt idx="1">
                  <c:v>6.3670411985018729E-2</c:v>
                </c:pt>
                <c:pt idx="2">
                  <c:v>0.1071049840933192</c:v>
                </c:pt>
                <c:pt idx="3">
                  <c:v>2.1064301552106431E-2</c:v>
                </c:pt>
                <c:pt idx="4">
                  <c:v>1.7391304347826087E-2</c:v>
                </c:pt>
                <c:pt idx="5">
                  <c:v>1.6453382084095067E-2</c:v>
                </c:pt>
                <c:pt idx="6">
                  <c:v>3.8076152304609229E-2</c:v>
                </c:pt>
                <c:pt idx="7">
                  <c:v>5.5793991416309009E-2</c:v>
                </c:pt>
                <c:pt idx="8">
                  <c:v>5.5803571428571432E-2</c:v>
                </c:pt>
                <c:pt idx="9">
                  <c:v>3.9534883720930232E-2</c:v>
                </c:pt>
                <c:pt idx="10">
                  <c:v>3.5629453681710214E-2</c:v>
                </c:pt>
                <c:pt idx="11">
                  <c:v>4.6511627906976744E-2</c:v>
                </c:pt>
                <c:pt idx="12">
                  <c:v>5.089820359281437E-2</c:v>
                </c:pt>
                <c:pt idx="13">
                  <c:v>6.369426751592358E-2</c:v>
                </c:pt>
                <c:pt idx="14">
                  <c:v>4.2105263157894736E-2</c:v>
                </c:pt>
                <c:pt idx="15">
                  <c:v>3.1372549019607843E-2</c:v>
                </c:pt>
                <c:pt idx="16">
                  <c:v>2.1929824561403508E-2</c:v>
                </c:pt>
                <c:pt idx="17">
                  <c:v>1.3888888888888888E-2</c:v>
                </c:pt>
                <c:pt idx="18">
                  <c:v>4.9180327868852458E-2</c:v>
                </c:pt>
                <c:pt idx="19">
                  <c:v>6.8965517241379309E-2</c:v>
                </c:pt>
                <c:pt idx="20">
                  <c:v>4.3859649122807015E-2</c:v>
                </c:pt>
                <c:pt idx="21">
                  <c:v>4.504504504504505E-2</c:v>
                </c:pt>
                <c:pt idx="22">
                  <c:v>1.8518518518518517E-2</c:v>
                </c:pt>
                <c:pt idx="23">
                  <c:v>0</c:v>
                </c:pt>
                <c:pt idx="24">
                  <c:v>0.02</c:v>
                </c:pt>
                <c:pt idx="25">
                  <c:v>7.5949367088607597E-2</c:v>
                </c:pt>
                <c:pt idx="26">
                  <c:v>1.8867924528301886E-2</c:v>
                </c:pt>
                <c:pt idx="27">
                  <c:v>0.02</c:v>
                </c:pt>
                <c:pt idx="28">
                  <c:v>9.6774193548387094E-2</c:v>
                </c:pt>
                <c:pt idx="29">
                  <c:v>0</c:v>
                </c:pt>
                <c:pt idx="30">
                  <c:v>7.407407407407407E-2</c:v>
                </c:pt>
                <c:pt idx="31">
                  <c:v>7.6923076923076927E-2</c:v>
                </c:pt>
                <c:pt idx="32">
                  <c:v>0</c:v>
                </c:pt>
                <c:pt idx="33">
                  <c:v>0</c:v>
                </c:pt>
                <c:pt idx="34">
                  <c:v>6.666666666666668E-2</c:v>
                </c:pt>
                <c:pt idx="35">
                  <c:v>9.0909090909090912E-2</c:v>
                </c:pt>
                <c:pt idx="36">
                  <c:v>0</c:v>
                </c:pt>
                <c:pt idx="37">
                  <c:v>0.1</c:v>
                </c:pt>
                <c:pt idx="38">
                  <c:v>1.1661807580174927E-2</c:v>
                </c:pt>
                <c:pt idx="39">
                  <c:v>1.2605042016806723E-2</c:v>
                </c:pt>
                <c:pt idx="40">
                  <c:v>1.3274336283185839E-2</c:v>
                </c:pt>
                <c:pt idx="41">
                  <c:v>9.3023255813953487E-3</c:v>
                </c:pt>
                <c:pt idx="42">
                  <c:v>3.2786885245901641E-2</c:v>
                </c:pt>
                <c:pt idx="43">
                  <c:v>8.6956521739130436E-3</c:v>
                </c:pt>
                <c:pt idx="44">
                  <c:v>0</c:v>
                </c:pt>
                <c:pt idx="45">
                  <c:v>1.1235955056179777E-2</c:v>
                </c:pt>
                <c:pt idx="46">
                  <c:v>2.4096385542168676E-2</c:v>
                </c:pt>
                <c:pt idx="47">
                  <c:v>0</c:v>
                </c:pt>
                <c:pt idx="48">
                  <c:v>0</c:v>
                </c:pt>
                <c:pt idx="49">
                  <c:v>2.8571428571428571E-2</c:v>
                </c:pt>
                <c:pt idx="50">
                  <c:v>3.3333333333333333E-2</c:v>
                </c:pt>
                <c:pt idx="51">
                  <c:v>7.1428571428571425E-2</c:v>
                </c:pt>
                <c:pt idx="52">
                  <c:v>0</c:v>
                </c:pt>
                <c:pt idx="53">
                  <c:v>0</c:v>
                </c:pt>
              </c:numCache>
            </c:numRef>
          </c:val>
          <c:extLst>
            <c:ext xmlns:c16="http://schemas.microsoft.com/office/drawing/2014/chart" uri="{C3380CC4-5D6E-409C-BE32-E72D297353CC}">
              <c16:uniqueId val="{00000000-3AE3-4C06-9034-4903EFB83528}"/>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Indicator1ci!$A$66</c:f>
              <c:strCache>
                <c:ptCount val="1"/>
                <c:pt idx="0">
                  <c:v>Most favourable (First quartile)</c:v>
                </c:pt>
              </c:strCache>
            </c:strRef>
          </c:tx>
          <c:spPr>
            <a:ln w="28575" cap="rnd">
              <a:solidFill>
                <a:srgbClr val="00B050"/>
              </a:solidFill>
              <a:round/>
            </a:ln>
            <a:effectLst/>
          </c:spPr>
          <c:marker>
            <c:symbol val="none"/>
          </c:marker>
          <c:xVal>
            <c:numRef>
              <c:f>Indicator1ci!$D$66:$D$67</c:f>
              <c:numCache>
                <c:formatCode>0.0%</c:formatCode>
                <c:ptCount val="2"/>
                <c:pt idx="0">
                  <c:v>1.1661807580174927E-2</c:v>
                </c:pt>
                <c:pt idx="1">
                  <c:v>1.1661807580174927E-2</c:v>
                </c:pt>
              </c:numCache>
            </c:numRef>
          </c:xVal>
          <c:yVal>
            <c:numRef>
              <c:f>Indicator1ci!$E$66:$E$67</c:f>
              <c:numCache>
                <c:formatCode>0.0%</c:formatCode>
                <c:ptCount val="2"/>
                <c:pt idx="0">
                  <c:v>0</c:v>
                </c:pt>
                <c:pt idx="1">
                  <c:v>1.2E-2</c:v>
                </c:pt>
              </c:numCache>
            </c:numRef>
          </c:yVal>
          <c:smooth val="0"/>
          <c:extLst>
            <c:ext xmlns:c16="http://schemas.microsoft.com/office/drawing/2014/chart" uri="{C3380CC4-5D6E-409C-BE32-E72D297353CC}">
              <c16:uniqueId val="{00000002-3AE3-4C06-9034-4903EFB83528}"/>
            </c:ext>
          </c:extLst>
        </c:ser>
        <c:ser>
          <c:idx val="2"/>
          <c:order val="2"/>
          <c:tx>
            <c:v>Least favourable</c:v>
          </c:tx>
          <c:spPr>
            <a:ln w="28575" cap="rnd">
              <a:solidFill>
                <a:srgbClr val="FF0000"/>
              </a:solidFill>
              <a:round/>
            </a:ln>
            <a:effectLst/>
          </c:spPr>
          <c:marker>
            <c:symbol val="none"/>
          </c:marker>
          <c:xVal>
            <c:numRef>
              <c:f>Indicator1ci!$D$68:$D$69</c:f>
              <c:numCache>
                <c:formatCode>0.0%</c:formatCode>
                <c:ptCount val="2"/>
                <c:pt idx="0">
                  <c:v>5.5793991416309009E-2</c:v>
                </c:pt>
                <c:pt idx="1">
                  <c:v>5.5793991416309009E-2</c:v>
                </c:pt>
              </c:numCache>
            </c:numRef>
          </c:xVal>
          <c:yVal>
            <c:numRef>
              <c:f>Indicator1ci!$E$68:$E$69</c:f>
              <c:numCache>
                <c:formatCode>0.0%</c:formatCode>
                <c:ptCount val="2"/>
                <c:pt idx="0">
                  <c:v>0</c:v>
                </c:pt>
                <c:pt idx="1">
                  <c:v>1.2E-2</c:v>
                </c:pt>
              </c:numCache>
            </c:numRef>
          </c:yVal>
          <c:smooth val="0"/>
          <c:extLst>
            <c:ext xmlns:c16="http://schemas.microsoft.com/office/drawing/2014/chart" uri="{C3380CC4-5D6E-409C-BE32-E72D297353CC}">
              <c16:uniqueId val="{00000004-3AE3-4C06-9034-4903EFB83528}"/>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11000000000000001"/>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600">
          <a:latin typeface="VIC" panose="00000500000000000000" pitchFamily="2"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3972039895013129"/>
          <c:y val="1.4666862294387115E-2"/>
          <c:w val="0.61951697637795278"/>
          <c:h val="0.94966107497432384"/>
        </c:manualLayout>
      </c:layout>
      <c:barChart>
        <c:barDir val="bar"/>
        <c:grouping val="clustered"/>
        <c:varyColors val="0"/>
        <c:ser>
          <c:idx val="0"/>
          <c:order val="0"/>
          <c:spPr>
            <a:solidFill>
              <a:schemeClr val="accent1"/>
            </a:solidFill>
            <a:ln>
              <a:noFill/>
            </a:ln>
            <a:effectLst/>
          </c:spPr>
          <c:invertIfNegative val="0"/>
          <c:cat>
            <c:multiLvlStrRef>
              <c:f>Indicator1cii!$A$4:$B$52</c:f>
              <c:multiLvlStrCache>
                <c:ptCount val="49"/>
                <c:lvl>
                  <c:pt idx="0">
                    <c:v>ALL PUBLIC AND PRIVATE HOSPITALS</c:v>
                  </c:pt>
                  <c:pt idx="1">
                    <c:v>The Royal Women's Hospital</c:v>
                  </c:pt>
                  <c:pt idx="2">
                    <c:v>Mercy Hospital for Women</c:v>
                  </c:pt>
                  <c:pt idx="3">
                    <c:v>Sunshine Hospital</c:v>
                  </c:pt>
                  <c:pt idx="4">
                    <c:v>Monash Medical Centre (Clayton)</c:v>
                  </c:pt>
                  <c:pt idx="5">
                    <c:v>Werribee Mercy Hospital</c:v>
                  </c:pt>
                  <c:pt idx="6">
                    <c:v>Northern Hospital Epping</c:v>
                  </c:pt>
                  <c:pt idx="7">
                    <c:v>Women's at Sandringham</c:v>
                  </c:pt>
                  <c:pt idx="8">
                    <c:v>University Hospital Geelong</c:v>
                  </c:pt>
                  <c:pt idx="9">
                    <c:v>Dandenong Hospital</c:v>
                  </c:pt>
                  <c:pt idx="10">
                    <c:v>Box Hill Hospital</c:v>
                  </c:pt>
                  <c:pt idx="11">
                    <c:v>Frankston Hospital</c:v>
                  </c:pt>
                  <c:pt idx="12">
                    <c:v>Casey Hospital</c:v>
                  </c:pt>
                  <c:pt idx="13">
                    <c:v>Angliss Hospital</c:v>
                  </c:pt>
                  <c:pt idx="14">
                    <c:v>Wodonga Hospital</c:v>
                  </c:pt>
                  <c:pt idx="15">
                    <c:v>Bendigo Hospital</c:v>
                  </c:pt>
                  <c:pt idx="16">
                    <c:v>Ballarat Base Hospital</c:v>
                  </c:pt>
                  <c:pt idx="17">
                    <c:v>West Gippsland Hospital</c:v>
                  </c:pt>
                  <c:pt idx="18">
                    <c:v>Latrobe Regional Hospital</c:v>
                  </c:pt>
                  <c:pt idx="19">
                    <c:v>Warrnambool Base Hospital</c:v>
                  </c:pt>
                  <c:pt idx="20">
                    <c:v>Goulburn Valley Health (Shepparton)</c:v>
                  </c:pt>
                  <c:pt idx="21">
                    <c:v>Mildura Base Hospital</c:v>
                  </c:pt>
                  <c:pt idx="22">
                    <c:v>Northeast Health Wangaratta</c:v>
                  </c:pt>
                  <c:pt idx="23">
                    <c:v>Sale Hospital</c:v>
                  </c:pt>
                  <c:pt idx="24">
                    <c:v>Wimmera Base Hospital</c:v>
                  </c:pt>
                  <c:pt idx="25">
                    <c:v>Bacchus Marsh &amp; Melton Regional Hospital</c:v>
                  </c:pt>
                  <c:pt idx="26">
                    <c:v>Echuca Hospital</c:v>
                  </c:pt>
                  <c:pt idx="27">
                    <c:v>Bairnsdale Hospital</c:v>
                  </c:pt>
                  <c:pt idx="28">
                    <c:v>Swan Hill Hospital</c:v>
                  </c:pt>
                  <c:pt idx="29">
                    <c:v>Kilmore &amp; District Hospital</c:v>
                  </c:pt>
                  <c:pt idx="30">
                    <c:v>Hamilton Base Hospital</c:v>
                  </c:pt>
                  <c:pt idx="31">
                    <c:v>Colac Hospital</c:v>
                  </c:pt>
                  <c:pt idx="32">
                    <c:v>Wonthaggi Hospital</c:v>
                  </c:pt>
                  <c:pt idx="33">
                    <c:v>Freemasons</c:v>
                  </c:pt>
                  <c:pt idx="34">
                    <c:v>Frances Perry</c:v>
                  </c:pt>
                  <c:pt idx="35">
                    <c:v>St Vincents Private</c:v>
                  </c:pt>
                  <c:pt idx="36">
                    <c:v>Cabrini M</c:v>
                  </c:pt>
                  <c:pt idx="37">
                    <c:v>Mitcham Private</c:v>
                  </c:pt>
                  <c:pt idx="38">
                    <c:v>Jessie McPherson</c:v>
                  </c:pt>
                  <c:pt idx="39">
                    <c:v>Waverley Private</c:v>
                  </c:pt>
                  <c:pt idx="40">
                    <c:v>Northpark Private</c:v>
                  </c:pt>
                  <c:pt idx="41">
                    <c:v>Berwick Hospital</c:v>
                  </c:pt>
                  <c:pt idx="42">
                    <c:v>Epworth Geelong</c:v>
                  </c:pt>
                  <c:pt idx="43">
                    <c:v>St JOG Geelong</c:v>
                  </c:pt>
                  <c:pt idx="44">
                    <c:v>Bays Mornington</c:v>
                  </c:pt>
                  <c:pt idx="45">
                    <c:v>St JOG Ballarat</c:v>
                  </c:pt>
                  <c:pt idx="46">
                    <c:v>St JOG Bendigo</c:v>
                  </c:pt>
                  <c:pt idx="47">
                    <c:v>Peninsula Private</c:v>
                  </c:pt>
                  <c:pt idx="48">
                    <c:v>St Vincents Private Hospital Werribee</c:v>
                  </c:pt>
                </c:lvl>
                <c:lvl>
                  <c:pt idx="1">
                    <c:v>Level 6</c:v>
                  </c:pt>
                  <c:pt idx="5">
                    <c:v>Level 5 and 4</c:v>
                  </c:pt>
                  <c:pt idx="25">
                    <c:v>Level 3 and 2</c:v>
                  </c:pt>
                  <c:pt idx="33">
                    <c:v>Private</c:v>
                  </c:pt>
                </c:lvl>
              </c:multiLvlStrCache>
            </c:multiLvlStrRef>
          </c:cat>
          <c:val>
            <c:numRef>
              <c:f>Indicator1cii!$E$4:$E$52</c:f>
              <c:numCache>
                <c:formatCode>0.0%</c:formatCode>
                <c:ptCount val="49"/>
                <c:pt idx="0">
                  <c:v>5.5804735579430477E-2</c:v>
                </c:pt>
                <c:pt idx="1">
                  <c:v>6.6108786610878656E-2</c:v>
                </c:pt>
                <c:pt idx="2">
                  <c:v>5.0464807436919001E-2</c:v>
                </c:pt>
                <c:pt idx="3">
                  <c:v>0.10082644628099173</c:v>
                </c:pt>
                <c:pt idx="4">
                  <c:v>6.8493150684931503E-2</c:v>
                </c:pt>
                <c:pt idx="5">
                  <c:v>8.7591240875912413E-2</c:v>
                </c:pt>
                <c:pt idx="6">
                  <c:v>5.7971014492753624E-2</c:v>
                </c:pt>
                <c:pt idx="7">
                  <c:v>7.5409836065573776E-2</c:v>
                </c:pt>
                <c:pt idx="8">
                  <c:v>4.0955631399317405E-2</c:v>
                </c:pt>
                <c:pt idx="9">
                  <c:v>8.2758620689655171E-2</c:v>
                </c:pt>
                <c:pt idx="10">
                  <c:v>4.9122807017543853E-2</c:v>
                </c:pt>
                <c:pt idx="11">
                  <c:v>5.9649122807017542E-2</c:v>
                </c:pt>
                <c:pt idx="12">
                  <c:v>7.3170731707317083E-2</c:v>
                </c:pt>
                <c:pt idx="13">
                  <c:v>6.3926940639269403E-2</c:v>
                </c:pt>
                <c:pt idx="14">
                  <c:v>3.9603960396039598E-2</c:v>
                </c:pt>
                <c:pt idx="15">
                  <c:v>6.2857142857142861E-2</c:v>
                </c:pt>
                <c:pt idx="16">
                  <c:v>4.3795620437956206E-2</c:v>
                </c:pt>
                <c:pt idx="17">
                  <c:v>3.7037037037037035E-2</c:v>
                </c:pt>
                <c:pt idx="18">
                  <c:v>4.2553191489361701E-2</c:v>
                </c:pt>
                <c:pt idx="19">
                  <c:v>9.4117647058823528E-2</c:v>
                </c:pt>
                <c:pt idx="20">
                  <c:v>1.3888888888888888E-2</c:v>
                </c:pt>
                <c:pt idx="21">
                  <c:v>0.11111111111111112</c:v>
                </c:pt>
                <c:pt idx="22">
                  <c:v>9.0909090909090912E-2</c:v>
                </c:pt>
                <c:pt idx="23">
                  <c:v>0</c:v>
                </c:pt>
                <c:pt idx="24">
                  <c:v>0</c:v>
                </c:pt>
                <c:pt idx="25">
                  <c:v>4.3478260869565216E-2</c:v>
                </c:pt>
                <c:pt idx="26">
                  <c:v>8.5714285714285715E-2</c:v>
                </c:pt>
                <c:pt idx="27">
                  <c:v>3.8461538461538464E-2</c:v>
                </c:pt>
                <c:pt idx="28">
                  <c:v>6.25E-2</c:v>
                </c:pt>
                <c:pt idx="29">
                  <c:v>6.25E-2</c:v>
                </c:pt>
                <c:pt idx="30">
                  <c:v>0.14285714285714285</c:v>
                </c:pt>
                <c:pt idx="31">
                  <c:v>0.18181818181818182</c:v>
                </c:pt>
                <c:pt idx="32">
                  <c:v>0</c:v>
                </c:pt>
                <c:pt idx="33">
                  <c:v>2.0703933747412008E-2</c:v>
                </c:pt>
                <c:pt idx="34">
                  <c:v>2.564102564102564E-2</c:v>
                </c:pt>
                <c:pt idx="35">
                  <c:v>1.1331444759206799E-2</c:v>
                </c:pt>
                <c:pt idx="36">
                  <c:v>3.8910505836575869E-2</c:v>
                </c:pt>
                <c:pt idx="37">
                  <c:v>2.1857923497267763E-2</c:v>
                </c:pt>
                <c:pt idx="38">
                  <c:v>4.2424242424242434E-2</c:v>
                </c:pt>
                <c:pt idx="39">
                  <c:v>8.1967213114754103E-3</c:v>
                </c:pt>
                <c:pt idx="40">
                  <c:v>7.1428571428571425E-2</c:v>
                </c:pt>
                <c:pt idx="41">
                  <c:v>1.0309278350515465E-2</c:v>
                </c:pt>
                <c:pt idx="42">
                  <c:v>6.3157894736842107E-2</c:v>
                </c:pt>
                <c:pt idx="43">
                  <c:v>3.125E-2</c:v>
                </c:pt>
                <c:pt idx="44">
                  <c:v>1.8518518518518517E-2</c:v>
                </c:pt>
                <c:pt idx="45">
                  <c:v>2.564102564102564E-2</c:v>
                </c:pt>
                <c:pt idx="46">
                  <c:v>0.1</c:v>
                </c:pt>
                <c:pt idx="47">
                  <c:v>0.1</c:v>
                </c:pt>
                <c:pt idx="48">
                  <c:v>0</c:v>
                </c:pt>
              </c:numCache>
            </c:numRef>
          </c:val>
          <c:extLst>
            <c:ext xmlns:c16="http://schemas.microsoft.com/office/drawing/2014/chart" uri="{C3380CC4-5D6E-409C-BE32-E72D297353CC}">
              <c16:uniqueId val="{00000000-1D8D-4635-B7E9-9FF0176ECBA5}"/>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Indicator1cii!$A$61</c:f>
              <c:strCache>
                <c:ptCount val="1"/>
                <c:pt idx="0">
                  <c:v>Most favourable (First quartile)</c:v>
                </c:pt>
              </c:strCache>
            </c:strRef>
          </c:tx>
          <c:spPr>
            <a:ln w="28575" cap="rnd">
              <a:solidFill>
                <a:srgbClr val="00B050"/>
              </a:solidFill>
              <a:round/>
            </a:ln>
            <a:effectLst/>
          </c:spPr>
          <c:marker>
            <c:symbol val="none"/>
          </c:marker>
          <c:xVal>
            <c:numRef>
              <c:f>Indicator1cii!$D$61:$D$62</c:f>
              <c:numCache>
                <c:formatCode>0.0%</c:formatCode>
                <c:ptCount val="2"/>
                <c:pt idx="0">
                  <c:v>2.564102564102564E-2</c:v>
                </c:pt>
                <c:pt idx="1">
                  <c:v>2.564102564102564E-2</c:v>
                </c:pt>
              </c:numCache>
            </c:numRef>
          </c:xVal>
          <c:yVal>
            <c:numRef>
              <c:f>Indicator1cii!$E$61:$E$62</c:f>
              <c:numCache>
                <c:formatCode>0.0%</c:formatCode>
                <c:ptCount val="2"/>
                <c:pt idx="0">
                  <c:v>0</c:v>
                </c:pt>
                <c:pt idx="1">
                  <c:v>1.2E-2</c:v>
                </c:pt>
              </c:numCache>
            </c:numRef>
          </c:yVal>
          <c:smooth val="0"/>
          <c:extLst>
            <c:ext xmlns:c16="http://schemas.microsoft.com/office/drawing/2014/chart" uri="{C3380CC4-5D6E-409C-BE32-E72D297353CC}">
              <c16:uniqueId val="{00000002-1D8D-4635-B7E9-9FF0176ECBA5}"/>
            </c:ext>
          </c:extLst>
        </c:ser>
        <c:ser>
          <c:idx val="2"/>
          <c:order val="2"/>
          <c:tx>
            <c:v>Least favourable</c:v>
          </c:tx>
          <c:spPr>
            <a:ln w="28575" cap="rnd">
              <a:solidFill>
                <a:srgbClr val="FF0000"/>
              </a:solidFill>
              <a:round/>
            </a:ln>
            <a:effectLst/>
          </c:spPr>
          <c:marker>
            <c:symbol val="none"/>
          </c:marker>
          <c:xVal>
            <c:numRef>
              <c:f>Indicator1cii!$D$63:$D$64</c:f>
              <c:numCache>
                <c:formatCode>0.0%</c:formatCode>
                <c:ptCount val="2"/>
                <c:pt idx="0">
                  <c:v>7.4290283886445416E-2</c:v>
                </c:pt>
                <c:pt idx="1">
                  <c:v>7.4290283886445416E-2</c:v>
                </c:pt>
              </c:numCache>
            </c:numRef>
          </c:xVal>
          <c:yVal>
            <c:numRef>
              <c:f>Indicator1cii!$E$63:$E$64</c:f>
              <c:numCache>
                <c:formatCode>0.0%</c:formatCode>
                <c:ptCount val="2"/>
                <c:pt idx="0">
                  <c:v>0</c:v>
                </c:pt>
                <c:pt idx="1">
                  <c:v>1.2E-2</c:v>
                </c:pt>
              </c:numCache>
            </c:numRef>
          </c:yVal>
          <c:smooth val="0"/>
          <c:extLst>
            <c:ext xmlns:c16="http://schemas.microsoft.com/office/drawing/2014/chart" uri="{C3380CC4-5D6E-409C-BE32-E72D297353CC}">
              <c16:uniqueId val="{00000004-1D8D-4635-B7E9-9FF0176ECBA5}"/>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2"/>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0673473734246565"/>
          <c:y val="1.5790140079774785E-2"/>
          <c:w val="0.65433518428777349"/>
          <c:h val="0.9592167514023533"/>
        </c:manualLayout>
      </c:layout>
      <c:barChart>
        <c:barDir val="bar"/>
        <c:grouping val="clustered"/>
        <c:varyColors val="0"/>
        <c:ser>
          <c:idx val="0"/>
          <c:order val="0"/>
          <c:spPr>
            <a:solidFill>
              <a:schemeClr val="accent1"/>
            </a:solidFill>
            <a:ln>
              <a:noFill/>
            </a:ln>
            <a:effectLst/>
          </c:spPr>
          <c:invertIfNegative val="0"/>
          <c:cat>
            <c:multiLvlStrRef>
              <c:f>Indicator2!$A$4:$B$47</c:f>
              <c:multiLvlStrCache>
                <c:ptCount val="44"/>
                <c:lvl>
                  <c:pt idx="0">
                    <c:v>ALL PUBLIC HOSPITALS</c:v>
                  </c:pt>
                  <c:pt idx="1">
                    <c:v>The Royal Women's Hospital</c:v>
                  </c:pt>
                  <c:pt idx="2">
                    <c:v>Sunshine Hospital</c:v>
                  </c:pt>
                  <c:pt idx="3">
                    <c:v>Mercy Hospital for Women</c:v>
                  </c:pt>
                  <c:pt idx="4">
                    <c:v>Monash Medical Centre (Clayton)</c:v>
                  </c:pt>
                  <c:pt idx="5">
                    <c:v>Werribee Mercy Hospital</c:v>
                  </c:pt>
                  <c:pt idx="6">
                    <c:v>Northern Hospital Epping</c:v>
                  </c:pt>
                  <c:pt idx="7">
                    <c:v>Frankston Hospital</c:v>
                  </c:pt>
                  <c:pt idx="8">
                    <c:v>Box Hill Hospital</c:v>
                  </c:pt>
                  <c:pt idx="9">
                    <c:v>University Hospital Geelong</c:v>
                  </c:pt>
                  <c:pt idx="10">
                    <c:v>Casey Hospital</c:v>
                  </c:pt>
                  <c:pt idx="11">
                    <c:v>Bendigo Hospital</c:v>
                  </c:pt>
                  <c:pt idx="12">
                    <c:v>Wodonga Hospital</c:v>
                  </c:pt>
                  <c:pt idx="13">
                    <c:v>Ballarat Base Hospital</c:v>
                  </c:pt>
                  <c:pt idx="14">
                    <c:v>Goulburn Valley Health (Shepparton)</c:v>
                  </c:pt>
                  <c:pt idx="15">
                    <c:v>Latrobe Regional Hospital</c:v>
                  </c:pt>
                  <c:pt idx="16">
                    <c:v>Dandenong Hospital</c:v>
                  </c:pt>
                  <c:pt idx="17">
                    <c:v>Angliss Hospital</c:v>
                  </c:pt>
                  <c:pt idx="18">
                    <c:v>Women's at Sandringham</c:v>
                  </c:pt>
                  <c:pt idx="19">
                    <c:v>Mildura Base Hospital</c:v>
                  </c:pt>
                  <c:pt idx="20">
                    <c:v>West Gippsland Hospital</c:v>
                  </c:pt>
                  <c:pt idx="21">
                    <c:v>Northeast Health Wangaratta</c:v>
                  </c:pt>
                  <c:pt idx="22">
                    <c:v>Warrnambool Base Hospital</c:v>
                  </c:pt>
                  <c:pt idx="23">
                    <c:v>Bacchus Marsh &amp; Melton Regional Hospital</c:v>
                  </c:pt>
                  <c:pt idx="24">
                    <c:v>Echuca Hospital</c:v>
                  </c:pt>
                  <c:pt idx="25">
                    <c:v>Sale Hospital</c:v>
                  </c:pt>
                  <c:pt idx="26">
                    <c:v>Bairnsdale Hospital</c:v>
                  </c:pt>
                  <c:pt idx="27">
                    <c:v>Wimmera Base Hospital</c:v>
                  </c:pt>
                  <c:pt idx="28">
                    <c:v>Kilmore &amp; District Hospital</c:v>
                  </c:pt>
                  <c:pt idx="29">
                    <c:v>Swan Hill Hospital</c:v>
                  </c:pt>
                  <c:pt idx="30">
                    <c:v>Leongatha Hospital</c:v>
                  </c:pt>
                  <c:pt idx="31">
                    <c:v>Colac Hospital</c:v>
                  </c:pt>
                  <c:pt idx="32">
                    <c:v>Hamilton Base Hospital</c:v>
                  </c:pt>
                  <c:pt idx="33">
                    <c:v>Wonthaggi Hospital</c:v>
                  </c:pt>
                  <c:pt idx="34">
                    <c:v>Ararat Hospital</c:v>
                  </c:pt>
                  <c:pt idx="35">
                    <c:v>Portland Hospital</c:v>
                  </c:pt>
                  <c:pt idx="36">
                    <c:v>Benalla &amp; District Memorial Hospital</c:v>
                  </c:pt>
                  <c:pt idx="37">
                    <c:v>South Gippsland Hospital</c:v>
                  </c:pt>
                  <c:pt idx="38">
                    <c:v>Mansfield District Hospital</c:v>
                  </c:pt>
                  <c:pt idx="39">
                    <c:v>Castlemaine Hospital</c:v>
                  </c:pt>
                  <c:pt idx="40">
                    <c:v>Maryborough Hospital</c:v>
                  </c:pt>
                  <c:pt idx="41">
                    <c:v>Cohuna District Hospital</c:v>
                  </c:pt>
                  <c:pt idx="42">
                    <c:v>Camperdown Hospital</c:v>
                  </c:pt>
                  <c:pt idx="43">
                    <c:v>Terang Hospital</c:v>
                  </c:pt>
                </c:lvl>
                <c:lvl>
                  <c:pt idx="1">
                    <c:v>Level 6</c:v>
                  </c:pt>
                  <c:pt idx="5">
                    <c:v>Level 5 and 4</c:v>
                  </c:pt>
                  <c:pt idx="16">
                    <c:v>Level 3 and 2</c:v>
                  </c:pt>
                </c:lvl>
              </c:multiLvlStrCache>
            </c:multiLvlStrRef>
          </c:cat>
          <c:val>
            <c:numRef>
              <c:f>Indicator2!$E$4:$E$47</c:f>
              <c:numCache>
                <c:formatCode>0.0%</c:formatCode>
                <c:ptCount val="44"/>
                <c:pt idx="0">
                  <c:v>8.1049620203215961E-2</c:v>
                </c:pt>
                <c:pt idx="1">
                  <c:v>8.6998706338939191E-2</c:v>
                </c:pt>
                <c:pt idx="2">
                  <c:v>8.8888888888888892E-2</c:v>
                </c:pt>
                <c:pt idx="3">
                  <c:v>5.992121086460709E-2</c:v>
                </c:pt>
                <c:pt idx="4">
                  <c:v>9.9467140319715791E-2</c:v>
                </c:pt>
                <c:pt idx="5">
                  <c:v>5.7282671272308579E-2</c:v>
                </c:pt>
                <c:pt idx="6">
                  <c:v>7.2147069025320851E-2</c:v>
                </c:pt>
                <c:pt idx="7">
                  <c:v>9.3641618497109821E-2</c:v>
                </c:pt>
                <c:pt idx="8">
                  <c:v>9.8491988689915169E-2</c:v>
                </c:pt>
                <c:pt idx="9">
                  <c:v>0.1182897862232779</c:v>
                </c:pt>
                <c:pt idx="10">
                  <c:v>4.4847328244274814E-2</c:v>
                </c:pt>
                <c:pt idx="11">
                  <c:v>0.11352133044107011</c:v>
                </c:pt>
                <c:pt idx="12">
                  <c:v>9.9307159353348731E-2</c:v>
                </c:pt>
                <c:pt idx="13">
                  <c:v>0.11616161616161616</c:v>
                </c:pt>
                <c:pt idx="14">
                  <c:v>0.14936708860759493</c:v>
                </c:pt>
                <c:pt idx="15">
                  <c:v>0.14652567975830816</c:v>
                </c:pt>
                <c:pt idx="16">
                  <c:v>6.9329660238751159E-2</c:v>
                </c:pt>
                <c:pt idx="17">
                  <c:v>6.4928425357873215E-2</c:v>
                </c:pt>
                <c:pt idx="18">
                  <c:v>3.8620689655172416E-2</c:v>
                </c:pt>
                <c:pt idx="19">
                  <c:v>6.9637883008356549E-2</c:v>
                </c:pt>
                <c:pt idx="20">
                  <c:v>0.11544011544011544</c:v>
                </c:pt>
                <c:pt idx="21">
                  <c:v>7.4554294975688815E-2</c:v>
                </c:pt>
                <c:pt idx="22">
                  <c:v>7.3529411764705885E-2</c:v>
                </c:pt>
                <c:pt idx="23">
                  <c:v>4.0767386091127102E-2</c:v>
                </c:pt>
                <c:pt idx="24">
                  <c:v>3.5326086956521736E-2</c:v>
                </c:pt>
                <c:pt idx="25">
                  <c:v>7.0469798657718116E-2</c:v>
                </c:pt>
                <c:pt idx="26">
                  <c:v>4.4280442804428041E-2</c:v>
                </c:pt>
                <c:pt idx="27">
                  <c:v>0.13962264150943396</c:v>
                </c:pt>
                <c:pt idx="28">
                  <c:v>3.0150753768844213E-2</c:v>
                </c:pt>
                <c:pt idx="29">
                  <c:v>2.6881720430107524E-2</c:v>
                </c:pt>
                <c:pt idx="30">
                  <c:v>5.3333333333333337E-2</c:v>
                </c:pt>
                <c:pt idx="31">
                  <c:v>4.6153846153846156E-2</c:v>
                </c:pt>
                <c:pt idx="32">
                  <c:v>3.937007874015748E-2</c:v>
                </c:pt>
                <c:pt idx="33">
                  <c:v>8.6956521739130446E-2</c:v>
                </c:pt>
                <c:pt idx="34">
                  <c:v>3.4883720930232558E-2</c:v>
                </c:pt>
                <c:pt idx="35">
                  <c:v>2.8169014084507046E-2</c:v>
                </c:pt>
                <c:pt idx="36">
                  <c:v>2.9850746268656712E-2</c:v>
                </c:pt>
                <c:pt idx="37">
                  <c:v>3.1746031746031744E-2</c:v>
                </c:pt>
                <c:pt idx="38">
                  <c:v>6.8965517241379309E-2</c:v>
                </c:pt>
                <c:pt idx="39">
                  <c:v>7.6923076923076927E-2</c:v>
                </c:pt>
                <c:pt idx="40">
                  <c:v>3.0303030303030304E-2</c:v>
                </c:pt>
                <c:pt idx="41">
                  <c:v>9.6774193548387094E-2</c:v>
                </c:pt>
                <c:pt idx="42">
                  <c:v>3.7037037037037035E-2</c:v>
                </c:pt>
                <c:pt idx="43">
                  <c:v>0</c:v>
                </c:pt>
              </c:numCache>
            </c:numRef>
          </c:val>
          <c:extLst>
            <c:ext xmlns:c16="http://schemas.microsoft.com/office/drawing/2014/chart" uri="{C3380CC4-5D6E-409C-BE32-E72D297353CC}">
              <c16:uniqueId val="{00000000-6B4E-436F-BBC7-D884562FF30E}"/>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Indicator2!$A$53</c:f>
              <c:strCache>
                <c:ptCount val="1"/>
                <c:pt idx="0">
                  <c:v>Most favourable (First quartile)</c:v>
                </c:pt>
              </c:strCache>
            </c:strRef>
          </c:tx>
          <c:spPr>
            <a:ln w="28575" cap="rnd">
              <a:solidFill>
                <a:srgbClr val="00B050"/>
              </a:solidFill>
              <a:round/>
            </a:ln>
            <a:effectLst/>
          </c:spPr>
          <c:marker>
            <c:symbol val="none"/>
          </c:marker>
          <c:xVal>
            <c:numRef>
              <c:f>Indicator2!$D$53:$D$54</c:f>
              <c:numCache>
                <c:formatCode>0.0%</c:formatCode>
                <c:ptCount val="2"/>
                <c:pt idx="0">
                  <c:v>3.8995384197664948E-2</c:v>
                </c:pt>
                <c:pt idx="1">
                  <c:v>3.8995384197664948E-2</c:v>
                </c:pt>
              </c:numCache>
            </c:numRef>
          </c:xVal>
          <c:yVal>
            <c:numRef>
              <c:f>Indicator2!$E$53:$E$54</c:f>
              <c:numCache>
                <c:formatCode>0.0%</c:formatCode>
                <c:ptCount val="2"/>
                <c:pt idx="0">
                  <c:v>0</c:v>
                </c:pt>
                <c:pt idx="1">
                  <c:v>1.2E-2</c:v>
                </c:pt>
              </c:numCache>
            </c:numRef>
          </c:yVal>
          <c:smooth val="0"/>
          <c:extLst>
            <c:ext xmlns:c16="http://schemas.microsoft.com/office/drawing/2014/chart" uri="{C3380CC4-5D6E-409C-BE32-E72D297353CC}">
              <c16:uniqueId val="{00000002-6B4E-436F-BBC7-D884562FF30E}"/>
            </c:ext>
          </c:extLst>
        </c:ser>
        <c:ser>
          <c:idx val="2"/>
          <c:order val="2"/>
          <c:tx>
            <c:v>Least favourable</c:v>
          </c:tx>
          <c:spPr>
            <a:ln w="28575" cap="rnd">
              <a:solidFill>
                <a:srgbClr val="FF0000"/>
              </a:solidFill>
              <a:round/>
            </a:ln>
            <a:effectLst/>
          </c:spPr>
          <c:marker>
            <c:symbol val="none"/>
          </c:marker>
          <c:xVal>
            <c:numRef>
              <c:f>Indicator2!$D$55:$D$56</c:f>
              <c:numCache>
                <c:formatCode>0.0%</c:formatCode>
                <c:ptCount val="2"/>
                <c:pt idx="0">
                  <c:v>9.5207906022748451E-2</c:v>
                </c:pt>
                <c:pt idx="1">
                  <c:v>9.5207906022748451E-2</c:v>
                </c:pt>
              </c:numCache>
            </c:numRef>
          </c:xVal>
          <c:yVal>
            <c:numRef>
              <c:f>Indicator2!$E$55:$E$56</c:f>
              <c:numCache>
                <c:formatCode>0.0%</c:formatCode>
                <c:ptCount val="2"/>
                <c:pt idx="0">
                  <c:v>0</c:v>
                </c:pt>
                <c:pt idx="1">
                  <c:v>1.2E-2</c:v>
                </c:pt>
              </c:numCache>
            </c:numRef>
          </c:yVal>
          <c:smooth val="0"/>
          <c:extLst>
            <c:ext xmlns:c16="http://schemas.microsoft.com/office/drawing/2014/chart" uri="{C3380CC4-5D6E-409C-BE32-E72D297353CC}">
              <c16:uniqueId val="{00000004-6B4E-436F-BBC7-D884562FF30E}"/>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18000000000000002"/>
          <c:min val="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multiLvlStrRef>
              <c:f>Indicator3!$A$4:$B$33</c:f>
              <c:multiLvlStrCache>
                <c:ptCount val="30"/>
                <c:lvl>
                  <c:pt idx="0">
                    <c:v>ALL PUBLIC AND PRIVATE HOSPITALS</c:v>
                  </c:pt>
                  <c:pt idx="1">
                    <c:v>Mercy Hospital for Women</c:v>
                  </c:pt>
                  <c:pt idx="2">
                    <c:v>Monash Medical Centre (Clayton)</c:v>
                  </c:pt>
                  <c:pt idx="3">
                    <c:v>The Royal Women's Hospital</c:v>
                  </c:pt>
                  <c:pt idx="4">
                    <c:v>Sunshine Hospital</c:v>
                  </c:pt>
                  <c:pt idx="5">
                    <c:v>Northern Hospital Epping</c:v>
                  </c:pt>
                  <c:pt idx="6">
                    <c:v>University Hospital Geelong</c:v>
                  </c:pt>
                  <c:pt idx="7">
                    <c:v>Bendigo Hospital</c:v>
                  </c:pt>
                  <c:pt idx="8">
                    <c:v>Box Hill Hospital</c:v>
                  </c:pt>
                  <c:pt idx="9">
                    <c:v>Goulburn Valley Health (Shepparton)</c:v>
                  </c:pt>
                  <c:pt idx="10">
                    <c:v>Werribee Mercy Hospital</c:v>
                  </c:pt>
                  <c:pt idx="11">
                    <c:v>Wodonga Hospital</c:v>
                  </c:pt>
                  <c:pt idx="12">
                    <c:v>Ballarat Base Hospital</c:v>
                  </c:pt>
                  <c:pt idx="13">
                    <c:v>Frankston Hospital</c:v>
                  </c:pt>
                  <c:pt idx="14">
                    <c:v>Latrobe Regional Hospital</c:v>
                  </c:pt>
                  <c:pt idx="15">
                    <c:v>Casey Hospital</c:v>
                  </c:pt>
                  <c:pt idx="16">
                    <c:v>Women's at Sandringham</c:v>
                  </c:pt>
                  <c:pt idx="17">
                    <c:v>West Gippsland Hospital</c:v>
                  </c:pt>
                  <c:pt idx="18">
                    <c:v>Angliss Hospital</c:v>
                  </c:pt>
                  <c:pt idx="19">
                    <c:v>Dandenong Hospital</c:v>
                  </c:pt>
                  <c:pt idx="20">
                    <c:v>Mildura Base Hospital</c:v>
                  </c:pt>
                  <c:pt idx="21">
                    <c:v>St JOG Berwick</c:v>
                  </c:pt>
                  <c:pt idx="22">
                    <c:v>Freemasons</c:v>
                  </c:pt>
                  <c:pt idx="23">
                    <c:v>Cabrini M</c:v>
                  </c:pt>
                  <c:pt idx="24">
                    <c:v>Waverley Private</c:v>
                  </c:pt>
                  <c:pt idx="25">
                    <c:v>St Vincents Private</c:v>
                  </c:pt>
                  <c:pt idx="26">
                    <c:v>Northpark Private</c:v>
                  </c:pt>
                  <c:pt idx="27">
                    <c:v>Frances Perry</c:v>
                  </c:pt>
                  <c:pt idx="28">
                    <c:v>Mitcham Private</c:v>
                  </c:pt>
                  <c:pt idx="29">
                    <c:v>Jessie McPherson</c:v>
                  </c:pt>
                </c:lvl>
                <c:lvl>
                  <c:pt idx="1">
                    <c:v>Level 6</c:v>
                  </c:pt>
                  <c:pt idx="5">
                    <c:v>Level 5 and 4</c:v>
                  </c:pt>
                  <c:pt idx="16">
                    <c:v>Level 3 and 2</c:v>
                  </c:pt>
                  <c:pt idx="21">
                    <c:v>Private</c:v>
                  </c:pt>
                </c:lvl>
              </c:multiLvlStrCache>
            </c:multiLvlStrRef>
          </c:cat>
          <c:val>
            <c:numRef>
              <c:f>Indicator3!$E$4:$E$33</c:f>
              <c:numCache>
                <c:formatCode>0.0%</c:formatCode>
                <c:ptCount val="30"/>
                <c:pt idx="0">
                  <c:v>0.22851002865329512</c:v>
                </c:pt>
                <c:pt idx="1">
                  <c:v>0.24210526315789471</c:v>
                </c:pt>
                <c:pt idx="2">
                  <c:v>0.15833333333333333</c:v>
                </c:pt>
                <c:pt idx="3">
                  <c:v>0.33898305084745756</c:v>
                </c:pt>
                <c:pt idx="4">
                  <c:v>0.12820512820512819</c:v>
                </c:pt>
                <c:pt idx="5">
                  <c:v>0.25301204819277107</c:v>
                </c:pt>
                <c:pt idx="6">
                  <c:v>0.23684210526315788</c:v>
                </c:pt>
                <c:pt idx="7">
                  <c:v>0.22222222222222221</c:v>
                </c:pt>
                <c:pt idx="8">
                  <c:v>0.27272727272727271</c:v>
                </c:pt>
                <c:pt idx="9">
                  <c:v>0.17647058823529413</c:v>
                </c:pt>
                <c:pt idx="10">
                  <c:v>0.15909090909090909</c:v>
                </c:pt>
                <c:pt idx="11">
                  <c:v>0.30769230769230771</c:v>
                </c:pt>
                <c:pt idx="12">
                  <c:v>0.26315789473684209</c:v>
                </c:pt>
                <c:pt idx="13">
                  <c:v>0.13157894736842105</c:v>
                </c:pt>
                <c:pt idx="14">
                  <c:v>0.25</c:v>
                </c:pt>
                <c:pt idx="15">
                  <c:v>0.26923076923076922</c:v>
                </c:pt>
                <c:pt idx="16">
                  <c:v>0.20833333333333337</c:v>
                </c:pt>
                <c:pt idx="17">
                  <c:v>8.3333333333333315E-2</c:v>
                </c:pt>
                <c:pt idx="18">
                  <c:v>0.13636363636363635</c:v>
                </c:pt>
                <c:pt idx="19">
                  <c:v>0.27272727272727271</c:v>
                </c:pt>
                <c:pt idx="20">
                  <c:v>0.2857142857142857</c:v>
                </c:pt>
                <c:pt idx="21">
                  <c:v>0.125</c:v>
                </c:pt>
                <c:pt idx="22">
                  <c:v>0.20512820512820512</c:v>
                </c:pt>
                <c:pt idx="23">
                  <c:v>0.38709677419354838</c:v>
                </c:pt>
                <c:pt idx="24">
                  <c:v>0.36842105263157893</c:v>
                </c:pt>
                <c:pt idx="25">
                  <c:v>0.3125</c:v>
                </c:pt>
                <c:pt idx="26">
                  <c:v>0.375</c:v>
                </c:pt>
                <c:pt idx="27">
                  <c:v>0.22500000000000001</c:v>
                </c:pt>
                <c:pt idx="28">
                  <c:v>0.23809523809523805</c:v>
                </c:pt>
                <c:pt idx="29">
                  <c:v>0.2</c:v>
                </c:pt>
              </c:numCache>
            </c:numRef>
          </c:val>
          <c:extLst>
            <c:ext xmlns:c16="http://schemas.microsoft.com/office/drawing/2014/chart" uri="{C3380CC4-5D6E-409C-BE32-E72D297353CC}">
              <c16:uniqueId val="{00000000-4452-40DE-AA85-8AE985F67D8E}"/>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Indicator3!$A$42</c:f>
              <c:strCache>
                <c:ptCount val="1"/>
                <c:pt idx="0">
                  <c:v>Most favourable (First quartile)</c:v>
                </c:pt>
              </c:strCache>
            </c:strRef>
          </c:tx>
          <c:spPr>
            <a:ln w="28575" cap="rnd">
              <a:solidFill>
                <a:srgbClr val="00B050"/>
              </a:solidFill>
              <a:round/>
            </a:ln>
            <a:effectLst/>
          </c:spPr>
          <c:marker>
            <c:symbol val="none"/>
          </c:marker>
          <c:xVal>
            <c:numRef>
              <c:f>Indicator3!$D$42:$D$43</c:f>
              <c:numCache>
                <c:formatCode>0.0%</c:formatCode>
                <c:ptCount val="2"/>
                <c:pt idx="0">
                  <c:v>0.17647058823529413</c:v>
                </c:pt>
                <c:pt idx="1">
                  <c:v>0.17647058823529413</c:v>
                </c:pt>
              </c:numCache>
            </c:numRef>
          </c:xVal>
          <c:yVal>
            <c:numRef>
              <c:f>Indicator3!$E$42:$E$43</c:f>
              <c:numCache>
                <c:formatCode>0.0%</c:formatCode>
                <c:ptCount val="2"/>
                <c:pt idx="0">
                  <c:v>0</c:v>
                </c:pt>
                <c:pt idx="1">
                  <c:v>1.2E-2</c:v>
                </c:pt>
              </c:numCache>
            </c:numRef>
          </c:yVal>
          <c:smooth val="0"/>
          <c:extLst>
            <c:ext xmlns:c16="http://schemas.microsoft.com/office/drawing/2014/chart" uri="{C3380CC4-5D6E-409C-BE32-E72D297353CC}">
              <c16:uniqueId val="{00000001-4452-40DE-AA85-8AE985F67D8E}"/>
            </c:ext>
          </c:extLst>
        </c:ser>
        <c:ser>
          <c:idx val="2"/>
          <c:order val="2"/>
          <c:tx>
            <c:v>Least favourable</c:v>
          </c:tx>
          <c:spPr>
            <a:ln w="28575" cap="rnd">
              <a:solidFill>
                <a:srgbClr val="FF0000"/>
              </a:solidFill>
              <a:round/>
            </a:ln>
            <a:effectLst/>
          </c:spPr>
          <c:marker>
            <c:symbol val="none"/>
          </c:marker>
          <c:xVal>
            <c:numRef>
              <c:f>Indicator3!$D$44:$D$45</c:f>
              <c:numCache>
                <c:formatCode>0.0%</c:formatCode>
                <c:ptCount val="2"/>
                <c:pt idx="0">
                  <c:v>0.27272727272727271</c:v>
                </c:pt>
                <c:pt idx="1">
                  <c:v>0.27272727272727271</c:v>
                </c:pt>
              </c:numCache>
            </c:numRef>
          </c:xVal>
          <c:yVal>
            <c:numRef>
              <c:f>Indicator3!$E$44:$E$45</c:f>
              <c:numCache>
                <c:formatCode>0.0%</c:formatCode>
                <c:ptCount val="2"/>
                <c:pt idx="0">
                  <c:v>0</c:v>
                </c:pt>
                <c:pt idx="1">
                  <c:v>1.2E-2</c:v>
                </c:pt>
              </c:numCache>
            </c:numRef>
          </c:yVal>
          <c:smooth val="0"/>
          <c:extLst>
            <c:ext xmlns:c16="http://schemas.microsoft.com/office/drawing/2014/chart" uri="{C3380CC4-5D6E-409C-BE32-E72D297353CC}">
              <c16:uniqueId val="{00000002-4452-40DE-AA85-8AE985F67D8E}"/>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565368"/>
        <c:crosses val="autoZero"/>
        <c:auto val="1"/>
        <c:lblAlgn val="ctr"/>
        <c:lblOffset val="100"/>
        <c:noMultiLvlLbl val="0"/>
      </c:catAx>
      <c:valAx>
        <c:axId val="594565368"/>
        <c:scaling>
          <c:orientation val="minMax"/>
          <c:max val="0.5"/>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9.947071250240061E-2"/>
          <c:y val="1.511477731950173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531810860091086"/>
          <c:y val="1.2139380013395762E-2"/>
          <c:w val="0.64632783051651255"/>
          <c:h val="0.95312316729639568"/>
        </c:manualLayout>
      </c:layout>
      <c:barChart>
        <c:barDir val="bar"/>
        <c:grouping val="clustered"/>
        <c:varyColors val="0"/>
        <c:ser>
          <c:idx val="0"/>
          <c:order val="0"/>
          <c:spPr>
            <a:solidFill>
              <a:schemeClr val="accent1"/>
            </a:solidFill>
            <a:ln>
              <a:noFill/>
            </a:ln>
            <a:effectLst/>
          </c:spPr>
          <c:invertIfNegative val="0"/>
          <c:cat>
            <c:multiLvlStrRef>
              <c:f>Indicator6a!$A$4:$B$63</c:f>
              <c:multiLvlStrCache>
                <c:ptCount val="60"/>
                <c:lvl>
                  <c:pt idx="0">
                    <c:v>ALL PUBLIC AND PRIVATE HOSPITALS</c:v>
                  </c:pt>
                  <c:pt idx="1">
                    <c:v>The Royal Women's Hospital</c:v>
                  </c:pt>
                  <c:pt idx="2">
                    <c:v>Sunshine Hospital</c:v>
                  </c:pt>
                  <c:pt idx="3">
                    <c:v>Mercy Hospital for Women</c:v>
                  </c:pt>
                  <c:pt idx="4">
                    <c:v>Monash Medical Centre (Clayton)</c:v>
                  </c:pt>
                  <c:pt idx="5">
                    <c:v>Werribee Mercy Hospital</c:v>
                  </c:pt>
                  <c:pt idx="6">
                    <c:v>Northern Hospital Epping</c:v>
                  </c:pt>
                  <c:pt idx="7">
                    <c:v>Frankston Hospital</c:v>
                  </c:pt>
                  <c:pt idx="8">
                    <c:v>Dandenong Hospital</c:v>
                  </c:pt>
                  <c:pt idx="9">
                    <c:v>University Hospital Geelong</c:v>
                  </c:pt>
                  <c:pt idx="10">
                    <c:v>Casey Hospital</c:v>
                  </c:pt>
                  <c:pt idx="11">
                    <c:v>Box Hill Hospital</c:v>
                  </c:pt>
                  <c:pt idx="12">
                    <c:v>Angliss Hospital</c:v>
                  </c:pt>
                  <c:pt idx="13">
                    <c:v>Wodonga Hospital</c:v>
                  </c:pt>
                  <c:pt idx="14">
                    <c:v>Bendigo Hospital</c:v>
                  </c:pt>
                  <c:pt idx="15">
                    <c:v>Women's at Sandringham</c:v>
                  </c:pt>
                  <c:pt idx="16">
                    <c:v>Ballarat Base Hospital</c:v>
                  </c:pt>
                  <c:pt idx="17">
                    <c:v>Goulburn Valley Health (Shepparton)</c:v>
                  </c:pt>
                  <c:pt idx="18">
                    <c:v>West Gippsland Hospital</c:v>
                  </c:pt>
                  <c:pt idx="19">
                    <c:v>Latrobe Regional Hospital</c:v>
                  </c:pt>
                  <c:pt idx="20">
                    <c:v>Mildura Base Hospital</c:v>
                  </c:pt>
                  <c:pt idx="21">
                    <c:v>Warrnambool Base Hospital</c:v>
                  </c:pt>
                  <c:pt idx="22">
                    <c:v>Northeast Health Wangaratta</c:v>
                  </c:pt>
                  <c:pt idx="23">
                    <c:v>Sale Hospital</c:v>
                  </c:pt>
                  <c:pt idx="24">
                    <c:v>Wimmera Base Hospital</c:v>
                  </c:pt>
                  <c:pt idx="25">
                    <c:v>Bacchus Marsh &amp; Melton Regional Hospital</c:v>
                  </c:pt>
                  <c:pt idx="26">
                    <c:v>Echuca Hospital</c:v>
                  </c:pt>
                  <c:pt idx="27">
                    <c:v>Bairnsdale Hospital</c:v>
                  </c:pt>
                  <c:pt idx="28">
                    <c:v>Kilmore &amp; District Hospital</c:v>
                  </c:pt>
                  <c:pt idx="29">
                    <c:v>Swan Hill Hospital</c:v>
                  </c:pt>
                  <c:pt idx="30">
                    <c:v>Leongatha Hospital</c:v>
                  </c:pt>
                  <c:pt idx="31">
                    <c:v>Hamilton Base Hospital</c:v>
                  </c:pt>
                  <c:pt idx="32">
                    <c:v>Colac Hospital</c:v>
                  </c:pt>
                  <c:pt idx="33">
                    <c:v>Wonthaggi Hospital</c:v>
                  </c:pt>
                  <c:pt idx="34">
                    <c:v>Ararat Hospital</c:v>
                  </c:pt>
                  <c:pt idx="35">
                    <c:v>Portland Hospital</c:v>
                  </c:pt>
                  <c:pt idx="36">
                    <c:v>Benalla &amp; District Memorial Hospital</c:v>
                  </c:pt>
                  <c:pt idx="37">
                    <c:v>South Gippsland Hospital</c:v>
                  </c:pt>
                  <c:pt idx="38">
                    <c:v>Mansfield District Hospital</c:v>
                  </c:pt>
                  <c:pt idx="39">
                    <c:v>Maryborough Hospital</c:v>
                  </c:pt>
                  <c:pt idx="40">
                    <c:v>Castlemaine Hospital</c:v>
                  </c:pt>
                  <c:pt idx="41">
                    <c:v>Cohuna District Hospital</c:v>
                  </c:pt>
                  <c:pt idx="42">
                    <c:v>Camperdown Hospital</c:v>
                  </c:pt>
                  <c:pt idx="43">
                    <c:v>Terang Hospital</c:v>
                  </c:pt>
                  <c:pt idx="44">
                    <c:v>Freemasons</c:v>
                  </c:pt>
                  <c:pt idx="45">
                    <c:v>Frances Perry</c:v>
                  </c:pt>
                  <c:pt idx="46">
                    <c:v>St Vincents Private</c:v>
                  </c:pt>
                  <c:pt idx="47">
                    <c:v>Cabrini M</c:v>
                  </c:pt>
                  <c:pt idx="48">
                    <c:v>Mitcham Private</c:v>
                  </c:pt>
                  <c:pt idx="49">
                    <c:v>Waverley Private</c:v>
                  </c:pt>
                  <c:pt idx="50">
                    <c:v>Jessie McPherson</c:v>
                  </c:pt>
                  <c:pt idx="51">
                    <c:v>Berwick Hospital</c:v>
                  </c:pt>
                  <c:pt idx="52">
                    <c:v>Northpark Private</c:v>
                  </c:pt>
                  <c:pt idx="53">
                    <c:v>St JOG Geelong</c:v>
                  </c:pt>
                  <c:pt idx="54">
                    <c:v>St JOG Ballarat</c:v>
                  </c:pt>
                  <c:pt idx="55">
                    <c:v>Bays Mornington</c:v>
                  </c:pt>
                  <c:pt idx="56">
                    <c:v>Epworth Geelong</c:v>
                  </c:pt>
                  <c:pt idx="57">
                    <c:v>Peninsula Private</c:v>
                  </c:pt>
                  <c:pt idx="58">
                    <c:v>St JOG Bendigo</c:v>
                  </c:pt>
                  <c:pt idx="59">
                    <c:v>St Vincents Private Hospital Werribee</c:v>
                  </c:pt>
                </c:lvl>
                <c:lvl>
                  <c:pt idx="1">
                    <c:v>Level 6</c:v>
                  </c:pt>
                  <c:pt idx="5">
                    <c:v>Level 5 and 4</c:v>
                  </c:pt>
                  <c:pt idx="25">
                    <c:v>Level 3 and 2</c:v>
                  </c:pt>
                  <c:pt idx="44">
                    <c:v>Private</c:v>
                  </c:pt>
                </c:lvl>
              </c:multiLvlStrCache>
            </c:multiLvlStrRef>
          </c:cat>
          <c:val>
            <c:numRef>
              <c:f>Indicator6a!$E$4:$E$63</c:f>
              <c:numCache>
                <c:formatCode>0.0%</c:formatCode>
                <c:ptCount val="60"/>
                <c:pt idx="0">
                  <c:v>2.2735773443761688E-2</c:v>
                </c:pt>
                <c:pt idx="1">
                  <c:v>2.3174346537321481E-2</c:v>
                </c:pt>
                <c:pt idx="2">
                  <c:v>2.1760964178105122E-2</c:v>
                </c:pt>
                <c:pt idx="3">
                  <c:v>2.3028611304954642E-2</c:v>
                </c:pt>
                <c:pt idx="4">
                  <c:v>2.4508483705898195E-2</c:v>
                </c:pt>
                <c:pt idx="5">
                  <c:v>2.4409448818897637E-2</c:v>
                </c:pt>
                <c:pt idx="6">
                  <c:v>2.4081878386514148E-2</c:v>
                </c:pt>
                <c:pt idx="7">
                  <c:v>2.7921406411582209E-2</c:v>
                </c:pt>
                <c:pt idx="8">
                  <c:v>1.810477657935285E-2</c:v>
                </c:pt>
                <c:pt idx="9">
                  <c:v>2.8268551236749123E-2</c:v>
                </c:pt>
                <c:pt idx="10">
                  <c:v>1.9429516329061595E-2</c:v>
                </c:pt>
                <c:pt idx="11">
                  <c:v>3.2698675496688742E-2</c:v>
                </c:pt>
                <c:pt idx="12">
                  <c:v>3.1832651205093224E-2</c:v>
                </c:pt>
                <c:pt idx="13">
                  <c:v>0.02</c:v>
                </c:pt>
                <c:pt idx="14">
                  <c:v>2.6282853566958697E-2</c:v>
                </c:pt>
                <c:pt idx="15">
                  <c:v>3.1372549019607843E-2</c:v>
                </c:pt>
                <c:pt idx="16">
                  <c:v>3.1157270029673591E-2</c:v>
                </c:pt>
                <c:pt idx="17">
                  <c:v>1.7297297297297298E-2</c:v>
                </c:pt>
                <c:pt idx="18">
                  <c:v>2.5149700598802394E-2</c:v>
                </c:pt>
                <c:pt idx="19">
                  <c:v>2.0858895705521473E-2</c:v>
                </c:pt>
                <c:pt idx="20">
                  <c:v>2.4570024570024569E-2</c:v>
                </c:pt>
                <c:pt idx="21">
                  <c:v>2.616279069767442E-2</c:v>
                </c:pt>
                <c:pt idx="22">
                  <c:v>2.4590163934426229E-2</c:v>
                </c:pt>
                <c:pt idx="23">
                  <c:v>2.923976608187134E-2</c:v>
                </c:pt>
                <c:pt idx="24">
                  <c:v>1.7182130584192441E-2</c:v>
                </c:pt>
                <c:pt idx="25">
                  <c:v>1.9002375296912115E-2</c:v>
                </c:pt>
                <c:pt idx="26">
                  <c:v>2.638522427440633E-2</c:v>
                </c:pt>
                <c:pt idx="27">
                  <c:v>1.0948905109489052E-2</c:v>
                </c:pt>
                <c:pt idx="28">
                  <c:v>2.5773195876288658E-2</c:v>
                </c:pt>
                <c:pt idx="29">
                  <c:v>1.5873015873015872E-2</c:v>
                </c:pt>
                <c:pt idx="30">
                  <c:v>1.8987341772151899E-2</c:v>
                </c:pt>
                <c:pt idx="31">
                  <c:v>0</c:v>
                </c:pt>
                <c:pt idx="32">
                  <c:v>4.0983606557377046E-2</c:v>
                </c:pt>
                <c:pt idx="33">
                  <c:v>5.0420168067226892E-2</c:v>
                </c:pt>
                <c:pt idx="34">
                  <c:v>1.2195121951219513E-2</c:v>
                </c:pt>
                <c:pt idx="35">
                  <c:v>1.4285714285714285E-2</c:v>
                </c:pt>
                <c:pt idx="36">
                  <c:v>4.4117647058823532E-2</c:v>
                </c:pt>
                <c:pt idx="37">
                  <c:v>0</c:v>
                </c:pt>
                <c:pt idx="38">
                  <c:v>0</c:v>
                </c:pt>
                <c:pt idx="39">
                  <c:v>0</c:v>
                </c:pt>
                <c:pt idx="40">
                  <c:v>2.7777777777777776E-2</c:v>
                </c:pt>
                <c:pt idx="41">
                  <c:v>0</c:v>
                </c:pt>
                <c:pt idx="42">
                  <c:v>4.1666666666666657E-2</c:v>
                </c:pt>
                <c:pt idx="43">
                  <c:v>0</c:v>
                </c:pt>
                <c:pt idx="44">
                  <c:v>1.5787585217079295E-2</c:v>
                </c:pt>
                <c:pt idx="45">
                  <c:v>1.3850415512465374E-2</c:v>
                </c:pt>
                <c:pt idx="46">
                  <c:v>1.3776722090261283E-2</c:v>
                </c:pt>
                <c:pt idx="47">
                  <c:v>1.2994350282485877E-2</c:v>
                </c:pt>
                <c:pt idx="48">
                  <c:v>1.6536118363794605E-2</c:v>
                </c:pt>
                <c:pt idx="49">
                  <c:v>9.3457943925233638E-3</c:v>
                </c:pt>
                <c:pt idx="50">
                  <c:v>1.0650887573964495E-2</c:v>
                </c:pt>
                <c:pt idx="51">
                  <c:v>1.2886597938144329E-2</c:v>
                </c:pt>
                <c:pt idx="52">
                  <c:v>8.6330935251798559E-3</c:v>
                </c:pt>
                <c:pt idx="53">
                  <c:v>3.7243947858473E-2</c:v>
                </c:pt>
                <c:pt idx="54">
                  <c:v>2.3696682464454978E-2</c:v>
                </c:pt>
                <c:pt idx="55">
                  <c:v>9.0024330900243324E-2</c:v>
                </c:pt>
                <c:pt idx="56">
                  <c:v>3.4188034188034191E-2</c:v>
                </c:pt>
                <c:pt idx="57">
                  <c:v>2.3880597014925377E-2</c:v>
                </c:pt>
                <c:pt idx="58">
                  <c:v>4.4843049327354259E-3</c:v>
                </c:pt>
                <c:pt idx="59">
                  <c:v>7.1942446043165471E-3</c:v>
                </c:pt>
              </c:numCache>
            </c:numRef>
          </c:val>
          <c:extLst>
            <c:ext xmlns:c16="http://schemas.microsoft.com/office/drawing/2014/chart" uri="{C3380CC4-5D6E-409C-BE32-E72D297353CC}">
              <c16:uniqueId val="{00000000-1059-4654-BD2A-7D354855444E}"/>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Indicator6a!$A$72</c:f>
              <c:strCache>
                <c:ptCount val="1"/>
                <c:pt idx="0">
                  <c:v>Most favourable (First quartile)</c:v>
                </c:pt>
              </c:strCache>
            </c:strRef>
          </c:tx>
          <c:spPr>
            <a:ln w="28575" cap="rnd">
              <a:solidFill>
                <a:srgbClr val="00B050"/>
              </a:solidFill>
              <a:round/>
            </a:ln>
            <a:effectLst/>
          </c:spPr>
          <c:marker>
            <c:symbol val="none"/>
          </c:marker>
          <c:xVal>
            <c:numRef>
              <c:f>Indicator6a!$D$72:$D$73</c:f>
              <c:numCache>
                <c:formatCode>0.0%</c:formatCode>
                <c:ptCount val="2"/>
                <c:pt idx="0">
                  <c:v>1.338553618637358E-2</c:v>
                </c:pt>
                <c:pt idx="1">
                  <c:v>1.338553618637358E-2</c:v>
                </c:pt>
              </c:numCache>
            </c:numRef>
          </c:xVal>
          <c:yVal>
            <c:numRef>
              <c:f>Indicator6a!$E$72:$E$73</c:f>
              <c:numCache>
                <c:formatCode>0.0%</c:formatCode>
                <c:ptCount val="2"/>
                <c:pt idx="0">
                  <c:v>0</c:v>
                </c:pt>
                <c:pt idx="1">
                  <c:v>1.2E-2</c:v>
                </c:pt>
              </c:numCache>
            </c:numRef>
          </c:yVal>
          <c:smooth val="0"/>
          <c:extLst>
            <c:ext xmlns:c16="http://schemas.microsoft.com/office/drawing/2014/chart" uri="{C3380CC4-5D6E-409C-BE32-E72D297353CC}">
              <c16:uniqueId val="{00000002-1059-4654-BD2A-7D354855444E}"/>
            </c:ext>
          </c:extLst>
        </c:ser>
        <c:ser>
          <c:idx val="2"/>
          <c:order val="2"/>
          <c:tx>
            <c:v>Least favourable</c:v>
          </c:tx>
          <c:spPr>
            <a:ln w="28575" cap="rnd">
              <a:solidFill>
                <a:srgbClr val="FF0000"/>
              </a:solidFill>
              <a:round/>
            </a:ln>
            <a:effectLst/>
          </c:spPr>
          <c:marker>
            <c:symbol val="none"/>
          </c:marker>
          <c:xVal>
            <c:numRef>
              <c:f>Indicator6a!$D$74:$D$75</c:f>
              <c:numCache>
                <c:formatCode>0.0%</c:formatCode>
                <c:ptCount val="2"/>
                <c:pt idx="0">
                  <c:v>2.7081501026092053E-2</c:v>
                </c:pt>
                <c:pt idx="1">
                  <c:v>2.7081501026092053E-2</c:v>
                </c:pt>
              </c:numCache>
            </c:numRef>
          </c:xVal>
          <c:yVal>
            <c:numRef>
              <c:f>Indicator6a!$E$74:$E$75</c:f>
              <c:numCache>
                <c:formatCode>0.0%</c:formatCode>
                <c:ptCount val="2"/>
                <c:pt idx="0">
                  <c:v>0</c:v>
                </c:pt>
                <c:pt idx="1">
                  <c:v>1.2E-2</c:v>
                </c:pt>
              </c:numCache>
            </c:numRef>
          </c:yVal>
          <c:smooth val="0"/>
          <c:extLst>
            <c:ext xmlns:c16="http://schemas.microsoft.com/office/drawing/2014/chart" uri="{C3380CC4-5D6E-409C-BE32-E72D297353CC}">
              <c16:uniqueId val="{00000004-1059-4654-BD2A-7D354855444E}"/>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0.1"/>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r>
              <a:rPr lang="en-AU" b="1"/>
              <a:t>  </a:t>
            </a:r>
          </a:p>
        </c:rich>
      </c:tx>
      <c:layout>
        <c:manualLayout>
          <c:xMode val="edge"/>
          <c:yMode val="edge"/>
          <c:x val="0.17535145997375329"/>
          <c:y val="1.5114707538740066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31800066054071741"/>
          <c:y val="1.4528023651128827E-2"/>
          <c:w val="0.64991882139781532"/>
          <c:h val="0.94834117944967711"/>
        </c:manualLayout>
      </c:layout>
      <c:barChart>
        <c:barDir val="bar"/>
        <c:grouping val="clustered"/>
        <c:varyColors val="0"/>
        <c:ser>
          <c:idx val="0"/>
          <c:order val="0"/>
          <c:spPr>
            <a:solidFill>
              <a:schemeClr val="accent1"/>
            </a:solidFill>
            <a:ln>
              <a:noFill/>
            </a:ln>
            <a:effectLst/>
          </c:spPr>
          <c:invertIfNegative val="0"/>
          <c:cat>
            <c:multiLvlStrRef>
              <c:f>Indicator6b!$A$4:$B$47</c:f>
              <c:multiLvlStrCache>
                <c:ptCount val="44"/>
                <c:lvl>
                  <c:pt idx="0">
                    <c:v>ALL PUBLIC HOSPITALS</c:v>
                  </c:pt>
                  <c:pt idx="1">
                    <c:v>The Royal Women's Hospital</c:v>
                  </c:pt>
                  <c:pt idx="2">
                    <c:v>Sunshine Hospital</c:v>
                  </c:pt>
                  <c:pt idx="3">
                    <c:v>Mercy Hospital for Women</c:v>
                  </c:pt>
                  <c:pt idx="4">
                    <c:v>Monash Medical Centre (Clayton)</c:v>
                  </c:pt>
                  <c:pt idx="5">
                    <c:v>Werribee Mercy Hospital</c:v>
                  </c:pt>
                  <c:pt idx="6">
                    <c:v>Northern Hospital Epping</c:v>
                  </c:pt>
                  <c:pt idx="7">
                    <c:v>Frankston Hospital</c:v>
                  </c:pt>
                  <c:pt idx="8">
                    <c:v>University Hospital Geelong</c:v>
                  </c:pt>
                  <c:pt idx="9">
                    <c:v>Box Hill Hospital</c:v>
                  </c:pt>
                  <c:pt idx="10">
                    <c:v>Casey Hospital</c:v>
                  </c:pt>
                  <c:pt idx="11">
                    <c:v>Wodonga Hospital</c:v>
                  </c:pt>
                  <c:pt idx="12">
                    <c:v>Bendigo Hospital</c:v>
                  </c:pt>
                  <c:pt idx="13">
                    <c:v>Ballarat Base Hospital</c:v>
                  </c:pt>
                  <c:pt idx="14">
                    <c:v>Goulburn Valley Health (Shepparton)</c:v>
                  </c:pt>
                  <c:pt idx="15">
                    <c:v>Latrobe Regional Hospital</c:v>
                  </c:pt>
                  <c:pt idx="16">
                    <c:v>Dandenong Hospital</c:v>
                  </c:pt>
                  <c:pt idx="17">
                    <c:v>Angliss Hospital</c:v>
                  </c:pt>
                  <c:pt idx="18">
                    <c:v>Women's at Sandringham</c:v>
                  </c:pt>
                  <c:pt idx="19">
                    <c:v>West Gippsland Hospital</c:v>
                  </c:pt>
                  <c:pt idx="20">
                    <c:v>Mildura Base Hospital</c:v>
                  </c:pt>
                  <c:pt idx="21">
                    <c:v>Warrnambool Base Hospital</c:v>
                  </c:pt>
                  <c:pt idx="22">
                    <c:v>Northeast Health Wangaratta</c:v>
                  </c:pt>
                  <c:pt idx="23">
                    <c:v>Bacchus Marsh &amp; Melton Regional Hospital</c:v>
                  </c:pt>
                  <c:pt idx="24">
                    <c:v>Echuca Hospital</c:v>
                  </c:pt>
                  <c:pt idx="25">
                    <c:v>Sale Hospital</c:v>
                  </c:pt>
                  <c:pt idx="26">
                    <c:v>Wimmera Base Hospital</c:v>
                  </c:pt>
                  <c:pt idx="27">
                    <c:v>Bairnsdale Hospital</c:v>
                  </c:pt>
                  <c:pt idx="28">
                    <c:v>Swan Hill Hospital</c:v>
                  </c:pt>
                  <c:pt idx="29">
                    <c:v>Kilmore &amp; District Hospital</c:v>
                  </c:pt>
                  <c:pt idx="30">
                    <c:v>Leongatha Hospital</c:v>
                  </c:pt>
                  <c:pt idx="31">
                    <c:v>Hamilton Base Hospital</c:v>
                  </c:pt>
                  <c:pt idx="32">
                    <c:v>Colac Hospital</c:v>
                  </c:pt>
                  <c:pt idx="33">
                    <c:v>Wonthaggi Hospital</c:v>
                  </c:pt>
                  <c:pt idx="34">
                    <c:v>Ararat Hospital</c:v>
                  </c:pt>
                  <c:pt idx="35">
                    <c:v>Portland Hospital</c:v>
                  </c:pt>
                  <c:pt idx="36">
                    <c:v>Benalla &amp; District Memorial Hospital</c:v>
                  </c:pt>
                  <c:pt idx="37">
                    <c:v>South Gippsland Hospital</c:v>
                  </c:pt>
                  <c:pt idx="38">
                    <c:v>Mansfield District Hospital</c:v>
                  </c:pt>
                  <c:pt idx="39">
                    <c:v>Castlemaine Hospital</c:v>
                  </c:pt>
                  <c:pt idx="40">
                    <c:v>Maryborough Hospital</c:v>
                  </c:pt>
                  <c:pt idx="41">
                    <c:v>Cohuna District Hospital</c:v>
                  </c:pt>
                  <c:pt idx="42">
                    <c:v>Camperdown Hospital</c:v>
                  </c:pt>
                  <c:pt idx="43">
                    <c:v>Terang Hospital</c:v>
                  </c:pt>
                </c:lvl>
                <c:lvl>
                  <c:pt idx="1">
                    <c:v>Level 6</c:v>
                  </c:pt>
                  <c:pt idx="5">
                    <c:v>Level 5 and 4</c:v>
                  </c:pt>
                  <c:pt idx="16">
                    <c:v>Level 3 and 2</c:v>
                  </c:pt>
                </c:lvl>
              </c:multiLvlStrCache>
            </c:multiLvlStrRef>
          </c:cat>
          <c:val>
            <c:numRef>
              <c:f>Indicator6b!$E$4:$E$47</c:f>
              <c:numCache>
                <c:formatCode>0.0%</c:formatCode>
                <c:ptCount val="44"/>
                <c:pt idx="0">
                  <c:v>4.1029053005100916E-2</c:v>
                </c:pt>
                <c:pt idx="1">
                  <c:v>5.2675353479345717E-2</c:v>
                </c:pt>
                <c:pt idx="2">
                  <c:v>3.5451505016722409E-2</c:v>
                </c:pt>
                <c:pt idx="3">
                  <c:v>3.0485643388869197E-2</c:v>
                </c:pt>
                <c:pt idx="4">
                  <c:v>3.4710269650028686E-2</c:v>
                </c:pt>
                <c:pt idx="5">
                  <c:v>3.5460992907801421E-2</c:v>
                </c:pt>
                <c:pt idx="6">
                  <c:v>4.8074051955807703E-2</c:v>
                </c:pt>
                <c:pt idx="7">
                  <c:v>4.2676681461249567E-2</c:v>
                </c:pt>
                <c:pt idx="8">
                  <c:v>4.7990635973468594E-2</c:v>
                </c:pt>
                <c:pt idx="9">
                  <c:v>4.3707001214083357E-2</c:v>
                </c:pt>
                <c:pt idx="10">
                  <c:v>4.2376402160365603E-2</c:v>
                </c:pt>
                <c:pt idx="11">
                  <c:v>2.8994447871684145E-2</c:v>
                </c:pt>
                <c:pt idx="12">
                  <c:v>5.8421379738968306E-2</c:v>
                </c:pt>
                <c:pt idx="13">
                  <c:v>6.0957910014513797E-2</c:v>
                </c:pt>
                <c:pt idx="14">
                  <c:v>3.9742212674543503E-2</c:v>
                </c:pt>
                <c:pt idx="15">
                  <c:v>3.4696406443618349E-2</c:v>
                </c:pt>
                <c:pt idx="16">
                  <c:v>3.6293436293436294E-2</c:v>
                </c:pt>
                <c:pt idx="17">
                  <c:v>3.7253141831238776E-2</c:v>
                </c:pt>
                <c:pt idx="18">
                  <c:v>6.9782751810401583E-2</c:v>
                </c:pt>
                <c:pt idx="19">
                  <c:v>5.1068883610451303E-2</c:v>
                </c:pt>
                <c:pt idx="20">
                  <c:v>4.3062200956937795E-2</c:v>
                </c:pt>
                <c:pt idx="21">
                  <c:v>3.4682080924855488E-2</c:v>
                </c:pt>
                <c:pt idx="22">
                  <c:v>3.0944625407166124E-2</c:v>
                </c:pt>
                <c:pt idx="23">
                  <c:v>3.7914691943127958E-2</c:v>
                </c:pt>
                <c:pt idx="24">
                  <c:v>1.8372703412073491E-2</c:v>
                </c:pt>
                <c:pt idx="25">
                  <c:v>2.8735632183908046E-2</c:v>
                </c:pt>
                <c:pt idx="26">
                  <c:v>3.5335689045936397E-2</c:v>
                </c:pt>
                <c:pt idx="27">
                  <c:v>3.7037037037037038E-3</c:v>
                </c:pt>
                <c:pt idx="28">
                  <c:v>2.6737967914438502E-2</c:v>
                </c:pt>
                <c:pt idx="29">
                  <c:v>1.6129032258064516E-2</c:v>
                </c:pt>
                <c:pt idx="30">
                  <c:v>2.6143790849673203E-2</c:v>
                </c:pt>
                <c:pt idx="31">
                  <c:v>0</c:v>
                </c:pt>
                <c:pt idx="32">
                  <c:v>1.6666666666666666E-2</c:v>
                </c:pt>
                <c:pt idx="33">
                  <c:v>2.5210084033613446E-2</c:v>
                </c:pt>
                <c:pt idx="34">
                  <c:v>0</c:v>
                </c:pt>
                <c:pt idx="35">
                  <c:v>4.2857142857142858E-2</c:v>
                </c:pt>
                <c:pt idx="36">
                  <c:v>1.4925373134328356E-2</c:v>
                </c:pt>
                <c:pt idx="37">
                  <c:v>6.5573770491803282E-2</c:v>
                </c:pt>
                <c:pt idx="38">
                  <c:v>0</c:v>
                </c:pt>
                <c:pt idx="39">
                  <c:v>2.7027027027027022E-2</c:v>
                </c:pt>
                <c:pt idx="40">
                  <c:v>0</c:v>
                </c:pt>
                <c:pt idx="41">
                  <c:v>0</c:v>
                </c:pt>
                <c:pt idx="42">
                  <c:v>4.1666666666666657E-2</c:v>
                </c:pt>
                <c:pt idx="43">
                  <c:v>0</c:v>
                </c:pt>
              </c:numCache>
            </c:numRef>
          </c:val>
          <c:extLst>
            <c:ext xmlns:c16="http://schemas.microsoft.com/office/drawing/2014/chart" uri="{C3380CC4-5D6E-409C-BE32-E72D297353CC}">
              <c16:uniqueId val="{00000000-2C9A-4036-83D5-D37CC29D4DD0}"/>
            </c:ext>
          </c:extLst>
        </c:ser>
        <c:dLbls>
          <c:showLegendKey val="0"/>
          <c:showVal val="0"/>
          <c:showCatName val="0"/>
          <c:showSerName val="0"/>
          <c:showPercent val="0"/>
          <c:showBubbleSize val="0"/>
        </c:dLbls>
        <c:gapWidth val="182"/>
        <c:axId val="594563072"/>
        <c:axId val="594565368"/>
      </c:barChart>
      <c:scatterChart>
        <c:scatterStyle val="lineMarker"/>
        <c:varyColors val="0"/>
        <c:ser>
          <c:idx val="1"/>
          <c:order val="1"/>
          <c:tx>
            <c:strRef>
              <c:f>Indicator6b!$A$53</c:f>
              <c:strCache>
                <c:ptCount val="1"/>
                <c:pt idx="0">
                  <c:v>Most favourable (First quartile)</c:v>
                </c:pt>
              </c:strCache>
            </c:strRef>
          </c:tx>
          <c:spPr>
            <a:ln w="28575" cap="rnd">
              <a:solidFill>
                <a:srgbClr val="00B050"/>
              </a:solidFill>
              <a:round/>
            </a:ln>
            <a:effectLst/>
          </c:spPr>
          <c:marker>
            <c:symbol val="none"/>
          </c:marker>
          <c:xVal>
            <c:numRef>
              <c:f>Indicator6b!$D$53:$D$54</c:f>
              <c:numCache>
                <c:formatCode>0.0%</c:formatCode>
                <c:ptCount val="2"/>
                <c:pt idx="0">
                  <c:v>2.1791393722843468E-2</c:v>
                </c:pt>
                <c:pt idx="1">
                  <c:v>2.1791393722843468E-2</c:v>
                </c:pt>
              </c:numCache>
            </c:numRef>
          </c:xVal>
          <c:yVal>
            <c:numRef>
              <c:f>Indicator6b!$E$53:$E$54</c:f>
              <c:numCache>
                <c:formatCode>0.0%</c:formatCode>
                <c:ptCount val="2"/>
                <c:pt idx="0">
                  <c:v>0</c:v>
                </c:pt>
                <c:pt idx="1">
                  <c:v>1.2E-2</c:v>
                </c:pt>
              </c:numCache>
            </c:numRef>
          </c:yVal>
          <c:smooth val="0"/>
          <c:extLst>
            <c:ext xmlns:c16="http://schemas.microsoft.com/office/drawing/2014/chart" uri="{C3380CC4-5D6E-409C-BE32-E72D297353CC}">
              <c16:uniqueId val="{00000002-2C9A-4036-83D5-D37CC29D4DD0}"/>
            </c:ext>
          </c:extLst>
        </c:ser>
        <c:ser>
          <c:idx val="2"/>
          <c:order val="2"/>
          <c:tx>
            <c:v>Least favourable</c:v>
          </c:tx>
          <c:spPr>
            <a:ln w="28575" cap="rnd">
              <a:solidFill>
                <a:srgbClr val="FF0000"/>
              </a:solidFill>
              <a:round/>
            </a:ln>
            <a:effectLst/>
          </c:spPr>
          <c:marker>
            <c:symbol val="none"/>
          </c:marker>
          <c:xVal>
            <c:numRef>
              <c:f>Indicator6b!$D$55:$D$56</c:f>
              <c:numCache>
                <c:formatCode>0.0%</c:formatCode>
                <c:ptCount val="2"/>
                <c:pt idx="0">
                  <c:v>4.2766912159196216E-2</c:v>
                </c:pt>
                <c:pt idx="1">
                  <c:v>4.2766912159196216E-2</c:v>
                </c:pt>
              </c:numCache>
            </c:numRef>
          </c:xVal>
          <c:yVal>
            <c:numRef>
              <c:f>Indicator6b!$E$55:$E$56</c:f>
              <c:numCache>
                <c:formatCode>0.0%</c:formatCode>
                <c:ptCount val="2"/>
                <c:pt idx="0">
                  <c:v>0</c:v>
                </c:pt>
                <c:pt idx="1">
                  <c:v>1.2E-2</c:v>
                </c:pt>
              </c:numCache>
            </c:numRef>
          </c:yVal>
          <c:smooth val="0"/>
          <c:extLst>
            <c:ext xmlns:c16="http://schemas.microsoft.com/office/drawing/2014/chart" uri="{C3380CC4-5D6E-409C-BE32-E72D297353CC}">
              <c16:uniqueId val="{00000004-2C9A-4036-83D5-D37CC29D4DD0}"/>
            </c:ext>
          </c:extLst>
        </c:ser>
        <c:dLbls>
          <c:showLegendKey val="0"/>
          <c:showVal val="0"/>
          <c:showCatName val="0"/>
          <c:showSerName val="0"/>
          <c:showPercent val="0"/>
          <c:showBubbleSize val="0"/>
        </c:dLbls>
        <c:axId val="1057107920"/>
        <c:axId val="1057106936"/>
      </c:scatterChart>
      <c:catAx>
        <c:axId val="5945630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5368"/>
        <c:crosses val="autoZero"/>
        <c:auto val="1"/>
        <c:lblAlgn val="ctr"/>
        <c:lblOffset val="100"/>
        <c:noMultiLvlLbl val="0"/>
      </c:catAx>
      <c:valAx>
        <c:axId val="594565368"/>
        <c:scaling>
          <c:orientation val="minMax"/>
          <c:max val="7.0000000000000007E-2"/>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VIC" panose="00000500000000000000" pitchFamily="2" charset="0"/>
                <a:ea typeface="+mn-ea"/>
                <a:cs typeface="+mn-cs"/>
              </a:defRPr>
            </a:pPr>
            <a:endParaRPr lang="en-US"/>
          </a:p>
        </c:txPr>
        <c:crossAx val="594563072"/>
        <c:crosses val="autoZero"/>
        <c:crossBetween val="between"/>
      </c:valAx>
      <c:valAx>
        <c:axId val="1057106936"/>
        <c:scaling>
          <c:orientation val="minMax"/>
          <c:max val="1.2000000000000002E-2"/>
        </c:scaling>
        <c:delete val="0"/>
        <c:axPos val="r"/>
        <c:numFmt formatCode="0.0%" sourceLinked="1"/>
        <c:majorTickMark val="out"/>
        <c:minorTickMark val="none"/>
        <c:tickLblPos val="none"/>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1057107920"/>
        <c:crosses val="max"/>
        <c:crossBetween val="midCat"/>
      </c:valAx>
      <c:valAx>
        <c:axId val="1057107920"/>
        <c:scaling>
          <c:orientation val="minMax"/>
        </c:scaling>
        <c:delete val="1"/>
        <c:axPos val="b"/>
        <c:numFmt formatCode="0.0%" sourceLinked="1"/>
        <c:majorTickMark val="out"/>
        <c:minorTickMark val="none"/>
        <c:tickLblPos val="nextTo"/>
        <c:crossAx val="1057106936"/>
        <c:crosses val="autoZero"/>
        <c:crossBetween val="midCat"/>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ocumenttasks/documenttasks1.xml><?xml version="1.0" encoding="utf-8"?>
<t:Tasks xmlns:t="http://schemas.microsoft.com/office/tasks/2019/documenttasks" xmlns:oel="http://schemas.microsoft.com/office/2019/extlst">
  <t:Task id="{D0F8613C-DDC0-443B-8CCD-1C8DDD46317D}">
    <t:Anchor>
      <t:Comment id="945936490"/>
    </t:Anchor>
    <t:History>
      <t:Event id="{E0F337B5-678A-4821-88F5-F1143E479F3B}" time="2021-02-16T07:47:53Z">
        <t:Attribution userId="S::elsa.lapiz@safercare.vic.gov.au::51bfdcc6-54bf-4b46-a82a-b0769a7dddfe" userProvider="AD" userName="Elsa Lapiz (DHHS)"/>
        <t:Anchor>
          <t:Comment id="945936490"/>
        </t:Anchor>
        <t:Create/>
      </t:Event>
      <t:Event id="{B5F2022A-2772-4B1E-AF16-E41230BC4D51}" time="2021-02-16T07:47:53Z">
        <t:Attribution userId="S::elsa.lapiz@safercare.vic.gov.au::51bfdcc6-54bf-4b46-a82a-b0769a7dddfe" userProvider="AD" userName="Elsa Lapiz (DHHS)"/>
        <t:Anchor>
          <t:Comment id="945936490"/>
        </t:Anchor>
        <t:Assign userId="S::Rebecca.Doherty@safercare.vic.gov.au::421d7ebf-866f-433e-b861-125276af94df" userProvider="AD" userName="Rebecca Doherty (DHHS)"/>
      </t:Event>
      <t:Event id="{BBC03B6B-30CF-4D93-BC49-88ED89307881}" time="2021-02-16T07:47:53Z">
        <t:Attribution userId="S::elsa.lapiz@safercare.vic.gov.au::51bfdcc6-54bf-4b46-a82a-b0769a7dddfe" userProvider="AD" userName="Elsa Lapiz (DHHS)"/>
        <t:Anchor>
          <t:Comment id="945936490"/>
        </t:Anchor>
        <t:SetTitle title="Sorry @Rebecca Doherty (DHHS) . I gave you the wrong info on the threshold for the smoking indicator."/>
      </t:Event>
    </t:History>
  </t:Task>
</t:Tasks>
</file>

<file path=word/drawings/_rels/drawing1.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5.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6.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7.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9.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0.15166</cdr:x>
      <cdr:y>0.78674</cdr:y>
    </cdr:from>
    <cdr:to>
      <cdr:x>0.28004</cdr:x>
      <cdr:y>0.80085</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982709" y="5664201"/>
          <a:ext cx="831821" cy="10160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0.16611</cdr:x>
      <cdr:y>0.78105</cdr:y>
    </cdr:from>
    <cdr:to>
      <cdr:x>0.27097</cdr:x>
      <cdr:y>0.79258</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76324" y="5623269"/>
          <a:ext cx="679450" cy="8301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0.18522</cdr:x>
      <cdr:y>0.82193</cdr:y>
    </cdr:from>
    <cdr:to>
      <cdr:x>0.31434</cdr:x>
      <cdr:y>0.83613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00150" y="5917589"/>
          <a:ext cx="836612" cy="102211"/>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0.19578</cdr:x>
      <cdr:y>0.79255</cdr:y>
    </cdr:from>
    <cdr:to>
      <cdr:x>0.32242</cdr:x>
      <cdr:y>0.80647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68532" y="5706056"/>
          <a:ext cx="820601" cy="100230"/>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0.20727</cdr:x>
      <cdr:y>0.8102</cdr:y>
    </cdr:from>
    <cdr:to>
      <cdr:x>0.33345</cdr:x>
      <cdr:y>0.82744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343025" y="4695636"/>
          <a:ext cx="817562" cy="99884"/>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0.1889</cdr:x>
      <cdr:y>0.82382</cdr:y>
    </cdr:from>
    <cdr:to>
      <cdr:x>0.30772</cdr:x>
      <cdr:y>0.83632</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23962" y="6198001"/>
          <a:ext cx="769936" cy="94065"/>
        </a:xfrm>
        <a:prstGeom xmlns:a="http://schemas.openxmlformats.org/drawingml/2006/main" prst="rect">
          <a:avLst/>
        </a:prstGeom>
      </cdr:spPr>
    </cdr:pic>
  </cdr:relSizeAnchor>
</c:userShapes>
</file>

<file path=word/drawings/drawing7.xml><?xml version="1.0" encoding="utf-8"?>
<c:userShapes xmlns:c="http://schemas.openxmlformats.org/drawingml/2006/chart">
  <cdr:relSizeAnchor xmlns:cdr="http://schemas.openxmlformats.org/drawingml/2006/chartDrawing">
    <cdr:from>
      <cdr:x>0.19037</cdr:x>
      <cdr:y>0.8184</cdr:y>
    </cdr:from>
    <cdr:to>
      <cdr:x>0.31654</cdr:x>
      <cdr:y>0.83227</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233487" y="5892145"/>
          <a:ext cx="817562" cy="9988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0.18011</cdr:x>
      <cdr:y>0.81408</cdr:y>
    </cdr:from>
    <cdr:to>
      <cdr:x>0.30846</cdr:x>
      <cdr:y>0.82819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167054" y="5861050"/>
          <a:ext cx="831608" cy="101600"/>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0.1617</cdr:x>
      <cdr:y>0.81797</cdr:y>
    </cdr:from>
    <cdr:to>
      <cdr:x>0.28714</cdr:x>
      <cdr:y>0.8315</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047750" y="6007007"/>
          <a:ext cx="812785" cy="99341"/>
        </a:xfrm>
        <a:prstGeom xmlns:a="http://schemas.openxmlformats.org/drawingml/2006/main" prst="rect">
          <a:avLst/>
        </a:prstGeom>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939D165B4453C830F4FB00817D713"/>
        <w:category>
          <w:name w:val="General"/>
          <w:gallery w:val="placeholder"/>
        </w:category>
        <w:types>
          <w:type w:val="bbPlcHdr"/>
        </w:types>
        <w:behaviors>
          <w:behavior w:val="content"/>
        </w:behaviors>
        <w:guid w:val="{E6589CF9-7321-4ABB-85E2-2073183A41F8}"/>
      </w:docPartPr>
      <w:docPartBody>
        <w:p w:rsidR="008A4CDC" w:rsidRDefault="008A4CDC">
          <w:pPr>
            <w:pStyle w:val="E57939D165B4453C830F4FB00817D713"/>
          </w:pPr>
          <w:r w:rsidRPr="006C587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VIC SemiBold">
    <w:panose1 w:val="000007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VIC-Regular">
    <w:altName w:val="Yu Gothic"/>
    <w:panose1 w:val="00000000000000000000"/>
    <w:charset w:val="80"/>
    <w:family w:val="swiss"/>
    <w:notTrueType/>
    <w:pitch w:val="default"/>
    <w:sig w:usb0="00000001" w:usb1="08070000" w:usb2="00000010" w:usb3="00000000" w:csb0="00020000" w:csb1="00000000"/>
  </w:font>
  <w:font w:name="Yu Mincho">
    <w:altName w:val="游明朝"/>
    <w:panose1 w:val="02020400000000000000"/>
    <w:charset w:val="80"/>
    <w:family w:val="roman"/>
    <w:pitch w:val="variable"/>
    <w:sig w:usb0="800002E7" w:usb1="2AC7FCF0"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4CDC"/>
    <w:rsid w:val="00080026"/>
    <w:rsid w:val="000E1503"/>
    <w:rsid w:val="000E5B07"/>
    <w:rsid w:val="00124CBA"/>
    <w:rsid w:val="00193978"/>
    <w:rsid w:val="00283404"/>
    <w:rsid w:val="002D308A"/>
    <w:rsid w:val="00525311"/>
    <w:rsid w:val="005E7F88"/>
    <w:rsid w:val="006B5BA6"/>
    <w:rsid w:val="0077335E"/>
    <w:rsid w:val="007D313D"/>
    <w:rsid w:val="00846CED"/>
    <w:rsid w:val="008707E5"/>
    <w:rsid w:val="008A4CDC"/>
    <w:rsid w:val="008B6631"/>
    <w:rsid w:val="008C0724"/>
    <w:rsid w:val="008D6507"/>
    <w:rsid w:val="00941C13"/>
    <w:rsid w:val="009B0CE3"/>
    <w:rsid w:val="00B274AE"/>
    <w:rsid w:val="00BA0C48"/>
    <w:rsid w:val="00BF7D28"/>
    <w:rsid w:val="00C505EE"/>
    <w:rsid w:val="00D326D8"/>
    <w:rsid w:val="00EA75A5"/>
    <w:rsid w:val="00F364C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1"/>
    <w:semiHidden/>
    <w:rPr>
      <w:color w:val="808080"/>
    </w:rPr>
  </w:style>
  <w:style w:type="paragraph" w:customStyle="1" w:styleId="E57939D165B4453C830F4FB00817D713">
    <w:name w:val="E57939D165B4453C830F4FB00817D713"/>
  </w:style>
  <w:style w:type="paragraph" w:customStyle="1" w:styleId="9EAC401CF01C4CF99C660939F030123E">
    <w:name w:val="9EAC401CF01C4CF99C660939F030123E"/>
  </w:style>
  <w:style w:type="paragraph" w:customStyle="1" w:styleId="A28E8389EDC6490C8B39E91006B3BBC3">
    <w:name w:val="A28E8389EDC6490C8B39E91006B3BBC3"/>
  </w:style>
  <w:style w:type="paragraph" w:customStyle="1" w:styleId="E19B23A54EE645AEA2682DB61D3AB191">
    <w:name w:val="E19B23A54EE645AEA2682DB61D3AB191"/>
    <w:rsid w:val="008A4C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CV">
      <a:dk1>
        <a:srgbClr val="000000"/>
      </a:dk1>
      <a:lt1>
        <a:srgbClr val="FFFFFF"/>
      </a:lt1>
      <a:dk2>
        <a:srgbClr val="007586"/>
      </a:dk2>
      <a:lt2>
        <a:srgbClr val="EDF5F7"/>
      </a:lt2>
      <a:accent1>
        <a:srgbClr val="4098A4"/>
      </a:accent1>
      <a:accent2>
        <a:srgbClr val="80BAC3"/>
      </a:accent2>
      <a:accent3>
        <a:srgbClr val="BFDDE1"/>
      </a:accent3>
      <a:accent4>
        <a:srgbClr val="404050"/>
      </a:accent4>
      <a:accent5>
        <a:srgbClr val="80808B"/>
      </a:accent5>
      <a:accent6>
        <a:srgbClr val="CCCCD0"/>
      </a:accent6>
      <a:hlink>
        <a:srgbClr val="000000"/>
      </a:hlink>
      <a:folHlink>
        <a:srgbClr val="007586"/>
      </a:folHlink>
    </a:clrScheme>
    <a:fontScheme name="Arial">
      <a:majorFont>
        <a:latin typeface="Arial" panose="020F0302020204030204"/>
        <a:ea typeface="Arial"/>
        <a:cs typeface="Arial"/>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F0502020204030204"/>
        <a:ea typeface="Arial"/>
        <a:cs typeface="Arial"/>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7ee2ad8a-2b33-419f-875c-ac0e4cfc6b7f">
      <UserInfo>
        <DisplayName>Mary-Ann Davey (DHHS)</DisplayName>
        <AccountId>22</AccountId>
        <AccountType/>
      </UserInfo>
      <UserInfo>
        <DisplayName>Ellyse Marum (DHHS)</DisplayName>
        <AccountId>27</AccountId>
        <AccountType/>
      </UserInfo>
      <UserInfo>
        <DisplayName>Jim Doumtses (DHHS)</DisplayName>
        <AccountId>37</AccountId>
        <AccountType/>
      </UserInfo>
      <UserInfo>
        <DisplayName>Aleisha McLeod (DHHS)</DisplayName>
        <AccountId>28</AccountId>
        <AccountType/>
      </UserInfo>
      <UserInfo>
        <DisplayName>Rebecca Doherty (DHHS)</DisplayName>
        <AccountId>14</AccountId>
        <AccountType/>
      </UserInfo>
      <UserInfo>
        <DisplayName>Amanda Walpole (DHHS)</DisplayName>
        <AccountId>39</AccountId>
        <AccountType/>
      </UserInfo>
      <UserInfo>
        <DisplayName>Monique Currin (DHHS)</DisplayName>
        <AccountId>102</AccountId>
        <AccountType/>
      </UserInfo>
      <UserInfo>
        <DisplayName>Terry Truman (Health)</DisplayName>
        <AccountId>103</AccountId>
        <AccountType/>
      </UserInfo>
      <UserInfo>
        <DisplayName>Tali Ryan-Atwood (DHHS)</DisplayName>
        <AccountId>21</AccountId>
        <AccountType/>
      </UserInfo>
      <UserInfo>
        <DisplayName>Tanya Farrell (DHHS)</DisplayName>
        <AccountId>25</AccountId>
        <AccountType/>
      </UserInfo>
      <UserInfo>
        <DisplayName>Christina Zaccaria (DHHS)</DisplayName>
        <AccountId>111</AccountId>
        <AccountType/>
      </UserInfo>
      <UserInfo>
        <DisplayName>Kylie Dyson (DHHS)</DisplayName>
        <AccountId>42</AccountId>
        <AccountType/>
      </UserInfo>
      <UserInfo>
        <DisplayName>Emma Gumbleton (DHHS)</DisplayName>
        <AccountId>24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0" ma:contentTypeDescription="Create a new document." ma:contentTypeScope="" ma:versionID="b38078d00aab559dd6efea4bf3147ab8">
  <xsd:schema xmlns:xsd="http://www.w3.org/2001/XMLSchema" xmlns:xs="http://www.w3.org/2001/XMLSchema" xmlns:p="http://schemas.microsoft.com/office/2006/metadata/properties" xmlns:ns2="31b2e4f9-c376-4e2f-bd2e-796d1bcd5746" xmlns:ns3="7ee2ad8a-2b33-419f-875c-ac0e4cfc6b7f" targetNamespace="http://schemas.microsoft.com/office/2006/metadata/properties" ma:root="true" ma:fieldsID="391cd12957b8ea1d68662b38fddbaa61" ns2:_="" ns3:_="">
    <xsd:import namespace="31b2e4f9-c376-4e2f-bd2e-796d1bcd5746"/>
    <xsd:import namespace="7ee2ad8a-2b33-419f-875c-ac0e4cfc6b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27D19-A14E-49AC-9ADF-6CA297C0A68A}">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31b2e4f9-c376-4e2f-bd2e-796d1bcd5746"/>
    <ds:schemaRef ds:uri="7ee2ad8a-2b33-419f-875c-ac0e4cfc6b7f"/>
    <ds:schemaRef ds:uri="http://www.w3.org/XML/1998/namespace"/>
    <ds:schemaRef ds:uri="http://purl.org/dc/dcmitype/"/>
  </ds:schemaRefs>
</ds:datastoreItem>
</file>

<file path=customXml/itemProps2.xml><?xml version="1.0" encoding="utf-8"?>
<ds:datastoreItem xmlns:ds="http://schemas.openxmlformats.org/officeDocument/2006/customXml" ds:itemID="{51190A5C-3A6E-475B-A8B4-B6A5C0D4176F}">
  <ds:schemaRefs>
    <ds:schemaRef ds:uri="http://schemas.microsoft.com/sharepoint/v3/contenttype/forms"/>
  </ds:schemaRefs>
</ds:datastoreItem>
</file>

<file path=customXml/itemProps3.xml><?xml version="1.0" encoding="utf-8"?>
<ds:datastoreItem xmlns:ds="http://schemas.openxmlformats.org/officeDocument/2006/customXml" ds:itemID="{4C06C4BD-6FB5-402D-8EB6-98E1EC648B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77EE2D-1FB9-43EC-B842-FD7A8EEE0F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14560</Words>
  <Characters>82992</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Victorian perinatal services performance indicators</vt:lpstr>
    </vt:vector>
  </TitlesOfParts>
  <Company>Department of Treasury and Finance</Company>
  <LinksUpToDate>false</LinksUpToDate>
  <CharactersWithSpaces>97358</CharactersWithSpaces>
  <SharedDoc>false</SharedDoc>
  <HLinks>
    <vt:vector size="156" baseType="variant">
      <vt:variant>
        <vt:i4>3604526</vt:i4>
      </vt:variant>
      <vt:variant>
        <vt:i4>137</vt:i4>
      </vt:variant>
      <vt:variant>
        <vt:i4>0</vt:i4>
      </vt:variant>
      <vt:variant>
        <vt:i4>5</vt:i4>
      </vt:variant>
      <vt:variant>
        <vt:lpwstr>https://obgyn.onlinelibrary.wiley.com/doi/full/10.1111/1471-0528.13520</vt:lpwstr>
      </vt:variant>
      <vt:variant>
        <vt:lpwstr/>
      </vt:variant>
      <vt:variant>
        <vt:i4>7995515</vt:i4>
      </vt:variant>
      <vt:variant>
        <vt:i4>134</vt:i4>
      </vt:variant>
      <vt:variant>
        <vt:i4>0</vt:i4>
      </vt:variant>
      <vt:variant>
        <vt:i4>5</vt:i4>
      </vt:variant>
      <vt:variant>
        <vt:lpwstr>https://www2.health.vic.gov.au/hospitals-and-health-services/patient-care/perinatal-reproductive/maternity-newborn-services/maternity-newborn-care</vt:lpwstr>
      </vt:variant>
      <vt:variant>
        <vt:lpwstr/>
      </vt:variant>
      <vt:variant>
        <vt:i4>786434</vt:i4>
      </vt:variant>
      <vt:variant>
        <vt:i4>131</vt:i4>
      </vt:variant>
      <vt:variant>
        <vt:i4>0</vt:i4>
      </vt:variant>
      <vt:variant>
        <vt:i4>5</vt:i4>
      </vt:variant>
      <vt:variant>
        <vt:lpwstr>https://www.cambridge.org/core/journals/fetal-and-maternal-medicine-review/article/classification-of-caesarean-sections/1489F66B41725CF7719525EC11655D4C</vt:lpwstr>
      </vt:variant>
      <vt:variant>
        <vt:lpwstr/>
      </vt:variant>
      <vt:variant>
        <vt:i4>6619175</vt:i4>
      </vt:variant>
      <vt:variant>
        <vt:i4>128</vt:i4>
      </vt:variant>
      <vt:variant>
        <vt:i4>0</vt:i4>
      </vt:variant>
      <vt:variant>
        <vt:i4>5</vt:i4>
      </vt:variant>
      <vt:variant>
        <vt:lpwstr>https://www.mja.com.au/journal/2012/197/5/australian-national-birthweight-percentiles-sex-and-gestational-age-1998-2007</vt:lpwstr>
      </vt:variant>
      <vt:variant>
        <vt:lpwstr/>
      </vt:variant>
      <vt:variant>
        <vt:i4>1507379</vt:i4>
      </vt:variant>
      <vt:variant>
        <vt:i4>121</vt:i4>
      </vt:variant>
      <vt:variant>
        <vt:i4>0</vt:i4>
      </vt:variant>
      <vt:variant>
        <vt:i4>5</vt:i4>
      </vt:variant>
      <vt:variant>
        <vt:lpwstr/>
      </vt:variant>
      <vt:variant>
        <vt:lpwstr>_Toc71710131</vt:lpwstr>
      </vt:variant>
      <vt:variant>
        <vt:i4>1441843</vt:i4>
      </vt:variant>
      <vt:variant>
        <vt:i4>115</vt:i4>
      </vt:variant>
      <vt:variant>
        <vt:i4>0</vt:i4>
      </vt:variant>
      <vt:variant>
        <vt:i4>5</vt:i4>
      </vt:variant>
      <vt:variant>
        <vt:lpwstr/>
      </vt:variant>
      <vt:variant>
        <vt:lpwstr>_Toc71710130</vt:lpwstr>
      </vt:variant>
      <vt:variant>
        <vt:i4>2031666</vt:i4>
      </vt:variant>
      <vt:variant>
        <vt:i4>109</vt:i4>
      </vt:variant>
      <vt:variant>
        <vt:i4>0</vt:i4>
      </vt:variant>
      <vt:variant>
        <vt:i4>5</vt:i4>
      </vt:variant>
      <vt:variant>
        <vt:lpwstr/>
      </vt:variant>
      <vt:variant>
        <vt:lpwstr>_Toc71710129</vt:lpwstr>
      </vt:variant>
      <vt:variant>
        <vt:i4>1966130</vt:i4>
      </vt:variant>
      <vt:variant>
        <vt:i4>103</vt:i4>
      </vt:variant>
      <vt:variant>
        <vt:i4>0</vt:i4>
      </vt:variant>
      <vt:variant>
        <vt:i4>5</vt:i4>
      </vt:variant>
      <vt:variant>
        <vt:lpwstr/>
      </vt:variant>
      <vt:variant>
        <vt:lpwstr>_Toc71710128</vt:lpwstr>
      </vt:variant>
      <vt:variant>
        <vt:i4>1114162</vt:i4>
      </vt:variant>
      <vt:variant>
        <vt:i4>97</vt:i4>
      </vt:variant>
      <vt:variant>
        <vt:i4>0</vt:i4>
      </vt:variant>
      <vt:variant>
        <vt:i4>5</vt:i4>
      </vt:variant>
      <vt:variant>
        <vt:lpwstr/>
      </vt:variant>
      <vt:variant>
        <vt:lpwstr>_Toc71710127</vt:lpwstr>
      </vt:variant>
      <vt:variant>
        <vt:i4>1048626</vt:i4>
      </vt:variant>
      <vt:variant>
        <vt:i4>91</vt:i4>
      </vt:variant>
      <vt:variant>
        <vt:i4>0</vt:i4>
      </vt:variant>
      <vt:variant>
        <vt:i4>5</vt:i4>
      </vt:variant>
      <vt:variant>
        <vt:lpwstr/>
      </vt:variant>
      <vt:variant>
        <vt:lpwstr>_Toc71710126</vt:lpwstr>
      </vt:variant>
      <vt:variant>
        <vt:i4>1245234</vt:i4>
      </vt:variant>
      <vt:variant>
        <vt:i4>85</vt:i4>
      </vt:variant>
      <vt:variant>
        <vt:i4>0</vt:i4>
      </vt:variant>
      <vt:variant>
        <vt:i4>5</vt:i4>
      </vt:variant>
      <vt:variant>
        <vt:lpwstr/>
      </vt:variant>
      <vt:variant>
        <vt:lpwstr>_Toc71710125</vt:lpwstr>
      </vt:variant>
      <vt:variant>
        <vt:i4>1179698</vt:i4>
      </vt:variant>
      <vt:variant>
        <vt:i4>79</vt:i4>
      </vt:variant>
      <vt:variant>
        <vt:i4>0</vt:i4>
      </vt:variant>
      <vt:variant>
        <vt:i4>5</vt:i4>
      </vt:variant>
      <vt:variant>
        <vt:lpwstr/>
      </vt:variant>
      <vt:variant>
        <vt:lpwstr>_Toc71710124</vt:lpwstr>
      </vt:variant>
      <vt:variant>
        <vt:i4>1376306</vt:i4>
      </vt:variant>
      <vt:variant>
        <vt:i4>73</vt:i4>
      </vt:variant>
      <vt:variant>
        <vt:i4>0</vt:i4>
      </vt:variant>
      <vt:variant>
        <vt:i4>5</vt:i4>
      </vt:variant>
      <vt:variant>
        <vt:lpwstr/>
      </vt:variant>
      <vt:variant>
        <vt:lpwstr>_Toc71710123</vt:lpwstr>
      </vt:variant>
      <vt:variant>
        <vt:i4>1310770</vt:i4>
      </vt:variant>
      <vt:variant>
        <vt:i4>67</vt:i4>
      </vt:variant>
      <vt:variant>
        <vt:i4>0</vt:i4>
      </vt:variant>
      <vt:variant>
        <vt:i4>5</vt:i4>
      </vt:variant>
      <vt:variant>
        <vt:lpwstr/>
      </vt:variant>
      <vt:variant>
        <vt:lpwstr>_Toc71710122</vt:lpwstr>
      </vt:variant>
      <vt:variant>
        <vt:i4>1507378</vt:i4>
      </vt:variant>
      <vt:variant>
        <vt:i4>61</vt:i4>
      </vt:variant>
      <vt:variant>
        <vt:i4>0</vt:i4>
      </vt:variant>
      <vt:variant>
        <vt:i4>5</vt:i4>
      </vt:variant>
      <vt:variant>
        <vt:lpwstr/>
      </vt:variant>
      <vt:variant>
        <vt:lpwstr>_Toc71710121</vt:lpwstr>
      </vt:variant>
      <vt:variant>
        <vt:i4>1441842</vt:i4>
      </vt:variant>
      <vt:variant>
        <vt:i4>55</vt:i4>
      </vt:variant>
      <vt:variant>
        <vt:i4>0</vt:i4>
      </vt:variant>
      <vt:variant>
        <vt:i4>5</vt:i4>
      </vt:variant>
      <vt:variant>
        <vt:lpwstr/>
      </vt:variant>
      <vt:variant>
        <vt:lpwstr>_Toc71710120</vt:lpwstr>
      </vt:variant>
      <vt:variant>
        <vt:i4>2031665</vt:i4>
      </vt:variant>
      <vt:variant>
        <vt:i4>49</vt:i4>
      </vt:variant>
      <vt:variant>
        <vt:i4>0</vt:i4>
      </vt:variant>
      <vt:variant>
        <vt:i4>5</vt:i4>
      </vt:variant>
      <vt:variant>
        <vt:lpwstr/>
      </vt:variant>
      <vt:variant>
        <vt:lpwstr>_Toc71710119</vt:lpwstr>
      </vt:variant>
      <vt:variant>
        <vt:i4>1966129</vt:i4>
      </vt:variant>
      <vt:variant>
        <vt:i4>43</vt:i4>
      </vt:variant>
      <vt:variant>
        <vt:i4>0</vt:i4>
      </vt:variant>
      <vt:variant>
        <vt:i4>5</vt:i4>
      </vt:variant>
      <vt:variant>
        <vt:lpwstr/>
      </vt:variant>
      <vt:variant>
        <vt:lpwstr>_Toc71710118</vt:lpwstr>
      </vt:variant>
      <vt:variant>
        <vt:i4>1114161</vt:i4>
      </vt:variant>
      <vt:variant>
        <vt:i4>37</vt:i4>
      </vt:variant>
      <vt:variant>
        <vt:i4>0</vt:i4>
      </vt:variant>
      <vt:variant>
        <vt:i4>5</vt:i4>
      </vt:variant>
      <vt:variant>
        <vt:lpwstr/>
      </vt:variant>
      <vt:variant>
        <vt:lpwstr>_Toc71710117</vt:lpwstr>
      </vt:variant>
      <vt:variant>
        <vt:i4>1048625</vt:i4>
      </vt:variant>
      <vt:variant>
        <vt:i4>31</vt:i4>
      </vt:variant>
      <vt:variant>
        <vt:i4>0</vt:i4>
      </vt:variant>
      <vt:variant>
        <vt:i4>5</vt:i4>
      </vt:variant>
      <vt:variant>
        <vt:lpwstr/>
      </vt:variant>
      <vt:variant>
        <vt:lpwstr>_Toc71710116</vt:lpwstr>
      </vt:variant>
      <vt:variant>
        <vt:i4>1245233</vt:i4>
      </vt:variant>
      <vt:variant>
        <vt:i4>25</vt:i4>
      </vt:variant>
      <vt:variant>
        <vt:i4>0</vt:i4>
      </vt:variant>
      <vt:variant>
        <vt:i4>5</vt:i4>
      </vt:variant>
      <vt:variant>
        <vt:lpwstr/>
      </vt:variant>
      <vt:variant>
        <vt:lpwstr>_Toc71710115</vt:lpwstr>
      </vt:variant>
      <vt:variant>
        <vt:i4>1179697</vt:i4>
      </vt:variant>
      <vt:variant>
        <vt:i4>19</vt:i4>
      </vt:variant>
      <vt:variant>
        <vt:i4>0</vt:i4>
      </vt:variant>
      <vt:variant>
        <vt:i4>5</vt:i4>
      </vt:variant>
      <vt:variant>
        <vt:lpwstr/>
      </vt:variant>
      <vt:variant>
        <vt:lpwstr>_Toc71710114</vt:lpwstr>
      </vt:variant>
      <vt:variant>
        <vt:i4>1376305</vt:i4>
      </vt:variant>
      <vt:variant>
        <vt:i4>13</vt:i4>
      </vt:variant>
      <vt:variant>
        <vt:i4>0</vt:i4>
      </vt:variant>
      <vt:variant>
        <vt:i4>5</vt:i4>
      </vt:variant>
      <vt:variant>
        <vt:lpwstr/>
      </vt:variant>
      <vt:variant>
        <vt:lpwstr>_Toc71710113</vt:lpwstr>
      </vt:variant>
      <vt:variant>
        <vt:i4>1310769</vt:i4>
      </vt:variant>
      <vt:variant>
        <vt:i4>7</vt:i4>
      </vt:variant>
      <vt:variant>
        <vt:i4>0</vt:i4>
      </vt:variant>
      <vt:variant>
        <vt:i4>5</vt:i4>
      </vt:variant>
      <vt:variant>
        <vt:lpwstr/>
      </vt:variant>
      <vt:variant>
        <vt:lpwstr>_Toc71710112</vt:lpwstr>
      </vt:variant>
      <vt:variant>
        <vt:i4>6094850</vt:i4>
      </vt:variant>
      <vt:variant>
        <vt:i4>0</vt:i4>
      </vt:variant>
      <vt:variant>
        <vt:i4>0</vt:i4>
      </vt:variant>
      <vt:variant>
        <vt:i4>5</vt:i4>
      </vt:variant>
      <vt:variant>
        <vt:lpwstr>http://www.safercare.vic/</vt:lpwstr>
      </vt:variant>
      <vt:variant>
        <vt:lpwstr/>
      </vt:variant>
      <vt:variant>
        <vt:i4>6627353</vt:i4>
      </vt:variant>
      <vt:variant>
        <vt:i4>0</vt:i4>
      </vt:variant>
      <vt:variant>
        <vt:i4>0</vt:i4>
      </vt:variant>
      <vt:variant>
        <vt:i4>5</vt:i4>
      </vt:variant>
      <vt:variant>
        <vt:lpwstr>https://www.mja.com.au/journal/2012/197/5/australian-national-birthweight-percentiles-sex-and-gestational-age-1998–2007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perinatal services performance indicators</dc:title>
  <dc:subject/>
  <dc:creator>Emma Gumbleton (DHHS)</dc:creator>
  <cp:keywords/>
  <cp:lastModifiedBy>Emma Gumbleton (DHHS)</cp:lastModifiedBy>
  <cp:revision>3</cp:revision>
  <cp:lastPrinted>2021-05-26T07:33:00Z</cp:lastPrinted>
  <dcterms:created xsi:type="dcterms:W3CDTF">2021-06-11T01:38:00Z</dcterms:created>
  <dcterms:modified xsi:type="dcterms:W3CDTF">2021-06-11T01:40:00Z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346754aa-f64f-4676-8998-5678c96f0a97</vt:lpwstr>
  </property>
  <property fmtid="{D5CDD505-2E9C-101B-9397-08002B2CF9AE}" pid="3" name="PSPFClassification">
    <vt:lpwstr>Do Not Mark</vt:lpwstr>
  </property>
  <property fmtid="{D5CDD505-2E9C-101B-9397-08002B2CF9AE}" pid="4" name="MSIP_Label_efdf5488-3066-4b6c-8fea-9472b8a1f34c_Enabled">
    <vt:lpwstr>true</vt:lpwstr>
  </property>
  <property fmtid="{D5CDD505-2E9C-101B-9397-08002B2CF9AE}" pid="5" name="MSIP_Label_efdf5488-3066-4b6c-8fea-9472b8a1f34c_SetDate">
    <vt:lpwstr>2021-02-05T03:27:42Z</vt:lpwstr>
  </property>
  <property fmtid="{D5CDD505-2E9C-101B-9397-08002B2CF9AE}" pid="6" name="MSIP_Label_efdf5488-3066-4b6c-8fea-9472b8a1f34c_Method">
    <vt:lpwstr>Privileged</vt:lpwstr>
  </property>
  <property fmtid="{D5CDD505-2E9C-101B-9397-08002B2CF9AE}" pid="7" name="MSIP_Label_efdf5488-3066-4b6c-8fea-9472b8a1f34c_Name">
    <vt:lpwstr>efdf5488-3066-4b6c-8fea-9472b8a1f34c</vt:lpwstr>
  </property>
  <property fmtid="{D5CDD505-2E9C-101B-9397-08002B2CF9AE}" pid="8" name="MSIP_Label_efdf5488-3066-4b6c-8fea-9472b8a1f34c_SiteId">
    <vt:lpwstr>c0e0601f-0fac-449c-9c88-a104c4eb9f28</vt:lpwstr>
  </property>
  <property fmtid="{D5CDD505-2E9C-101B-9397-08002B2CF9AE}" pid="9" name="MSIP_Label_efdf5488-3066-4b6c-8fea-9472b8a1f34c_ActionId">
    <vt:lpwstr>fb2b634c-012e-49e8-9f58-33f8f18f85d6</vt:lpwstr>
  </property>
  <property fmtid="{D5CDD505-2E9C-101B-9397-08002B2CF9AE}" pid="10" name="MSIP_Label_efdf5488-3066-4b6c-8fea-9472b8a1f34c_ContentBits">
    <vt:lpwstr>0</vt:lpwstr>
  </property>
  <property fmtid="{D5CDD505-2E9C-101B-9397-08002B2CF9AE}" pid="11" name="ContentTypeId">
    <vt:lpwstr>0x01010026D179483B3A4E458E2DA955233B6DD4</vt:lpwstr>
  </property>
</Properties>
</file>