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9267A" w:rsidR="00D15955" w:rsidP="00D15955" w:rsidRDefault="004629CC" w14:paraId="2CB29028" w14:textId="4C15076F">
      <w:pPr>
        <w:pStyle w:val="SCVdate"/>
      </w:pPr>
      <w:r>
        <w:t>October</w:t>
      </w:r>
      <w:r w:rsidR="0012217B">
        <w:t xml:space="preserve"> </w:t>
      </w:r>
      <w:r w:rsidR="003E1387">
        <w:t>2022</w:t>
      </w:r>
    </w:p>
    <w:p w:rsidRPr="0059267A" w:rsidR="00C50A2B" w:rsidP="001D7CEA" w:rsidRDefault="00264A44" w14:paraId="1508C9EB" w14:textId="4F14A68D">
      <w:pPr>
        <w:pStyle w:val="SCVreporttitle"/>
        <w:spacing w:before="160"/>
      </w:pPr>
      <w:r>
        <w:t xml:space="preserve">Victorian </w:t>
      </w:r>
      <w:r w:rsidR="002842DF">
        <w:t>D</w:t>
      </w:r>
      <w:r>
        <w:t xml:space="preserve">uty of </w:t>
      </w:r>
      <w:r w:rsidR="002842DF">
        <w:t>C</w:t>
      </w:r>
      <w:r w:rsidR="00AF4A8F">
        <w:t xml:space="preserve">andour </w:t>
      </w:r>
      <w:r w:rsidR="002842DF">
        <w:t>G</w:t>
      </w:r>
      <w:r>
        <w:t>uidelines</w:t>
      </w:r>
    </w:p>
    <w:p w:rsidRPr="0059267A" w:rsidR="00C50A2B" w:rsidP="00C50A2B" w:rsidRDefault="00CB4AFB" w14:paraId="0D36EE34" w14:textId="77777777">
      <w:pPr>
        <w:pStyle w:val="SCVprotectivemarkingbelowsubtitle"/>
      </w:pPr>
      <w:r>
        <w:fldChar w:fldCharType="begin"/>
      </w:r>
      <w:r>
        <w:instrText>FILLIN  "Type the protective marking" \d OFFICIAL \o  \* MERGEFORMAT</w:instrText>
      </w:r>
      <w:r>
        <w:fldChar w:fldCharType="separate"/>
      </w:r>
      <w:r w:rsidR="00264A44">
        <w:t>OFFICIAL</w:t>
      </w:r>
      <w:r>
        <w:fldChar w:fldCharType="end"/>
      </w:r>
    </w:p>
    <w:p w:rsidRPr="0059267A" w:rsidR="009A35AA" w:rsidP="00A46288" w:rsidRDefault="009A35AA" w14:paraId="0F5CEC5A" w14:textId="77777777">
      <w:pPr>
        <w:pStyle w:val="NoSpacing"/>
      </w:pPr>
    </w:p>
    <w:p w:rsidRPr="001354E5" w:rsidR="00B70DF0" w:rsidP="00A45CB0" w:rsidRDefault="00B70DF0" w14:paraId="7AE3F9A8" w14:textId="2793AE3C">
      <w:pPr>
        <w:pStyle w:val="SCVbody"/>
        <w:rPr>
          <w:b/>
          <w:bCs/>
          <w:sz w:val="24"/>
          <w:szCs w:val="24"/>
        </w:rPr>
        <w:sectPr w:rsidRPr="001354E5" w:rsidR="00B70DF0"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tbl>
      <w:tblPr>
        <w:tblStyle w:val="SCVInformationTable"/>
        <w:tblW w:w="10206" w:type="dxa"/>
        <w:tblLook w:val="0600" w:firstRow="0" w:lastRow="0" w:firstColumn="0" w:lastColumn="0" w:noHBand="1" w:noVBand="1"/>
      </w:tblPr>
      <w:tblGrid>
        <w:gridCol w:w="10206"/>
      </w:tblGrid>
      <w:tr w:rsidRPr="0059267A" w:rsidR="00B556E1" w:rsidTr="00450A0D" w14:paraId="327BEBE4" w14:textId="77777777">
        <w:trPr>
          <w:trHeight w:val="6954"/>
        </w:trPr>
        <w:tc>
          <w:tcPr>
            <w:tcW w:w="9070" w:type="dxa"/>
            <w:shd w:val="clear" w:color="auto" w:fill="auto"/>
          </w:tcPr>
          <w:p w:rsidRPr="0059267A" w:rsidR="00B556E1" w:rsidP="00A45CB0" w:rsidRDefault="00B556E1" w14:paraId="16ED8E61" w14:textId="77777777">
            <w:pPr>
              <w:pStyle w:val="SCVaccessibilitypara"/>
            </w:pPr>
          </w:p>
        </w:tc>
      </w:tr>
      <w:tr w:rsidRPr="0059267A" w:rsidR="00C539DC" w:rsidTr="00450A0D" w14:paraId="6331E594" w14:textId="77777777">
        <w:trPr>
          <w:cantSplit/>
          <w:trHeight w:val="3690"/>
        </w:trPr>
        <w:tc>
          <w:tcPr>
            <w:tcW w:w="9070" w:type="dxa"/>
          </w:tcPr>
          <w:p w:rsidRPr="0059267A" w:rsidR="00C539DC" w:rsidP="00A45CB0" w:rsidRDefault="00C539DC" w14:paraId="57155CB3" w14:textId="2BC3AB2C">
            <w:pPr>
              <w:pStyle w:val="SCVaccessibilitypara"/>
            </w:pPr>
            <w:r w:rsidRPr="0059267A">
              <w:t xml:space="preserve">To receive this publication in an accessible format phone </w:t>
            </w:r>
            <w:r w:rsidRPr="5F49EFAE">
              <w:t>03 9096 1384</w:t>
            </w:r>
            <w:r w:rsidRPr="0059267A">
              <w:t xml:space="preserve">, </w:t>
            </w:r>
            <w:r w:rsidRPr="0059267A" w:rsidR="00D662E0">
              <w:br/>
            </w:r>
            <w:r w:rsidRPr="0059267A">
              <w:t xml:space="preserve">using the National Relay Service 13 36 </w:t>
            </w:r>
            <w:r w:rsidRPr="0059267A">
              <w:rPr>
                <w:spacing w:val="-2"/>
              </w:rPr>
              <w:t xml:space="preserve">77 if required, or </w:t>
            </w:r>
            <w:hyperlink w:history="1" r:id="rId17">
              <w:r w:rsidRPr="0059267A">
                <w:rPr>
                  <w:rStyle w:val="Hyperlink"/>
                </w:rPr>
                <w:t>email Safer Care Victoria</w:t>
              </w:r>
            </w:hyperlink>
            <w:r w:rsidRPr="0059267A">
              <w:t xml:space="preserve"> </w:t>
            </w:r>
            <w:r w:rsidRPr="0059267A" w:rsidR="00D662E0">
              <w:t>&lt;</w:t>
            </w:r>
            <w:r w:rsidRPr="0059267A" w:rsidR="00947A0F">
              <w:t>info@</w:t>
            </w:r>
            <w:hyperlink w:history="1" r:id="rId18">
              <w:r w:rsidRPr="0059267A">
                <w:t>safercarevictoria.vic</w:t>
              </w:r>
            </w:hyperlink>
            <w:r w:rsidRPr="0059267A">
              <w:t>.gov.au</w:t>
            </w:r>
            <w:r w:rsidRPr="0059267A" w:rsidR="00D662E0">
              <w:t>&gt;</w:t>
            </w:r>
          </w:p>
          <w:p w:rsidRPr="0059267A" w:rsidR="00C539DC" w:rsidP="00B37FF8" w:rsidRDefault="00C539DC" w14:paraId="699214D1" w14:textId="77777777">
            <w:pPr>
              <w:pStyle w:val="SCVimprint"/>
            </w:pPr>
            <w:r w:rsidRPr="0059267A">
              <w:t xml:space="preserve">Authorised and </w:t>
            </w:r>
            <w:r w:rsidRPr="0059267A">
              <w:rPr>
                <w:spacing w:val="-2"/>
              </w:rPr>
              <w:t>published by the Victorian</w:t>
            </w:r>
            <w:r w:rsidRPr="0059267A">
              <w:t xml:space="preserve"> Government, 1 Treasury Place, Melbourne.</w:t>
            </w:r>
          </w:p>
          <w:p w:rsidRPr="0059267A" w:rsidR="00C539DC" w:rsidP="00B37FF8" w:rsidRDefault="00C539DC" w14:paraId="2435954E" w14:textId="257576F9">
            <w:pPr>
              <w:pStyle w:val="SCVimprint"/>
              <w:rPr>
                <w:color w:val="C00000"/>
                <w:highlight w:val="yellow"/>
              </w:rPr>
            </w:pPr>
            <w:r w:rsidRPr="0059267A">
              <w:t xml:space="preserve">© State of Victoria, Australia, Safer Care Victoria, </w:t>
            </w:r>
            <w:r w:rsidR="003B553E">
              <w:t xml:space="preserve">October </w:t>
            </w:r>
            <w:r>
              <w:t>2022</w:t>
            </w:r>
          </w:p>
          <w:p w:rsidRPr="0059267A" w:rsidR="00C539DC" w:rsidP="00B37FF8" w:rsidRDefault="00C539DC" w14:paraId="36ADA315" w14:textId="25E17470">
            <w:pPr>
              <w:pStyle w:val="SCVimprint"/>
              <w:rPr>
                <w:highlight w:val="yellow"/>
              </w:rPr>
            </w:pPr>
            <w:r w:rsidRPr="00BD089C">
              <w:t>ISBN</w:t>
            </w:r>
            <w:r w:rsidRPr="00BD089C" w:rsidR="00BD089C">
              <w:t xml:space="preserve"> 978-1-76096-937-0</w:t>
            </w:r>
          </w:p>
          <w:p w:rsidRPr="0059267A" w:rsidR="00C539DC" w:rsidP="00B37FF8" w:rsidRDefault="3A145F06" w14:paraId="3E563CFD" w14:textId="265419C9">
            <w:pPr>
              <w:pStyle w:val="SCVimprint"/>
            </w:pPr>
            <w:r>
              <w:t xml:space="preserve">Available at the </w:t>
            </w:r>
            <w:hyperlink r:id="rId19">
              <w:r w:rsidRPr="3FA85F46">
                <w:rPr>
                  <w:rStyle w:val="Hyperlink"/>
                </w:rPr>
                <w:t>Safer Care Victoria website</w:t>
              </w:r>
            </w:hyperlink>
            <w:r>
              <w:t xml:space="preserve"> </w:t>
            </w:r>
            <w:r w:rsidR="6EED3028">
              <w:t>&lt;</w:t>
            </w:r>
            <w:r>
              <w:t>https://</w:t>
            </w:r>
            <w:hyperlink r:id="rId20">
              <w:r>
                <w:t>www.safercare.vic</w:t>
              </w:r>
            </w:hyperlink>
            <w:r>
              <w:t>.gov.au</w:t>
            </w:r>
            <w:r w:rsidR="6EED3028">
              <w:t>&gt;</w:t>
            </w:r>
          </w:p>
          <w:p w:rsidRPr="0059267A" w:rsidR="00C539DC" w:rsidP="00205C68" w:rsidRDefault="00C539DC" w14:paraId="0D6E8005" w14:textId="77777777">
            <w:pPr>
              <w:pStyle w:val="SCVbody"/>
              <w:jc w:val="right"/>
            </w:pPr>
            <w:r w:rsidRPr="0059267A">
              <w:rPr>
                <w:noProof/>
              </w:rPr>
              <w:drawing>
                <wp:inline distT="0" distB="0" distL="0" distR="0" wp14:anchorId="1AD50B83" wp14:editId="7A27642C">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rsidRPr="0059267A" w:rsidR="0086277A" w:rsidP="00264A44" w:rsidRDefault="0086277A" w14:paraId="0C414D97" w14:textId="77777777">
      <w:pPr>
        <w:pStyle w:val="SCVbody"/>
        <w:spacing w:before="0" w:after="0" w:line="240" w:lineRule="auto"/>
      </w:pPr>
    </w:p>
    <w:p w:rsidRPr="0059267A" w:rsidR="0086277A" w:rsidP="00A45CB0" w:rsidRDefault="0086277A" w14:paraId="404A3FC5" w14:textId="77777777">
      <w:pPr>
        <w:pStyle w:val="SCVbody"/>
        <w:sectPr w:rsidRPr="0059267A" w:rsidR="0086277A" w:rsidSect="00616087">
          <w:headerReference w:type="even" r:id="rId22"/>
          <w:headerReference w:type="default" r:id="rId23"/>
          <w:footerReference w:type="even" r:id="rId24"/>
          <w:footerReference w:type="default" r:id="rId25"/>
          <w:headerReference w:type="first" r:id="rId26"/>
          <w:footerReference w:type="first" r:id="rId27"/>
          <w:pgSz w:w="11906" w:h="16838" w:code="9"/>
          <w:pgMar w:top="3402" w:right="851" w:bottom="1361" w:left="851" w:header="851" w:footer="851" w:gutter="0"/>
          <w:pgNumType w:fmt="lowerRoman"/>
          <w:cols w:space="284"/>
          <w:docGrid w:linePitch="360"/>
        </w:sectPr>
      </w:pPr>
    </w:p>
    <w:p w:rsidRPr="00BB2AC2" w:rsidR="00294A5A" w:rsidP="00BB2AC2" w:rsidRDefault="00294A5A" w14:paraId="7B7D3EF5" w14:textId="561D6329">
      <w:pPr>
        <w:pStyle w:val="SCVintroductorytext"/>
        <w:rPr>
          <w:sz w:val="44"/>
          <w:szCs w:val="44"/>
        </w:rPr>
      </w:pPr>
      <w:bookmarkStart w:name="_Toc86070005" w:id="0"/>
      <w:bookmarkStart w:name="_Toc86403613" w:id="1"/>
      <w:r w:rsidRPr="00BB2AC2">
        <w:rPr>
          <w:sz w:val="44"/>
          <w:szCs w:val="44"/>
        </w:rPr>
        <w:lastRenderedPageBreak/>
        <w:t>Contents</w:t>
      </w:r>
      <w:bookmarkEnd w:id="0"/>
      <w:bookmarkEnd w:id="1"/>
    </w:p>
    <w:p w:rsidR="00511B52" w:rsidRDefault="00701703" w14:paraId="0DB99BC0" w14:textId="11AF9FAF">
      <w:pPr>
        <w:pStyle w:val="TOC1"/>
        <w:rPr>
          <w:b w:val="0"/>
          <w:sz w:val="22"/>
          <w:szCs w:val="22"/>
          <w:lang w:eastAsia="en-AU"/>
        </w:rPr>
      </w:pPr>
      <w:r>
        <w:rPr>
          <w:rStyle w:val="Hyperlink"/>
          <w:sz w:val="19"/>
        </w:rPr>
        <w:fldChar w:fldCharType="begin"/>
      </w:r>
      <w:r>
        <w:rPr>
          <w:rStyle w:val="Hyperlink"/>
          <w:sz w:val="19"/>
        </w:rPr>
        <w:instrText xml:space="preserve"> TOC \o "1-2" \h \z \u </w:instrText>
      </w:r>
      <w:r>
        <w:rPr>
          <w:rStyle w:val="Hyperlink"/>
          <w:sz w:val="19"/>
        </w:rPr>
        <w:fldChar w:fldCharType="separate"/>
      </w:r>
      <w:hyperlink w:history="1" w:anchor="_Toc117524288">
        <w:r w:rsidRPr="00E4247B" w:rsidR="00511B52">
          <w:rPr>
            <w:rStyle w:val="Hyperlink"/>
          </w:rPr>
          <w:t>1. Victorian Duty of Candour Guidelines</w:t>
        </w:r>
        <w:r w:rsidR="00511B52">
          <w:rPr>
            <w:webHidden/>
          </w:rPr>
          <w:tab/>
        </w:r>
        <w:r w:rsidR="00511B52">
          <w:rPr>
            <w:webHidden/>
          </w:rPr>
          <w:fldChar w:fldCharType="begin"/>
        </w:r>
        <w:r w:rsidR="00511B52">
          <w:rPr>
            <w:webHidden/>
          </w:rPr>
          <w:instrText xml:space="preserve"> PAGEREF _Toc117524288 \h </w:instrText>
        </w:r>
        <w:r w:rsidR="00511B52">
          <w:rPr>
            <w:webHidden/>
          </w:rPr>
        </w:r>
        <w:r w:rsidR="00511B52">
          <w:rPr>
            <w:webHidden/>
          </w:rPr>
          <w:fldChar w:fldCharType="separate"/>
        </w:r>
        <w:r w:rsidR="00511B52">
          <w:rPr>
            <w:webHidden/>
          </w:rPr>
          <w:t>2</w:t>
        </w:r>
        <w:r w:rsidR="00511B52">
          <w:rPr>
            <w:webHidden/>
          </w:rPr>
          <w:fldChar w:fldCharType="end"/>
        </w:r>
      </w:hyperlink>
    </w:p>
    <w:p w:rsidR="00511B52" w:rsidRDefault="007E7785" w14:paraId="2498BA98" w14:textId="03C53D23">
      <w:pPr>
        <w:pStyle w:val="TOC2"/>
        <w:rPr>
          <w:b w:val="0"/>
          <w:color w:val="auto"/>
          <w:sz w:val="22"/>
          <w:szCs w:val="22"/>
        </w:rPr>
      </w:pPr>
      <w:hyperlink w:history="1" w:anchor="_Toc117524289">
        <w:r w:rsidRPr="00E4247B" w:rsidR="00511B52">
          <w:rPr>
            <w:rStyle w:val="Hyperlink"/>
          </w:rPr>
          <w:t>1.1</w:t>
        </w:r>
        <w:r w:rsidR="00511B52">
          <w:rPr>
            <w:b w:val="0"/>
            <w:color w:val="auto"/>
            <w:sz w:val="22"/>
            <w:szCs w:val="22"/>
          </w:rPr>
          <w:tab/>
        </w:r>
        <w:r w:rsidRPr="00E4247B" w:rsidR="00511B52">
          <w:rPr>
            <w:rStyle w:val="Hyperlink"/>
          </w:rPr>
          <w:t>Introduction</w:t>
        </w:r>
        <w:r w:rsidR="00511B52">
          <w:rPr>
            <w:webHidden/>
          </w:rPr>
          <w:tab/>
        </w:r>
        <w:r w:rsidR="00511B52">
          <w:rPr>
            <w:webHidden/>
          </w:rPr>
          <w:fldChar w:fldCharType="begin"/>
        </w:r>
        <w:r w:rsidR="00511B52">
          <w:rPr>
            <w:webHidden/>
          </w:rPr>
          <w:instrText xml:space="preserve"> PAGEREF _Toc117524289 \h </w:instrText>
        </w:r>
        <w:r w:rsidR="00511B52">
          <w:rPr>
            <w:webHidden/>
          </w:rPr>
        </w:r>
        <w:r w:rsidR="00511B52">
          <w:rPr>
            <w:webHidden/>
          </w:rPr>
          <w:fldChar w:fldCharType="separate"/>
        </w:r>
        <w:r w:rsidR="00511B52">
          <w:rPr>
            <w:webHidden/>
          </w:rPr>
          <w:t>2</w:t>
        </w:r>
        <w:r w:rsidR="00511B52">
          <w:rPr>
            <w:webHidden/>
          </w:rPr>
          <w:fldChar w:fldCharType="end"/>
        </w:r>
      </w:hyperlink>
    </w:p>
    <w:p w:rsidR="00511B52" w:rsidRDefault="007E7785" w14:paraId="123B0DC9" w14:textId="1B5FA6A1">
      <w:pPr>
        <w:pStyle w:val="TOC2"/>
        <w:rPr>
          <w:b w:val="0"/>
          <w:color w:val="auto"/>
          <w:sz w:val="22"/>
          <w:szCs w:val="22"/>
        </w:rPr>
      </w:pPr>
      <w:hyperlink w:history="1" w:anchor="_Toc117524290">
        <w:r w:rsidRPr="00E4247B" w:rsidR="00511B52">
          <w:rPr>
            <w:rStyle w:val="Hyperlink"/>
          </w:rPr>
          <w:t>1.2</w:t>
        </w:r>
        <w:r w:rsidR="00511B52">
          <w:rPr>
            <w:b w:val="0"/>
            <w:color w:val="auto"/>
            <w:sz w:val="22"/>
            <w:szCs w:val="22"/>
          </w:rPr>
          <w:tab/>
        </w:r>
        <w:r w:rsidRPr="00E4247B" w:rsidR="00511B52">
          <w:rPr>
            <w:rStyle w:val="Hyperlink"/>
          </w:rPr>
          <w:t>Health service entities that must comply with these Guidelines</w:t>
        </w:r>
        <w:r w:rsidR="00511B52">
          <w:rPr>
            <w:webHidden/>
          </w:rPr>
          <w:tab/>
        </w:r>
        <w:r w:rsidR="00511B52">
          <w:rPr>
            <w:webHidden/>
          </w:rPr>
          <w:fldChar w:fldCharType="begin"/>
        </w:r>
        <w:r w:rsidR="00511B52">
          <w:rPr>
            <w:webHidden/>
          </w:rPr>
          <w:instrText xml:space="preserve"> PAGEREF _Toc117524290 \h </w:instrText>
        </w:r>
        <w:r w:rsidR="00511B52">
          <w:rPr>
            <w:webHidden/>
          </w:rPr>
        </w:r>
        <w:r w:rsidR="00511B52">
          <w:rPr>
            <w:webHidden/>
          </w:rPr>
          <w:fldChar w:fldCharType="separate"/>
        </w:r>
        <w:r w:rsidR="00511B52">
          <w:rPr>
            <w:webHidden/>
          </w:rPr>
          <w:t>2</w:t>
        </w:r>
        <w:r w:rsidR="00511B52">
          <w:rPr>
            <w:webHidden/>
          </w:rPr>
          <w:fldChar w:fldCharType="end"/>
        </w:r>
      </w:hyperlink>
    </w:p>
    <w:p w:rsidR="00511B52" w:rsidRDefault="007E7785" w14:paraId="7E8C8875" w14:textId="10B3D547">
      <w:pPr>
        <w:pStyle w:val="TOC2"/>
        <w:rPr>
          <w:b w:val="0"/>
          <w:color w:val="auto"/>
          <w:sz w:val="22"/>
          <w:szCs w:val="22"/>
        </w:rPr>
      </w:pPr>
      <w:hyperlink w:history="1" w:anchor="_Toc117524291">
        <w:r w:rsidRPr="00E4247B" w:rsidR="00511B52">
          <w:rPr>
            <w:rStyle w:val="Hyperlink"/>
          </w:rPr>
          <w:t>1.3</w:t>
        </w:r>
        <w:r w:rsidR="00511B52">
          <w:rPr>
            <w:b w:val="0"/>
            <w:color w:val="auto"/>
            <w:sz w:val="22"/>
            <w:szCs w:val="22"/>
          </w:rPr>
          <w:tab/>
        </w:r>
        <w:r w:rsidRPr="00E4247B" w:rsidR="00511B52">
          <w:rPr>
            <w:rStyle w:val="Hyperlink"/>
          </w:rPr>
          <w:t>Consequences for non-compliance with these Guidelines</w:t>
        </w:r>
        <w:r w:rsidR="00511B52">
          <w:rPr>
            <w:webHidden/>
          </w:rPr>
          <w:tab/>
        </w:r>
        <w:r w:rsidR="00511B52">
          <w:rPr>
            <w:webHidden/>
          </w:rPr>
          <w:fldChar w:fldCharType="begin"/>
        </w:r>
        <w:r w:rsidR="00511B52">
          <w:rPr>
            <w:webHidden/>
          </w:rPr>
          <w:instrText xml:space="preserve"> PAGEREF _Toc117524291 \h </w:instrText>
        </w:r>
        <w:r w:rsidR="00511B52">
          <w:rPr>
            <w:webHidden/>
          </w:rPr>
        </w:r>
        <w:r w:rsidR="00511B52">
          <w:rPr>
            <w:webHidden/>
          </w:rPr>
          <w:fldChar w:fldCharType="separate"/>
        </w:r>
        <w:r w:rsidR="00511B52">
          <w:rPr>
            <w:webHidden/>
          </w:rPr>
          <w:t>2</w:t>
        </w:r>
        <w:r w:rsidR="00511B52">
          <w:rPr>
            <w:webHidden/>
          </w:rPr>
          <w:fldChar w:fldCharType="end"/>
        </w:r>
      </w:hyperlink>
    </w:p>
    <w:p w:rsidR="00511B52" w:rsidRDefault="007E7785" w14:paraId="705BEE0B" w14:textId="7BA928C9">
      <w:pPr>
        <w:pStyle w:val="TOC1"/>
        <w:rPr>
          <w:b w:val="0"/>
          <w:sz w:val="22"/>
          <w:szCs w:val="22"/>
          <w:lang w:eastAsia="en-AU"/>
        </w:rPr>
      </w:pPr>
      <w:hyperlink w:history="1" w:anchor="_Toc117524292">
        <w:r w:rsidRPr="00E4247B" w:rsidR="00511B52">
          <w:rPr>
            <w:rStyle w:val="Hyperlink"/>
          </w:rPr>
          <w:t>2. Definitions</w:t>
        </w:r>
        <w:r w:rsidR="00511B52">
          <w:rPr>
            <w:webHidden/>
          </w:rPr>
          <w:tab/>
        </w:r>
        <w:r w:rsidR="00511B52">
          <w:rPr>
            <w:webHidden/>
          </w:rPr>
          <w:fldChar w:fldCharType="begin"/>
        </w:r>
        <w:r w:rsidR="00511B52">
          <w:rPr>
            <w:webHidden/>
          </w:rPr>
          <w:instrText xml:space="preserve"> PAGEREF _Toc117524292 \h </w:instrText>
        </w:r>
        <w:r w:rsidR="00511B52">
          <w:rPr>
            <w:webHidden/>
          </w:rPr>
        </w:r>
        <w:r w:rsidR="00511B52">
          <w:rPr>
            <w:webHidden/>
          </w:rPr>
          <w:fldChar w:fldCharType="separate"/>
        </w:r>
        <w:r w:rsidR="00511B52">
          <w:rPr>
            <w:webHidden/>
          </w:rPr>
          <w:t>4</w:t>
        </w:r>
        <w:r w:rsidR="00511B52">
          <w:rPr>
            <w:webHidden/>
          </w:rPr>
          <w:fldChar w:fldCharType="end"/>
        </w:r>
      </w:hyperlink>
    </w:p>
    <w:p w:rsidR="00511B52" w:rsidRDefault="007E7785" w14:paraId="11C8160F" w14:textId="7AEDD9DC">
      <w:pPr>
        <w:pStyle w:val="TOC1"/>
        <w:rPr>
          <w:b w:val="0"/>
          <w:sz w:val="22"/>
          <w:szCs w:val="22"/>
          <w:lang w:eastAsia="en-AU"/>
        </w:rPr>
      </w:pPr>
      <w:hyperlink w:history="1" w:anchor="_Toc117524293">
        <w:r w:rsidRPr="00E4247B" w:rsidR="00511B52">
          <w:rPr>
            <w:rStyle w:val="Hyperlink"/>
          </w:rPr>
          <w:t>3. SDC Requirements</w:t>
        </w:r>
        <w:r w:rsidR="00511B52">
          <w:rPr>
            <w:webHidden/>
          </w:rPr>
          <w:tab/>
        </w:r>
        <w:r w:rsidR="00511B52">
          <w:rPr>
            <w:webHidden/>
          </w:rPr>
          <w:fldChar w:fldCharType="begin"/>
        </w:r>
        <w:r w:rsidR="00511B52">
          <w:rPr>
            <w:webHidden/>
          </w:rPr>
          <w:instrText xml:space="preserve"> PAGEREF _Toc117524293 \h </w:instrText>
        </w:r>
        <w:r w:rsidR="00511B52">
          <w:rPr>
            <w:webHidden/>
          </w:rPr>
        </w:r>
        <w:r w:rsidR="00511B52">
          <w:rPr>
            <w:webHidden/>
          </w:rPr>
          <w:fldChar w:fldCharType="separate"/>
        </w:r>
        <w:r w:rsidR="00511B52">
          <w:rPr>
            <w:webHidden/>
          </w:rPr>
          <w:t>6</w:t>
        </w:r>
        <w:r w:rsidR="00511B52">
          <w:rPr>
            <w:webHidden/>
          </w:rPr>
          <w:fldChar w:fldCharType="end"/>
        </w:r>
      </w:hyperlink>
    </w:p>
    <w:p w:rsidR="00511B52" w:rsidRDefault="007E7785" w14:paraId="4402ECE1" w14:textId="1336FB92">
      <w:pPr>
        <w:pStyle w:val="TOC2"/>
        <w:rPr>
          <w:b w:val="0"/>
          <w:color w:val="auto"/>
          <w:sz w:val="22"/>
          <w:szCs w:val="22"/>
        </w:rPr>
      </w:pPr>
      <w:hyperlink w:history="1" w:anchor="_Toc117524294">
        <w:r w:rsidRPr="00E4247B" w:rsidR="00511B52">
          <w:rPr>
            <w:rStyle w:val="Hyperlink"/>
          </w:rPr>
          <w:t>3.1</w:t>
        </w:r>
        <w:r w:rsidR="00511B52">
          <w:rPr>
            <w:b w:val="0"/>
            <w:color w:val="auto"/>
            <w:sz w:val="22"/>
            <w:szCs w:val="22"/>
          </w:rPr>
          <w:tab/>
        </w:r>
        <w:r w:rsidRPr="00E4247B" w:rsidR="00511B52">
          <w:rPr>
            <w:rStyle w:val="Hyperlink"/>
          </w:rPr>
          <w:t>SDC</w:t>
        </w:r>
        <w:r w:rsidR="00511B52">
          <w:rPr>
            <w:webHidden/>
          </w:rPr>
          <w:tab/>
        </w:r>
        <w:r w:rsidR="00511B52">
          <w:rPr>
            <w:webHidden/>
          </w:rPr>
          <w:fldChar w:fldCharType="begin"/>
        </w:r>
        <w:r w:rsidR="00511B52">
          <w:rPr>
            <w:webHidden/>
          </w:rPr>
          <w:instrText xml:space="preserve"> PAGEREF _Toc117524294 \h </w:instrText>
        </w:r>
        <w:r w:rsidR="00511B52">
          <w:rPr>
            <w:webHidden/>
          </w:rPr>
        </w:r>
        <w:r w:rsidR="00511B52">
          <w:rPr>
            <w:webHidden/>
          </w:rPr>
          <w:fldChar w:fldCharType="separate"/>
        </w:r>
        <w:r w:rsidR="00511B52">
          <w:rPr>
            <w:webHidden/>
          </w:rPr>
          <w:t>6</w:t>
        </w:r>
        <w:r w:rsidR="00511B52">
          <w:rPr>
            <w:webHidden/>
          </w:rPr>
          <w:fldChar w:fldCharType="end"/>
        </w:r>
      </w:hyperlink>
    </w:p>
    <w:p w:rsidR="00511B52" w:rsidRDefault="007E7785" w14:paraId="3F464CC1" w14:textId="5DF35B38">
      <w:pPr>
        <w:pStyle w:val="TOC2"/>
        <w:rPr>
          <w:b w:val="0"/>
          <w:color w:val="auto"/>
          <w:sz w:val="22"/>
          <w:szCs w:val="22"/>
        </w:rPr>
      </w:pPr>
      <w:hyperlink w:history="1" w:anchor="_Toc117524295">
        <w:r w:rsidRPr="00E4247B" w:rsidR="00511B52">
          <w:rPr>
            <w:rStyle w:val="Hyperlink"/>
          </w:rPr>
          <w:t>3.2</w:t>
        </w:r>
        <w:r w:rsidR="00511B52">
          <w:rPr>
            <w:b w:val="0"/>
            <w:color w:val="auto"/>
            <w:sz w:val="22"/>
            <w:szCs w:val="22"/>
          </w:rPr>
          <w:tab/>
        </w:r>
        <w:r w:rsidRPr="00E4247B" w:rsidR="00511B52">
          <w:rPr>
            <w:rStyle w:val="Hyperlink"/>
          </w:rPr>
          <w:t>Requirements</w:t>
        </w:r>
        <w:r w:rsidR="00511B52">
          <w:rPr>
            <w:webHidden/>
          </w:rPr>
          <w:tab/>
        </w:r>
        <w:r w:rsidR="00511B52">
          <w:rPr>
            <w:webHidden/>
          </w:rPr>
          <w:fldChar w:fldCharType="begin"/>
        </w:r>
        <w:r w:rsidR="00511B52">
          <w:rPr>
            <w:webHidden/>
          </w:rPr>
          <w:instrText xml:space="preserve"> PAGEREF _Toc117524295 \h </w:instrText>
        </w:r>
        <w:r w:rsidR="00511B52">
          <w:rPr>
            <w:webHidden/>
          </w:rPr>
        </w:r>
        <w:r w:rsidR="00511B52">
          <w:rPr>
            <w:webHidden/>
          </w:rPr>
          <w:fldChar w:fldCharType="separate"/>
        </w:r>
        <w:r w:rsidR="00511B52">
          <w:rPr>
            <w:webHidden/>
          </w:rPr>
          <w:t>6</w:t>
        </w:r>
        <w:r w:rsidR="00511B52">
          <w:rPr>
            <w:webHidden/>
          </w:rPr>
          <w:fldChar w:fldCharType="end"/>
        </w:r>
      </w:hyperlink>
    </w:p>
    <w:p w:rsidR="00511B52" w:rsidRDefault="007E7785" w14:paraId="06FB59DD" w14:textId="17203715">
      <w:pPr>
        <w:pStyle w:val="TOC2"/>
        <w:rPr>
          <w:b w:val="0"/>
          <w:color w:val="auto"/>
          <w:sz w:val="22"/>
          <w:szCs w:val="22"/>
        </w:rPr>
      </w:pPr>
      <w:hyperlink w:history="1" w:anchor="_Toc117524296">
        <w:r w:rsidRPr="00E4247B" w:rsidR="00511B52">
          <w:rPr>
            <w:rStyle w:val="Hyperlink"/>
          </w:rPr>
          <w:t>3.3</w:t>
        </w:r>
        <w:r w:rsidR="00511B52">
          <w:rPr>
            <w:b w:val="0"/>
            <w:color w:val="auto"/>
            <w:sz w:val="22"/>
            <w:szCs w:val="22"/>
          </w:rPr>
          <w:tab/>
        </w:r>
        <w:r w:rsidRPr="00E4247B" w:rsidR="00511B52">
          <w:rPr>
            <w:rStyle w:val="Hyperlink"/>
          </w:rPr>
          <w:t>Where patients do not want to be involved in the SDC process</w:t>
        </w:r>
        <w:r w:rsidR="00511B52">
          <w:rPr>
            <w:webHidden/>
          </w:rPr>
          <w:tab/>
        </w:r>
        <w:r w:rsidR="00511B52">
          <w:rPr>
            <w:webHidden/>
          </w:rPr>
          <w:fldChar w:fldCharType="begin"/>
        </w:r>
        <w:r w:rsidR="00511B52">
          <w:rPr>
            <w:webHidden/>
          </w:rPr>
          <w:instrText xml:space="preserve"> PAGEREF _Toc117524296 \h </w:instrText>
        </w:r>
        <w:r w:rsidR="00511B52">
          <w:rPr>
            <w:webHidden/>
          </w:rPr>
        </w:r>
        <w:r w:rsidR="00511B52">
          <w:rPr>
            <w:webHidden/>
          </w:rPr>
          <w:fldChar w:fldCharType="separate"/>
        </w:r>
        <w:r w:rsidR="00511B52">
          <w:rPr>
            <w:webHidden/>
          </w:rPr>
          <w:t>7</w:t>
        </w:r>
        <w:r w:rsidR="00511B52">
          <w:rPr>
            <w:webHidden/>
          </w:rPr>
          <w:fldChar w:fldCharType="end"/>
        </w:r>
      </w:hyperlink>
    </w:p>
    <w:p w:rsidR="00511B52" w:rsidRDefault="007E7785" w14:paraId="73B32D47" w14:textId="043019A9">
      <w:pPr>
        <w:pStyle w:val="TOC2"/>
        <w:rPr>
          <w:b w:val="0"/>
          <w:color w:val="auto"/>
          <w:sz w:val="22"/>
          <w:szCs w:val="22"/>
        </w:rPr>
      </w:pPr>
      <w:hyperlink w:history="1" w:anchor="_Toc117524297">
        <w:r w:rsidRPr="00E4247B" w:rsidR="00511B52">
          <w:rPr>
            <w:rStyle w:val="Hyperlink"/>
          </w:rPr>
          <w:t>3.4</w:t>
        </w:r>
        <w:r w:rsidR="00511B52">
          <w:rPr>
            <w:b w:val="0"/>
            <w:color w:val="auto"/>
            <w:sz w:val="22"/>
            <w:szCs w:val="22"/>
          </w:rPr>
          <w:tab/>
        </w:r>
        <w:r w:rsidRPr="00E4247B" w:rsidR="00511B52">
          <w:rPr>
            <w:rStyle w:val="Hyperlink"/>
          </w:rPr>
          <w:t>Circumstances requiring a delay</w:t>
        </w:r>
        <w:r w:rsidR="00511B52">
          <w:rPr>
            <w:webHidden/>
          </w:rPr>
          <w:tab/>
        </w:r>
        <w:r w:rsidR="00511B52">
          <w:rPr>
            <w:webHidden/>
          </w:rPr>
          <w:fldChar w:fldCharType="begin"/>
        </w:r>
        <w:r w:rsidR="00511B52">
          <w:rPr>
            <w:webHidden/>
          </w:rPr>
          <w:instrText xml:space="preserve"> PAGEREF _Toc117524297 \h </w:instrText>
        </w:r>
        <w:r w:rsidR="00511B52">
          <w:rPr>
            <w:webHidden/>
          </w:rPr>
        </w:r>
        <w:r w:rsidR="00511B52">
          <w:rPr>
            <w:webHidden/>
          </w:rPr>
          <w:fldChar w:fldCharType="separate"/>
        </w:r>
        <w:r w:rsidR="00511B52">
          <w:rPr>
            <w:webHidden/>
          </w:rPr>
          <w:t>8</w:t>
        </w:r>
        <w:r w:rsidR="00511B52">
          <w:rPr>
            <w:webHidden/>
          </w:rPr>
          <w:fldChar w:fldCharType="end"/>
        </w:r>
      </w:hyperlink>
    </w:p>
    <w:p w:rsidR="00511B52" w:rsidRDefault="007E7785" w14:paraId="3BDCED43" w14:textId="4A333F66">
      <w:pPr>
        <w:pStyle w:val="TOC1"/>
        <w:rPr>
          <w:b w:val="0"/>
          <w:sz w:val="22"/>
          <w:szCs w:val="22"/>
          <w:lang w:eastAsia="en-AU"/>
        </w:rPr>
      </w:pPr>
      <w:hyperlink w:history="1" w:anchor="_Toc117524298">
        <w:r w:rsidRPr="00E4247B" w:rsidR="00511B52">
          <w:rPr>
            <w:rStyle w:val="Hyperlink"/>
          </w:rPr>
          <w:t>4. SDC process</w:t>
        </w:r>
        <w:r w:rsidR="00511B52">
          <w:rPr>
            <w:webHidden/>
          </w:rPr>
          <w:tab/>
        </w:r>
        <w:r w:rsidR="00511B52">
          <w:rPr>
            <w:webHidden/>
          </w:rPr>
          <w:fldChar w:fldCharType="begin"/>
        </w:r>
        <w:r w:rsidR="00511B52">
          <w:rPr>
            <w:webHidden/>
          </w:rPr>
          <w:instrText xml:space="preserve"> PAGEREF _Toc117524298 \h </w:instrText>
        </w:r>
        <w:r w:rsidR="00511B52">
          <w:rPr>
            <w:webHidden/>
          </w:rPr>
        </w:r>
        <w:r w:rsidR="00511B52">
          <w:rPr>
            <w:webHidden/>
          </w:rPr>
          <w:fldChar w:fldCharType="separate"/>
        </w:r>
        <w:r w:rsidR="00511B52">
          <w:rPr>
            <w:webHidden/>
          </w:rPr>
          <w:t>9</w:t>
        </w:r>
        <w:r w:rsidR="00511B52">
          <w:rPr>
            <w:webHidden/>
          </w:rPr>
          <w:fldChar w:fldCharType="end"/>
        </w:r>
      </w:hyperlink>
    </w:p>
    <w:p w:rsidR="00511B52" w:rsidRDefault="007E7785" w14:paraId="2586EF8B" w14:textId="0C111606">
      <w:pPr>
        <w:pStyle w:val="TOC2"/>
        <w:rPr>
          <w:b w:val="0"/>
          <w:color w:val="auto"/>
          <w:sz w:val="22"/>
          <w:szCs w:val="22"/>
        </w:rPr>
      </w:pPr>
      <w:hyperlink w:history="1" w:anchor="_Toc117524299">
        <w:r w:rsidRPr="00E4247B" w:rsidR="00511B52">
          <w:rPr>
            <w:rStyle w:val="Hyperlink"/>
          </w:rPr>
          <w:t>4.1</w:t>
        </w:r>
        <w:r w:rsidR="00511B52">
          <w:rPr>
            <w:b w:val="0"/>
            <w:color w:val="auto"/>
            <w:sz w:val="22"/>
            <w:szCs w:val="22"/>
          </w:rPr>
          <w:tab/>
        </w:r>
        <w:r w:rsidRPr="00E4247B" w:rsidR="00511B52">
          <w:rPr>
            <w:rStyle w:val="Hyperlink"/>
          </w:rPr>
          <w:t>Stage 1: Apologise and provide initial information</w:t>
        </w:r>
        <w:r w:rsidR="00511B52">
          <w:rPr>
            <w:webHidden/>
          </w:rPr>
          <w:tab/>
        </w:r>
        <w:r w:rsidR="00511B52">
          <w:rPr>
            <w:webHidden/>
          </w:rPr>
          <w:fldChar w:fldCharType="begin"/>
        </w:r>
        <w:r w:rsidR="00511B52">
          <w:rPr>
            <w:webHidden/>
          </w:rPr>
          <w:instrText xml:space="preserve"> PAGEREF _Toc117524299 \h </w:instrText>
        </w:r>
        <w:r w:rsidR="00511B52">
          <w:rPr>
            <w:webHidden/>
          </w:rPr>
        </w:r>
        <w:r w:rsidR="00511B52">
          <w:rPr>
            <w:webHidden/>
          </w:rPr>
          <w:fldChar w:fldCharType="separate"/>
        </w:r>
        <w:r w:rsidR="00511B52">
          <w:rPr>
            <w:webHidden/>
          </w:rPr>
          <w:t>9</w:t>
        </w:r>
        <w:r w:rsidR="00511B52">
          <w:rPr>
            <w:webHidden/>
          </w:rPr>
          <w:fldChar w:fldCharType="end"/>
        </w:r>
      </w:hyperlink>
    </w:p>
    <w:p w:rsidR="00511B52" w:rsidRDefault="007E7785" w14:paraId="44A076EC" w14:textId="6429260B">
      <w:pPr>
        <w:pStyle w:val="TOC2"/>
        <w:rPr>
          <w:b w:val="0"/>
          <w:color w:val="auto"/>
          <w:sz w:val="22"/>
          <w:szCs w:val="22"/>
        </w:rPr>
      </w:pPr>
      <w:hyperlink w:history="1" w:anchor="_Toc117524300">
        <w:r w:rsidRPr="00E4247B" w:rsidR="00511B52">
          <w:rPr>
            <w:rStyle w:val="Hyperlink"/>
          </w:rPr>
          <w:t>4.2</w:t>
        </w:r>
        <w:r w:rsidR="00511B52">
          <w:rPr>
            <w:b w:val="0"/>
            <w:color w:val="auto"/>
            <w:sz w:val="22"/>
            <w:szCs w:val="22"/>
          </w:rPr>
          <w:tab/>
        </w:r>
        <w:r w:rsidRPr="00E4247B" w:rsidR="00511B52">
          <w:rPr>
            <w:rStyle w:val="Hyperlink"/>
          </w:rPr>
          <w:t>Stage 2: Hold the SDC meeting</w:t>
        </w:r>
        <w:r w:rsidR="00511B52">
          <w:rPr>
            <w:webHidden/>
          </w:rPr>
          <w:tab/>
        </w:r>
        <w:r w:rsidR="00511B52">
          <w:rPr>
            <w:webHidden/>
          </w:rPr>
          <w:fldChar w:fldCharType="begin"/>
        </w:r>
        <w:r w:rsidR="00511B52">
          <w:rPr>
            <w:webHidden/>
          </w:rPr>
          <w:instrText xml:space="preserve"> PAGEREF _Toc117524300 \h </w:instrText>
        </w:r>
        <w:r w:rsidR="00511B52">
          <w:rPr>
            <w:webHidden/>
          </w:rPr>
        </w:r>
        <w:r w:rsidR="00511B52">
          <w:rPr>
            <w:webHidden/>
          </w:rPr>
          <w:fldChar w:fldCharType="separate"/>
        </w:r>
        <w:r w:rsidR="00511B52">
          <w:rPr>
            <w:webHidden/>
          </w:rPr>
          <w:t>11</w:t>
        </w:r>
        <w:r w:rsidR="00511B52">
          <w:rPr>
            <w:webHidden/>
          </w:rPr>
          <w:fldChar w:fldCharType="end"/>
        </w:r>
      </w:hyperlink>
    </w:p>
    <w:p w:rsidR="00511B52" w:rsidRDefault="007E7785" w14:paraId="5AFF03E4" w14:textId="259966D9">
      <w:pPr>
        <w:pStyle w:val="TOC2"/>
        <w:rPr>
          <w:b w:val="0"/>
          <w:color w:val="auto"/>
          <w:sz w:val="22"/>
          <w:szCs w:val="22"/>
        </w:rPr>
      </w:pPr>
      <w:hyperlink w:history="1" w:anchor="_Toc117524301">
        <w:r w:rsidRPr="00E4247B" w:rsidR="00511B52">
          <w:rPr>
            <w:rStyle w:val="Hyperlink"/>
          </w:rPr>
          <w:t>4.3</w:t>
        </w:r>
        <w:r w:rsidR="00511B52">
          <w:rPr>
            <w:b w:val="0"/>
            <w:color w:val="auto"/>
            <w:sz w:val="22"/>
            <w:szCs w:val="22"/>
          </w:rPr>
          <w:tab/>
        </w:r>
        <w:r w:rsidRPr="00E4247B" w:rsidR="00511B52">
          <w:rPr>
            <w:rStyle w:val="Hyperlink"/>
          </w:rPr>
          <w:t>Stage 3: Complete a review of the SAPSE and produce report</w:t>
        </w:r>
        <w:r w:rsidR="00511B52">
          <w:rPr>
            <w:webHidden/>
          </w:rPr>
          <w:tab/>
        </w:r>
        <w:r w:rsidR="00511B52">
          <w:rPr>
            <w:webHidden/>
          </w:rPr>
          <w:fldChar w:fldCharType="begin"/>
        </w:r>
        <w:r w:rsidR="00511B52">
          <w:rPr>
            <w:webHidden/>
          </w:rPr>
          <w:instrText xml:space="preserve"> PAGEREF _Toc117524301 \h </w:instrText>
        </w:r>
        <w:r w:rsidR="00511B52">
          <w:rPr>
            <w:webHidden/>
          </w:rPr>
        </w:r>
        <w:r w:rsidR="00511B52">
          <w:rPr>
            <w:webHidden/>
          </w:rPr>
          <w:fldChar w:fldCharType="separate"/>
        </w:r>
        <w:r w:rsidR="00511B52">
          <w:rPr>
            <w:webHidden/>
          </w:rPr>
          <w:t>14</w:t>
        </w:r>
        <w:r w:rsidR="00511B52">
          <w:rPr>
            <w:webHidden/>
          </w:rPr>
          <w:fldChar w:fldCharType="end"/>
        </w:r>
      </w:hyperlink>
    </w:p>
    <w:p w:rsidR="00511B52" w:rsidRDefault="007E7785" w14:paraId="04451899" w14:textId="49A4A88D">
      <w:pPr>
        <w:pStyle w:val="TOC1"/>
        <w:rPr>
          <w:b w:val="0"/>
          <w:sz w:val="22"/>
          <w:szCs w:val="22"/>
          <w:lang w:eastAsia="en-AU"/>
        </w:rPr>
      </w:pPr>
      <w:hyperlink w:history="1" w:anchor="_Toc117524302">
        <w:r w:rsidRPr="00E4247B" w:rsidR="00511B52">
          <w:rPr>
            <w:rStyle w:val="Hyperlink"/>
          </w:rPr>
          <w:t>5. Documentation and reporting</w:t>
        </w:r>
        <w:r w:rsidR="00511B52">
          <w:rPr>
            <w:webHidden/>
          </w:rPr>
          <w:tab/>
        </w:r>
        <w:r w:rsidR="00511B52">
          <w:rPr>
            <w:webHidden/>
          </w:rPr>
          <w:fldChar w:fldCharType="begin"/>
        </w:r>
        <w:r w:rsidR="00511B52">
          <w:rPr>
            <w:webHidden/>
          </w:rPr>
          <w:instrText xml:space="preserve"> PAGEREF _Toc117524302 \h </w:instrText>
        </w:r>
        <w:r w:rsidR="00511B52">
          <w:rPr>
            <w:webHidden/>
          </w:rPr>
        </w:r>
        <w:r w:rsidR="00511B52">
          <w:rPr>
            <w:webHidden/>
          </w:rPr>
          <w:fldChar w:fldCharType="separate"/>
        </w:r>
        <w:r w:rsidR="00511B52">
          <w:rPr>
            <w:webHidden/>
          </w:rPr>
          <w:t>15</w:t>
        </w:r>
        <w:r w:rsidR="00511B52">
          <w:rPr>
            <w:webHidden/>
          </w:rPr>
          <w:fldChar w:fldCharType="end"/>
        </w:r>
      </w:hyperlink>
    </w:p>
    <w:p w:rsidR="00511B52" w:rsidRDefault="007E7785" w14:paraId="69CD6618" w14:textId="43CB026E">
      <w:pPr>
        <w:pStyle w:val="TOC1"/>
        <w:rPr>
          <w:b w:val="0"/>
          <w:sz w:val="22"/>
          <w:szCs w:val="22"/>
          <w:lang w:eastAsia="en-AU"/>
        </w:rPr>
      </w:pPr>
      <w:hyperlink w:history="1" w:anchor="_Toc117524303">
        <w:r w:rsidRPr="00E4247B" w:rsidR="00511B52">
          <w:rPr>
            <w:rStyle w:val="Hyperlink"/>
          </w:rPr>
          <w:t>6. Review</w:t>
        </w:r>
        <w:r w:rsidR="00511B52">
          <w:rPr>
            <w:webHidden/>
          </w:rPr>
          <w:tab/>
        </w:r>
        <w:r w:rsidR="00511B52">
          <w:rPr>
            <w:webHidden/>
          </w:rPr>
          <w:fldChar w:fldCharType="begin"/>
        </w:r>
        <w:r w:rsidR="00511B52">
          <w:rPr>
            <w:webHidden/>
          </w:rPr>
          <w:instrText xml:space="preserve"> PAGEREF _Toc117524303 \h </w:instrText>
        </w:r>
        <w:r w:rsidR="00511B52">
          <w:rPr>
            <w:webHidden/>
          </w:rPr>
        </w:r>
        <w:r w:rsidR="00511B52">
          <w:rPr>
            <w:webHidden/>
          </w:rPr>
          <w:fldChar w:fldCharType="separate"/>
        </w:r>
        <w:r w:rsidR="00511B52">
          <w:rPr>
            <w:webHidden/>
          </w:rPr>
          <w:t>16</w:t>
        </w:r>
        <w:r w:rsidR="00511B52">
          <w:rPr>
            <w:webHidden/>
          </w:rPr>
          <w:fldChar w:fldCharType="end"/>
        </w:r>
      </w:hyperlink>
    </w:p>
    <w:p w:rsidR="00511B52" w:rsidRDefault="007E7785" w14:paraId="07D28F9F" w14:textId="45FC533A">
      <w:pPr>
        <w:pStyle w:val="TOC1"/>
        <w:rPr>
          <w:b w:val="0"/>
          <w:sz w:val="22"/>
          <w:szCs w:val="22"/>
          <w:lang w:eastAsia="en-AU"/>
        </w:rPr>
      </w:pPr>
      <w:hyperlink w:history="1" w:anchor="_Toc117524304">
        <w:r w:rsidRPr="00E4247B" w:rsidR="00511B52">
          <w:rPr>
            <w:rStyle w:val="Hyperlink"/>
          </w:rPr>
          <w:t>7. Further information</w:t>
        </w:r>
        <w:r w:rsidR="00511B52">
          <w:rPr>
            <w:webHidden/>
          </w:rPr>
          <w:tab/>
        </w:r>
        <w:r w:rsidR="00511B52">
          <w:rPr>
            <w:webHidden/>
          </w:rPr>
          <w:fldChar w:fldCharType="begin"/>
        </w:r>
        <w:r w:rsidR="00511B52">
          <w:rPr>
            <w:webHidden/>
          </w:rPr>
          <w:instrText xml:space="preserve"> PAGEREF _Toc117524304 \h </w:instrText>
        </w:r>
        <w:r w:rsidR="00511B52">
          <w:rPr>
            <w:webHidden/>
          </w:rPr>
        </w:r>
        <w:r w:rsidR="00511B52">
          <w:rPr>
            <w:webHidden/>
          </w:rPr>
          <w:fldChar w:fldCharType="separate"/>
        </w:r>
        <w:r w:rsidR="00511B52">
          <w:rPr>
            <w:webHidden/>
          </w:rPr>
          <w:t>16</w:t>
        </w:r>
        <w:r w:rsidR="00511B52">
          <w:rPr>
            <w:webHidden/>
          </w:rPr>
          <w:fldChar w:fldCharType="end"/>
        </w:r>
      </w:hyperlink>
    </w:p>
    <w:p w:rsidR="00511B52" w:rsidRDefault="007E7785" w14:paraId="33DC85A1" w14:textId="40D566BD">
      <w:pPr>
        <w:pStyle w:val="TOC1"/>
        <w:rPr>
          <w:b w:val="0"/>
          <w:sz w:val="22"/>
          <w:szCs w:val="22"/>
          <w:lang w:eastAsia="en-AU"/>
        </w:rPr>
      </w:pPr>
      <w:hyperlink w:history="1" w:anchor="_Toc117524305">
        <w:r w:rsidRPr="00E4247B" w:rsidR="00511B52">
          <w:rPr>
            <w:rStyle w:val="Hyperlink"/>
          </w:rPr>
          <w:t>8. Related Acts and other resources</w:t>
        </w:r>
        <w:r w:rsidR="00511B52">
          <w:rPr>
            <w:webHidden/>
          </w:rPr>
          <w:tab/>
        </w:r>
        <w:r w:rsidR="00511B52">
          <w:rPr>
            <w:webHidden/>
          </w:rPr>
          <w:fldChar w:fldCharType="begin"/>
        </w:r>
        <w:r w:rsidR="00511B52">
          <w:rPr>
            <w:webHidden/>
          </w:rPr>
          <w:instrText xml:space="preserve"> PAGEREF _Toc117524305 \h </w:instrText>
        </w:r>
        <w:r w:rsidR="00511B52">
          <w:rPr>
            <w:webHidden/>
          </w:rPr>
        </w:r>
        <w:r w:rsidR="00511B52">
          <w:rPr>
            <w:webHidden/>
          </w:rPr>
          <w:fldChar w:fldCharType="separate"/>
        </w:r>
        <w:r w:rsidR="00511B52">
          <w:rPr>
            <w:webHidden/>
          </w:rPr>
          <w:t>16</w:t>
        </w:r>
        <w:r w:rsidR="00511B52">
          <w:rPr>
            <w:webHidden/>
          </w:rPr>
          <w:fldChar w:fldCharType="end"/>
        </w:r>
      </w:hyperlink>
    </w:p>
    <w:p w:rsidRPr="0059267A" w:rsidR="00A27B01" w:rsidP="00A45CB0" w:rsidRDefault="00701703" w14:paraId="47243947" w14:textId="607055C7">
      <w:pPr>
        <w:pStyle w:val="SCVbody"/>
      </w:pPr>
      <w:r>
        <w:rPr>
          <w:rStyle w:val="Hyperlink"/>
          <w:noProof/>
          <w:sz w:val="19"/>
          <w:lang w:eastAsia="en-US"/>
        </w:rPr>
        <w:fldChar w:fldCharType="end"/>
      </w:r>
    </w:p>
    <w:p w:rsidRPr="00AA2A2A" w:rsidR="00AA2A2A" w:rsidP="0096516B" w:rsidRDefault="00AA2A2A" w14:paraId="15435DEC" w14:textId="755CC4A1">
      <w:pPr>
        <w:pStyle w:val="Heading1"/>
        <w:rPr>
          <w:color w:val="auto"/>
        </w:rPr>
      </w:pPr>
      <w:r>
        <w:br w:type="page"/>
      </w:r>
    </w:p>
    <w:p w:rsidR="00A3336A" w:rsidP="00A3336A" w:rsidRDefault="00193DDD" w14:paraId="07C84957" w14:textId="28F3FFBA">
      <w:pPr>
        <w:pStyle w:val="Heading1"/>
      </w:pPr>
      <w:bookmarkStart w:name="_Toc117524288" w:id="2"/>
      <w:r>
        <w:lastRenderedPageBreak/>
        <w:t>1</w:t>
      </w:r>
      <w:r w:rsidRPr="00A3336A" w:rsidR="00A3336A">
        <w:t>.</w:t>
      </w:r>
      <w:r w:rsidR="00187DC6">
        <w:t xml:space="preserve"> </w:t>
      </w:r>
      <w:r w:rsidRPr="00A3336A" w:rsidR="00A3336A">
        <w:t xml:space="preserve">Victorian </w:t>
      </w:r>
      <w:r w:rsidRPr="003275EE" w:rsidR="00A3336A">
        <w:t>Duty of Candour Guidelines</w:t>
      </w:r>
      <w:bookmarkEnd w:id="2"/>
      <w:r w:rsidR="00A3336A">
        <w:t xml:space="preserve"> </w:t>
      </w:r>
    </w:p>
    <w:p w:rsidR="00DC0E88" w:rsidP="00DC0E88" w:rsidRDefault="00DC0E88" w14:paraId="30C28014" w14:textId="77777777">
      <w:pPr>
        <w:pStyle w:val="Heading2"/>
      </w:pPr>
      <w:bookmarkStart w:name="_Toc117524289" w:id="3"/>
      <w:r>
        <w:t>1.1</w:t>
      </w:r>
      <w:r>
        <w:tab/>
      </w:r>
      <w:r>
        <w:t>Introduction</w:t>
      </w:r>
      <w:bookmarkEnd w:id="3"/>
    </w:p>
    <w:p w:rsidR="00A3336A" w:rsidP="00DC0E88" w:rsidRDefault="00A3336A" w14:paraId="29B23FD6" w14:textId="4EC38E65">
      <w:pPr>
        <w:pStyle w:val="SCVbody"/>
      </w:pPr>
      <w:r w:rsidRPr="51D0F6BA">
        <w:rPr>
          <w:rFonts w:ascii="Arial" w:hAnsi="Arial" w:cs="Arial"/>
          <w:color w:val="2A2736"/>
        </w:rPr>
        <w:t xml:space="preserve">These guidelines are the </w:t>
      </w:r>
      <w:r>
        <w:t>Victorian Duty of Candour Guidelines (</w:t>
      </w:r>
      <w:r w:rsidRPr="51D0F6BA">
        <w:rPr>
          <w:b/>
          <w:bCs/>
        </w:rPr>
        <w:t>Guidelines</w:t>
      </w:r>
      <w:r>
        <w:t xml:space="preserve">) made by the Minister for Health as permitted by section 128ZF of the </w:t>
      </w:r>
      <w:r w:rsidRPr="51D0F6BA">
        <w:rPr>
          <w:i/>
          <w:iCs/>
        </w:rPr>
        <w:t>Health Services Act 1988</w:t>
      </w:r>
      <w:r>
        <w:t xml:space="preserve"> to set out the steps a health service entity must take to discharge the </w:t>
      </w:r>
      <w:r w:rsidR="00A64758">
        <w:t>Statutory D</w:t>
      </w:r>
      <w:r>
        <w:t xml:space="preserve">uty of </w:t>
      </w:r>
      <w:r w:rsidR="00A64758">
        <w:t>C</w:t>
      </w:r>
      <w:r>
        <w:t>andour</w:t>
      </w:r>
      <w:r w:rsidR="00A64758">
        <w:t xml:space="preserve"> (</w:t>
      </w:r>
      <w:r w:rsidRPr="00B70AEC" w:rsidR="00A64758">
        <w:rPr>
          <w:b/>
          <w:bCs/>
        </w:rPr>
        <w:t>SDC</w:t>
      </w:r>
      <w:r w:rsidR="00A64758">
        <w:t>)</w:t>
      </w:r>
      <w:r>
        <w:t xml:space="preserve"> under: </w:t>
      </w:r>
    </w:p>
    <w:p w:rsidR="00A3336A" w:rsidP="00790D0A" w:rsidRDefault="00A3336A" w14:paraId="3647B52E" w14:textId="77777777">
      <w:pPr>
        <w:pStyle w:val="SCVbullet1"/>
        <w:numPr>
          <w:ilvl w:val="0"/>
          <w:numId w:val="21"/>
        </w:numPr>
        <w:ind w:left="709"/>
      </w:pPr>
      <w:bookmarkStart w:name="_Hlk107078424" w:id="4"/>
      <w:r>
        <w:t xml:space="preserve">section 128ZC of the </w:t>
      </w:r>
      <w:r w:rsidRPr="2C33883F">
        <w:rPr>
          <w:i/>
          <w:iCs/>
        </w:rPr>
        <w:t>Health Services Act 1988</w:t>
      </w:r>
      <w:r>
        <w:t xml:space="preserve">; </w:t>
      </w:r>
    </w:p>
    <w:p w:rsidR="00A3336A" w:rsidP="00790D0A" w:rsidRDefault="00A3336A" w14:paraId="77FE87A4" w14:textId="77777777">
      <w:pPr>
        <w:pStyle w:val="SCVbullet1"/>
        <w:numPr>
          <w:ilvl w:val="0"/>
          <w:numId w:val="21"/>
        </w:numPr>
        <w:ind w:left="709"/>
      </w:pPr>
      <w:bookmarkStart w:name="_Hlk107080625" w:id="5"/>
      <w:r w:rsidRPr="00D646F1">
        <w:t>s</w:t>
      </w:r>
      <w:r>
        <w:t xml:space="preserve">ection </w:t>
      </w:r>
      <w:r w:rsidRPr="00D646F1">
        <w:t xml:space="preserve">22I of the </w:t>
      </w:r>
      <w:r w:rsidRPr="00F27867">
        <w:rPr>
          <w:i/>
          <w:iCs/>
        </w:rPr>
        <w:t>Ambulance Services Act 1986</w:t>
      </w:r>
      <w:r>
        <w:t xml:space="preserve">; </w:t>
      </w:r>
      <w:r w:rsidRPr="00D646F1">
        <w:t xml:space="preserve">and </w:t>
      </w:r>
    </w:p>
    <w:p w:rsidR="00DC0E88" w:rsidP="00790D0A" w:rsidRDefault="00A3336A" w14:paraId="7AA687ED" w14:textId="77777777">
      <w:pPr>
        <w:pStyle w:val="SCVbullet1"/>
        <w:numPr>
          <w:ilvl w:val="0"/>
          <w:numId w:val="21"/>
        </w:numPr>
        <w:ind w:left="709"/>
        <w:rPr>
          <w:rFonts w:ascii="Arial" w:hAnsi="Arial" w:cs="Arial"/>
          <w:color w:val="2A2736"/>
        </w:rPr>
      </w:pPr>
      <w:r w:rsidRPr="00D646F1">
        <w:t>s</w:t>
      </w:r>
      <w:r>
        <w:t xml:space="preserve">ection </w:t>
      </w:r>
      <w:r w:rsidRPr="00D646F1">
        <w:t xml:space="preserve">345B of the </w:t>
      </w:r>
      <w:r w:rsidRPr="00F27867">
        <w:rPr>
          <w:i/>
          <w:iCs/>
        </w:rPr>
        <w:t>Mental Health Act 2014</w:t>
      </w:r>
      <w:bookmarkEnd w:id="4"/>
      <w:r w:rsidRPr="00D646F1">
        <w:t>.</w:t>
      </w:r>
      <w:r>
        <w:t xml:space="preserve"> </w:t>
      </w:r>
      <w:r>
        <w:rPr>
          <w:rFonts w:ascii="Arial" w:hAnsi="Arial" w:cs="Arial"/>
          <w:color w:val="2A2736"/>
        </w:rPr>
        <w:t xml:space="preserve"> </w:t>
      </w:r>
      <w:bookmarkEnd w:id="5"/>
    </w:p>
    <w:p w:rsidR="00A3336A" w:rsidP="00DC0E88" w:rsidRDefault="00A3336A" w14:paraId="61B977EC" w14:textId="7B1E476D">
      <w:pPr>
        <w:pStyle w:val="SCVbullet1"/>
        <w:numPr>
          <w:ilvl w:val="0"/>
          <w:numId w:val="0"/>
        </w:numPr>
      </w:pPr>
      <w:r>
        <w:br/>
      </w:r>
      <w:r w:rsidRPr="00842161">
        <w:t xml:space="preserve">The Guidelines </w:t>
      </w:r>
      <w:r w:rsidRPr="003275EE">
        <w:t xml:space="preserve">are a legislative instrument for the purposes of the </w:t>
      </w:r>
      <w:r w:rsidRPr="00DC0E88">
        <w:rPr>
          <w:i/>
          <w:iCs/>
        </w:rPr>
        <w:t>Subordinate Legislation Act 1994</w:t>
      </w:r>
      <w:r w:rsidRPr="003275EE">
        <w:t xml:space="preserve"> and will </w:t>
      </w:r>
      <w:r w:rsidRPr="00842161">
        <w:t xml:space="preserve">take effect on </w:t>
      </w:r>
      <w:r w:rsidRPr="00DC0E88">
        <w:rPr>
          <w:b/>
          <w:bCs/>
        </w:rPr>
        <w:t>30 November 2022</w:t>
      </w:r>
      <w:r w:rsidRPr="00842161">
        <w:t>.</w:t>
      </w:r>
    </w:p>
    <w:p w:rsidRPr="00DC0E88" w:rsidR="005844B0" w:rsidP="00DC0E88" w:rsidRDefault="005844B0" w14:paraId="5219B98D" w14:textId="77777777">
      <w:pPr>
        <w:pStyle w:val="SCVbullet1"/>
        <w:numPr>
          <w:ilvl w:val="0"/>
          <w:numId w:val="0"/>
        </w:numPr>
        <w:rPr>
          <w:rFonts w:ascii="Arial" w:hAnsi="Arial" w:cs="Arial"/>
          <w:color w:val="2A2736"/>
        </w:rPr>
      </w:pPr>
    </w:p>
    <w:p w:rsidR="00A3336A" w:rsidP="00A3336A" w:rsidRDefault="00193DDD" w14:paraId="233A7712" w14:textId="34BAB3F4">
      <w:pPr>
        <w:pStyle w:val="Heading2"/>
      </w:pPr>
      <w:bookmarkStart w:name="_Toc117524290" w:id="6"/>
      <w:r>
        <w:t>1</w:t>
      </w:r>
      <w:r w:rsidR="00A3336A">
        <w:t>.</w:t>
      </w:r>
      <w:r w:rsidR="003F622E">
        <w:t>2</w:t>
      </w:r>
      <w:r w:rsidR="00A3336A">
        <w:tab/>
      </w:r>
      <w:r w:rsidR="003F622E">
        <w:t>H</w:t>
      </w:r>
      <w:r w:rsidR="00A3336A">
        <w:t xml:space="preserve">ealth service entities </w:t>
      </w:r>
      <w:r w:rsidR="003F622E">
        <w:t xml:space="preserve">that </w:t>
      </w:r>
      <w:r w:rsidR="00A3336A">
        <w:t>must comply with the</w:t>
      </w:r>
      <w:r w:rsidR="003F622E">
        <w:t>se</w:t>
      </w:r>
      <w:r w:rsidR="00A3336A">
        <w:t xml:space="preserve"> Guidelines</w:t>
      </w:r>
      <w:bookmarkEnd w:id="6"/>
    </w:p>
    <w:p w:rsidR="00A3336A" w:rsidP="00A3336A" w:rsidRDefault="00A3336A" w14:paraId="14F6BB51" w14:textId="3971A296">
      <w:pPr>
        <w:pStyle w:val="SCVbody"/>
      </w:pPr>
      <w:r>
        <w:t xml:space="preserve">The following health service entities must comply with these Guidelines in discharging the </w:t>
      </w:r>
      <w:r w:rsidR="00F51AFA">
        <w:t>SDC</w:t>
      </w:r>
      <w:r>
        <w:t>:</w:t>
      </w:r>
    </w:p>
    <w:p w:rsidRPr="007166CC" w:rsidR="00A3336A" w:rsidP="004254BD" w:rsidRDefault="00A3336A" w14:paraId="587CDABB" w14:textId="77777777">
      <w:pPr>
        <w:pStyle w:val="SCVbullet1"/>
        <w:numPr>
          <w:ilvl w:val="0"/>
          <w:numId w:val="12"/>
        </w:numPr>
      </w:pPr>
      <w:r>
        <w:t>a public health service;</w:t>
      </w:r>
    </w:p>
    <w:p w:rsidRPr="007166CC" w:rsidR="00A3336A" w:rsidP="004254BD" w:rsidRDefault="00A3336A" w14:paraId="48E01CA3" w14:textId="77777777">
      <w:pPr>
        <w:pStyle w:val="SCVbullet1"/>
        <w:numPr>
          <w:ilvl w:val="0"/>
          <w:numId w:val="12"/>
        </w:numPr>
      </w:pPr>
      <w:r>
        <w:t>a public hospital;</w:t>
      </w:r>
    </w:p>
    <w:p w:rsidR="00A3336A" w:rsidP="004254BD" w:rsidRDefault="00A3336A" w14:paraId="58B777D9" w14:textId="77777777">
      <w:pPr>
        <w:pStyle w:val="SCVbullet1"/>
        <w:numPr>
          <w:ilvl w:val="0"/>
          <w:numId w:val="12"/>
        </w:numPr>
      </w:pPr>
      <w:r>
        <w:t>a multi-purpose service;</w:t>
      </w:r>
    </w:p>
    <w:p w:rsidRPr="007166CC" w:rsidR="00A3336A" w:rsidP="004254BD" w:rsidRDefault="00A3336A" w14:paraId="117DA97C" w14:textId="77777777">
      <w:pPr>
        <w:pStyle w:val="SCVbullet1"/>
        <w:numPr>
          <w:ilvl w:val="0"/>
          <w:numId w:val="12"/>
        </w:numPr>
      </w:pPr>
      <w:r>
        <w:t>a denominational hospital;</w:t>
      </w:r>
    </w:p>
    <w:p w:rsidRPr="007166CC" w:rsidR="00A3336A" w:rsidP="004254BD" w:rsidRDefault="00A3336A" w14:paraId="1CDBB1DF" w14:textId="77777777">
      <w:pPr>
        <w:pStyle w:val="SCVbullet1"/>
        <w:numPr>
          <w:ilvl w:val="0"/>
          <w:numId w:val="12"/>
        </w:numPr>
      </w:pPr>
      <w:r>
        <w:t xml:space="preserve">a private hospital; </w:t>
      </w:r>
    </w:p>
    <w:p w:rsidRPr="007166CC" w:rsidR="00A3336A" w:rsidP="004254BD" w:rsidRDefault="00A3336A" w14:paraId="334377DA" w14:textId="77777777">
      <w:pPr>
        <w:pStyle w:val="SCVbullet1"/>
        <w:numPr>
          <w:ilvl w:val="0"/>
          <w:numId w:val="12"/>
        </w:numPr>
      </w:pPr>
      <w:r>
        <w:t>a day procedure centre;</w:t>
      </w:r>
    </w:p>
    <w:p w:rsidR="00A3336A" w:rsidP="004254BD" w:rsidRDefault="00A3336A" w14:paraId="3E59B6BE" w14:textId="77777777">
      <w:pPr>
        <w:pStyle w:val="SCVbullet1"/>
        <w:numPr>
          <w:ilvl w:val="0"/>
          <w:numId w:val="12"/>
        </w:numPr>
      </w:pPr>
      <w:r>
        <w:t xml:space="preserve">an ambulance service within the meaning of the </w:t>
      </w:r>
      <w:r w:rsidRPr="2C33883F">
        <w:rPr>
          <w:i/>
          <w:iCs/>
        </w:rPr>
        <w:t>Ambulance Services Act 1986</w:t>
      </w:r>
      <w:r>
        <w:t>;</w:t>
      </w:r>
    </w:p>
    <w:p w:rsidRPr="007166CC" w:rsidR="00A3336A" w:rsidP="004254BD" w:rsidRDefault="00A3336A" w14:paraId="12C47AFB" w14:textId="77777777">
      <w:pPr>
        <w:pStyle w:val="SCVbullet1"/>
        <w:numPr>
          <w:ilvl w:val="0"/>
          <w:numId w:val="12"/>
        </w:numPr>
      </w:pPr>
      <w:r>
        <w:t xml:space="preserve">a non-emergency patient transport service within the meaning of the </w:t>
      </w:r>
      <w:r w:rsidRPr="2C33883F">
        <w:rPr>
          <w:i/>
          <w:iCs/>
        </w:rPr>
        <w:t>Non-Emergency Patient Transport and First Aid Services Act 2003</w:t>
      </w:r>
      <w:r>
        <w:t xml:space="preserve"> that is licensed under that Act; </w:t>
      </w:r>
    </w:p>
    <w:p w:rsidRPr="007166CC" w:rsidR="00A3336A" w:rsidP="004254BD" w:rsidRDefault="00A3336A" w14:paraId="16AEAE80" w14:textId="164E41C7">
      <w:pPr>
        <w:pStyle w:val="SCVbullet1"/>
        <w:numPr>
          <w:ilvl w:val="0"/>
          <w:numId w:val="12"/>
        </w:numPr>
      </w:pPr>
      <w:r w:rsidRPr="007166CC">
        <w:t xml:space="preserve">the Victorian Institute of Forensic Mental Health established by section 328 of the </w:t>
      </w:r>
      <w:r w:rsidRPr="00833DDF">
        <w:rPr>
          <w:i/>
          <w:iCs/>
        </w:rPr>
        <w:t>Mental Health Act 2014</w:t>
      </w:r>
      <w:r w:rsidRPr="007166CC">
        <w:t xml:space="preserve">; </w:t>
      </w:r>
      <w:r w:rsidR="006204F4">
        <w:t>and</w:t>
      </w:r>
      <w:r w:rsidRPr="007166CC" w:rsidR="006204F4">
        <w:t xml:space="preserve"> </w:t>
      </w:r>
    </w:p>
    <w:p w:rsidRPr="007166CC" w:rsidR="00A3336A" w:rsidP="004254BD" w:rsidRDefault="00A3336A" w14:paraId="46692AA2" w14:textId="39FE5CDD">
      <w:pPr>
        <w:pStyle w:val="SCVbullet1"/>
        <w:numPr>
          <w:ilvl w:val="0"/>
          <w:numId w:val="12"/>
        </w:numPr>
      </w:pPr>
      <w:r>
        <w:t>a prescribed entity that provides health services.</w:t>
      </w:r>
      <w:r w:rsidRPr="51D0F6BA">
        <w:rPr>
          <w:rStyle w:val="FootnoteReference"/>
        </w:rPr>
        <w:footnoteReference w:id="2"/>
      </w:r>
    </w:p>
    <w:p w:rsidR="00A3336A" w:rsidP="00A61BAC" w:rsidRDefault="00A3336A" w14:paraId="4B95634A" w14:textId="77777777">
      <w:pPr>
        <w:pStyle w:val="SCVbullet1"/>
        <w:numPr>
          <w:ilvl w:val="0"/>
          <w:numId w:val="0"/>
        </w:numPr>
        <w:ind w:left="284"/>
      </w:pPr>
    </w:p>
    <w:p w:rsidRPr="00EE680B" w:rsidR="00A3336A" w:rsidP="00E51E87" w:rsidRDefault="00193DDD" w14:paraId="3D0EF0F0" w14:textId="0C427152">
      <w:pPr>
        <w:pStyle w:val="Heading2"/>
      </w:pPr>
      <w:bookmarkStart w:name="_Toc117524291" w:id="7"/>
      <w:r>
        <w:t>1</w:t>
      </w:r>
      <w:r w:rsidR="00A3336A">
        <w:t>.</w:t>
      </w:r>
      <w:r w:rsidR="000566D5">
        <w:t>3</w:t>
      </w:r>
      <w:r w:rsidR="00E51E87">
        <w:tab/>
      </w:r>
      <w:r w:rsidRPr="00EE680B" w:rsidR="00A3336A">
        <w:t xml:space="preserve">Consequences </w:t>
      </w:r>
      <w:r w:rsidR="00A3336A">
        <w:t xml:space="preserve">for non-compliance with </w:t>
      </w:r>
      <w:r w:rsidR="00CD16CA">
        <w:t>these</w:t>
      </w:r>
      <w:r w:rsidR="00A3336A">
        <w:t xml:space="preserve"> Guidelines</w:t>
      </w:r>
      <w:bookmarkEnd w:id="7"/>
    </w:p>
    <w:p w:rsidR="00A3336A" w:rsidP="005844B0" w:rsidRDefault="00A3336A" w14:paraId="013E05FA" w14:textId="55B7DA26">
      <w:pPr>
        <w:pStyle w:val="SCVbody"/>
      </w:pPr>
      <w:r>
        <w:t xml:space="preserve">The potential consequences for failing to comply with the </w:t>
      </w:r>
      <w:r w:rsidR="000566D5">
        <w:t>SDC</w:t>
      </w:r>
      <w:r>
        <w:t xml:space="preserve"> and these Guidelines include:</w:t>
      </w:r>
    </w:p>
    <w:p w:rsidR="00B87126" w:rsidP="004254BD" w:rsidRDefault="00576BA8" w14:paraId="0C69FE5D" w14:textId="5CFF0677">
      <w:pPr>
        <w:pStyle w:val="ListParagraph"/>
        <w:numPr>
          <w:ilvl w:val="0"/>
          <w:numId w:val="13"/>
        </w:numPr>
        <w:spacing w:line="360" w:lineRule="auto"/>
      </w:pPr>
      <w:r>
        <w:lastRenderedPageBreak/>
        <w:t>t</w:t>
      </w:r>
      <w:r w:rsidR="00A3336A">
        <w:t xml:space="preserve">he Minister or the Secretary may take into account the failure of a health service entity to comply with the </w:t>
      </w:r>
      <w:r w:rsidR="008A3E28">
        <w:t>SDC</w:t>
      </w:r>
      <w:r w:rsidR="00A3336A">
        <w:t xml:space="preserve"> when assessing</w:t>
      </w:r>
      <w:r w:rsidR="5A735B90">
        <w:t>:</w:t>
      </w:r>
      <w:r w:rsidR="00A3336A">
        <w:t xml:space="preserve"> </w:t>
      </w:r>
    </w:p>
    <w:p w:rsidR="00B87126" w:rsidP="004254BD" w:rsidRDefault="00A3336A" w14:paraId="5271DDFE" w14:textId="722B2DF6">
      <w:pPr>
        <w:pStyle w:val="ListParagraph"/>
        <w:numPr>
          <w:ilvl w:val="1"/>
          <w:numId w:val="13"/>
        </w:numPr>
        <w:spacing w:line="360" w:lineRule="auto"/>
      </w:pPr>
      <w:r>
        <w:t xml:space="preserve">whether the entity provides safe, patient-centred and appropriate services; </w:t>
      </w:r>
    </w:p>
    <w:p w:rsidR="00A3336A" w:rsidP="004254BD" w:rsidRDefault="00A3336A" w14:paraId="4377F2AE" w14:textId="1E5C395E">
      <w:pPr>
        <w:pStyle w:val="ListParagraph"/>
        <w:numPr>
          <w:ilvl w:val="1"/>
          <w:numId w:val="13"/>
        </w:numPr>
        <w:spacing w:line="360" w:lineRule="auto"/>
      </w:pPr>
      <w:r>
        <w:t>the quality and safety of health services provided by the entity</w:t>
      </w:r>
      <w:r w:rsidR="00495A14">
        <w:t>;</w:t>
      </w:r>
      <w:r>
        <w:rPr>
          <w:rStyle w:val="FootnoteReference"/>
        </w:rPr>
        <w:footnoteReference w:id="3"/>
      </w:r>
    </w:p>
    <w:p w:rsidR="00782F3E" w:rsidP="004254BD" w:rsidRDefault="00576BA8" w14:paraId="46A594FF" w14:textId="1C250D38">
      <w:pPr>
        <w:pStyle w:val="ListParagraph"/>
        <w:numPr>
          <w:ilvl w:val="0"/>
          <w:numId w:val="13"/>
        </w:numPr>
        <w:spacing w:line="360" w:lineRule="auto"/>
      </w:pPr>
      <w:r>
        <w:t>t</w:t>
      </w:r>
      <w:r w:rsidR="00A3336A">
        <w:t>he Minister may publish a statement on the Department’s internet site setting out the name of a relevant health service entity if, in the Minister's opinion</w:t>
      </w:r>
      <w:r w:rsidR="00782F3E">
        <w:t>:</w:t>
      </w:r>
      <w:r w:rsidR="00A3336A">
        <w:t xml:space="preserve"> </w:t>
      </w:r>
    </w:p>
    <w:p w:rsidR="00782F3E" w:rsidP="00B21388" w:rsidRDefault="00A3336A" w14:paraId="33E3CE67" w14:textId="30E3556D">
      <w:pPr>
        <w:pStyle w:val="ListParagraph"/>
        <w:numPr>
          <w:ilvl w:val="0"/>
          <w:numId w:val="10"/>
        </w:numPr>
        <w:spacing w:line="360" w:lineRule="auto"/>
        <w:ind w:left="1418"/>
      </w:pPr>
      <w:r>
        <w:t xml:space="preserve">the relevant health service entity has failed to comply with the </w:t>
      </w:r>
      <w:r w:rsidR="00B21388">
        <w:t>SDC</w:t>
      </w:r>
      <w:r>
        <w:t xml:space="preserve"> on </w:t>
      </w:r>
      <w:r w:rsidR="000738DD">
        <w:t>two</w:t>
      </w:r>
      <w:r>
        <w:t xml:space="preserve"> or more occasions; and </w:t>
      </w:r>
    </w:p>
    <w:p w:rsidR="00782F3E" w:rsidP="00B21388" w:rsidRDefault="00A3336A" w14:paraId="41F8A8C2" w14:textId="76AC8758">
      <w:pPr>
        <w:pStyle w:val="ListParagraph"/>
        <w:numPr>
          <w:ilvl w:val="0"/>
          <w:numId w:val="10"/>
        </w:numPr>
        <w:spacing w:line="360" w:lineRule="auto"/>
        <w:ind w:left="1418"/>
      </w:pPr>
      <w:r>
        <w:t>the failure to comply is of a serious nature.</w:t>
      </w:r>
      <w:r>
        <w:rPr>
          <w:rStyle w:val="FootnoteReference"/>
        </w:rPr>
        <w:footnoteReference w:id="4"/>
      </w:r>
      <w:r>
        <w:t xml:space="preserve"> </w:t>
      </w:r>
    </w:p>
    <w:p w:rsidR="00782F3E" w:rsidP="00782F3E" w:rsidRDefault="00A3336A" w14:paraId="6A54DC75" w14:textId="10182F97">
      <w:r>
        <w:t>In th</w:t>
      </w:r>
      <w:r w:rsidR="00601F24">
        <w:t>e</w:t>
      </w:r>
      <w:r>
        <w:t xml:space="preserve"> context</w:t>
      </w:r>
      <w:r w:rsidR="00601F24">
        <w:t xml:space="preserve"> of publication</w:t>
      </w:r>
      <w:r>
        <w:t>, this applies only to a relevant health service entity being</w:t>
      </w:r>
      <w:r w:rsidR="008F5841">
        <w:t>:</w:t>
      </w:r>
      <w:r>
        <w:t xml:space="preserve"> </w:t>
      </w:r>
    </w:p>
    <w:p w:rsidR="00782F3E" w:rsidP="002D4872" w:rsidRDefault="00A3336A" w14:paraId="433A23E9" w14:textId="060F92FB">
      <w:pPr>
        <w:pStyle w:val="SCVbody"/>
        <w:numPr>
          <w:ilvl w:val="0"/>
          <w:numId w:val="20"/>
        </w:numPr>
        <w:spacing w:line="240" w:lineRule="auto"/>
      </w:pPr>
      <w:r>
        <w:t xml:space="preserve">a public hospital; </w:t>
      </w:r>
    </w:p>
    <w:p w:rsidR="00782F3E" w:rsidP="002D4872" w:rsidRDefault="00A3336A" w14:paraId="642AD46C" w14:textId="6E05390D">
      <w:pPr>
        <w:pStyle w:val="SCVbody"/>
        <w:numPr>
          <w:ilvl w:val="0"/>
          <w:numId w:val="20"/>
        </w:numPr>
        <w:spacing w:line="240" w:lineRule="auto"/>
      </w:pPr>
      <w:r>
        <w:t xml:space="preserve">a public health service; </w:t>
      </w:r>
    </w:p>
    <w:p w:rsidR="00782F3E" w:rsidP="002D4872" w:rsidRDefault="00A3336A" w14:paraId="3957A70D" w14:textId="64795D69">
      <w:pPr>
        <w:pStyle w:val="SCVbody"/>
        <w:numPr>
          <w:ilvl w:val="0"/>
          <w:numId w:val="20"/>
        </w:numPr>
        <w:spacing w:line="240" w:lineRule="auto"/>
      </w:pPr>
      <w:r>
        <w:t>a multi</w:t>
      </w:r>
      <w:r w:rsidR="3EDC597C">
        <w:t>-</w:t>
      </w:r>
      <w:r>
        <w:t xml:space="preserve">purpose service; </w:t>
      </w:r>
    </w:p>
    <w:p w:rsidR="00782F3E" w:rsidP="002D4872" w:rsidRDefault="00A3336A" w14:paraId="7543F3DD" w14:textId="2BD11701">
      <w:pPr>
        <w:pStyle w:val="SCVbody"/>
        <w:numPr>
          <w:ilvl w:val="0"/>
          <w:numId w:val="20"/>
        </w:numPr>
        <w:spacing w:line="240" w:lineRule="auto"/>
      </w:pPr>
      <w:r>
        <w:t xml:space="preserve">a denominational hospital; </w:t>
      </w:r>
    </w:p>
    <w:p w:rsidR="00782F3E" w:rsidP="002D4872" w:rsidRDefault="00A3336A" w14:paraId="5B3253E2" w14:textId="55D208A3">
      <w:pPr>
        <w:pStyle w:val="SCVbody"/>
        <w:numPr>
          <w:ilvl w:val="0"/>
          <w:numId w:val="20"/>
        </w:numPr>
        <w:spacing w:line="240" w:lineRule="auto"/>
      </w:pPr>
      <w:r>
        <w:t xml:space="preserve">a private hospital; </w:t>
      </w:r>
      <w:r w:rsidR="007C2B7F">
        <w:t>or</w:t>
      </w:r>
    </w:p>
    <w:p w:rsidRPr="00350311" w:rsidR="00A3336A" w:rsidP="002D4872" w:rsidRDefault="00A3336A" w14:paraId="6BA5D327" w14:textId="3AA8C621">
      <w:pPr>
        <w:pStyle w:val="SCVbody"/>
        <w:numPr>
          <w:ilvl w:val="0"/>
          <w:numId w:val="20"/>
        </w:numPr>
        <w:spacing w:line="240" w:lineRule="auto"/>
        <w:rPr>
          <w:rFonts w:ascii="Arial" w:hAnsi="Arial" w:eastAsia="Arial" w:cs="Arial"/>
          <w:color w:val="000000" w:themeColor="text1"/>
          <w:sz w:val="16"/>
          <w:szCs w:val="16"/>
        </w:rPr>
      </w:pPr>
      <w:r>
        <w:t>a day procedure centre.</w:t>
      </w:r>
      <w:r w:rsidRPr="5AB7E433">
        <w:rPr>
          <w:rStyle w:val="FootnoteReference"/>
          <w:rFonts w:ascii="Arial" w:hAnsi="Arial" w:eastAsia="Arial" w:cs="Arial"/>
          <w:color w:val="000000" w:themeColor="text1"/>
          <w:sz w:val="16"/>
          <w:szCs w:val="16"/>
        </w:rPr>
        <w:footnoteReference w:id="5"/>
      </w:r>
    </w:p>
    <w:p w:rsidR="00601F24" w:rsidP="003519BB" w:rsidRDefault="00C31A61" w14:paraId="42B28996" w14:textId="2E142CAF">
      <w:pPr>
        <w:pStyle w:val="SCVbody"/>
      </w:pPr>
      <w:r w:rsidRPr="00C31A61">
        <w:t>Before publishing a statement, the Minister must give the relevant health service entity a reasonable opportunity to make oral or written submissions on the proposed publication of the statement</w:t>
      </w:r>
      <w:r w:rsidR="000B3B52">
        <w:t>.</w:t>
      </w:r>
      <w:r>
        <w:rPr>
          <w:rStyle w:val="FootnoteReference"/>
        </w:rPr>
        <w:footnoteReference w:id="6"/>
      </w:r>
    </w:p>
    <w:p w:rsidR="00404F14" w:rsidRDefault="00404F14" w14:paraId="1867CB53" w14:textId="168886A2">
      <w:r>
        <w:br w:type="page"/>
      </w:r>
    </w:p>
    <w:p w:rsidR="00193DDD" w:rsidP="00193DDD" w:rsidRDefault="00193DDD" w14:paraId="50F61BD4" w14:textId="361FE9C8">
      <w:pPr>
        <w:pStyle w:val="Heading1"/>
      </w:pPr>
      <w:bookmarkStart w:name="_Toc117524292" w:id="8"/>
      <w:r>
        <w:lastRenderedPageBreak/>
        <w:t>2. Definitions</w:t>
      </w:r>
      <w:bookmarkEnd w:id="8"/>
    </w:p>
    <w:p w:rsidR="00193DDD" w:rsidP="00FE3202" w:rsidRDefault="66296D36" w14:paraId="0C967CEB" w14:textId="755EB223">
      <w:pPr>
        <w:pStyle w:val="SCVbody"/>
      </w:pPr>
      <w:r>
        <w:t>In these Guidelines:</w:t>
      </w:r>
    </w:p>
    <w:p w:rsidRPr="00A17815" w:rsidR="00193DDD" w:rsidP="00193DDD" w:rsidRDefault="00193DDD" w14:paraId="0443023D" w14:textId="7E27F6CA">
      <w:pPr>
        <w:pStyle w:val="SCVpullouttext"/>
        <w:spacing w:line="260" w:lineRule="atLeast"/>
        <w:rPr>
          <w:color w:val="auto"/>
        </w:rPr>
      </w:pPr>
      <w:r>
        <w:rPr>
          <w:b/>
          <w:bCs/>
          <w:color w:val="auto"/>
        </w:rPr>
        <w:t xml:space="preserve">Apology </w:t>
      </w:r>
      <w:r w:rsidRPr="00A17815">
        <w:rPr>
          <w:color w:val="auto"/>
        </w:rPr>
        <w:t>means an expression of compassion, regret or sympathy in connection with any matter, whether or not the apology admits or implies an admission of fault in connection with the matter.</w:t>
      </w:r>
      <w:r w:rsidR="003374E1">
        <w:rPr>
          <w:rStyle w:val="FootnoteReference"/>
          <w:color w:val="auto"/>
        </w:rPr>
        <w:footnoteReference w:id="7"/>
      </w:r>
    </w:p>
    <w:p w:rsidRPr="00183E11" w:rsidR="00193DDD" w:rsidP="00193DDD" w:rsidRDefault="00193DDD" w14:paraId="19B9A0D9" w14:textId="77777777">
      <w:pPr>
        <w:pStyle w:val="SCVpullouttext"/>
        <w:spacing w:line="260" w:lineRule="atLeast"/>
        <w:rPr>
          <w:b/>
          <w:bCs/>
          <w:color w:val="auto"/>
        </w:rPr>
      </w:pPr>
      <w:r>
        <w:rPr>
          <w:b/>
          <w:bCs/>
          <w:color w:val="auto"/>
        </w:rPr>
        <w:t>C</w:t>
      </w:r>
      <w:r w:rsidRPr="00183E11">
        <w:rPr>
          <w:b/>
          <w:bCs/>
          <w:color w:val="auto"/>
        </w:rPr>
        <w:t xml:space="preserve">ivil proceeding </w:t>
      </w:r>
      <w:r w:rsidRPr="00183E11">
        <w:rPr>
          <w:color w:val="auto"/>
        </w:rPr>
        <w:t>includes:</w:t>
      </w:r>
    </w:p>
    <w:p w:rsidRPr="00183E11" w:rsidR="00193DDD" w:rsidP="00BC4ED5" w:rsidRDefault="00193DDD" w14:paraId="015C71A3" w14:textId="5AFAA1F3">
      <w:pPr>
        <w:pStyle w:val="SCVpullouttext"/>
        <w:numPr>
          <w:ilvl w:val="1"/>
          <w:numId w:val="22"/>
        </w:numPr>
        <w:spacing w:line="260" w:lineRule="atLeast"/>
        <w:ind w:left="709"/>
        <w:rPr>
          <w:color w:val="auto"/>
        </w:rPr>
      </w:pPr>
      <w:r w:rsidRPr="00183E11">
        <w:rPr>
          <w:color w:val="auto"/>
        </w:rPr>
        <w:t xml:space="preserve">a proceeding before a tribunal; </w:t>
      </w:r>
    </w:p>
    <w:p w:rsidRPr="00183E11" w:rsidR="00193DDD" w:rsidP="00BC4ED5" w:rsidRDefault="00193DDD" w14:paraId="528034A8" w14:textId="5C23BAF9">
      <w:pPr>
        <w:pStyle w:val="SCVpullouttext"/>
        <w:numPr>
          <w:ilvl w:val="1"/>
          <w:numId w:val="22"/>
        </w:numPr>
        <w:spacing w:line="260" w:lineRule="atLeast"/>
        <w:ind w:left="709"/>
        <w:rPr>
          <w:color w:val="auto"/>
        </w:rPr>
      </w:pPr>
      <w:r w:rsidRPr="00183E11">
        <w:rPr>
          <w:color w:val="auto"/>
        </w:rPr>
        <w:t xml:space="preserve">a proceeding under an Act regulating the practice or conduct of a profession or occupation; </w:t>
      </w:r>
    </w:p>
    <w:p w:rsidRPr="00183E11" w:rsidR="00193DDD" w:rsidP="00BC4ED5" w:rsidRDefault="00193DDD" w14:paraId="1B7104F3" w14:textId="77777777">
      <w:pPr>
        <w:pStyle w:val="SCVpullouttext"/>
        <w:numPr>
          <w:ilvl w:val="1"/>
          <w:numId w:val="22"/>
        </w:numPr>
        <w:spacing w:line="260" w:lineRule="atLeast"/>
        <w:ind w:left="709"/>
        <w:rPr>
          <w:color w:val="auto"/>
        </w:rPr>
      </w:pPr>
      <w:r w:rsidRPr="00183E11">
        <w:rPr>
          <w:color w:val="auto"/>
        </w:rPr>
        <w:t xml:space="preserve">a proceeding of a Royal Commission, whether established under the </w:t>
      </w:r>
      <w:r w:rsidRPr="00D962CE">
        <w:rPr>
          <w:i/>
          <w:iCs/>
          <w:color w:val="auto"/>
        </w:rPr>
        <w:t>Inquiries Act 2014</w:t>
      </w:r>
      <w:r w:rsidRPr="00183E11">
        <w:rPr>
          <w:color w:val="auto"/>
        </w:rPr>
        <w:t xml:space="preserve"> or under the prerogative of the Crown; and</w:t>
      </w:r>
    </w:p>
    <w:p w:rsidRPr="00183E11" w:rsidR="00193DDD" w:rsidP="00BC4ED5" w:rsidRDefault="00193DDD" w14:paraId="59D79D24" w14:textId="321BDF12">
      <w:pPr>
        <w:pStyle w:val="SCVpullouttext"/>
        <w:numPr>
          <w:ilvl w:val="1"/>
          <w:numId w:val="22"/>
        </w:numPr>
        <w:spacing w:line="260" w:lineRule="atLeast"/>
        <w:ind w:left="709"/>
        <w:rPr>
          <w:color w:val="auto"/>
        </w:rPr>
      </w:pPr>
      <w:r w:rsidRPr="00183E11">
        <w:rPr>
          <w:color w:val="auto"/>
        </w:rPr>
        <w:t xml:space="preserve">a proceeding of a Board of Inquiry or Formal Review established under the </w:t>
      </w:r>
      <w:r w:rsidRPr="00D962CE">
        <w:rPr>
          <w:i/>
          <w:iCs/>
          <w:color w:val="auto"/>
        </w:rPr>
        <w:t>Inquiries Act 2014</w:t>
      </w:r>
      <w:r>
        <w:rPr>
          <w:color w:val="auto"/>
        </w:rPr>
        <w:t>.</w:t>
      </w:r>
      <w:r w:rsidR="003D71DB">
        <w:rPr>
          <w:rStyle w:val="FootnoteReference"/>
          <w:color w:val="auto"/>
        </w:rPr>
        <w:footnoteReference w:id="8"/>
      </w:r>
    </w:p>
    <w:p w:rsidR="00406F1D" w:rsidP="00193DDD" w:rsidRDefault="277ED8EC" w14:paraId="1412C487" w14:textId="3C1337B0">
      <w:pPr>
        <w:pStyle w:val="SCVpullouttext"/>
        <w:spacing w:line="260" w:lineRule="atLeast"/>
        <w:rPr>
          <w:b/>
          <w:bCs/>
          <w:color w:val="auto"/>
        </w:rPr>
      </w:pPr>
      <w:r w:rsidRPr="1147C3B3">
        <w:rPr>
          <w:b/>
          <w:bCs/>
          <w:color w:val="auto"/>
        </w:rPr>
        <w:t xml:space="preserve">Harm </w:t>
      </w:r>
      <w:r w:rsidRPr="1147C3B3">
        <w:rPr>
          <w:color w:val="auto"/>
        </w:rPr>
        <w:t>includes moderate harm</w:t>
      </w:r>
      <w:r w:rsidRPr="1147C3B3" w:rsidR="320F78B2">
        <w:rPr>
          <w:color w:val="auto"/>
        </w:rPr>
        <w:t xml:space="preserve">, </w:t>
      </w:r>
      <w:r w:rsidRPr="1147C3B3">
        <w:rPr>
          <w:color w:val="auto"/>
        </w:rPr>
        <w:t>severe harm</w:t>
      </w:r>
      <w:r w:rsidRPr="1147C3B3" w:rsidR="320F78B2">
        <w:rPr>
          <w:color w:val="auto"/>
        </w:rPr>
        <w:t xml:space="preserve"> and prolonged psychological harm</w:t>
      </w:r>
      <w:r w:rsidRPr="1147C3B3">
        <w:rPr>
          <w:color w:val="auto"/>
        </w:rPr>
        <w:t>.</w:t>
      </w:r>
      <w:r w:rsidR="00403101">
        <w:rPr>
          <w:rStyle w:val="FootnoteReference"/>
          <w:color w:val="auto"/>
        </w:rPr>
        <w:footnoteReference w:id="9"/>
      </w:r>
    </w:p>
    <w:p w:rsidR="00193DDD" w:rsidP="00193DDD" w:rsidRDefault="66296D36" w14:paraId="3FB45721" w14:textId="4BB46448">
      <w:pPr>
        <w:pStyle w:val="SCVpullouttext"/>
        <w:spacing w:line="260" w:lineRule="atLeast"/>
        <w:rPr>
          <w:b/>
          <w:bCs/>
          <w:color w:val="auto"/>
        </w:rPr>
      </w:pPr>
      <w:r w:rsidRPr="1147C3B3">
        <w:rPr>
          <w:b/>
          <w:bCs/>
          <w:color w:val="auto"/>
        </w:rPr>
        <w:t xml:space="preserve">Moderate harm </w:t>
      </w:r>
      <w:r w:rsidRPr="1147C3B3" w:rsidR="08E202F3">
        <w:rPr>
          <w:color w:val="auto"/>
        </w:rPr>
        <w:t>means harm that requires a moderate increase in treatment to a patient, such as an unplanned or unexpected return to surgery, but does not include harm that causes permanent damage or injury to an individual</w:t>
      </w:r>
      <w:r w:rsidRPr="1147C3B3">
        <w:rPr>
          <w:color w:val="auto"/>
        </w:rPr>
        <w:t>.</w:t>
      </w:r>
      <w:r w:rsidR="00961269">
        <w:rPr>
          <w:rStyle w:val="FootnoteReference"/>
          <w:color w:val="auto"/>
        </w:rPr>
        <w:footnoteReference w:id="10"/>
      </w:r>
    </w:p>
    <w:p w:rsidR="00193DDD" w:rsidP="00193DDD" w:rsidRDefault="00193DDD" w14:paraId="047F59CB" w14:textId="77777777">
      <w:pPr>
        <w:pStyle w:val="SCVpullouttext"/>
        <w:spacing w:line="260" w:lineRule="atLeast"/>
        <w:rPr>
          <w:color w:val="auto"/>
        </w:rPr>
      </w:pPr>
      <w:r w:rsidRPr="5AB7E433">
        <w:rPr>
          <w:b/>
          <w:bCs/>
          <w:color w:val="auto"/>
        </w:rPr>
        <w:t>Next of kin</w:t>
      </w:r>
      <w:r w:rsidRPr="5AB7E433">
        <w:rPr>
          <w:color w:val="auto"/>
        </w:rPr>
        <w:t xml:space="preserve"> </w:t>
      </w:r>
      <w:r w:rsidRPr="5AB7E433">
        <w:rPr>
          <w:b/>
          <w:bCs/>
          <w:color w:val="auto"/>
        </w:rPr>
        <w:t>(NOK)</w:t>
      </w:r>
      <w:r w:rsidRPr="5AB7E433">
        <w:rPr>
          <w:color w:val="auto"/>
        </w:rPr>
        <w:t xml:space="preserve"> is the patient’s next of kin which may be any partner, parent, legal guardian, child or sibling of 18 years or older, or executor when a harm event causes death. </w:t>
      </w:r>
    </w:p>
    <w:p w:rsidR="00193DDD" w:rsidP="00193DDD" w:rsidRDefault="00193DDD" w14:paraId="24A47B31" w14:textId="4C91660D">
      <w:pPr>
        <w:pStyle w:val="SCVpullouttext"/>
        <w:spacing w:line="260" w:lineRule="atLeast"/>
        <w:rPr>
          <w:color w:val="auto"/>
        </w:rPr>
      </w:pPr>
      <w:r w:rsidRPr="5AB7E433">
        <w:rPr>
          <w:b/>
          <w:bCs/>
          <w:color w:val="auto"/>
        </w:rPr>
        <w:t>Patient</w:t>
      </w:r>
      <w:r w:rsidRPr="5AB7E433">
        <w:rPr>
          <w:color w:val="auto"/>
        </w:rPr>
        <w:t xml:space="preserve"> refer</w:t>
      </w:r>
      <w:r w:rsidRPr="00AF25B3">
        <w:rPr>
          <w:color w:val="auto"/>
        </w:rPr>
        <w:t>s</w:t>
      </w:r>
      <w:r w:rsidRPr="5AB7E433">
        <w:rPr>
          <w:color w:val="auto"/>
        </w:rPr>
        <w:t xml:space="preserve"> to</w:t>
      </w:r>
      <w:r w:rsidR="00680E66">
        <w:rPr>
          <w:color w:val="auto"/>
        </w:rPr>
        <w:t xml:space="preserve"> any patient including</w:t>
      </w:r>
      <w:r w:rsidRPr="5AB7E433">
        <w:rPr>
          <w:color w:val="auto"/>
        </w:rPr>
        <w:t xml:space="preserve"> inpatients, consumers, clients or residents </w:t>
      </w:r>
      <w:r w:rsidRPr="00F66863" w:rsidR="00F66863">
        <w:rPr>
          <w:color w:val="auto"/>
        </w:rPr>
        <w:t>that have suffered a SAPSE in the course of receiving health services</w:t>
      </w:r>
      <w:r w:rsidRPr="5AB7E433">
        <w:rPr>
          <w:color w:val="auto"/>
        </w:rPr>
        <w:t xml:space="preserve">. </w:t>
      </w:r>
    </w:p>
    <w:tbl>
      <w:tblPr>
        <w:tblStyle w:val="SCVpulloutbox"/>
        <w:tblW w:w="0" w:type="auto"/>
        <w:tblLook w:val="04A0" w:firstRow="1" w:lastRow="0" w:firstColumn="1" w:lastColumn="0" w:noHBand="0" w:noVBand="1"/>
      </w:tblPr>
      <w:tblGrid>
        <w:gridCol w:w="10204"/>
      </w:tblGrid>
      <w:tr w:rsidRPr="00E748EF" w:rsidR="00193DDD" w:rsidTr="00F20F80" w14:paraId="67DD5A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Pr="00B913B6" w:rsidR="00193DDD" w:rsidP="00F20F80" w:rsidRDefault="00193DDD" w14:paraId="5516D45A" w14:textId="62D28EFF">
            <w:pPr>
              <w:pStyle w:val="SCVpullouttext"/>
              <w:spacing w:line="260" w:lineRule="atLeast"/>
              <w:rPr>
                <w:b w:val="0"/>
                <w:bCs w:val="0"/>
                <w:color w:val="auto"/>
              </w:rPr>
            </w:pPr>
            <w:r w:rsidRPr="008468A0">
              <w:rPr>
                <w:b w:val="0"/>
              </w:rPr>
              <w:t xml:space="preserve">In circumstances where the patient lacks capacity or dies, the term patient also </w:t>
            </w:r>
            <w:r w:rsidRPr="008468A0" w:rsidR="00A4700B">
              <w:rPr>
                <w:b w:val="0"/>
              </w:rPr>
              <w:t>includes</w:t>
            </w:r>
            <w:r w:rsidRPr="008468A0">
              <w:rPr>
                <w:b w:val="0"/>
              </w:rPr>
              <w:t xml:space="preserve"> others who may be involved in the</w:t>
            </w:r>
            <w:r w:rsidRPr="008468A0" w:rsidR="00680E66">
              <w:rPr>
                <w:b w:val="0"/>
              </w:rPr>
              <w:t xml:space="preserve"> SDC</w:t>
            </w:r>
            <w:r w:rsidRPr="008468A0">
              <w:rPr>
                <w:b w:val="0"/>
              </w:rPr>
              <w:t xml:space="preserve"> process including</w:t>
            </w:r>
            <w:r w:rsidRPr="008468A0" w:rsidR="00680E66">
              <w:rPr>
                <w:b w:val="0"/>
              </w:rPr>
              <w:t xml:space="preserve"> the patient’s</w:t>
            </w:r>
            <w:r w:rsidRPr="008468A0">
              <w:rPr>
                <w:b w:val="0"/>
              </w:rPr>
              <w:t xml:space="preserve"> immediate family, carer, NOK, or any person nominated by the patient</w:t>
            </w:r>
            <w:r w:rsidRPr="00B913B6">
              <w:rPr>
                <w:b w:val="0"/>
                <w:bCs w:val="0"/>
                <w:color w:val="auto"/>
              </w:rPr>
              <w:t>.</w:t>
            </w:r>
            <w:r w:rsidRPr="00C76C4D" w:rsidR="00185832">
              <w:rPr>
                <w:rStyle w:val="FootnoteReference"/>
                <w:b w:val="0"/>
                <w:bCs w:val="0"/>
              </w:rPr>
              <w:footnoteReference w:id="11"/>
            </w:r>
            <w:r w:rsidRPr="00C76C4D">
              <w:rPr>
                <w:b w:val="0"/>
                <w:bCs w:val="0"/>
              </w:rPr>
              <w:t xml:space="preserve"> </w:t>
            </w:r>
          </w:p>
        </w:tc>
      </w:tr>
    </w:tbl>
    <w:p w:rsidR="00193DDD" w:rsidP="00193DDD" w:rsidRDefault="66296D36" w14:paraId="31E42B92" w14:textId="4F31C4F0">
      <w:pPr>
        <w:pStyle w:val="SCVpullouttext"/>
        <w:spacing w:line="260" w:lineRule="atLeast"/>
        <w:rPr>
          <w:color w:val="auto"/>
        </w:rPr>
      </w:pPr>
      <w:r w:rsidRPr="1147C3B3">
        <w:rPr>
          <w:b/>
          <w:bCs/>
          <w:color w:val="auto"/>
        </w:rPr>
        <w:t xml:space="preserve">Prolonged psychological harm </w:t>
      </w:r>
      <w:r w:rsidRPr="1147C3B3" w:rsidR="7235DBAF">
        <w:rPr>
          <w:color w:val="auto"/>
        </w:rPr>
        <w:t>means psychological harm which a patient has experienced, or is likely to experience, for a continuous period of at least 28 days</w:t>
      </w:r>
      <w:r w:rsidRPr="1147C3B3">
        <w:rPr>
          <w:color w:val="auto"/>
        </w:rPr>
        <w:t>.</w:t>
      </w:r>
      <w:r w:rsidR="00310FE7">
        <w:rPr>
          <w:rStyle w:val="FootnoteReference"/>
          <w:color w:val="auto"/>
        </w:rPr>
        <w:footnoteReference w:id="12"/>
      </w:r>
    </w:p>
    <w:p w:rsidR="00072989" w:rsidP="00072989" w:rsidRDefault="00072989" w14:paraId="6056A369" w14:textId="061A7FA0">
      <w:pPr>
        <w:pStyle w:val="SCVpullouttext"/>
        <w:spacing w:line="260" w:lineRule="atLeast"/>
        <w:rPr>
          <w:color w:val="auto"/>
        </w:rPr>
      </w:pPr>
      <w:r w:rsidRPr="00072989">
        <w:rPr>
          <w:b/>
          <w:bCs/>
          <w:color w:val="auto"/>
        </w:rPr>
        <w:t>Protections</w:t>
      </w:r>
      <w:r>
        <w:rPr>
          <w:b/>
          <w:bCs/>
          <w:color w:val="auto"/>
        </w:rPr>
        <w:t xml:space="preserve"> </w:t>
      </w:r>
      <w:r w:rsidRPr="006E5D58" w:rsidR="006E5D58">
        <w:rPr>
          <w:color w:val="auto"/>
        </w:rPr>
        <w:t xml:space="preserve">refer to the protections that apply to the serious adverse patient safety event (SAPSE) review process, that are set out in sections 128R, 128S, 128U and 128W of the </w:t>
      </w:r>
      <w:r w:rsidRPr="006E5D58" w:rsidR="006E5D58">
        <w:rPr>
          <w:i/>
          <w:iCs/>
          <w:color w:val="auto"/>
        </w:rPr>
        <w:t>Health Services Act 1988</w:t>
      </w:r>
      <w:r w:rsidRPr="006E5D58" w:rsidR="006E5D58">
        <w:rPr>
          <w:color w:val="auto"/>
        </w:rPr>
        <w:t>. When a SAPSE review is conducted in accordance with Division 8 of Part 5A of the Health Services Act 1988, relevant protections apply.</w:t>
      </w:r>
    </w:p>
    <w:p w:rsidRPr="0003351E" w:rsidR="0003351E" w:rsidP="0003351E" w:rsidRDefault="320F78B2" w14:paraId="77722B62" w14:textId="417A9F24">
      <w:pPr>
        <w:pStyle w:val="SCVbodyafterheading"/>
      </w:pPr>
      <w:r w:rsidRPr="1147C3B3">
        <w:rPr>
          <w:b/>
          <w:bCs/>
        </w:rPr>
        <w:lastRenderedPageBreak/>
        <w:t>Registered health practitioner</w:t>
      </w:r>
      <w:r>
        <w:t xml:space="preserve"> means an individual who:</w:t>
      </w:r>
    </w:p>
    <w:p w:rsidRPr="0003351E" w:rsidR="0003351E" w:rsidP="0003351E" w:rsidRDefault="320F78B2" w14:paraId="71F74CDA" w14:textId="06FDE645">
      <w:pPr>
        <w:pStyle w:val="SCVbodyafterheading"/>
        <w:numPr>
          <w:ilvl w:val="0"/>
          <w:numId w:val="32"/>
        </w:numPr>
      </w:pPr>
      <w:r>
        <w:t xml:space="preserve">is registered under </w:t>
      </w:r>
      <w:r w:rsidR="77128947">
        <w:t xml:space="preserve">the </w:t>
      </w:r>
      <w:r>
        <w:t>Health Practitioner Regulation National Law to practise a health profession</w:t>
      </w:r>
      <w:r w:rsidR="5A22AB6E">
        <w:t>, other than as a student</w:t>
      </w:r>
      <w:r>
        <w:t>; or</w:t>
      </w:r>
    </w:p>
    <w:p w:rsidRPr="0003351E" w:rsidR="0003351E" w:rsidP="0003351E" w:rsidRDefault="0003351E" w14:paraId="5B020477" w14:textId="18841F2E">
      <w:pPr>
        <w:pStyle w:val="SCVbodyafterheading"/>
        <w:numPr>
          <w:ilvl w:val="0"/>
          <w:numId w:val="32"/>
        </w:numPr>
      </w:pPr>
      <w:r w:rsidRPr="0003351E">
        <w:t>holds non-practising registration under this Law in a health profession.</w:t>
      </w:r>
      <w:r w:rsidRPr="0003351E">
        <w:rPr>
          <w:rStyle w:val="FootnoteReference"/>
        </w:rPr>
        <w:footnoteReference w:id="13"/>
      </w:r>
    </w:p>
    <w:p w:rsidRPr="00B811F8" w:rsidR="00B811F8" w:rsidP="00B811F8" w:rsidRDefault="00296F77" w14:paraId="1E0536F1" w14:textId="0C0F2857">
      <w:pPr>
        <w:pStyle w:val="SCVpullouttext"/>
        <w:spacing w:line="260" w:lineRule="atLeast"/>
        <w:rPr>
          <w:color w:val="auto"/>
        </w:rPr>
      </w:pPr>
      <w:r>
        <w:rPr>
          <w:b/>
          <w:bCs/>
          <w:color w:val="auto"/>
        </w:rPr>
        <w:t>SAPSE</w:t>
      </w:r>
      <w:r w:rsidRPr="2B20A55A" w:rsidR="19A114BF">
        <w:rPr>
          <w:b/>
          <w:bCs/>
          <w:color w:val="auto"/>
        </w:rPr>
        <w:t xml:space="preserve"> </w:t>
      </w:r>
      <w:r w:rsidRPr="2B20A55A" w:rsidR="31F49F46">
        <w:rPr>
          <w:color w:val="auto"/>
        </w:rPr>
        <w:t>is</w:t>
      </w:r>
      <w:r w:rsidRPr="2B20A55A" w:rsidR="0C40AF92">
        <w:rPr>
          <w:color w:val="auto"/>
        </w:rPr>
        <w:t xml:space="preserve"> defined </w:t>
      </w:r>
      <w:r w:rsidRPr="0A331BD2" w:rsidR="692BE3E8">
        <w:rPr>
          <w:color w:val="auto"/>
        </w:rPr>
        <w:t xml:space="preserve">as a serious adverse patient safety event </w:t>
      </w:r>
      <w:r w:rsidRPr="0A331BD2" w:rsidR="0C40AF92">
        <w:rPr>
          <w:color w:val="auto"/>
        </w:rPr>
        <w:t>in</w:t>
      </w:r>
      <w:r w:rsidRPr="2B20A55A" w:rsidR="0C40AF92">
        <w:rPr>
          <w:color w:val="auto"/>
        </w:rPr>
        <w:t xml:space="preserve"> </w:t>
      </w:r>
      <w:r w:rsidRPr="008D60C8" w:rsidR="008D60C8">
        <w:rPr>
          <w:color w:val="auto"/>
        </w:rPr>
        <w:t>section</w:t>
      </w:r>
      <w:r w:rsidR="00AA2330">
        <w:rPr>
          <w:color w:val="auto"/>
        </w:rPr>
        <w:t xml:space="preserve"> </w:t>
      </w:r>
      <w:r w:rsidRPr="008D60C8" w:rsidR="008D60C8">
        <w:rPr>
          <w:color w:val="auto"/>
        </w:rPr>
        <w:t xml:space="preserve">3(1) of the </w:t>
      </w:r>
      <w:r w:rsidRPr="00AA2330" w:rsidR="008D60C8">
        <w:rPr>
          <w:i/>
          <w:iCs/>
          <w:color w:val="auto"/>
        </w:rPr>
        <w:t>Health Serv</w:t>
      </w:r>
      <w:r w:rsidRPr="00A82D35" w:rsidR="008D60C8">
        <w:rPr>
          <w:i/>
          <w:iCs/>
          <w:color w:val="auto"/>
        </w:rPr>
        <w:t>ices Act</w:t>
      </w:r>
      <w:r w:rsidRPr="00A82D35" w:rsidR="00AA2330">
        <w:rPr>
          <w:i/>
          <w:iCs/>
          <w:color w:val="auto"/>
        </w:rPr>
        <w:t xml:space="preserve"> </w:t>
      </w:r>
      <w:r w:rsidRPr="00A82D35" w:rsidR="008D60C8">
        <w:rPr>
          <w:i/>
          <w:iCs/>
          <w:color w:val="auto"/>
        </w:rPr>
        <w:t>1988</w:t>
      </w:r>
      <w:r w:rsidRPr="00A82D35" w:rsidR="4D7AA60A">
        <w:rPr>
          <w:i/>
          <w:iCs/>
          <w:color w:val="auto"/>
        </w:rPr>
        <w:t>,</w:t>
      </w:r>
      <w:r w:rsidRPr="00A82D35" w:rsidR="1377F39B">
        <w:rPr>
          <w:i/>
          <w:iCs/>
          <w:color w:val="auto"/>
        </w:rPr>
        <w:t xml:space="preserve"> </w:t>
      </w:r>
      <w:r w:rsidRPr="00A82D35" w:rsidR="0359E24B">
        <w:rPr>
          <w:color w:val="auto"/>
        </w:rPr>
        <w:t>being</w:t>
      </w:r>
      <w:r w:rsidRPr="00A82D35" w:rsidR="1377F39B">
        <w:rPr>
          <w:color w:val="auto"/>
        </w:rPr>
        <w:t xml:space="preserve"> an event of a prescribed class or category that results in harm to one or more individuals</w:t>
      </w:r>
      <w:r w:rsidRPr="00A82D35" w:rsidR="5F1A4991">
        <w:rPr>
          <w:color w:val="auto"/>
        </w:rPr>
        <w:t>.</w:t>
      </w:r>
      <w:r w:rsidRPr="617CE623" w:rsidR="5F1A4991">
        <w:t xml:space="preserve"> </w:t>
      </w:r>
      <w:r w:rsidRPr="28150A24" w:rsidR="15DA569C">
        <w:rPr>
          <w:color w:val="auto"/>
        </w:rPr>
        <w:t>A</w:t>
      </w:r>
      <w:r w:rsidRPr="008D60C8" w:rsidR="008D60C8">
        <w:rPr>
          <w:color w:val="auto"/>
        </w:rPr>
        <w:t xml:space="preserve"> prescribed class or category is an event that</w:t>
      </w:r>
      <w:r w:rsidRPr="00B811F8" w:rsidR="00B811F8">
        <w:rPr>
          <w:color w:val="auto"/>
        </w:rPr>
        <w:t xml:space="preserve">: </w:t>
      </w:r>
    </w:p>
    <w:p w:rsidRPr="00B811F8" w:rsidR="00B811F8" w:rsidP="00C222E3" w:rsidRDefault="00B811F8" w14:paraId="49197372" w14:textId="7054EBDF">
      <w:pPr>
        <w:pStyle w:val="SCVpullouttext"/>
        <w:numPr>
          <w:ilvl w:val="0"/>
          <w:numId w:val="24"/>
        </w:numPr>
        <w:spacing w:line="260" w:lineRule="atLeast"/>
        <w:rPr>
          <w:color w:val="auto"/>
        </w:rPr>
      </w:pPr>
      <w:r w:rsidRPr="00B811F8">
        <w:rPr>
          <w:color w:val="auto"/>
        </w:rPr>
        <w:t xml:space="preserve">occurred while the patient was receiving </w:t>
      </w:r>
      <w:r w:rsidR="00CD51AE">
        <w:rPr>
          <w:color w:val="auto"/>
        </w:rPr>
        <w:t>health services</w:t>
      </w:r>
      <w:r w:rsidRPr="00B811F8" w:rsidR="00CD51AE">
        <w:rPr>
          <w:color w:val="auto"/>
        </w:rPr>
        <w:t xml:space="preserve"> </w:t>
      </w:r>
      <w:r w:rsidRPr="00B811F8">
        <w:rPr>
          <w:color w:val="auto"/>
        </w:rPr>
        <w:t xml:space="preserve">from a health service entity; and </w:t>
      </w:r>
    </w:p>
    <w:p w:rsidR="00C222E3" w:rsidP="00B811F8" w:rsidRDefault="00B811F8" w14:paraId="5C72A678" w14:textId="0D7F6F59">
      <w:pPr>
        <w:pStyle w:val="SCVpullouttext"/>
        <w:numPr>
          <w:ilvl w:val="0"/>
          <w:numId w:val="24"/>
        </w:numPr>
        <w:spacing w:line="260" w:lineRule="atLeast"/>
        <w:rPr>
          <w:color w:val="auto"/>
        </w:rPr>
      </w:pPr>
      <w:r w:rsidRPr="00B811F8">
        <w:rPr>
          <w:color w:val="auto"/>
        </w:rPr>
        <w:t xml:space="preserve">in the reasonable opinion of a registered health practitioner, has resulted in, or is likely to result in, unintended or unexpected harm being </w:t>
      </w:r>
      <w:r w:rsidR="00560B03">
        <w:rPr>
          <w:color w:val="auto"/>
        </w:rPr>
        <w:t>suffered</w:t>
      </w:r>
      <w:r w:rsidRPr="00B811F8" w:rsidR="00560B03">
        <w:rPr>
          <w:color w:val="auto"/>
        </w:rPr>
        <w:t xml:space="preserve"> </w:t>
      </w:r>
      <w:r w:rsidRPr="00B811F8">
        <w:rPr>
          <w:color w:val="auto"/>
        </w:rPr>
        <w:t xml:space="preserve">by the patient. </w:t>
      </w:r>
    </w:p>
    <w:p w:rsidR="006777BE" w:rsidP="00C222E3" w:rsidRDefault="00EF552F" w14:paraId="5B187225" w14:textId="0F1055B5">
      <w:pPr>
        <w:pStyle w:val="SCVpullouttext"/>
        <w:spacing w:line="260" w:lineRule="atLeast"/>
        <w:rPr>
          <w:color w:val="auto"/>
        </w:rPr>
      </w:pPr>
      <w:r w:rsidRPr="00EF552F">
        <w:rPr>
          <w:color w:val="auto"/>
        </w:rPr>
        <w:t xml:space="preserve">To avoid doubt, </w:t>
      </w:r>
      <w:r w:rsidR="004128FF">
        <w:rPr>
          <w:color w:val="auto"/>
        </w:rPr>
        <w:t>this</w:t>
      </w:r>
      <w:r w:rsidRPr="00EF552F">
        <w:rPr>
          <w:color w:val="auto"/>
        </w:rPr>
        <w:t xml:space="preserve"> includes an event that is identified following discharge from the health service entity.</w:t>
      </w:r>
      <w:r w:rsidR="004128FF">
        <w:rPr>
          <w:rStyle w:val="FootnoteReference"/>
          <w:color w:val="auto"/>
        </w:rPr>
        <w:footnoteReference w:id="14"/>
      </w:r>
    </w:p>
    <w:p w:rsidRPr="00C222E3" w:rsidR="00227ADF" w:rsidP="00C222E3" w:rsidRDefault="00227ADF" w14:paraId="6EF352D2" w14:textId="3230CAA6">
      <w:pPr>
        <w:pStyle w:val="SCVpullouttext"/>
        <w:spacing w:line="260" w:lineRule="atLeast"/>
        <w:rPr>
          <w:color w:val="auto"/>
        </w:rPr>
      </w:pPr>
      <w:r w:rsidRPr="004128FF">
        <w:rPr>
          <w:color w:val="auto"/>
          <w:u w:val="single"/>
        </w:rPr>
        <w:t>Note:</w:t>
      </w:r>
      <w:r>
        <w:rPr>
          <w:color w:val="auto"/>
        </w:rPr>
        <w:t xml:space="preserve"> Please also see definitions of moderate</w:t>
      </w:r>
      <w:r w:rsidR="003060B6">
        <w:rPr>
          <w:color w:val="auto"/>
        </w:rPr>
        <w:t xml:space="preserve"> harm</w:t>
      </w:r>
      <w:r>
        <w:rPr>
          <w:color w:val="auto"/>
        </w:rPr>
        <w:t xml:space="preserve">, severe </w:t>
      </w:r>
      <w:r w:rsidR="003060B6">
        <w:rPr>
          <w:color w:val="auto"/>
        </w:rPr>
        <w:t xml:space="preserve">harm, </w:t>
      </w:r>
      <w:r>
        <w:rPr>
          <w:color w:val="auto"/>
        </w:rPr>
        <w:t xml:space="preserve">and prolonged psychological harm for context. </w:t>
      </w:r>
    </w:p>
    <w:p w:rsidR="00193DDD" w:rsidP="00193DDD" w:rsidRDefault="00193DDD" w14:paraId="53D9B813" w14:textId="77777777">
      <w:pPr>
        <w:pStyle w:val="SCVpullouttext"/>
        <w:spacing w:line="260" w:lineRule="atLeast"/>
        <w:rPr>
          <w:color w:val="auto"/>
        </w:rPr>
      </w:pPr>
      <w:r w:rsidRPr="0010769F">
        <w:rPr>
          <w:b/>
          <w:bCs/>
          <w:color w:val="auto"/>
        </w:rPr>
        <w:t>SAPSE review</w:t>
      </w:r>
      <w:r>
        <w:rPr>
          <w:color w:val="auto"/>
        </w:rPr>
        <w:t xml:space="preserve"> means a review of a SAPSE conducted in accordance with Division 8 of Part 5A of the </w:t>
      </w:r>
      <w:r w:rsidRPr="00B174FC">
        <w:rPr>
          <w:i/>
          <w:iCs/>
          <w:color w:val="auto"/>
        </w:rPr>
        <w:t>Health Services Act 1988</w:t>
      </w:r>
      <w:r>
        <w:rPr>
          <w:color w:val="auto"/>
        </w:rPr>
        <w:t>.</w:t>
      </w:r>
    </w:p>
    <w:p w:rsidR="00572369" w:rsidP="00572369" w:rsidRDefault="00572369" w14:paraId="583B16A5" w14:textId="485257B4">
      <w:pPr>
        <w:pStyle w:val="SCVbody"/>
      </w:pPr>
      <w:r w:rsidRPr="00572369">
        <w:rPr>
          <w:b/>
          <w:bCs/>
        </w:rPr>
        <w:t>SDC</w:t>
      </w:r>
      <w:r w:rsidRPr="00572369">
        <w:t xml:space="preserve"> means the statutory duty of candour set out in section 128ZC of the </w:t>
      </w:r>
      <w:r w:rsidRPr="00572369">
        <w:rPr>
          <w:i/>
          <w:iCs/>
        </w:rPr>
        <w:t>Health Services Act 1988</w:t>
      </w:r>
      <w:r w:rsidRPr="00572369">
        <w:t xml:space="preserve">, section 22I of the </w:t>
      </w:r>
      <w:r w:rsidRPr="00572369">
        <w:rPr>
          <w:i/>
          <w:iCs/>
        </w:rPr>
        <w:t>Ambulance Services Act 1986</w:t>
      </w:r>
      <w:r w:rsidRPr="00572369">
        <w:t xml:space="preserve"> and section 345B of the </w:t>
      </w:r>
      <w:r w:rsidRPr="00572369">
        <w:rPr>
          <w:i/>
          <w:iCs/>
        </w:rPr>
        <w:t>Mental Health Act 2014</w:t>
      </w:r>
      <w:r w:rsidRPr="00572369">
        <w:t xml:space="preserve">.  </w:t>
      </w:r>
    </w:p>
    <w:p w:rsidRPr="00010469" w:rsidR="00193DDD" w:rsidP="00193DDD" w:rsidRDefault="00193DDD" w14:paraId="6277802D" w14:textId="6E0373EF">
      <w:pPr>
        <w:pStyle w:val="SCVpullouttext"/>
        <w:spacing w:line="260" w:lineRule="atLeast"/>
      </w:pPr>
      <w:r w:rsidRPr="00AA2A2A">
        <w:rPr>
          <w:b/>
          <w:bCs/>
          <w:color w:val="auto"/>
        </w:rPr>
        <w:t>Secretary</w:t>
      </w:r>
      <w:r w:rsidRPr="00AA2A2A">
        <w:rPr>
          <w:color w:val="auto"/>
        </w:rPr>
        <w:t xml:space="preserve"> </w:t>
      </w:r>
      <w:r w:rsidRPr="007B1DC9">
        <w:rPr>
          <w:color w:val="auto"/>
        </w:rPr>
        <w:t xml:space="preserve">means the Department Head (within the meaning of the </w:t>
      </w:r>
      <w:r w:rsidRPr="00572369">
        <w:rPr>
          <w:i/>
          <w:iCs/>
          <w:color w:val="auto"/>
        </w:rPr>
        <w:t>Public Administration Act 2004</w:t>
      </w:r>
      <w:r w:rsidRPr="007B1DC9">
        <w:rPr>
          <w:color w:val="auto"/>
        </w:rPr>
        <w:t>) of the Department</w:t>
      </w:r>
      <w:r>
        <w:rPr>
          <w:color w:val="auto"/>
        </w:rPr>
        <w:t xml:space="preserve"> of Health.</w:t>
      </w:r>
      <w:r w:rsidR="00E97886">
        <w:rPr>
          <w:rStyle w:val="FootnoteReference"/>
          <w:color w:val="auto"/>
        </w:rPr>
        <w:footnoteReference w:id="15"/>
      </w:r>
    </w:p>
    <w:p w:rsidR="00193DDD" w:rsidP="00193DDD" w:rsidRDefault="66296D36" w14:paraId="1D7D1EEF" w14:textId="2E625B56">
      <w:pPr>
        <w:pStyle w:val="SCVpullouttext"/>
        <w:spacing w:line="260" w:lineRule="atLeast"/>
        <w:rPr>
          <w:color w:val="auto"/>
        </w:rPr>
      </w:pPr>
      <w:r w:rsidRPr="00010469">
        <w:rPr>
          <w:b/>
          <w:bCs/>
          <w:color w:val="auto"/>
        </w:rPr>
        <w:t>Sentinel event</w:t>
      </w:r>
      <w:r>
        <w:rPr>
          <w:color w:val="auto"/>
        </w:rPr>
        <w:t xml:space="preserve"> </w:t>
      </w:r>
      <w:r w:rsidRPr="00075A01" w:rsidR="10DC7E87">
        <w:rPr>
          <w:color w:val="auto"/>
        </w:rPr>
        <w:t>means an unexpected and adverse event that occurs infrequently in a health service entity and results in the death of, or serious physical or psychological injury to, a patient as a result of system and process deficiencies at the health service entity</w:t>
      </w:r>
      <w:r w:rsidRPr="00013D47">
        <w:rPr>
          <w:color w:val="auto"/>
        </w:rPr>
        <w:t>.</w:t>
      </w:r>
      <w:r w:rsidR="00E544FE">
        <w:rPr>
          <w:rStyle w:val="FootnoteReference"/>
          <w:color w:val="auto"/>
        </w:rPr>
        <w:footnoteReference w:id="16"/>
      </w:r>
    </w:p>
    <w:p w:rsidRPr="00AA2A2A" w:rsidR="00193DDD" w:rsidP="1147C3B3" w:rsidRDefault="66296D36" w14:paraId="64186F78" w14:textId="72BD6392">
      <w:pPr>
        <w:pStyle w:val="SCVpullouttext"/>
        <w:spacing w:line="260" w:lineRule="atLeast"/>
        <w:rPr>
          <w:rFonts w:eastAsiaTheme="majorEastAsia"/>
          <w:color w:val="auto"/>
        </w:rPr>
      </w:pPr>
      <w:r w:rsidRPr="1147C3B3">
        <w:rPr>
          <w:rFonts w:eastAsiaTheme="majorEastAsia"/>
          <w:b/>
          <w:bCs/>
          <w:color w:val="auto"/>
        </w:rPr>
        <w:t>Severe harm</w:t>
      </w:r>
      <w:r w:rsidRPr="1147C3B3">
        <w:rPr>
          <w:rFonts w:eastAsiaTheme="majorEastAsia"/>
          <w:color w:val="auto"/>
        </w:rPr>
        <w:t xml:space="preserve"> </w:t>
      </w:r>
      <w:r w:rsidRPr="1147C3B3" w:rsidR="5DB01C27">
        <w:rPr>
          <w:rFonts w:eastAsiaTheme="majorEastAsia"/>
          <w:color w:val="auto"/>
        </w:rPr>
        <w:t>means harm that causes a permanent lessening in the functioning of an individual that is unrelated to the natural course of a person’s illness or underlying condition including harm that can lead to a person experiencing a permanent impairment or disability, or death</w:t>
      </w:r>
      <w:r w:rsidRPr="1147C3B3">
        <w:rPr>
          <w:rFonts w:eastAsiaTheme="majorEastAsia"/>
          <w:color w:val="auto"/>
        </w:rPr>
        <w:t>.</w:t>
      </w:r>
      <w:r w:rsidR="00240923">
        <w:rPr>
          <w:rStyle w:val="FootnoteReference"/>
          <w:rFonts w:eastAsiaTheme="majorEastAsia"/>
          <w:color w:val="auto"/>
        </w:rPr>
        <w:footnoteReference w:id="17"/>
      </w:r>
    </w:p>
    <w:p w:rsidR="00601F24" w:rsidP="003519BB" w:rsidRDefault="00601F24" w14:paraId="085CDCE1" w14:textId="187934B9">
      <w:pPr>
        <w:pStyle w:val="SCVbody"/>
        <w:sectPr w:rsidR="00601F24" w:rsidSect="008C46E5">
          <w:headerReference w:type="even" r:id="rId28"/>
          <w:headerReference w:type="default" r:id="rId29"/>
          <w:pgSz w:w="11906" w:h="16838" w:code="9"/>
          <w:pgMar w:top="3402" w:right="851" w:bottom="1361" w:left="851" w:header="851" w:footer="851" w:gutter="0"/>
          <w:pgNumType w:start="1"/>
          <w:cols w:space="284"/>
          <w:docGrid w:linePitch="360"/>
        </w:sectPr>
      </w:pPr>
    </w:p>
    <w:p w:rsidR="00614F1C" w:rsidP="00614F1C" w:rsidRDefault="00E748EF" w14:paraId="0E771588" w14:textId="5E979015">
      <w:pPr>
        <w:pStyle w:val="Heading1"/>
      </w:pPr>
      <w:bookmarkStart w:name="_Toc117524293" w:id="9"/>
      <w:r>
        <w:lastRenderedPageBreak/>
        <w:t>3</w:t>
      </w:r>
      <w:r w:rsidR="00614F1C">
        <w:t>.</w:t>
      </w:r>
      <w:r w:rsidR="00187DC6">
        <w:t xml:space="preserve"> </w:t>
      </w:r>
      <w:r w:rsidR="0099263C">
        <w:t>SDC</w:t>
      </w:r>
      <w:r w:rsidR="00464F51">
        <w:t xml:space="preserve"> Requirements</w:t>
      </w:r>
      <w:bookmarkEnd w:id="9"/>
    </w:p>
    <w:p w:rsidR="00614F1C" w:rsidP="00614F1C" w:rsidRDefault="0002443A" w14:paraId="0981BF07" w14:textId="5FD12A38">
      <w:pPr>
        <w:pStyle w:val="SCVintroductorytext"/>
      </w:pPr>
      <w:r>
        <w:t>SDC</w:t>
      </w:r>
      <w:r w:rsidR="00614F1C">
        <w:t xml:space="preserve"> is a legal obligation for Victorian health service entities to ensure that patients and their families or carers are apologised to and communicated with openly and </w:t>
      </w:r>
      <w:r w:rsidR="00913D8B">
        <w:t>honestly when</w:t>
      </w:r>
      <w:r w:rsidR="00614F1C">
        <w:t xml:space="preserve"> a SAPSE has </w:t>
      </w:r>
      <w:r w:rsidR="00E43A0B">
        <w:t>occurred. It builds on the Australian Open Disclosure Framework currently utilised for all cases of harm and near miss.</w:t>
      </w:r>
    </w:p>
    <w:p w:rsidR="007C5406" w:rsidP="007C5406" w:rsidRDefault="007C5406" w14:paraId="413C651C" w14:textId="5B4A2560">
      <w:pPr>
        <w:pStyle w:val="Heading2"/>
      </w:pPr>
      <w:bookmarkStart w:name="_Toc117524294" w:id="10"/>
      <w:r>
        <w:t>3.1</w:t>
      </w:r>
      <w:r>
        <w:tab/>
      </w:r>
      <w:r>
        <w:t>SDC</w:t>
      </w:r>
      <w:bookmarkEnd w:id="10"/>
    </w:p>
    <w:p w:rsidR="00C8180B" w:rsidP="00C8180B" w:rsidRDefault="00C8180B" w14:paraId="495BC341" w14:textId="5491D1B1">
      <w:pPr>
        <w:pStyle w:val="SCVbody"/>
      </w:pPr>
      <w:r w:rsidRPr="000C0076">
        <w:t>If a patient</w:t>
      </w:r>
      <w:r w:rsidR="00196467">
        <w:t xml:space="preserve"> </w:t>
      </w:r>
      <w:r w:rsidRPr="000C0076">
        <w:t xml:space="preserve">suffers a </w:t>
      </w:r>
      <w:r>
        <w:t>SAPS</w:t>
      </w:r>
      <w:r w:rsidR="007C5406">
        <w:t>E</w:t>
      </w:r>
      <w:r w:rsidRPr="000C0076">
        <w:t xml:space="preserve"> in the course of receiving health services, the health service entity responsible for providing those services owes a </w:t>
      </w:r>
      <w:r w:rsidR="007C5406">
        <w:t>SDC</w:t>
      </w:r>
      <w:r w:rsidRPr="000C0076">
        <w:t xml:space="preserve"> to the patient </w:t>
      </w:r>
      <w:r>
        <w:t>and must do the following unless the patient has opted out:</w:t>
      </w:r>
    </w:p>
    <w:p w:rsidR="00C8180B" w:rsidP="007A2A6A" w:rsidRDefault="00C8180B" w14:paraId="605E653C" w14:textId="358AA838">
      <w:pPr>
        <w:pStyle w:val="SCVbody"/>
        <w:numPr>
          <w:ilvl w:val="0"/>
          <w:numId w:val="14"/>
        </w:numPr>
        <w:ind w:left="709"/>
      </w:pPr>
      <w:r>
        <w:t>provide the patient with</w:t>
      </w:r>
      <w:r w:rsidR="00824978">
        <w:t>:</w:t>
      </w:r>
      <w:r>
        <w:t xml:space="preserve"> </w:t>
      </w:r>
    </w:p>
    <w:p w:rsidR="00C8180B" w:rsidP="00464F51" w:rsidRDefault="00C8180B" w14:paraId="205E99B9" w14:textId="1FC5A8AD">
      <w:pPr>
        <w:pStyle w:val="SCVbody"/>
        <w:numPr>
          <w:ilvl w:val="1"/>
          <w:numId w:val="27"/>
        </w:numPr>
        <w:ind w:left="1418"/>
      </w:pPr>
      <w:r>
        <w:t xml:space="preserve">a written account of the facts regarding the SAPSE; </w:t>
      </w:r>
    </w:p>
    <w:p w:rsidR="00C8180B" w:rsidP="00464F51" w:rsidRDefault="00C8180B" w14:paraId="683C0966" w14:textId="2C455378">
      <w:pPr>
        <w:pStyle w:val="SCVbody"/>
        <w:numPr>
          <w:ilvl w:val="1"/>
          <w:numId w:val="27"/>
        </w:numPr>
        <w:ind w:left="1418"/>
      </w:pPr>
      <w:r>
        <w:t xml:space="preserve">an apology for the harm suffered by the patient; </w:t>
      </w:r>
    </w:p>
    <w:p w:rsidR="00C8180B" w:rsidP="00464F51" w:rsidRDefault="00C8180B" w14:paraId="62417AEC" w14:textId="788A676C">
      <w:pPr>
        <w:pStyle w:val="SCVbody"/>
        <w:numPr>
          <w:ilvl w:val="1"/>
          <w:numId w:val="27"/>
        </w:numPr>
        <w:ind w:left="1418"/>
      </w:pPr>
      <w:r>
        <w:t xml:space="preserve">a description of the health service entity's response to the event; </w:t>
      </w:r>
    </w:p>
    <w:p w:rsidR="00C8180B" w:rsidP="00464F51" w:rsidRDefault="00C8180B" w14:paraId="0515AD05" w14:textId="6C3E4761">
      <w:pPr>
        <w:pStyle w:val="SCVbody"/>
        <w:numPr>
          <w:ilvl w:val="1"/>
          <w:numId w:val="27"/>
        </w:numPr>
        <w:ind w:left="1418"/>
      </w:pPr>
      <w:r>
        <w:t xml:space="preserve">the steps that the health service entity has taken to prevent re-occurrence of the event; </w:t>
      </w:r>
    </w:p>
    <w:p w:rsidR="00C8180B" w:rsidP="00464F51" w:rsidRDefault="00C8180B" w14:paraId="2B9B40E8" w14:textId="7CF1496A">
      <w:pPr>
        <w:pStyle w:val="SCVbody"/>
        <w:numPr>
          <w:ilvl w:val="1"/>
          <w:numId w:val="27"/>
        </w:numPr>
        <w:ind w:left="1418"/>
      </w:pPr>
      <w:r>
        <w:t xml:space="preserve">any prescribed information; and </w:t>
      </w:r>
    </w:p>
    <w:p w:rsidR="00C8180B" w:rsidP="00464F51" w:rsidRDefault="00C8180B" w14:paraId="7E15BE92" w14:textId="64205C18">
      <w:pPr>
        <w:pStyle w:val="SCVbody"/>
        <w:numPr>
          <w:ilvl w:val="0"/>
          <w:numId w:val="14"/>
        </w:numPr>
        <w:ind w:left="709"/>
      </w:pPr>
      <w:r>
        <w:t xml:space="preserve">comply with any steps set out in </w:t>
      </w:r>
      <w:r w:rsidR="002A2F96">
        <w:t xml:space="preserve">these </w:t>
      </w:r>
      <w:r>
        <w:t>Guidelines.</w:t>
      </w:r>
      <w:r>
        <w:rPr>
          <w:rStyle w:val="FootnoteReference"/>
        </w:rPr>
        <w:footnoteReference w:id="18"/>
      </w:r>
    </w:p>
    <w:p w:rsidR="0017344C" w:rsidP="00614F1C" w:rsidRDefault="0017344C" w14:paraId="43B22B5B" w14:textId="77777777">
      <w:pPr>
        <w:pStyle w:val="SCVbullet1"/>
        <w:numPr>
          <w:ilvl w:val="0"/>
          <w:numId w:val="0"/>
        </w:numPr>
        <w:rPr>
          <w:color w:val="007586" w:themeColor="text2"/>
        </w:rPr>
      </w:pPr>
    </w:p>
    <w:p w:rsidR="006D233C" w:rsidP="00084110" w:rsidRDefault="00E748EF" w14:paraId="006F7869" w14:textId="0523CFA8">
      <w:pPr>
        <w:pStyle w:val="Heading2"/>
      </w:pPr>
      <w:bookmarkStart w:name="_Toc117524295" w:id="11"/>
      <w:r>
        <w:t>3</w:t>
      </w:r>
      <w:r w:rsidR="00084110">
        <w:t>.</w:t>
      </w:r>
      <w:r w:rsidR="007C5406">
        <w:t>2</w:t>
      </w:r>
      <w:r w:rsidR="00084110">
        <w:tab/>
      </w:r>
      <w:r w:rsidR="006D233C">
        <w:t>Requirements</w:t>
      </w:r>
      <w:bookmarkEnd w:id="11"/>
      <w:r w:rsidR="006D233C">
        <w:t xml:space="preserve"> </w:t>
      </w:r>
    </w:p>
    <w:p w:rsidR="006D233C" w:rsidP="006D233C" w:rsidRDefault="006D233C" w14:paraId="4F6B1362" w14:textId="603FA6FE">
      <w:pPr>
        <w:pStyle w:val="SCVbodyafterheading"/>
        <w:spacing w:after="120" w:line="260" w:lineRule="atLeast"/>
      </w:pPr>
      <w:r>
        <w:t xml:space="preserve">The steps set out in these Guidelines that must be followed are the </w:t>
      </w:r>
      <w:r w:rsidR="00945F63">
        <w:t>R</w:t>
      </w:r>
      <w:r>
        <w:t xml:space="preserve">equirements below. The remainder of the Guidelines include recommendations that the health service entities may consider </w:t>
      </w:r>
      <w:r w:rsidR="000D25AB">
        <w:t>when</w:t>
      </w:r>
      <w:r>
        <w:t xml:space="preserve"> </w:t>
      </w:r>
      <w:r w:rsidR="00DF383F">
        <w:t xml:space="preserve">discharging the </w:t>
      </w:r>
      <w:r w:rsidR="003332C1">
        <w:t>SDC</w:t>
      </w:r>
      <w:r>
        <w:t>.</w:t>
      </w:r>
    </w:p>
    <w:p w:rsidR="00084110" w:rsidP="00B511F3" w:rsidRDefault="004E2CE8" w14:paraId="50FEEC06" w14:textId="54F6BA11">
      <w:pPr>
        <w:pStyle w:val="Heading3"/>
      </w:pPr>
      <w:r>
        <w:t>Stage 1</w:t>
      </w:r>
      <w:r w:rsidR="001E0DB0">
        <w:t xml:space="preserve">: </w:t>
      </w:r>
      <w:r w:rsidRPr="000C1045" w:rsidR="001E0DB0">
        <w:t>Apologise and provide initial information</w:t>
      </w:r>
      <w:r w:rsidR="001E0DB0">
        <w:t xml:space="preserve"> </w:t>
      </w:r>
    </w:p>
    <w:p w:rsidR="006D233C" w:rsidP="004254BD" w:rsidRDefault="006D233C" w14:paraId="59D37C21" w14:textId="50F827AE">
      <w:pPr>
        <w:pStyle w:val="SCVbodyafterheading"/>
        <w:numPr>
          <w:ilvl w:val="0"/>
          <w:numId w:val="15"/>
        </w:numPr>
        <w:spacing w:after="120" w:line="260" w:lineRule="atLeast"/>
      </w:pPr>
      <w:r w:rsidRPr="00D70C96">
        <w:rPr>
          <w:b/>
          <w:bCs/>
        </w:rPr>
        <w:t>Requirement 1:</w:t>
      </w:r>
      <w:r>
        <w:t xml:space="preserve"> </w:t>
      </w:r>
      <w:r w:rsidR="00DA75A4">
        <w:t>The h</w:t>
      </w:r>
      <w:r w:rsidRPr="00EF41E0" w:rsidR="00EF41E0">
        <w:t>ealth service</w:t>
      </w:r>
      <w:r w:rsidR="00A811F3">
        <w:t xml:space="preserve"> </w:t>
      </w:r>
      <w:r w:rsidR="00DA75A4">
        <w:t>entity</w:t>
      </w:r>
      <w:r w:rsidRPr="00EF41E0" w:rsidR="00EF41E0">
        <w:t xml:space="preserve"> must provide a genuine apology for the harm suffered by the patient and initial information, as early as practicable (</w:t>
      </w:r>
      <w:r w:rsidR="00DF383F">
        <w:t xml:space="preserve">and </w:t>
      </w:r>
      <w:r w:rsidRPr="003B5750" w:rsidR="00EF41E0">
        <w:rPr>
          <w:b/>
          <w:bCs/>
        </w:rPr>
        <w:t>no longer than 24 hours</w:t>
      </w:r>
      <w:r w:rsidRPr="00EF41E0" w:rsidR="00EF41E0">
        <w:t>) after the SAPSE has been identified</w:t>
      </w:r>
      <w:r w:rsidR="009B5DD4">
        <w:t xml:space="preserve"> by the health service</w:t>
      </w:r>
      <w:r w:rsidR="009522BA">
        <w:t xml:space="preserve"> entity</w:t>
      </w:r>
      <w:r w:rsidRPr="00EF41E0" w:rsidR="00EF41E0">
        <w:t>.</w:t>
      </w:r>
    </w:p>
    <w:p w:rsidR="006D233C" w:rsidP="004254BD" w:rsidRDefault="006D233C" w14:paraId="214DE804" w14:textId="182D6034">
      <w:pPr>
        <w:pStyle w:val="SCVbodyafterheading"/>
        <w:numPr>
          <w:ilvl w:val="0"/>
          <w:numId w:val="15"/>
        </w:numPr>
        <w:spacing w:after="120" w:line="260" w:lineRule="atLeast"/>
      </w:pPr>
      <w:r w:rsidRPr="008B6C3B">
        <w:rPr>
          <w:b/>
          <w:bCs/>
        </w:rPr>
        <w:t>Requirement 2:</w:t>
      </w:r>
      <w:r>
        <w:t xml:space="preserve"> </w:t>
      </w:r>
      <w:r w:rsidR="004322E6">
        <w:t>The health service entity must take steps to organise an SDC meeting w</w:t>
      </w:r>
      <w:r w:rsidRPr="00A92DF9" w:rsidR="00A92DF9">
        <w:t xml:space="preserve">ithin </w:t>
      </w:r>
      <w:r w:rsidRPr="003B5750" w:rsidR="00A92DF9">
        <w:rPr>
          <w:b/>
          <w:bCs/>
        </w:rPr>
        <w:t xml:space="preserve">3 business days </w:t>
      </w:r>
      <w:r w:rsidRPr="00A92DF9" w:rsidR="00A92DF9">
        <w:t>of the SAPSE being identified</w:t>
      </w:r>
      <w:r w:rsidR="009B5DD4">
        <w:t xml:space="preserve"> by the health service</w:t>
      </w:r>
      <w:r w:rsidR="009522BA">
        <w:t xml:space="preserve"> entity</w:t>
      </w:r>
      <w:r w:rsidR="004322E6">
        <w:t>.</w:t>
      </w:r>
    </w:p>
    <w:p w:rsidRPr="00403235" w:rsidR="00734268" w:rsidP="007023AF" w:rsidRDefault="002A5B2A" w14:paraId="118A1719" w14:textId="721398FF">
      <w:pPr>
        <w:pStyle w:val="Heading3"/>
        <w:rPr>
          <w:b w:val="0"/>
          <w:bCs w:val="0"/>
        </w:rPr>
      </w:pPr>
      <w:r>
        <w:t>Stage 2</w:t>
      </w:r>
      <w:r w:rsidR="00734268">
        <w:t xml:space="preserve">: </w:t>
      </w:r>
      <w:r w:rsidRPr="000C1045" w:rsidR="00734268">
        <w:t xml:space="preserve">Hold </w:t>
      </w:r>
      <w:r w:rsidRPr="000C1045" w:rsidR="0098391B">
        <w:t xml:space="preserve">the </w:t>
      </w:r>
      <w:r w:rsidRPr="000C1045" w:rsidR="00734268">
        <w:t>SDC meeting</w:t>
      </w:r>
    </w:p>
    <w:p w:rsidR="006D233C" w:rsidP="004254BD" w:rsidRDefault="006D233C" w14:paraId="44CA95C1" w14:textId="7346376E">
      <w:pPr>
        <w:pStyle w:val="SCVbodyafterheading"/>
        <w:numPr>
          <w:ilvl w:val="0"/>
          <w:numId w:val="15"/>
        </w:numPr>
        <w:spacing w:after="120" w:line="260" w:lineRule="atLeast"/>
      </w:pPr>
      <w:r w:rsidRPr="007023AF">
        <w:rPr>
          <w:b/>
          <w:bCs/>
        </w:rPr>
        <w:t>Requirement 3:</w:t>
      </w:r>
      <w:r>
        <w:t xml:space="preserve"> The SDC meeting must be held within </w:t>
      </w:r>
      <w:r w:rsidRPr="003B5750">
        <w:rPr>
          <w:b/>
          <w:bCs/>
        </w:rPr>
        <w:t>10 business days</w:t>
      </w:r>
      <w:r>
        <w:t xml:space="preserve"> of the SAPSE being identified</w:t>
      </w:r>
      <w:r w:rsidR="009B5DD4">
        <w:t xml:space="preserve"> by the health service</w:t>
      </w:r>
      <w:r w:rsidR="00AD36A2">
        <w:t xml:space="preserve"> entity</w:t>
      </w:r>
      <w:r>
        <w:t>.</w:t>
      </w:r>
    </w:p>
    <w:p w:rsidR="006D233C" w:rsidP="004254BD" w:rsidRDefault="006D233C" w14:paraId="2ADFDEB6" w14:textId="62905E37">
      <w:pPr>
        <w:pStyle w:val="SCVbodyafterheading"/>
        <w:numPr>
          <w:ilvl w:val="0"/>
          <w:numId w:val="15"/>
        </w:numPr>
        <w:spacing w:after="120" w:line="260" w:lineRule="atLeast"/>
      </w:pPr>
      <w:r w:rsidRPr="2C33883F">
        <w:rPr>
          <w:b/>
          <w:bCs/>
        </w:rPr>
        <w:t>Requirement 4:</w:t>
      </w:r>
      <w:r>
        <w:t xml:space="preserve"> </w:t>
      </w:r>
      <w:r w:rsidR="00DA75A4">
        <w:t>The h</w:t>
      </w:r>
      <w:r>
        <w:t>ealth service</w:t>
      </w:r>
      <w:r w:rsidR="00AD36A2">
        <w:t xml:space="preserve"> </w:t>
      </w:r>
      <w:r w:rsidR="00DA75A4">
        <w:t>entity</w:t>
      </w:r>
      <w:r>
        <w:t xml:space="preserve"> must ensure that </w:t>
      </w:r>
      <w:r w:rsidR="008B314C">
        <w:t>it</w:t>
      </w:r>
      <w:r>
        <w:t xml:space="preserve"> provide</w:t>
      </w:r>
      <w:r w:rsidR="008B314C">
        <w:t>s</w:t>
      </w:r>
      <w:r>
        <w:t xml:space="preserve"> the following in the SDC meeting:</w:t>
      </w:r>
    </w:p>
    <w:p w:rsidR="00633C42" w:rsidP="004254BD" w:rsidRDefault="008B314C" w14:paraId="5FE52187" w14:textId="785835DA">
      <w:pPr>
        <w:pStyle w:val="SCVbodyafterheading"/>
        <w:numPr>
          <w:ilvl w:val="0"/>
          <w:numId w:val="16"/>
        </w:numPr>
        <w:spacing w:after="120" w:line="260" w:lineRule="atLeast"/>
      </w:pPr>
      <w:r>
        <w:lastRenderedPageBreak/>
        <w:t>a</w:t>
      </w:r>
      <w:r w:rsidR="006D233C">
        <w:t>n honest, factual explanation of what occurred in a language that is understandable to the patient</w:t>
      </w:r>
      <w:r w:rsidR="00582B46">
        <w:t xml:space="preserve">; </w:t>
      </w:r>
    </w:p>
    <w:p w:rsidR="008D6B6F" w:rsidP="004254BD" w:rsidRDefault="008B314C" w14:paraId="627AE44C" w14:textId="60A3509D">
      <w:pPr>
        <w:pStyle w:val="SCVbodyafterheading"/>
        <w:numPr>
          <w:ilvl w:val="0"/>
          <w:numId w:val="16"/>
        </w:numPr>
        <w:spacing w:after="120" w:line="260" w:lineRule="atLeast"/>
      </w:pPr>
      <w:r>
        <w:t>a</w:t>
      </w:r>
      <w:r w:rsidR="008D6B6F">
        <w:t>n apology for the harm suffered by the patient</w:t>
      </w:r>
      <w:r w:rsidR="00582B46">
        <w:t xml:space="preserve">; </w:t>
      </w:r>
    </w:p>
    <w:p w:rsidR="006D233C" w:rsidP="004254BD" w:rsidRDefault="008B314C" w14:paraId="7EED867A" w14:textId="34922782">
      <w:pPr>
        <w:pStyle w:val="SCVbodyafterheading"/>
        <w:numPr>
          <w:ilvl w:val="0"/>
          <w:numId w:val="16"/>
        </w:numPr>
        <w:spacing w:after="120" w:line="260" w:lineRule="atLeast"/>
      </w:pPr>
      <w:r>
        <w:t>a</w:t>
      </w:r>
      <w:r w:rsidR="006D233C">
        <w:t>n opportunity for the patient to relate their experience and ask questions</w:t>
      </w:r>
      <w:r w:rsidR="00582B46">
        <w:t xml:space="preserve">; </w:t>
      </w:r>
    </w:p>
    <w:p w:rsidR="006D233C" w:rsidP="004254BD" w:rsidRDefault="008B314C" w14:paraId="794CE80F" w14:textId="3A740526">
      <w:pPr>
        <w:pStyle w:val="SCVbodyafterheading"/>
        <w:numPr>
          <w:ilvl w:val="0"/>
          <w:numId w:val="16"/>
        </w:numPr>
        <w:spacing w:after="120" w:line="260" w:lineRule="atLeast"/>
      </w:pPr>
      <w:r>
        <w:t>a</w:t>
      </w:r>
      <w:r w:rsidR="006D233C">
        <w:t>n explanation of the steps that will be taken to review the SAPSE and outline any immediate improvements already made</w:t>
      </w:r>
      <w:r w:rsidR="00582B46">
        <w:t>;</w:t>
      </w:r>
      <w:r w:rsidR="008D6B6F">
        <w:t xml:space="preserve"> and</w:t>
      </w:r>
    </w:p>
    <w:p w:rsidR="006D233C" w:rsidP="004254BD" w:rsidRDefault="008B314C" w14:paraId="166F7D77" w14:textId="1ED23BBD">
      <w:pPr>
        <w:pStyle w:val="SCVbodyafterheading"/>
        <w:numPr>
          <w:ilvl w:val="0"/>
          <w:numId w:val="16"/>
        </w:numPr>
        <w:spacing w:after="120" w:line="260" w:lineRule="atLeast"/>
      </w:pPr>
      <w:r>
        <w:t>a</w:t>
      </w:r>
      <w:r w:rsidR="006D233C">
        <w:t>ny implications as a result of the SAPSE (if known) and any follow up for the patient</w:t>
      </w:r>
      <w:r w:rsidR="00167D4F">
        <w:t>.</w:t>
      </w:r>
    </w:p>
    <w:p w:rsidR="006D233C" w:rsidP="004254BD" w:rsidRDefault="006D233C" w14:paraId="4E2CF501" w14:textId="4E3778D1">
      <w:pPr>
        <w:pStyle w:val="SCVbodyafterheading"/>
        <w:numPr>
          <w:ilvl w:val="0"/>
          <w:numId w:val="15"/>
        </w:numPr>
        <w:spacing w:after="120" w:line="260" w:lineRule="atLeast"/>
      </w:pPr>
      <w:r w:rsidRPr="2C33883F">
        <w:rPr>
          <w:b/>
          <w:bCs/>
        </w:rPr>
        <w:t>Requirement 5:</w:t>
      </w:r>
      <w:r>
        <w:t xml:space="preserve"> </w:t>
      </w:r>
      <w:r w:rsidR="006104C1">
        <w:t>The h</w:t>
      </w:r>
      <w:r>
        <w:t>ealth service</w:t>
      </w:r>
      <w:r w:rsidR="00AD36A2">
        <w:t xml:space="preserve"> </w:t>
      </w:r>
      <w:r w:rsidR="006104C1">
        <w:t>entity</w:t>
      </w:r>
      <w:r>
        <w:t xml:space="preserve"> must document the SDC meeting and provide a copy of the meeting report to the patient within </w:t>
      </w:r>
      <w:r w:rsidRPr="2C33883F">
        <w:rPr>
          <w:b/>
          <w:bCs/>
        </w:rPr>
        <w:t>10 business days</w:t>
      </w:r>
      <w:r>
        <w:t xml:space="preserve"> </w:t>
      </w:r>
      <w:r w:rsidR="00144DC5">
        <w:t>of</w:t>
      </w:r>
      <w:r>
        <w:t xml:space="preserve"> the </w:t>
      </w:r>
      <w:r w:rsidR="00FD5BE3">
        <w:t xml:space="preserve">SDC </w:t>
      </w:r>
      <w:r>
        <w:t>meeting.</w:t>
      </w:r>
    </w:p>
    <w:p w:rsidR="00114B50" w:rsidP="00B91CA0" w:rsidRDefault="00114B50" w14:paraId="58C8056B" w14:textId="327F625D">
      <w:pPr>
        <w:pStyle w:val="Heading3"/>
      </w:pPr>
      <w:r>
        <w:t xml:space="preserve">Stage 3: </w:t>
      </w:r>
      <w:r w:rsidRPr="000C1045" w:rsidR="00B91CA0">
        <w:t xml:space="preserve">Complete a review of the SAPSE and </w:t>
      </w:r>
      <w:r w:rsidRPr="000C1045" w:rsidR="00DA75A4">
        <w:t xml:space="preserve">produce </w:t>
      </w:r>
      <w:r w:rsidRPr="000C1045" w:rsidR="00B91CA0">
        <w:t>report</w:t>
      </w:r>
    </w:p>
    <w:p w:rsidR="006D233C" w:rsidP="004254BD" w:rsidRDefault="006D233C" w14:paraId="2DBFF8BD" w14:textId="49053584">
      <w:pPr>
        <w:pStyle w:val="SCVbodyafterheading"/>
        <w:numPr>
          <w:ilvl w:val="0"/>
          <w:numId w:val="15"/>
        </w:numPr>
        <w:spacing w:after="120" w:line="260" w:lineRule="atLeast"/>
      </w:pPr>
      <w:r w:rsidRPr="2C33883F">
        <w:rPr>
          <w:b/>
          <w:bCs/>
        </w:rPr>
        <w:t>Requirement 6:</w:t>
      </w:r>
      <w:r>
        <w:t xml:space="preserve"> </w:t>
      </w:r>
      <w:r w:rsidR="00090205">
        <w:t>The h</w:t>
      </w:r>
      <w:r>
        <w:t>ealth service</w:t>
      </w:r>
      <w:r w:rsidR="00AD36A2">
        <w:t xml:space="preserve"> </w:t>
      </w:r>
      <w:r w:rsidR="00090205">
        <w:t>entity</w:t>
      </w:r>
      <w:r>
        <w:t xml:space="preserve"> must complete a review for </w:t>
      </w:r>
      <w:r w:rsidR="00672BE7">
        <w:t>the</w:t>
      </w:r>
      <w:r>
        <w:t xml:space="preserve"> SAPSE and produce a report outlining what happened and any areas identified for improvement.</w:t>
      </w:r>
      <w:r w:rsidR="00AD36A2">
        <w:t xml:space="preserve"> If the SAPSE is classified as a sentinel event, </w:t>
      </w:r>
      <w:r w:rsidR="00090205">
        <w:t xml:space="preserve">the </w:t>
      </w:r>
      <w:r w:rsidR="00AD36A2">
        <w:t xml:space="preserve">health service </w:t>
      </w:r>
      <w:r w:rsidR="00090205">
        <w:t>entity</w:t>
      </w:r>
      <w:r w:rsidR="00AD36A2">
        <w:t xml:space="preserve"> must also outline </w:t>
      </w:r>
      <w:r w:rsidR="00BD153B">
        <w:t xml:space="preserve">in the report </w:t>
      </w:r>
      <w:r w:rsidR="00AD36A2">
        <w:t>clear recommendations from the review findings.</w:t>
      </w:r>
    </w:p>
    <w:p w:rsidR="006D233C" w:rsidP="004254BD" w:rsidRDefault="1D5DFABF" w14:paraId="38B6282D" w14:textId="07F23959">
      <w:pPr>
        <w:pStyle w:val="SCVbodyafterheading"/>
        <w:numPr>
          <w:ilvl w:val="0"/>
          <w:numId w:val="15"/>
        </w:numPr>
        <w:spacing w:after="120" w:line="260" w:lineRule="atLeast"/>
      </w:pPr>
      <w:r w:rsidRPr="4D7D7A36">
        <w:rPr>
          <w:b/>
          <w:bCs/>
        </w:rPr>
        <w:t>Requirement 7:</w:t>
      </w:r>
      <w:r>
        <w:t xml:space="preserve"> </w:t>
      </w:r>
      <w:r w:rsidRPr="00253829" w:rsidR="00253829">
        <w:t xml:space="preserve">The report created from Requirement 6 must then be offered to the patient within </w:t>
      </w:r>
      <w:r w:rsidRPr="00253829" w:rsidR="00253829">
        <w:rPr>
          <w:b/>
          <w:bCs/>
        </w:rPr>
        <w:t>50 business days</w:t>
      </w:r>
      <w:r w:rsidRPr="00253829" w:rsidR="00253829">
        <w:t xml:space="preserve"> of the SAPSE being identified by the health service entity. If the SAPSE involves more than one health service entity, this may be extended to </w:t>
      </w:r>
      <w:r w:rsidRPr="00253829" w:rsidR="00253829">
        <w:rPr>
          <w:b/>
          <w:bCs/>
        </w:rPr>
        <w:t>75 business days</w:t>
      </w:r>
      <w:r w:rsidRPr="00253829" w:rsidR="00253829">
        <w:t xml:space="preserve"> </w:t>
      </w:r>
      <w:r w:rsidR="00CC464B">
        <w:t>of</w:t>
      </w:r>
      <w:r w:rsidRPr="00253829" w:rsidR="00253829">
        <w:t xml:space="preserve"> the SAPSE being identified</w:t>
      </w:r>
      <w:r w:rsidR="00CC464B">
        <w:t xml:space="preserve"> by the </w:t>
      </w:r>
      <w:r w:rsidR="00965806">
        <w:t xml:space="preserve">initial </w:t>
      </w:r>
      <w:r w:rsidR="00CC464B">
        <w:t>health service entity</w:t>
      </w:r>
      <w:r w:rsidRPr="00253829" w:rsidR="00253829">
        <w:t>.</w:t>
      </w:r>
    </w:p>
    <w:p w:rsidR="00C124E6" w:rsidP="00C124E6" w:rsidRDefault="00C34AEC" w14:paraId="47E41BF3" w14:textId="4CD1FF78">
      <w:pPr>
        <w:pStyle w:val="Heading3"/>
      </w:pPr>
      <w:r>
        <w:t>Documentation and r</w:t>
      </w:r>
      <w:r w:rsidR="00C124E6">
        <w:t>eporting</w:t>
      </w:r>
    </w:p>
    <w:p w:rsidR="006D233C" w:rsidP="004254BD" w:rsidRDefault="006D233C" w14:paraId="3F30250F" w14:textId="3774382E">
      <w:pPr>
        <w:pStyle w:val="SCVbodyafterheading"/>
        <w:numPr>
          <w:ilvl w:val="0"/>
          <w:numId w:val="15"/>
        </w:numPr>
        <w:spacing w:after="120" w:line="260" w:lineRule="atLeast"/>
      </w:pPr>
      <w:r w:rsidRPr="00B91CA0">
        <w:rPr>
          <w:b/>
          <w:bCs/>
        </w:rPr>
        <w:t>Requirement 8:</w:t>
      </w:r>
      <w:r>
        <w:t xml:space="preserve"> </w:t>
      </w:r>
      <w:r w:rsidR="00BD153B">
        <w:t>The h</w:t>
      </w:r>
      <w:r>
        <w:t>ealth service</w:t>
      </w:r>
      <w:r w:rsidR="00AD36A2">
        <w:t xml:space="preserve"> entit</w:t>
      </w:r>
      <w:r w:rsidR="00BD153B">
        <w:t>y</w:t>
      </w:r>
      <w:r>
        <w:t xml:space="preserve"> must ensure </w:t>
      </w:r>
      <w:r w:rsidR="00BD153B">
        <w:t xml:space="preserve">that </w:t>
      </w:r>
      <w:r>
        <w:t xml:space="preserve">there is a record of </w:t>
      </w:r>
      <w:r w:rsidR="00BD153B">
        <w:t xml:space="preserve">the </w:t>
      </w:r>
      <w:r>
        <w:t xml:space="preserve">SDC being completed, including clear dates of when the SAPSE occurred and when each </w:t>
      </w:r>
      <w:r w:rsidR="00B86C6D">
        <w:t xml:space="preserve">stage </w:t>
      </w:r>
      <w:r>
        <w:t xml:space="preserve">of </w:t>
      </w:r>
      <w:r w:rsidR="00BD153B">
        <w:t xml:space="preserve">the </w:t>
      </w:r>
      <w:r>
        <w:t xml:space="preserve">SDC was </w:t>
      </w:r>
      <w:r w:rsidR="00BD153B">
        <w:t>completed</w:t>
      </w:r>
      <w:r w:rsidR="00672BE7">
        <w:t>.</w:t>
      </w:r>
    </w:p>
    <w:p w:rsidR="00A33B14" w:rsidP="004254BD" w:rsidRDefault="006D233C" w14:paraId="3CC607EE" w14:textId="24ABF263">
      <w:pPr>
        <w:pStyle w:val="SCVbodyafterheading"/>
        <w:numPr>
          <w:ilvl w:val="0"/>
          <w:numId w:val="15"/>
        </w:numPr>
        <w:spacing w:after="120" w:line="260" w:lineRule="atLeast"/>
      </w:pPr>
      <w:r w:rsidRPr="5AB7E433">
        <w:rPr>
          <w:b/>
          <w:bCs/>
        </w:rPr>
        <w:t>Requirement 9:</w:t>
      </w:r>
      <w:r>
        <w:t xml:space="preserve"> </w:t>
      </w:r>
      <w:r w:rsidR="00377ED6">
        <w:t>The h</w:t>
      </w:r>
      <w:r>
        <w:t>ealth service</w:t>
      </w:r>
      <w:r w:rsidR="00AD36A2">
        <w:t xml:space="preserve"> </w:t>
      </w:r>
      <w:r w:rsidR="00377ED6">
        <w:t>entity</w:t>
      </w:r>
      <w:r>
        <w:t xml:space="preserve"> must </w:t>
      </w:r>
      <w:r w:rsidR="0082244C">
        <w:t xml:space="preserve">report </w:t>
      </w:r>
      <w:r w:rsidR="00377ED6">
        <w:t>its</w:t>
      </w:r>
      <w:r>
        <w:t xml:space="preserve"> compliance with</w:t>
      </w:r>
      <w:r w:rsidR="00377ED6">
        <w:t xml:space="preserve"> the</w:t>
      </w:r>
      <w:r>
        <w:t xml:space="preserve"> SDC </w:t>
      </w:r>
      <w:r w:rsidR="00C15B08">
        <w:t xml:space="preserve">as legally </w:t>
      </w:r>
      <w:r w:rsidR="00694C3E">
        <w:t>requir</w:t>
      </w:r>
      <w:r w:rsidR="0082244C">
        <w:t>ed</w:t>
      </w:r>
      <w:r>
        <w:t>.</w:t>
      </w:r>
    </w:p>
    <w:p w:rsidR="00DA548A" w:rsidP="0017344C" w:rsidRDefault="00DA548A" w14:paraId="749B65D9" w14:textId="77777777">
      <w:pPr>
        <w:pStyle w:val="SCVbody"/>
      </w:pPr>
    </w:p>
    <w:p w:rsidR="005964BB" w:rsidP="005964BB" w:rsidRDefault="00E748EF" w14:paraId="31F87858" w14:textId="7FAEC3EE">
      <w:pPr>
        <w:pStyle w:val="Heading2"/>
      </w:pPr>
      <w:bookmarkStart w:name="_Toc117524296" w:id="12"/>
      <w:r>
        <w:t>3</w:t>
      </w:r>
      <w:r w:rsidR="008E6EED">
        <w:t>.</w:t>
      </w:r>
      <w:r w:rsidR="007C5406">
        <w:t>3</w:t>
      </w:r>
      <w:r w:rsidR="008E6EED">
        <w:tab/>
      </w:r>
      <w:r w:rsidR="005964BB">
        <w:t>Where patients do not want to be involved in the SDC process</w:t>
      </w:r>
      <w:bookmarkEnd w:id="12"/>
    </w:p>
    <w:p w:rsidR="5AB7E433" w:rsidP="5AB7E433" w:rsidRDefault="005964BB" w14:paraId="37D3EC02" w14:textId="24AFB097">
      <w:pPr>
        <w:pStyle w:val="SCVbodyafterheading"/>
      </w:pPr>
      <w:r>
        <w:t xml:space="preserve">Patients may opt out from participating in the SDC process or from receiving information from </w:t>
      </w:r>
      <w:r w:rsidR="00A811F3">
        <w:t>a</w:t>
      </w:r>
      <w:r>
        <w:t xml:space="preserve"> health service</w:t>
      </w:r>
      <w:r w:rsidR="00A811F3">
        <w:t xml:space="preserve"> </w:t>
      </w:r>
      <w:r w:rsidR="005E2B96">
        <w:t>entity</w:t>
      </w:r>
      <w:r>
        <w:t xml:space="preserve">. </w:t>
      </w:r>
      <w:r w:rsidR="5AB7E433">
        <w:t xml:space="preserve">If a patient confirms that they wish to opt out of the SDC process, the health service entity </w:t>
      </w:r>
      <w:r w:rsidR="00E30691">
        <w:t>must</w:t>
      </w:r>
      <w:r w:rsidR="5AB7E433">
        <w:t>:</w:t>
      </w:r>
    </w:p>
    <w:p w:rsidR="00A023D1" w:rsidP="00A023D1" w:rsidRDefault="00377ED6" w14:paraId="54659E79" w14:textId="0953F459">
      <w:pPr>
        <w:pStyle w:val="SCVbullet1"/>
      </w:pPr>
      <w:r>
        <w:t>a</w:t>
      </w:r>
      <w:r w:rsidR="005964BB">
        <w:t xml:space="preserve">sk them to sign a </w:t>
      </w:r>
      <w:r w:rsidR="00E71C30">
        <w:t xml:space="preserve">statement </w:t>
      </w:r>
      <w:r w:rsidR="005964BB">
        <w:t xml:space="preserve">to this effect and </w:t>
      </w:r>
      <w:r w:rsidR="003437B6">
        <w:t xml:space="preserve">store this in </w:t>
      </w:r>
      <w:r w:rsidR="00672BE7">
        <w:t>an</w:t>
      </w:r>
      <w:r w:rsidR="005964BB">
        <w:t xml:space="preserve"> </w:t>
      </w:r>
      <w:r w:rsidR="005D003B">
        <w:t>appropriate location</w:t>
      </w:r>
      <w:r w:rsidR="00123AAA">
        <w:t>;</w:t>
      </w:r>
      <w:r w:rsidR="00367431">
        <w:rPr>
          <w:rStyle w:val="FootnoteReference"/>
        </w:rPr>
        <w:footnoteReference w:id="19"/>
      </w:r>
      <w:r w:rsidR="00672BE7">
        <w:t xml:space="preserve"> and</w:t>
      </w:r>
      <w:r w:rsidR="005964BB">
        <w:t xml:space="preserve"> </w:t>
      </w:r>
    </w:p>
    <w:p w:rsidR="00927A76" w:rsidP="00A023D1" w:rsidRDefault="00377ED6" w14:paraId="1498272A" w14:textId="0B38E5EE">
      <w:pPr>
        <w:pStyle w:val="SCVbullet1"/>
      </w:pPr>
      <w:r>
        <w:t>p</w:t>
      </w:r>
      <w:r w:rsidR="00126CA3">
        <w:t>rovide a point of contact, such as a</w:t>
      </w:r>
      <w:r w:rsidR="00927A76">
        <w:t xml:space="preserve"> consumer liaison officer</w:t>
      </w:r>
      <w:r w:rsidR="00126CA3">
        <w:t>,</w:t>
      </w:r>
      <w:r w:rsidR="00927A76">
        <w:t xml:space="preserve"> </w:t>
      </w:r>
      <w:r w:rsidR="0035035E">
        <w:t xml:space="preserve">if the patient wishes </w:t>
      </w:r>
      <w:r w:rsidR="00927A76">
        <w:t>to re-initiate the SDC process at any time.</w:t>
      </w:r>
    </w:p>
    <w:p w:rsidR="00A65843" w:rsidP="009B3752" w:rsidRDefault="0AFA1A45" w14:paraId="3B13043A" w14:textId="13217B94">
      <w:pPr>
        <w:pStyle w:val="SCVbullet1"/>
        <w:numPr>
          <w:ilvl w:val="0"/>
          <w:numId w:val="0"/>
        </w:numPr>
      </w:pPr>
      <w:r>
        <w:t>Whe</w:t>
      </w:r>
      <w:r w:rsidR="68BFEF96">
        <w:t>n</w:t>
      </w:r>
      <w:r>
        <w:t xml:space="preserve"> </w:t>
      </w:r>
      <w:r w:rsidR="356B7BBA">
        <w:t xml:space="preserve">a </w:t>
      </w:r>
      <w:r>
        <w:t>patient ha</w:t>
      </w:r>
      <w:r w:rsidR="356B7BBA">
        <w:t>s</w:t>
      </w:r>
      <w:r>
        <w:t xml:space="preserve"> </w:t>
      </w:r>
      <w:r w:rsidR="5ABB56BE">
        <w:t xml:space="preserve">opted out, </w:t>
      </w:r>
      <w:r w:rsidR="3AE5CC9F">
        <w:t xml:space="preserve">the </w:t>
      </w:r>
      <w:r w:rsidR="40104F5B">
        <w:t>relevant health service entit</w:t>
      </w:r>
      <w:r w:rsidR="3AE5CC9F">
        <w:t>y</w:t>
      </w:r>
      <w:r w:rsidR="40104F5B">
        <w:t xml:space="preserve"> do</w:t>
      </w:r>
      <w:r w:rsidR="3AE5CC9F">
        <w:t>es</w:t>
      </w:r>
      <w:r w:rsidR="40104F5B">
        <w:t xml:space="preserve"> not have to comply with the </w:t>
      </w:r>
      <w:r w:rsidR="3AE5CC9F">
        <w:t>R</w:t>
      </w:r>
      <w:r w:rsidR="40104F5B">
        <w:t>equirements in these Guidelines</w:t>
      </w:r>
      <w:r w:rsidR="20CC7549">
        <w:t xml:space="preserve">, or </w:t>
      </w:r>
      <w:r w:rsidR="6F8B884C">
        <w:t xml:space="preserve">the SDC process within the relevant </w:t>
      </w:r>
      <w:r w:rsidR="20CC7549">
        <w:t>Act</w:t>
      </w:r>
      <w:r w:rsidR="6F8B884C">
        <w:t>s</w:t>
      </w:r>
      <w:r w:rsidR="40104F5B">
        <w:t xml:space="preserve">. </w:t>
      </w:r>
      <w:r w:rsidR="356B7BBA">
        <w:t>However</w:t>
      </w:r>
      <w:r w:rsidR="06B111CD">
        <w:t>,</w:t>
      </w:r>
      <w:r w:rsidR="356B7BBA">
        <w:t xml:space="preserve"> it is recommended that the health service entity c</w:t>
      </w:r>
      <w:r w:rsidR="2714A851">
        <w:t>onduct a</w:t>
      </w:r>
      <w:r w:rsidR="258A6776">
        <w:t>n adverse event</w:t>
      </w:r>
      <w:r w:rsidR="2714A851">
        <w:t xml:space="preserve"> review</w:t>
      </w:r>
      <w:r w:rsidR="3AF81F3C">
        <w:t xml:space="preserve"> to </w:t>
      </w:r>
      <w:r w:rsidR="4B013878">
        <w:t>ensure relevant</w:t>
      </w:r>
      <w:r w:rsidR="4B73BEF8">
        <w:t xml:space="preserve"> information</w:t>
      </w:r>
      <w:r w:rsidR="3AF81F3C">
        <w:t xml:space="preserve"> </w:t>
      </w:r>
      <w:r w:rsidR="4B013878">
        <w:t>is recorded</w:t>
      </w:r>
      <w:r w:rsidR="3AF81F3C">
        <w:t xml:space="preserve"> </w:t>
      </w:r>
      <w:r w:rsidR="4B013878">
        <w:t>when r</w:t>
      </w:r>
      <w:r w:rsidR="3106ACE8">
        <w:t xml:space="preserve">elevant staff </w:t>
      </w:r>
      <w:r w:rsidR="381BB795">
        <w:t>are</w:t>
      </w:r>
      <w:r w:rsidR="3106ACE8">
        <w:t xml:space="preserve"> available.</w:t>
      </w:r>
      <w:r w:rsidR="2714A851">
        <w:t xml:space="preserve"> </w:t>
      </w:r>
      <w:r w:rsidR="09B68F93">
        <w:t xml:space="preserve">This is recommended </w:t>
      </w:r>
      <w:r w:rsidR="2714A851">
        <w:t>as the patient may later re</w:t>
      </w:r>
      <w:r w:rsidR="4C58B457">
        <w:t>-</w:t>
      </w:r>
      <w:r w:rsidR="2714A851">
        <w:t xml:space="preserve">initiate their participation in the </w:t>
      </w:r>
      <w:r w:rsidR="09B68F93">
        <w:t xml:space="preserve">SDC </w:t>
      </w:r>
      <w:r w:rsidR="124BB3E9">
        <w:t>process and</w:t>
      </w:r>
      <w:r w:rsidR="09B68F93">
        <w:t xml:space="preserve"> </w:t>
      </w:r>
      <w:r w:rsidR="2714A851">
        <w:t xml:space="preserve">elect to receive </w:t>
      </w:r>
      <w:r w:rsidR="2714A851">
        <w:lastRenderedPageBreak/>
        <w:t>information</w:t>
      </w:r>
      <w:r w:rsidR="5F01312C">
        <w:t xml:space="preserve"> required under </w:t>
      </w:r>
      <w:r w:rsidR="1D1736CC">
        <w:t>the SDC</w:t>
      </w:r>
      <w:r w:rsidR="3AC8DED0">
        <w:t>.</w:t>
      </w:r>
      <w:r w:rsidR="002F7D90">
        <w:rPr>
          <w:rStyle w:val="FootnoteReference"/>
        </w:rPr>
        <w:footnoteReference w:id="20"/>
      </w:r>
      <w:r w:rsidRPr="006D65B8" w:rsidR="13BF8C2C">
        <w:t xml:space="preserve"> </w:t>
      </w:r>
      <w:r w:rsidR="1D1736CC">
        <w:t>If this occurs, t</w:t>
      </w:r>
      <w:r w:rsidR="13BF8C2C">
        <w:t>h</w:t>
      </w:r>
      <w:r w:rsidR="7DF7C780">
        <w:t>e</w:t>
      </w:r>
      <w:r w:rsidR="13BF8C2C">
        <w:t xml:space="preserve"> commencement date must be clearly documented in </w:t>
      </w:r>
      <w:r w:rsidR="381BB795">
        <w:t>an</w:t>
      </w:r>
      <w:r w:rsidR="13BF8C2C">
        <w:t xml:space="preserve"> appropriate location, and the requirements within these Guidelines must </w:t>
      </w:r>
      <w:r w:rsidR="0180FFB0">
        <w:t xml:space="preserve">then </w:t>
      </w:r>
      <w:r w:rsidR="13BF8C2C">
        <w:t>be followed.</w:t>
      </w:r>
    </w:p>
    <w:p w:rsidR="00332BD6" w:rsidP="0017344C" w:rsidRDefault="00332BD6" w14:paraId="7638F550" w14:textId="77777777">
      <w:pPr>
        <w:pStyle w:val="SCVbody"/>
      </w:pPr>
    </w:p>
    <w:p w:rsidR="00620A24" w:rsidP="00620A24" w:rsidRDefault="00E748EF" w14:paraId="04555DD3" w14:textId="7A045411">
      <w:pPr>
        <w:pStyle w:val="Heading2"/>
      </w:pPr>
      <w:bookmarkStart w:name="_Toc117524297" w:id="13"/>
      <w:r>
        <w:t>3</w:t>
      </w:r>
      <w:r w:rsidR="00620A24">
        <w:t>.</w:t>
      </w:r>
      <w:r w:rsidR="007C5406">
        <w:t>4</w:t>
      </w:r>
      <w:r w:rsidR="00620A24">
        <w:tab/>
      </w:r>
      <w:r w:rsidR="00285C1A">
        <w:t>Circumstances requiring a delay</w:t>
      </w:r>
      <w:bookmarkEnd w:id="13"/>
    </w:p>
    <w:p w:rsidR="00620A24" w:rsidP="00620A24" w:rsidRDefault="00620A24" w14:paraId="59FD2A7D" w14:textId="3C1D30A4">
      <w:pPr>
        <w:pStyle w:val="SCVbody"/>
      </w:pPr>
      <w:r>
        <w:t xml:space="preserve">There may be </w:t>
      </w:r>
      <w:r w:rsidR="00382728">
        <w:t>circumstances</w:t>
      </w:r>
      <w:r>
        <w:t xml:space="preserve"> </w:t>
      </w:r>
      <w:r w:rsidR="009863B1">
        <w:t xml:space="preserve">where </w:t>
      </w:r>
      <w:r>
        <w:t>the SDC process needs to be delayed</w:t>
      </w:r>
      <w:r w:rsidR="00382728">
        <w:t>, including</w:t>
      </w:r>
      <w:r>
        <w:t xml:space="preserve">: </w:t>
      </w:r>
    </w:p>
    <w:p w:rsidR="00620A24" w:rsidP="00620A24" w:rsidRDefault="00620A24" w14:paraId="6053D826" w14:textId="74961B0F">
      <w:pPr>
        <w:pStyle w:val="SCVbullet1"/>
      </w:pPr>
      <w:r>
        <w:t xml:space="preserve">if the patient </w:t>
      </w:r>
      <w:r w:rsidR="00794144">
        <w:t xml:space="preserve">lacks or </w:t>
      </w:r>
      <w:r>
        <w:t>has lost their capacity (either temporarily or permanently) through the harm</w:t>
      </w:r>
      <w:r w:rsidR="00382728">
        <w:t>;</w:t>
      </w:r>
      <w:r w:rsidR="00E50469">
        <w:t xml:space="preserve"> or</w:t>
      </w:r>
    </w:p>
    <w:p w:rsidR="00620A24" w:rsidP="00267990" w:rsidRDefault="00620A24" w14:paraId="619FC4CF" w14:textId="4575E5D4">
      <w:pPr>
        <w:pStyle w:val="SCVbullet1"/>
      </w:pPr>
      <w:r>
        <w:t>the patient is medically unable to participate (</w:t>
      </w:r>
      <w:r w:rsidRPr="0064140A">
        <w:t>either temporarily or permanently through the progression of their medical condition)</w:t>
      </w:r>
      <w:r w:rsidR="00F47669">
        <w:t>.</w:t>
      </w:r>
    </w:p>
    <w:p w:rsidR="00620A24" w:rsidP="00620A24" w:rsidRDefault="00620A24" w14:paraId="494E3248" w14:textId="6E08712C">
      <w:pPr>
        <w:pStyle w:val="SCVbullet1"/>
        <w:numPr>
          <w:ilvl w:val="0"/>
          <w:numId w:val="0"/>
        </w:numPr>
      </w:pPr>
    </w:p>
    <w:p w:rsidR="001918A3" w:rsidP="00620A24" w:rsidRDefault="00620A24" w14:paraId="5F664DA3" w14:textId="79C1D793">
      <w:pPr>
        <w:pStyle w:val="SCVbullet1"/>
        <w:numPr>
          <w:ilvl w:val="0"/>
          <w:numId w:val="0"/>
        </w:numPr>
      </w:pPr>
      <w:r>
        <w:t>If the above applies and has been assessed and documented by a</w:t>
      </w:r>
      <w:r w:rsidR="004F0BAE">
        <w:t>n appropriate</w:t>
      </w:r>
      <w:r>
        <w:t xml:space="preserve"> medical professional, the health service entity </w:t>
      </w:r>
      <w:r w:rsidR="00E042FA">
        <w:t xml:space="preserve">must </w:t>
      </w:r>
      <w:r>
        <w:t>undertake SDC with</w:t>
      </w:r>
      <w:r w:rsidR="001918A3">
        <w:t>:</w:t>
      </w:r>
    </w:p>
    <w:p w:rsidR="00852ECF" w:rsidP="00852ECF" w:rsidRDefault="00852ECF" w14:paraId="23AE51F6" w14:textId="0F12376E">
      <w:pPr>
        <w:pStyle w:val="SCVbullet1"/>
      </w:pPr>
      <w:r>
        <w:t xml:space="preserve">the patient's immediate family, carer or </w:t>
      </w:r>
      <w:r w:rsidR="00A0713A">
        <w:t>NOK;</w:t>
      </w:r>
      <w:r>
        <w:t xml:space="preserve"> </w:t>
      </w:r>
      <w:r w:rsidR="00D10500">
        <w:t>or</w:t>
      </w:r>
    </w:p>
    <w:p w:rsidR="00252372" w:rsidP="00852ECF" w:rsidRDefault="00852ECF" w14:paraId="5D506871" w14:textId="1943CBC0">
      <w:pPr>
        <w:pStyle w:val="SCVbullet1"/>
      </w:pPr>
      <w:r>
        <w:t>a person nominated by the patient</w:t>
      </w:r>
      <w:r w:rsidR="00E070C8">
        <w:t>.</w:t>
      </w:r>
      <w:r w:rsidR="00620A24">
        <w:t xml:space="preserve"> </w:t>
      </w:r>
    </w:p>
    <w:p w:rsidR="00852ECF" w:rsidP="00252372" w:rsidRDefault="0075064F" w14:paraId="3B41149F" w14:textId="538BA30B">
      <w:pPr>
        <w:pStyle w:val="SCVbullet1"/>
        <w:numPr>
          <w:ilvl w:val="0"/>
          <w:numId w:val="0"/>
        </w:numPr>
      </w:pPr>
      <w:r>
        <w:t>This must occur, u</w:t>
      </w:r>
      <w:r w:rsidR="00D25595">
        <w:t>nless the</w:t>
      </w:r>
      <w:r w:rsidR="00A0713A">
        <w:t xml:space="preserve"> relevant</w:t>
      </w:r>
      <w:r w:rsidR="00D25595">
        <w:t xml:space="preserve"> person is not available, or</w:t>
      </w:r>
      <w:r w:rsidR="00854012">
        <w:t xml:space="preserve"> the</w:t>
      </w:r>
      <w:r w:rsidR="00047089">
        <w:t xml:space="preserve">y have </w:t>
      </w:r>
      <w:r w:rsidR="00854012">
        <w:t>opt</w:t>
      </w:r>
      <w:r w:rsidR="00047089">
        <w:t>ed</w:t>
      </w:r>
      <w:r w:rsidR="00854012">
        <w:t xml:space="preserve"> out</w:t>
      </w:r>
      <w:r w:rsidR="00620A24">
        <w:t xml:space="preserve">. </w:t>
      </w:r>
    </w:p>
    <w:p w:rsidR="00267990" w:rsidP="00252372" w:rsidRDefault="00267990" w14:paraId="09506C89" w14:textId="77777777">
      <w:pPr>
        <w:pStyle w:val="SCVbullet1"/>
        <w:numPr>
          <w:ilvl w:val="0"/>
          <w:numId w:val="0"/>
        </w:numPr>
      </w:pPr>
    </w:p>
    <w:p w:rsidR="00620A24" w:rsidP="00852ECF" w:rsidRDefault="00620A24" w14:paraId="57EBE260" w14:textId="186114C0">
      <w:pPr>
        <w:pStyle w:val="SCVbullet1"/>
        <w:numPr>
          <w:ilvl w:val="0"/>
          <w:numId w:val="0"/>
        </w:numPr>
      </w:pPr>
      <w:r>
        <w:t>When the patient recovers capacity, regardless of whether</w:t>
      </w:r>
      <w:r w:rsidR="004F0BAE">
        <w:t xml:space="preserve"> the</w:t>
      </w:r>
      <w:r>
        <w:t xml:space="preserve"> SDC has occurred with </w:t>
      </w:r>
      <w:r w:rsidR="00852ECF">
        <w:t xml:space="preserve">a person </w:t>
      </w:r>
      <w:r w:rsidR="00A8616E">
        <w:t>outlined in the list above</w:t>
      </w:r>
      <w:r>
        <w:t xml:space="preserve"> or not, the health service </w:t>
      </w:r>
      <w:r w:rsidR="00C30315">
        <w:t xml:space="preserve">entity </w:t>
      </w:r>
      <w:r w:rsidR="00C17F32">
        <w:t>must</w:t>
      </w:r>
      <w:r>
        <w:t xml:space="preserve"> </w:t>
      </w:r>
      <w:r w:rsidR="00F05B16">
        <w:t>commence the SDC process</w:t>
      </w:r>
      <w:r w:rsidR="00A65843">
        <w:t xml:space="preserve"> again</w:t>
      </w:r>
      <w:r w:rsidR="004F0BAE">
        <w:t xml:space="preserve"> with the patient</w:t>
      </w:r>
      <w:r w:rsidR="00895909">
        <w:t xml:space="preserve"> (unless </w:t>
      </w:r>
      <w:r w:rsidR="00047089">
        <w:t xml:space="preserve">the patient has </w:t>
      </w:r>
      <w:r w:rsidR="00895909">
        <w:t>opt</w:t>
      </w:r>
      <w:r w:rsidR="00047089">
        <w:t>ed</w:t>
      </w:r>
      <w:r w:rsidR="00895909">
        <w:t xml:space="preserve"> out)</w:t>
      </w:r>
      <w:r>
        <w:t xml:space="preserve">. </w:t>
      </w:r>
      <w:r w:rsidR="00BF3DF7">
        <w:t>Th</w:t>
      </w:r>
      <w:r w:rsidR="007F6784">
        <w:t>e</w:t>
      </w:r>
      <w:r w:rsidR="00BF3DF7">
        <w:t xml:space="preserve"> </w:t>
      </w:r>
      <w:r w:rsidR="007F6784">
        <w:t xml:space="preserve">agreed </w:t>
      </w:r>
      <w:r w:rsidR="00BF3DF7">
        <w:t>commencement date must be clearly documented in the appropriate location</w:t>
      </w:r>
      <w:r w:rsidR="00512C49">
        <w:t>, and the requirements within these Guidelines</w:t>
      </w:r>
      <w:r w:rsidR="006D65B8">
        <w:t xml:space="preserve"> must </w:t>
      </w:r>
      <w:r w:rsidR="003749AC">
        <w:t xml:space="preserve">then </w:t>
      </w:r>
      <w:r w:rsidR="006D65B8">
        <w:t>be</w:t>
      </w:r>
      <w:r w:rsidR="00512C49">
        <w:t xml:space="preserve"> followed</w:t>
      </w:r>
      <w:r w:rsidR="00BF3DF7">
        <w:t>.</w:t>
      </w:r>
    </w:p>
    <w:tbl>
      <w:tblPr>
        <w:tblStyle w:val="SCVpulloutbox"/>
        <w:tblW w:w="0" w:type="auto"/>
        <w:tblLook w:val="04A0" w:firstRow="1" w:lastRow="0" w:firstColumn="1" w:lastColumn="0" w:noHBand="0" w:noVBand="1"/>
      </w:tblPr>
      <w:tblGrid>
        <w:gridCol w:w="10204"/>
      </w:tblGrid>
      <w:tr w:rsidRPr="00D074A8" w:rsidR="00853F13" w:rsidTr="00853F13" w14:paraId="6AF7D1B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00853F13" w:rsidP="003273C8" w:rsidRDefault="00853F13" w14:paraId="2F802C80" w14:textId="231466BD">
            <w:pPr>
              <w:pStyle w:val="SCVbody"/>
              <w:rPr>
                <w:b w:val="0"/>
                <w:bCs w:val="0"/>
              </w:rPr>
            </w:pPr>
            <w:r w:rsidRPr="00853F13">
              <w:t>Important note:</w:t>
            </w:r>
            <w:r w:rsidRPr="00D074A8">
              <w:t xml:space="preserve"> </w:t>
            </w:r>
          </w:p>
          <w:p w:rsidR="00C37C5B" w:rsidP="007A3EEA" w:rsidRDefault="009D51BA" w14:paraId="21DFC132" w14:textId="77777777">
            <w:pPr>
              <w:pStyle w:val="SCVbody"/>
              <w:ind w:left="-1"/>
            </w:pPr>
            <w:r w:rsidRPr="009D51BA">
              <w:rPr>
                <w:b w:val="0"/>
                <w:bCs w:val="0"/>
              </w:rPr>
              <w:t xml:space="preserve">If the patient requests a delay within the SDC process, or the patient is not yet ready to participate, the health service entity </w:t>
            </w:r>
            <w:r w:rsidR="00C37C5B">
              <w:rPr>
                <w:b w:val="0"/>
                <w:bCs w:val="0"/>
              </w:rPr>
              <w:t>must:</w:t>
            </w:r>
          </w:p>
          <w:p w:rsidRPr="005B0DE6" w:rsidR="005B0DE6" w:rsidP="00C37C5B" w:rsidRDefault="00347B19" w14:paraId="1F27EF00" w14:textId="76684F1E">
            <w:pPr>
              <w:pStyle w:val="SCVbody"/>
              <w:numPr>
                <w:ilvl w:val="0"/>
                <w:numId w:val="31"/>
              </w:numPr>
              <w:ind w:left="282" w:hanging="283"/>
              <w:rPr>
                <w:b w:val="0"/>
                <w:bCs w:val="0"/>
              </w:rPr>
            </w:pPr>
            <w:r>
              <w:rPr>
                <w:b w:val="0"/>
                <w:bCs w:val="0"/>
              </w:rPr>
              <w:t>negotiate</w:t>
            </w:r>
            <w:r w:rsidR="00150B75">
              <w:rPr>
                <w:b w:val="0"/>
                <w:bCs w:val="0"/>
              </w:rPr>
              <w:t xml:space="preserve"> a preferred</w:t>
            </w:r>
            <w:r w:rsidR="00046938">
              <w:rPr>
                <w:b w:val="0"/>
                <w:bCs w:val="0"/>
              </w:rPr>
              <w:t xml:space="preserve"> </w:t>
            </w:r>
            <w:r w:rsidR="00150B75">
              <w:rPr>
                <w:b w:val="0"/>
                <w:bCs w:val="0"/>
              </w:rPr>
              <w:t>date for the health service entity to contact the patient</w:t>
            </w:r>
            <w:r w:rsidR="005B0DE6">
              <w:rPr>
                <w:b w:val="0"/>
                <w:bCs w:val="0"/>
              </w:rPr>
              <w:t>; or</w:t>
            </w:r>
          </w:p>
          <w:p w:rsidRPr="002B6FFE" w:rsidR="002B6FFE" w:rsidP="00C37C5B" w:rsidRDefault="00B27EAE" w14:paraId="6774FF41" w14:textId="350EA40E">
            <w:pPr>
              <w:pStyle w:val="SCVbody"/>
              <w:numPr>
                <w:ilvl w:val="0"/>
                <w:numId w:val="31"/>
              </w:numPr>
              <w:ind w:left="282" w:hanging="283"/>
              <w:rPr>
                <w:b w:val="0"/>
                <w:bCs w:val="0"/>
              </w:rPr>
            </w:pPr>
            <w:r>
              <w:rPr>
                <w:b w:val="0"/>
                <w:bCs w:val="0"/>
              </w:rPr>
              <w:t>provide</w:t>
            </w:r>
            <w:r w:rsidR="00E6511F">
              <w:rPr>
                <w:b w:val="0"/>
                <w:bCs w:val="0"/>
              </w:rPr>
              <w:t xml:space="preserve"> </w:t>
            </w:r>
            <w:r w:rsidR="009D4160">
              <w:rPr>
                <w:b w:val="0"/>
                <w:bCs w:val="0"/>
              </w:rPr>
              <w:t xml:space="preserve">the </w:t>
            </w:r>
            <w:r w:rsidR="00126CA3">
              <w:rPr>
                <w:b w:val="0"/>
                <w:bCs w:val="0"/>
              </w:rPr>
              <w:t>details of</w:t>
            </w:r>
            <w:r w:rsidR="000D23FF">
              <w:rPr>
                <w:b w:val="0"/>
                <w:bCs w:val="0"/>
              </w:rPr>
              <w:t xml:space="preserve"> </w:t>
            </w:r>
            <w:r w:rsidR="00812968">
              <w:rPr>
                <w:b w:val="0"/>
                <w:bCs w:val="0"/>
              </w:rPr>
              <w:t xml:space="preserve">a </w:t>
            </w:r>
            <w:r w:rsidR="0039402E">
              <w:rPr>
                <w:b w:val="0"/>
                <w:bCs w:val="0"/>
              </w:rPr>
              <w:t>point of</w:t>
            </w:r>
            <w:r w:rsidR="00812968">
              <w:rPr>
                <w:b w:val="0"/>
                <w:bCs w:val="0"/>
              </w:rPr>
              <w:t xml:space="preserve"> </w:t>
            </w:r>
            <w:r w:rsidR="004C0DBF">
              <w:rPr>
                <w:b w:val="0"/>
                <w:bCs w:val="0"/>
              </w:rPr>
              <w:t>contact</w:t>
            </w:r>
            <w:r w:rsidR="000D23FF">
              <w:rPr>
                <w:b w:val="0"/>
                <w:bCs w:val="0"/>
              </w:rPr>
              <w:t>, such as a</w:t>
            </w:r>
            <w:r w:rsidRPr="00853F13" w:rsidR="00853F13">
              <w:rPr>
                <w:b w:val="0"/>
                <w:bCs w:val="0"/>
              </w:rPr>
              <w:t xml:space="preserve"> consumer liaison officer at </w:t>
            </w:r>
            <w:r w:rsidR="004C0DBF">
              <w:rPr>
                <w:b w:val="0"/>
                <w:bCs w:val="0"/>
              </w:rPr>
              <w:t>the</w:t>
            </w:r>
            <w:r w:rsidRPr="00853F13" w:rsidR="004C0DBF">
              <w:rPr>
                <w:b w:val="0"/>
                <w:bCs w:val="0"/>
              </w:rPr>
              <w:t xml:space="preserve"> </w:t>
            </w:r>
            <w:r w:rsidRPr="00853F13" w:rsidR="00853F13">
              <w:rPr>
                <w:b w:val="0"/>
                <w:bCs w:val="0"/>
              </w:rPr>
              <w:t>health service</w:t>
            </w:r>
            <w:r w:rsidR="00C30315">
              <w:rPr>
                <w:b w:val="0"/>
                <w:bCs w:val="0"/>
              </w:rPr>
              <w:t xml:space="preserve"> entity</w:t>
            </w:r>
            <w:r w:rsidR="005B0DE6">
              <w:rPr>
                <w:b w:val="0"/>
                <w:bCs w:val="0"/>
              </w:rPr>
              <w:t>, if the patient prefers to re</w:t>
            </w:r>
            <w:r w:rsidR="002E50A9">
              <w:rPr>
                <w:b w:val="0"/>
                <w:bCs w:val="0"/>
              </w:rPr>
              <w:t>-</w:t>
            </w:r>
            <w:r w:rsidR="005B0DE6">
              <w:rPr>
                <w:b w:val="0"/>
                <w:bCs w:val="0"/>
              </w:rPr>
              <w:t>initiate the next interaction</w:t>
            </w:r>
            <w:r w:rsidR="002B6FFE">
              <w:rPr>
                <w:b w:val="0"/>
                <w:bCs w:val="0"/>
              </w:rPr>
              <w:t>.</w:t>
            </w:r>
          </w:p>
          <w:p w:rsidR="009D51BA" w:rsidP="002B6FFE" w:rsidRDefault="00284045" w14:paraId="53C9A159" w14:textId="2D4E929A">
            <w:pPr>
              <w:pStyle w:val="SCVbody"/>
              <w:ind w:left="-1"/>
              <w:rPr>
                <w:b w:val="0"/>
                <w:bCs w:val="0"/>
              </w:rPr>
            </w:pPr>
            <w:r>
              <w:rPr>
                <w:b w:val="0"/>
                <w:bCs w:val="0"/>
              </w:rPr>
              <w:t>Once the patient and the health service entity have an</w:t>
            </w:r>
            <w:r w:rsidRPr="00477821" w:rsidR="00477821">
              <w:rPr>
                <w:b w:val="0"/>
                <w:bCs w:val="0"/>
              </w:rPr>
              <w:t xml:space="preserve"> </w:t>
            </w:r>
            <w:r w:rsidR="000952F3">
              <w:rPr>
                <w:b w:val="0"/>
                <w:bCs w:val="0"/>
              </w:rPr>
              <w:t>agreed</w:t>
            </w:r>
            <w:r w:rsidR="004978BA">
              <w:rPr>
                <w:b w:val="0"/>
                <w:bCs w:val="0"/>
              </w:rPr>
              <w:t xml:space="preserve"> </w:t>
            </w:r>
            <w:r w:rsidRPr="00477821" w:rsidR="00477821">
              <w:rPr>
                <w:b w:val="0"/>
                <w:bCs w:val="0"/>
              </w:rPr>
              <w:t xml:space="preserve">commencement date </w:t>
            </w:r>
            <w:r>
              <w:rPr>
                <w:b w:val="0"/>
                <w:bCs w:val="0"/>
              </w:rPr>
              <w:t xml:space="preserve">for the SDC, it </w:t>
            </w:r>
            <w:r w:rsidRPr="00477821" w:rsidR="00477821">
              <w:rPr>
                <w:b w:val="0"/>
                <w:bCs w:val="0"/>
              </w:rPr>
              <w:t xml:space="preserve">must be clearly documented in the appropriate location, and the requirements within these Guidelines must </w:t>
            </w:r>
            <w:r w:rsidR="003749AC">
              <w:rPr>
                <w:b w:val="0"/>
                <w:bCs w:val="0"/>
              </w:rPr>
              <w:t xml:space="preserve">then </w:t>
            </w:r>
            <w:r w:rsidRPr="00477821" w:rsidR="00477821">
              <w:rPr>
                <w:b w:val="0"/>
                <w:bCs w:val="0"/>
              </w:rPr>
              <w:t>be followed.</w:t>
            </w:r>
            <w:r w:rsidR="00845097">
              <w:rPr>
                <w:b w:val="0"/>
                <w:bCs w:val="0"/>
              </w:rPr>
              <w:t xml:space="preserve"> </w:t>
            </w:r>
          </w:p>
          <w:p w:rsidRPr="00D074A8" w:rsidR="00853F13" w:rsidP="007A3EEA" w:rsidRDefault="00D358AB" w14:paraId="77860196" w14:textId="048A8D10">
            <w:pPr>
              <w:pStyle w:val="SCVbody"/>
              <w:ind w:left="-1"/>
            </w:pPr>
            <w:r>
              <w:rPr>
                <w:b w:val="0"/>
                <w:bCs w:val="0"/>
              </w:rPr>
              <w:t>If there is a delay in conducting the SDC meeting</w:t>
            </w:r>
            <w:r w:rsidR="00845097">
              <w:rPr>
                <w:b w:val="0"/>
                <w:bCs w:val="0"/>
              </w:rPr>
              <w:t xml:space="preserve">, the health service entity must continue with </w:t>
            </w:r>
            <w:r w:rsidR="00314C03">
              <w:rPr>
                <w:b w:val="0"/>
                <w:bCs w:val="0"/>
              </w:rPr>
              <w:t xml:space="preserve">Requirements </w:t>
            </w:r>
            <w:r w:rsidR="004B718C">
              <w:rPr>
                <w:b w:val="0"/>
                <w:bCs w:val="0"/>
              </w:rPr>
              <w:t>6 to 9</w:t>
            </w:r>
            <w:r>
              <w:rPr>
                <w:b w:val="0"/>
                <w:bCs w:val="0"/>
              </w:rPr>
              <w:t xml:space="preserve"> regardless.</w:t>
            </w:r>
          </w:p>
        </w:tc>
      </w:tr>
    </w:tbl>
    <w:p w:rsidR="00C17F32" w:rsidP="00C17F32" w:rsidRDefault="00C17F32" w14:paraId="6EB0F360" w14:textId="7C217C24">
      <w:pPr>
        <w:pStyle w:val="SCVbullet1"/>
        <w:numPr>
          <w:ilvl w:val="0"/>
          <w:numId w:val="0"/>
        </w:numPr>
        <w:ind w:left="284" w:hanging="284"/>
      </w:pPr>
      <w:r>
        <w:t xml:space="preserve">For further </w:t>
      </w:r>
      <w:r w:rsidR="00F601E0">
        <w:t xml:space="preserve">patient </w:t>
      </w:r>
      <w:r>
        <w:t xml:space="preserve">considerations, refer to the </w:t>
      </w:r>
      <w:r w:rsidR="00D75286">
        <w:t>‘</w:t>
      </w:r>
      <w:r>
        <w:t>Victorian Duty of Candour Framework</w:t>
      </w:r>
      <w:r w:rsidR="00D75286">
        <w:t>’</w:t>
      </w:r>
      <w:r>
        <w:t>.</w:t>
      </w:r>
    </w:p>
    <w:p w:rsidR="00C17F32" w:rsidP="0017344C" w:rsidRDefault="00C17F32" w14:paraId="7F608045" w14:textId="0D4513B3">
      <w:pPr>
        <w:pStyle w:val="SCVbody"/>
        <w:sectPr w:rsidR="00C17F32" w:rsidSect="00284C3C">
          <w:pgSz w:w="11906" w:h="16838" w:code="9"/>
          <w:pgMar w:top="3402" w:right="851" w:bottom="1361" w:left="851" w:header="851" w:footer="851" w:gutter="0"/>
          <w:cols w:space="284"/>
          <w:docGrid w:linePitch="360"/>
        </w:sectPr>
      </w:pPr>
    </w:p>
    <w:p w:rsidR="000932E3" w:rsidP="0017344C" w:rsidRDefault="00E748EF" w14:paraId="291409F6" w14:textId="4665DE26">
      <w:pPr>
        <w:pStyle w:val="Heading1"/>
      </w:pPr>
      <w:bookmarkStart w:name="_Toc117524298" w:id="14"/>
      <w:r>
        <w:lastRenderedPageBreak/>
        <w:t>4</w:t>
      </w:r>
      <w:r w:rsidR="00C00FA4">
        <w:t>.</w:t>
      </w:r>
      <w:r w:rsidR="00187DC6">
        <w:t xml:space="preserve"> </w:t>
      </w:r>
      <w:r w:rsidR="000021DB">
        <w:t>SDC</w:t>
      </w:r>
      <w:r w:rsidR="00D836ED">
        <w:t xml:space="preserve"> process</w:t>
      </w:r>
      <w:bookmarkEnd w:id="14"/>
    </w:p>
    <w:p w:rsidR="00282037" w:rsidP="00E13A54" w:rsidRDefault="002D42C3" w14:paraId="1F1B9BAE" w14:textId="4910002A">
      <w:pPr>
        <w:pStyle w:val="SCVintroductorytext"/>
      </w:pPr>
      <w:r>
        <w:t xml:space="preserve">When responding to a </w:t>
      </w:r>
      <w:r w:rsidR="002C2C95">
        <w:t>SAPSE</w:t>
      </w:r>
      <w:r>
        <w:t xml:space="preserve">, the </w:t>
      </w:r>
      <w:r w:rsidR="009E5D7C">
        <w:t>immediate</w:t>
      </w:r>
      <w:r>
        <w:t xml:space="preserve"> priority </w:t>
      </w:r>
      <w:r w:rsidR="007E7D12">
        <w:t>is</w:t>
      </w:r>
      <w:r>
        <w:t xml:space="preserve"> the safety and care of the patient</w:t>
      </w:r>
      <w:r w:rsidR="00305A63">
        <w:t>s</w:t>
      </w:r>
      <w:r w:rsidR="00A35773">
        <w:t xml:space="preserve"> and staff</w:t>
      </w:r>
      <w:r>
        <w:t xml:space="preserve"> involved</w:t>
      </w:r>
      <w:r w:rsidR="009E5D7C">
        <w:t xml:space="preserve">, and then </w:t>
      </w:r>
      <w:r>
        <w:t xml:space="preserve">identifying if there is a risk to other patients, members of the public or </w:t>
      </w:r>
      <w:r w:rsidR="009E5D7C">
        <w:t xml:space="preserve">other </w:t>
      </w:r>
      <w:r>
        <w:t xml:space="preserve">staff members. </w:t>
      </w:r>
    </w:p>
    <w:p w:rsidR="00E722EC" w:rsidP="00E722EC" w:rsidRDefault="000021DB" w14:paraId="459039A6" w14:textId="04E1CC95">
      <w:pPr>
        <w:pStyle w:val="SCVbody"/>
      </w:pPr>
      <w:r>
        <w:t xml:space="preserve">The </w:t>
      </w:r>
      <w:r w:rsidR="00E722EC">
        <w:t>SDC</w:t>
      </w:r>
      <w:r>
        <w:t xml:space="preserve"> process</w:t>
      </w:r>
      <w:r w:rsidR="00E722EC">
        <w:t xml:space="preserve"> must commence as soon as a health service </w:t>
      </w:r>
      <w:r w:rsidR="00441A34">
        <w:t xml:space="preserve">entity </w:t>
      </w:r>
      <w:r w:rsidR="00E722EC">
        <w:t xml:space="preserve">becomes aware of the SAPSE, either through the clinical incident management system or when identified by a clinician, patient, </w:t>
      </w:r>
      <w:r w:rsidR="0046035A">
        <w:t>NOK</w:t>
      </w:r>
      <w:r w:rsidR="00D14A99">
        <w:t>,</w:t>
      </w:r>
      <w:r w:rsidR="00E722EC">
        <w:t xml:space="preserve"> family or carer.</w:t>
      </w:r>
    </w:p>
    <w:p w:rsidR="00FB0226" w:rsidP="00E13A54" w:rsidRDefault="00E748EF" w14:paraId="7079D9D8" w14:textId="79BAFD02">
      <w:pPr>
        <w:pStyle w:val="Heading2"/>
      </w:pPr>
      <w:bookmarkStart w:name="_Toc117524299" w:id="15"/>
      <w:bookmarkStart w:name="_Toc85618530" w:id="16"/>
      <w:r>
        <w:t>4</w:t>
      </w:r>
      <w:r w:rsidR="00C00FA4">
        <w:t>.1</w:t>
      </w:r>
      <w:r w:rsidR="00C00FA4">
        <w:tab/>
      </w:r>
      <w:r w:rsidR="00841973">
        <w:t>Stage 1</w:t>
      </w:r>
      <w:r w:rsidR="00E722EC">
        <w:t xml:space="preserve">: </w:t>
      </w:r>
      <w:r w:rsidRPr="00E722EC" w:rsidR="00E722EC">
        <w:t>Apologise and provide initial information</w:t>
      </w:r>
      <w:bookmarkEnd w:id="15"/>
    </w:p>
    <w:bookmarkEnd w:id="16"/>
    <w:p w:rsidR="00841973" w:rsidP="00E13A54" w:rsidRDefault="000021DB" w14:paraId="0E0BD23F" w14:textId="57EB5157">
      <w:pPr>
        <w:pStyle w:val="Heading3"/>
        <w:rPr>
          <w:rStyle w:val="normaltextrun1"/>
          <w:rFonts w:cstheme="minorHAnsi"/>
        </w:rPr>
      </w:pPr>
      <w:r>
        <w:t>4.1.1</w:t>
      </w:r>
      <w:r>
        <w:tab/>
      </w:r>
      <w:r w:rsidRPr="00841973" w:rsidR="00841973">
        <w:t>A</w:t>
      </w:r>
      <w:r w:rsidR="000932E3">
        <w:t>polog</w:t>
      </w:r>
      <w:r w:rsidR="007F6366">
        <w:t>ise</w:t>
      </w:r>
    </w:p>
    <w:tbl>
      <w:tblPr>
        <w:tblStyle w:val="SCVpulloutbox"/>
        <w:tblW w:w="0" w:type="auto"/>
        <w:tblLook w:val="04A0" w:firstRow="1" w:lastRow="0" w:firstColumn="1" w:lastColumn="0" w:noHBand="0" w:noVBand="1"/>
      </w:tblPr>
      <w:tblGrid>
        <w:gridCol w:w="10204"/>
      </w:tblGrid>
      <w:tr w:rsidR="00841973" w:rsidTr="5AB7E433" w14:paraId="7700E3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Pr="00BE7418" w:rsidR="00841973" w:rsidP="002C2C95" w:rsidRDefault="00841973" w14:paraId="1CBC1867" w14:textId="0D647AA9">
            <w:pPr>
              <w:pStyle w:val="SCVbody"/>
            </w:pPr>
            <w:r w:rsidRPr="5AB7E433">
              <w:rPr>
                <w:color w:val="007586" w:themeColor="accent2"/>
              </w:rPr>
              <w:t xml:space="preserve">Requirement 1: </w:t>
            </w:r>
            <w:r w:rsidRPr="000021DB" w:rsidR="000021DB">
              <w:rPr>
                <w:b w:val="0"/>
                <w:bCs w:val="0"/>
                <w:color w:val="007586" w:themeColor="accent2"/>
              </w:rPr>
              <w:t xml:space="preserve">The health service entity must provide a genuine apology for the harm suffered by the patient and initial information, as early as practicable (and </w:t>
            </w:r>
            <w:r w:rsidRPr="000021DB" w:rsidR="000021DB">
              <w:rPr>
                <w:color w:val="007586" w:themeColor="accent2"/>
              </w:rPr>
              <w:t>no longer than 24 hours</w:t>
            </w:r>
            <w:r w:rsidRPr="000021DB" w:rsidR="000021DB">
              <w:rPr>
                <w:b w:val="0"/>
                <w:bCs w:val="0"/>
                <w:color w:val="007586" w:themeColor="accent2"/>
              </w:rPr>
              <w:t>) after the SAPSE has been identified by the health service entity.</w:t>
            </w:r>
          </w:p>
        </w:tc>
      </w:tr>
    </w:tbl>
    <w:p w:rsidR="00C5101D" w:rsidRDefault="00C5101D" w14:paraId="6C841583" w14:textId="6661BE43">
      <w:pPr>
        <w:pStyle w:val="SCVbody"/>
      </w:pPr>
      <w:r>
        <w:t xml:space="preserve">The apology must be </w:t>
      </w:r>
      <w:r w:rsidR="005C6573">
        <w:t xml:space="preserve">provided </w:t>
      </w:r>
      <w:r>
        <w:t>to the patient</w:t>
      </w:r>
      <w:r w:rsidR="00631C83">
        <w:t xml:space="preserve">, </w:t>
      </w:r>
      <w:r w:rsidR="00804F9F">
        <w:t xml:space="preserve">or </w:t>
      </w:r>
      <w:r w:rsidR="00E04697">
        <w:t>if</w:t>
      </w:r>
      <w:r w:rsidR="00842F54">
        <w:t xml:space="preserve"> the patient lacks capacity or has died, the patient’s immediate </w:t>
      </w:r>
      <w:r w:rsidR="00305A63">
        <w:t xml:space="preserve">family, carer, </w:t>
      </w:r>
      <w:r w:rsidR="00520C77">
        <w:t xml:space="preserve">NOK </w:t>
      </w:r>
      <w:r w:rsidR="00597985">
        <w:t xml:space="preserve">or </w:t>
      </w:r>
      <w:r w:rsidR="00520C77">
        <w:t>a person nominated by the patient</w:t>
      </w:r>
      <w:r w:rsidR="00F54C73">
        <w:t>,</w:t>
      </w:r>
      <w:r>
        <w:t xml:space="preserve"> as early as </w:t>
      </w:r>
      <w:r w:rsidR="0084527B">
        <w:t>practicable</w:t>
      </w:r>
      <w:r>
        <w:t xml:space="preserve"> </w:t>
      </w:r>
      <w:r w:rsidR="00B17E12">
        <w:t xml:space="preserve">and clinically appropriate </w:t>
      </w:r>
      <w:r>
        <w:t>with regard</w:t>
      </w:r>
      <w:r w:rsidR="008B3C22">
        <w:t>s</w:t>
      </w:r>
      <w:r>
        <w:t xml:space="preserve"> to the needs of the patient</w:t>
      </w:r>
      <w:r w:rsidR="00B17E12">
        <w:t>.</w:t>
      </w:r>
      <w:r w:rsidR="00966356">
        <w:t xml:space="preserve"> </w:t>
      </w:r>
      <w:r w:rsidR="00192123">
        <w:t xml:space="preserve">The health service entity may decide </w:t>
      </w:r>
      <w:r w:rsidR="00504C58">
        <w:t xml:space="preserve">on </w:t>
      </w:r>
      <w:r w:rsidR="00192123">
        <w:t xml:space="preserve">the appropriate person </w:t>
      </w:r>
      <w:r w:rsidR="00504C58">
        <w:t xml:space="preserve">to provide the apology, such as a suitably qualified health professional. </w:t>
      </w:r>
    </w:p>
    <w:p w:rsidR="00E441E5" w:rsidRDefault="00E441E5" w14:paraId="56A667A8" w14:textId="3AD0EE27">
      <w:pPr>
        <w:pStyle w:val="SCVbody"/>
      </w:pPr>
    </w:p>
    <w:p w:rsidR="00E441E5" w:rsidP="00E441E5" w:rsidRDefault="00E441E5" w14:paraId="38D77B0F" w14:textId="77777777">
      <w:pPr>
        <w:pStyle w:val="SCVbullet1"/>
        <w:numPr>
          <w:ilvl w:val="0"/>
          <w:numId w:val="0"/>
        </w:numPr>
        <w:ind w:left="284" w:hanging="284"/>
      </w:pPr>
      <w:r>
        <w:t>The health service entity should consider the following in providing the apology:</w:t>
      </w:r>
    </w:p>
    <w:p w:rsidR="00E441E5" w:rsidP="00E441E5" w:rsidRDefault="00E441E5" w14:paraId="3D98CF7B" w14:textId="11DF615F">
      <w:pPr>
        <w:pStyle w:val="SCVbullet1"/>
      </w:pPr>
      <w:r>
        <w:t>express compassion, regret or sympathy</w:t>
      </w:r>
      <w:r w:rsidR="007D1EB5">
        <w:t>;</w:t>
      </w:r>
      <w:r w:rsidR="00E50469">
        <w:t xml:space="preserve"> </w:t>
      </w:r>
    </w:p>
    <w:p w:rsidR="00E441E5" w:rsidP="00E441E5" w:rsidRDefault="007D1EB5" w14:paraId="2A5C8424" w14:textId="0988D0B5">
      <w:pPr>
        <w:pStyle w:val="SCVbullet1"/>
      </w:pPr>
      <w:r>
        <w:t>s</w:t>
      </w:r>
      <w:r w:rsidR="00E441E5">
        <w:t>ay the words ‘I am/We are sorry’</w:t>
      </w:r>
      <w:r>
        <w:t>;</w:t>
      </w:r>
      <w:r w:rsidR="00E50469">
        <w:t xml:space="preserve"> and</w:t>
      </w:r>
    </w:p>
    <w:p w:rsidR="00FF5A2D" w:rsidP="009149EF" w:rsidRDefault="007D1EB5" w14:paraId="3A26CE60" w14:textId="23BB0D7E">
      <w:pPr>
        <w:pStyle w:val="SCVbullet1"/>
      </w:pPr>
      <w:r>
        <w:t>a</w:t>
      </w:r>
      <w:r w:rsidR="00E441E5">
        <w:t>void jargon or legalistic wording.</w:t>
      </w:r>
    </w:p>
    <w:p w:rsidRPr="00AE6D04" w:rsidR="00613F77" w:rsidP="00DB7F31" w:rsidRDefault="00613F77" w14:paraId="08B433CE" w14:textId="18544612">
      <w:pPr>
        <w:pStyle w:val="Heading4"/>
      </w:pPr>
      <w:r w:rsidRPr="00AE6D04">
        <w:t xml:space="preserve">Apology not </w:t>
      </w:r>
      <w:r w:rsidR="00621525">
        <w:t xml:space="preserve">an </w:t>
      </w:r>
      <w:r w:rsidRPr="00AE6D04">
        <w:t>admission of liability</w:t>
      </w:r>
    </w:p>
    <w:p w:rsidRPr="00AA47AF" w:rsidR="00613F77" w:rsidP="00613F77" w:rsidRDefault="00613F77" w14:paraId="04342D3F" w14:textId="4C1784DD">
      <w:pPr>
        <w:pStyle w:val="SCVbullet1"/>
        <w:numPr>
          <w:ilvl w:val="0"/>
          <w:numId w:val="0"/>
        </w:numPr>
      </w:pPr>
      <w:r>
        <w:t>In a civil</w:t>
      </w:r>
      <w:r w:rsidR="00EA6F49">
        <w:t xml:space="preserve"> </w:t>
      </w:r>
      <w:r>
        <w:t>proceeding</w:t>
      </w:r>
      <w:r w:rsidR="00DF2F6E">
        <w:t xml:space="preserve"> </w:t>
      </w:r>
      <w:r>
        <w:t>where the death or injury of a person is in issue or is relevant to an issue, an apology:</w:t>
      </w:r>
    </w:p>
    <w:p w:rsidRPr="00AA47AF" w:rsidR="00613F77" w:rsidP="00EE7090" w:rsidRDefault="00613F77" w14:paraId="60B88155" w14:textId="77777777">
      <w:pPr>
        <w:pStyle w:val="SCVbodyafterheading"/>
        <w:numPr>
          <w:ilvl w:val="0"/>
          <w:numId w:val="17"/>
        </w:numPr>
        <w:spacing w:before="60" w:after="60"/>
        <w:ind w:left="714" w:hanging="357"/>
      </w:pPr>
      <w:r w:rsidRPr="00AA47AF">
        <w:t>does not constitute an express or implied admission of liability for the death or injury; and</w:t>
      </w:r>
    </w:p>
    <w:p w:rsidRPr="00AA47AF" w:rsidR="00613F77" w:rsidP="00EE7090" w:rsidRDefault="00613F77" w14:paraId="2146839B" w14:textId="77777777">
      <w:pPr>
        <w:pStyle w:val="SCVbodyafterheading"/>
        <w:numPr>
          <w:ilvl w:val="0"/>
          <w:numId w:val="17"/>
        </w:numPr>
        <w:spacing w:before="60" w:after="60"/>
        <w:ind w:left="714" w:hanging="357"/>
      </w:pPr>
      <w:r w:rsidRPr="00AA47AF">
        <w:t>is not relevant to the determination of fault or liability in connection with that proceeding.</w:t>
      </w:r>
    </w:p>
    <w:p w:rsidRPr="00AA47AF" w:rsidR="00613F77" w:rsidP="00613F77" w:rsidRDefault="00613F77" w14:paraId="2933901A" w14:textId="4C60C6B3">
      <w:pPr>
        <w:pStyle w:val="SCVbullet1"/>
        <w:numPr>
          <w:ilvl w:val="0"/>
          <w:numId w:val="0"/>
        </w:numPr>
      </w:pPr>
      <w:r>
        <w:t>This is relevant whether the apology i</w:t>
      </w:r>
      <w:r w:rsidRPr="00AA47AF">
        <w:t xml:space="preserve">s made orally or in </w:t>
      </w:r>
      <w:r w:rsidRPr="00AA47AF" w:rsidR="00630AA9">
        <w:t>writing</w:t>
      </w:r>
      <w:r w:rsidR="00630AA9">
        <w:t xml:space="preserve"> or</w:t>
      </w:r>
      <w:r w:rsidRPr="00AA47AF">
        <w:t xml:space="preserve"> is made before or after the civil proceeding was in contemplation or commenced.</w:t>
      </w:r>
    </w:p>
    <w:p w:rsidRPr="00AA47AF" w:rsidR="00613F77" w:rsidP="00613F77" w:rsidRDefault="00613F77" w14:paraId="42CFA92E" w14:textId="158374BD">
      <w:pPr>
        <w:pStyle w:val="SCVbullet1"/>
        <w:numPr>
          <w:ilvl w:val="0"/>
          <w:numId w:val="0"/>
        </w:numPr>
      </w:pPr>
      <w:r w:rsidRPr="00AA47AF">
        <w:t xml:space="preserve">Evidence of an apology made by or on behalf of a person or a health service entity in connection with any matter alleged to have been caused by the person or health service entity is not admissible in any civil or disciplinary </w:t>
      </w:r>
      <w:r w:rsidR="009149EF">
        <w:lastRenderedPageBreak/>
        <w:t>p</w:t>
      </w:r>
      <w:r w:rsidRPr="00AA47AF">
        <w:t>roceedings as evidence of the fault or liability of the person or health service entity in connection with that matter.</w:t>
      </w:r>
      <w:r>
        <w:rPr>
          <w:rStyle w:val="FootnoteReference"/>
        </w:rPr>
        <w:footnoteReference w:id="21"/>
      </w:r>
    </w:p>
    <w:p w:rsidRPr="008162ED" w:rsidR="002C41A4" w:rsidP="002C41A4" w:rsidRDefault="00613F77" w14:paraId="7CE3B5BD" w14:textId="4B023EBF">
      <w:pPr>
        <w:pStyle w:val="SCVbullet1"/>
        <w:numPr>
          <w:ilvl w:val="0"/>
          <w:numId w:val="0"/>
        </w:numPr>
        <w:rPr>
          <w:rFonts w:cstheme="minorHAnsi"/>
        </w:rPr>
      </w:pPr>
      <w:r w:rsidRPr="006A5B87">
        <w:rPr>
          <w:b/>
          <w:bCs/>
        </w:rPr>
        <w:t>Note:</w:t>
      </w:r>
      <w:r>
        <w:t xml:space="preserve"> </w:t>
      </w:r>
      <w:r w:rsidR="007D1EB5">
        <w:t>Nothing in this section</w:t>
      </w:r>
      <w:r w:rsidRPr="00AA47AF">
        <w:t xml:space="preserve"> affect</w:t>
      </w:r>
      <w:r w:rsidR="007D1EB5">
        <w:t>s</w:t>
      </w:r>
      <w:r w:rsidRPr="00AA47AF">
        <w:t xml:space="preserve"> the admissibility of a statement with respect to a fact in issue or tending to establish a fact in issue.</w:t>
      </w:r>
    </w:p>
    <w:p w:rsidRPr="008162ED" w:rsidR="00AD3FA5" w:rsidP="002C41A4" w:rsidRDefault="00AD3FA5" w14:paraId="5F248424" w14:textId="77777777">
      <w:pPr>
        <w:pStyle w:val="SCVbullet1"/>
        <w:numPr>
          <w:ilvl w:val="0"/>
          <w:numId w:val="0"/>
        </w:numPr>
        <w:rPr>
          <w:rFonts w:cstheme="minorHAnsi"/>
        </w:rPr>
      </w:pPr>
    </w:p>
    <w:p w:rsidR="00DF215A" w:rsidP="00E13A54" w:rsidRDefault="00CF6A76" w14:paraId="4F3303E5" w14:textId="52D36FAE">
      <w:pPr>
        <w:pStyle w:val="Heading3"/>
        <w:rPr>
          <w:b w:val="0"/>
          <w:bCs w:val="0"/>
        </w:rPr>
      </w:pPr>
      <w:r>
        <w:t>4.1.2</w:t>
      </w:r>
      <w:r w:rsidR="006B4F24">
        <w:tab/>
      </w:r>
      <w:r w:rsidR="007F6366">
        <w:t>Provide i</w:t>
      </w:r>
      <w:r w:rsidR="00BE6A66">
        <w:t>nitial information</w:t>
      </w:r>
      <w:r w:rsidR="004D474C">
        <w:t xml:space="preserve"> </w:t>
      </w:r>
    </w:p>
    <w:p w:rsidR="00841973" w:rsidP="00DF215A" w:rsidRDefault="000E3810" w14:paraId="6CA0FBC0" w14:textId="563BA6EA">
      <w:pPr>
        <w:pStyle w:val="SCVbodyafterheading"/>
      </w:pPr>
      <w:r>
        <w:t>Th</w:t>
      </w:r>
      <w:r w:rsidR="006B4F24">
        <w:t>e initial information</w:t>
      </w:r>
      <w:r>
        <w:t xml:space="preserve"> may be</w:t>
      </w:r>
      <w:r w:rsidR="006B4F24">
        <w:t xml:space="preserve"> provided</w:t>
      </w:r>
      <w:r>
        <w:t xml:space="preserve"> </w:t>
      </w:r>
      <w:r w:rsidR="004D474C">
        <w:t>with</w:t>
      </w:r>
      <w:r w:rsidR="00326D57">
        <w:t xml:space="preserve"> </w:t>
      </w:r>
      <w:r>
        <w:t xml:space="preserve">the </w:t>
      </w:r>
      <w:r w:rsidR="00326D57">
        <w:t>initial</w:t>
      </w:r>
      <w:r w:rsidR="004D474C">
        <w:t xml:space="preserve"> </w:t>
      </w:r>
      <w:r w:rsidR="00ED1AD8">
        <w:t>apology,</w:t>
      </w:r>
      <w:r w:rsidR="001D267E">
        <w:t xml:space="preserve"> </w:t>
      </w:r>
      <w:r w:rsidR="00ED1AD8">
        <w:t>however,</w:t>
      </w:r>
      <w:r w:rsidR="001D267E">
        <w:t xml:space="preserve"> should </w:t>
      </w:r>
      <w:r w:rsidR="00171A51">
        <w:t xml:space="preserve">ideally </w:t>
      </w:r>
      <w:r w:rsidR="001D267E">
        <w:t xml:space="preserve">be </w:t>
      </w:r>
      <w:r w:rsidR="0063008E">
        <w:t xml:space="preserve">performed by a </w:t>
      </w:r>
      <w:r w:rsidR="00FD7FFE">
        <w:t>suitably qualified health professiona</w:t>
      </w:r>
      <w:r w:rsidR="00246483">
        <w:t>l</w:t>
      </w:r>
      <w:r w:rsidR="001D4E6D">
        <w:t>.</w:t>
      </w:r>
    </w:p>
    <w:p w:rsidR="00E01E10" w:rsidP="00DF215A" w:rsidRDefault="00F12847" w14:paraId="60805597" w14:textId="009C4008">
      <w:pPr>
        <w:pStyle w:val="SCVbodyafterheading"/>
      </w:pPr>
      <w:r>
        <w:t>When providing initial information, t</w:t>
      </w:r>
      <w:r w:rsidR="00E01E10">
        <w:t xml:space="preserve">he health service entity </w:t>
      </w:r>
      <w:r w:rsidR="00FB5C98">
        <w:t>must</w:t>
      </w:r>
      <w:r w:rsidR="00E01E10">
        <w:t>:</w:t>
      </w:r>
    </w:p>
    <w:p w:rsidR="00841973" w:rsidP="00841973" w:rsidRDefault="006B4F24" w14:paraId="1555C622" w14:textId="75995760">
      <w:pPr>
        <w:pStyle w:val="SCVbullet1"/>
      </w:pPr>
      <w:r>
        <w:t>p</w:t>
      </w:r>
      <w:r w:rsidR="00841973">
        <w:t xml:space="preserve">rovide </w:t>
      </w:r>
      <w:r w:rsidR="637C154A">
        <w:t xml:space="preserve">factual </w:t>
      </w:r>
      <w:r w:rsidR="00841973">
        <w:t xml:space="preserve">information that is known at the time </w:t>
      </w:r>
      <w:r w:rsidR="1D699FDD">
        <w:t>about the event</w:t>
      </w:r>
      <w:r>
        <w:t>;</w:t>
      </w:r>
      <w:r w:rsidR="00E50469">
        <w:t xml:space="preserve"> </w:t>
      </w:r>
    </w:p>
    <w:p w:rsidR="007B50FF" w:rsidP="00841973" w:rsidRDefault="006B4F24" w14:paraId="136C571C" w14:textId="1EF37554">
      <w:pPr>
        <w:pStyle w:val="SCVbullet1"/>
      </w:pPr>
      <w:r>
        <w:t>o</w:t>
      </w:r>
      <w:r w:rsidR="342E590F">
        <w:t xml:space="preserve">ffer written patient information on the </w:t>
      </w:r>
      <w:r w:rsidR="6A9C6DC2">
        <w:t xml:space="preserve">adverse event review </w:t>
      </w:r>
      <w:r w:rsidR="342E590F">
        <w:t xml:space="preserve">process </w:t>
      </w:r>
      <w:r w:rsidR="04697EF3">
        <w:t>(e.g. information flyer)</w:t>
      </w:r>
      <w:r>
        <w:t xml:space="preserve">; </w:t>
      </w:r>
      <w:r w:rsidR="00E50469">
        <w:t>and</w:t>
      </w:r>
    </w:p>
    <w:p w:rsidR="001C3774" w:rsidP="00841973" w:rsidRDefault="006B4F24" w14:paraId="7C18A6AE" w14:textId="6638724F">
      <w:pPr>
        <w:pStyle w:val="SCVbullet1"/>
      </w:pPr>
      <w:r>
        <w:t>p</w:t>
      </w:r>
      <w:r w:rsidR="001C3774">
        <w:t xml:space="preserve">rovide the details of key contacts the patient can liaise with, including where relevant, an Aboriginal </w:t>
      </w:r>
      <w:r w:rsidR="000E14BA">
        <w:t>H</w:t>
      </w:r>
      <w:r w:rsidR="001C3774">
        <w:t xml:space="preserve">ospital </w:t>
      </w:r>
      <w:r w:rsidR="000E14BA">
        <w:t>L</w:t>
      </w:r>
      <w:r w:rsidR="001C3774">
        <w:t xml:space="preserve">iaison </w:t>
      </w:r>
      <w:r w:rsidR="000E14BA">
        <w:t>O</w:t>
      </w:r>
      <w:r w:rsidR="001C3774">
        <w:t>fficer</w:t>
      </w:r>
      <w:r w:rsidR="000E14BA">
        <w:t xml:space="preserve"> (AHLO)</w:t>
      </w:r>
      <w:r w:rsidR="001C3774">
        <w:t>.</w:t>
      </w:r>
    </w:p>
    <w:p w:rsidR="0041365C" w:rsidP="00740DA6" w:rsidRDefault="00573EF8" w14:paraId="3E6C87DA" w14:textId="1EE55627">
      <w:pPr>
        <w:pStyle w:val="SCVbody"/>
      </w:pPr>
      <w:r>
        <w:t xml:space="preserve">When providing initial information, </w:t>
      </w:r>
      <w:r w:rsidR="00C56168">
        <w:t>the health service entity</w:t>
      </w:r>
      <w:r w:rsidR="00F642D7">
        <w:t xml:space="preserve"> </w:t>
      </w:r>
      <w:r>
        <w:t>should</w:t>
      </w:r>
      <w:r w:rsidR="00F642D7">
        <w:t>:</w:t>
      </w:r>
    </w:p>
    <w:p w:rsidR="006B4F24" w:rsidP="00F642D7" w:rsidRDefault="006B4F24" w14:paraId="4A6DDD78" w14:textId="5D9BE287">
      <w:pPr>
        <w:pStyle w:val="SCVbullet1"/>
      </w:pPr>
      <w:r>
        <w:t>be</w:t>
      </w:r>
      <w:r w:rsidR="00F642D7">
        <w:t xml:space="preserve"> sensitive and empathetic</w:t>
      </w:r>
      <w:r>
        <w:t>;</w:t>
      </w:r>
      <w:r w:rsidR="00E50469">
        <w:t xml:space="preserve"> </w:t>
      </w:r>
    </w:p>
    <w:p w:rsidR="00F642D7" w:rsidP="00F642D7" w:rsidRDefault="006B4F24" w14:paraId="68A6EAFA" w14:textId="3715C46A">
      <w:pPr>
        <w:pStyle w:val="SCVbullet1"/>
      </w:pPr>
      <w:r>
        <w:t>a</w:t>
      </w:r>
      <w:r w:rsidR="00F642D7">
        <w:t xml:space="preserve">cknowledge that these </w:t>
      </w:r>
      <w:r>
        <w:t xml:space="preserve">events </w:t>
      </w:r>
      <w:r w:rsidR="00F642D7">
        <w:t>can be confronting matters for patients to deal with</w:t>
      </w:r>
      <w:r>
        <w:t>; and</w:t>
      </w:r>
    </w:p>
    <w:p w:rsidR="00F642D7" w:rsidP="00F642D7" w:rsidRDefault="006B4F24" w14:paraId="2C7D5645" w14:textId="2FF89DCF">
      <w:pPr>
        <w:pStyle w:val="SCVbullet1"/>
      </w:pPr>
      <w:r>
        <w:t>a</w:t>
      </w:r>
      <w:r w:rsidR="60C94413">
        <w:t>void inferring blame, admitting fault or offering opinion</w:t>
      </w:r>
      <w:r w:rsidR="00410F7C">
        <w:t>.</w:t>
      </w:r>
    </w:p>
    <w:p w:rsidR="00F642D7" w:rsidP="00740DA6" w:rsidRDefault="00F642D7" w14:paraId="2E9F8EB5" w14:textId="720C3974">
      <w:pPr>
        <w:pStyle w:val="SCVbody"/>
      </w:pPr>
    </w:p>
    <w:p w:rsidRPr="007A03AB" w:rsidR="00820D52" w:rsidP="00740DA6" w:rsidRDefault="006B4F24" w14:paraId="4D9A3FF7" w14:textId="615F8788">
      <w:pPr>
        <w:pStyle w:val="SCVbody"/>
      </w:pPr>
      <w:r>
        <w:t>The health service entity may also consider providing f</w:t>
      </w:r>
      <w:r w:rsidR="0041365C">
        <w:t xml:space="preserve">urther information </w:t>
      </w:r>
      <w:r w:rsidR="00514CE0">
        <w:t>including</w:t>
      </w:r>
      <w:r w:rsidR="0041365C">
        <w:t>:</w:t>
      </w:r>
    </w:p>
    <w:p w:rsidR="00E14F37" w:rsidP="003E52C0" w:rsidRDefault="00514CE0" w14:paraId="741D3B83" w14:textId="1A66FC9C">
      <w:pPr>
        <w:pStyle w:val="SCVbullet1"/>
      </w:pPr>
      <w:r>
        <w:t>c</w:t>
      </w:r>
      <w:r w:rsidR="00E14F37">
        <w:t>onfirm</w:t>
      </w:r>
      <w:r w:rsidR="0041365C">
        <w:t>ing</w:t>
      </w:r>
      <w:r w:rsidR="00E14F37">
        <w:t xml:space="preserve"> the patient</w:t>
      </w:r>
      <w:r w:rsidR="0066184A">
        <w:t xml:space="preserve"> </w:t>
      </w:r>
      <w:r w:rsidR="00E14F37">
        <w:t xml:space="preserve">knows how to access </w:t>
      </w:r>
      <w:r w:rsidR="00A80094">
        <w:t xml:space="preserve">their </w:t>
      </w:r>
      <w:r w:rsidR="00E14F37">
        <w:t>health records if necessary</w:t>
      </w:r>
      <w:r>
        <w:t>;</w:t>
      </w:r>
      <w:r w:rsidR="00E50469">
        <w:t xml:space="preserve"> </w:t>
      </w:r>
    </w:p>
    <w:p w:rsidR="00841973" w:rsidP="00841973" w:rsidRDefault="00514CE0" w14:paraId="620C8E88" w14:textId="7052FDEE">
      <w:pPr>
        <w:pStyle w:val="SCVbullet1"/>
      </w:pPr>
      <w:r>
        <w:t>c</w:t>
      </w:r>
      <w:r w:rsidR="00841973">
        <w:t>onfirm</w:t>
      </w:r>
      <w:r w:rsidR="15EA0FC2">
        <w:t>ing</w:t>
      </w:r>
      <w:r w:rsidR="00841973">
        <w:t xml:space="preserve"> any specific needs of the </w:t>
      </w:r>
      <w:r w:rsidR="00E50469">
        <w:t>patient,</w:t>
      </w:r>
      <w:r w:rsidR="00841973">
        <w:t xml:space="preserve"> including cultural or linguistic requirements</w:t>
      </w:r>
      <w:r>
        <w:t>;</w:t>
      </w:r>
      <w:r w:rsidR="00E50469">
        <w:t xml:space="preserve"> </w:t>
      </w:r>
    </w:p>
    <w:p w:rsidR="007F6366" w:rsidP="007F6366" w:rsidRDefault="00514CE0" w14:paraId="68153E62" w14:textId="4C75428D">
      <w:pPr>
        <w:pStyle w:val="SCVbullet1"/>
      </w:pPr>
      <w:r>
        <w:t>c</w:t>
      </w:r>
      <w:r w:rsidR="00841973">
        <w:t xml:space="preserve">onfirming how </w:t>
      </w:r>
      <w:r w:rsidR="00E4033C">
        <w:t>the patient</w:t>
      </w:r>
      <w:r w:rsidR="00841973">
        <w:t xml:space="preserve"> would like to be communicated with</w:t>
      </w:r>
      <w:r>
        <w:t>;</w:t>
      </w:r>
      <w:r w:rsidR="00E50469">
        <w:t xml:space="preserve"> </w:t>
      </w:r>
    </w:p>
    <w:p w:rsidR="00F83587" w:rsidP="007F6366" w:rsidRDefault="00514CE0" w14:paraId="167855E3" w14:textId="474BBFA0">
      <w:pPr>
        <w:pStyle w:val="SCVbullet1"/>
      </w:pPr>
      <w:r>
        <w:t>a</w:t>
      </w:r>
      <w:r w:rsidR="09387C14">
        <w:t xml:space="preserve">ttempting to answer any questions </w:t>
      </w:r>
      <w:r w:rsidR="26B8293D">
        <w:t>the patient has</w:t>
      </w:r>
      <w:r w:rsidR="09387C14">
        <w:t xml:space="preserve"> since providing the initial information</w:t>
      </w:r>
      <w:r w:rsidR="6CB819CF">
        <w:t xml:space="preserve">. If the questions </w:t>
      </w:r>
      <w:r>
        <w:t>cannot</w:t>
      </w:r>
      <w:r w:rsidR="6CB819CF">
        <w:t xml:space="preserve"> be answered immediately,</w:t>
      </w:r>
      <w:r w:rsidR="30345E04">
        <w:t xml:space="preserve"> </w:t>
      </w:r>
      <w:r>
        <w:t xml:space="preserve">the health service entity should </w:t>
      </w:r>
      <w:r w:rsidR="30345E04">
        <w:t>record these questions and inform the</w:t>
      </w:r>
      <w:r>
        <w:t xml:space="preserve"> patient</w:t>
      </w:r>
      <w:r w:rsidR="30345E04">
        <w:t xml:space="preserve"> they will be addressed as part of the SDC process</w:t>
      </w:r>
      <w:r w:rsidR="00BD2531">
        <w:t xml:space="preserve">; </w:t>
      </w:r>
    </w:p>
    <w:p w:rsidR="00E4033C" w:rsidP="00E13A54" w:rsidRDefault="00327103" w14:paraId="326D38D2" w14:textId="40034593">
      <w:pPr>
        <w:pStyle w:val="SCVbullet1"/>
      </w:pPr>
      <w:r>
        <w:t>o</w:t>
      </w:r>
      <w:r w:rsidR="00E3400F">
        <w:t>utlining how the patient can r</w:t>
      </w:r>
      <w:r w:rsidR="007F6366">
        <w:t>aise concerns</w:t>
      </w:r>
      <w:r w:rsidR="00E3400F">
        <w:t xml:space="preserve"> outside of the SDC process</w:t>
      </w:r>
      <w:r w:rsidR="007F6366">
        <w:t xml:space="preserve">, including </w:t>
      </w:r>
      <w:r w:rsidR="005F6795">
        <w:t>the health service</w:t>
      </w:r>
      <w:r w:rsidR="00E34851">
        <w:t xml:space="preserve"> entity’</w:t>
      </w:r>
      <w:r w:rsidR="005F6795">
        <w:t xml:space="preserve">s </w:t>
      </w:r>
      <w:r w:rsidR="007F6366">
        <w:t>internal complaint</w:t>
      </w:r>
      <w:r w:rsidR="00257B4F">
        <w:t>s</w:t>
      </w:r>
      <w:r w:rsidR="007F6366">
        <w:t xml:space="preserve"> process, </w:t>
      </w:r>
      <w:r w:rsidR="00C242BC">
        <w:t xml:space="preserve">or </w:t>
      </w:r>
      <w:r w:rsidR="007F6366">
        <w:t xml:space="preserve">the </w:t>
      </w:r>
      <w:r w:rsidR="00FE7BF3">
        <w:t>Health Complaints Commissioner (</w:t>
      </w:r>
      <w:r w:rsidR="00A2540A">
        <w:t>HCC</w:t>
      </w:r>
      <w:r w:rsidR="00FE7BF3">
        <w:t>)</w:t>
      </w:r>
      <w:r w:rsidR="007F6366">
        <w:t xml:space="preserve"> or</w:t>
      </w:r>
      <w:r w:rsidR="00FE7BF3">
        <w:t xml:space="preserve"> Mental Health Complaints Commissioner</w:t>
      </w:r>
      <w:r w:rsidR="007F6366">
        <w:t xml:space="preserve"> </w:t>
      </w:r>
      <w:r w:rsidR="00FE7BF3">
        <w:t>(</w:t>
      </w:r>
      <w:r w:rsidR="00A2540A">
        <w:t>MHCC</w:t>
      </w:r>
      <w:r w:rsidR="00FE7BF3">
        <w:t>)</w:t>
      </w:r>
      <w:r w:rsidR="00A76FBF">
        <w:t>; and</w:t>
      </w:r>
    </w:p>
    <w:p w:rsidR="001D0F1E" w:rsidP="00E13A54" w:rsidRDefault="3E404218" w14:paraId="038D0A6A" w14:textId="4CDAB87C">
      <w:pPr>
        <w:pStyle w:val="SCVbullet1"/>
      </w:pPr>
      <w:r>
        <w:t>informing</w:t>
      </w:r>
      <w:r w:rsidR="4FDE7FFC">
        <w:t xml:space="preserve"> the patient they can </w:t>
      </w:r>
      <w:r w:rsidR="7737CF7C">
        <w:t>still seek legal redress outside of this process.</w:t>
      </w:r>
    </w:p>
    <w:p w:rsidR="00E4033C" w:rsidP="00841973" w:rsidRDefault="00841973" w14:paraId="110ED146" w14:textId="0724FBBB">
      <w:pPr>
        <w:pStyle w:val="SCVbody"/>
      </w:pPr>
      <w:r>
        <w:t xml:space="preserve">Where the harm has resulted in </w:t>
      </w:r>
      <w:r w:rsidR="000E38B4">
        <w:t xml:space="preserve">the patient’s </w:t>
      </w:r>
      <w:r>
        <w:t>death</w:t>
      </w:r>
      <w:r w:rsidR="000E38B4">
        <w:t xml:space="preserve">, the health service entity </w:t>
      </w:r>
      <w:r w:rsidR="00D80B10">
        <w:t>should consider</w:t>
      </w:r>
      <w:r w:rsidR="00E4033C">
        <w:t>:</w:t>
      </w:r>
    </w:p>
    <w:p w:rsidR="00E4033C" w:rsidP="00496D28" w:rsidRDefault="5D9269CD" w14:paraId="7ABA36B4" w14:textId="783124D0">
      <w:pPr>
        <w:pStyle w:val="SCVbullet1"/>
      </w:pPr>
      <w:r>
        <w:t>a</w:t>
      </w:r>
      <w:r w:rsidR="356A0D4F">
        <w:t>dvis</w:t>
      </w:r>
      <w:r w:rsidR="6A7EE902">
        <w:t>ing</w:t>
      </w:r>
      <w:r w:rsidR="1B146738">
        <w:t xml:space="preserve"> the </w:t>
      </w:r>
      <w:r w:rsidR="57FE4ED1">
        <w:t>NOK</w:t>
      </w:r>
      <w:r w:rsidR="1B146738">
        <w:t xml:space="preserve"> </w:t>
      </w:r>
      <w:r w:rsidR="356A0D4F">
        <w:t xml:space="preserve">that there </w:t>
      </w:r>
      <w:r w:rsidR="069AFC67">
        <w:t xml:space="preserve">may be </w:t>
      </w:r>
      <w:r w:rsidR="356A0D4F">
        <w:t xml:space="preserve">additional </w:t>
      </w:r>
      <w:r w:rsidR="3858FF90">
        <w:t xml:space="preserve">processes </w:t>
      </w:r>
      <w:r w:rsidR="1B146738">
        <w:t>involving</w:t>
      </w:r>
      <w:r w:rsidR="3858FF90">
        <w:t xml:space="preserve"> third parties, such as the Coroner</w:t>
      </w:r>
      <w:r w:rsidR="069AFC67">
        <w:t xml:space="preserve">, and </w:t>
      </w:r>
      <w:r w:rsidR="1CC364FB">
        <w:t xml:space="preserve">that </w:t>
      </w:r>
      <w:r w:rsidR="41C6EC5E">
        <w:t>coronial</w:t>
      </w:r>
      <w:r w:rsidR="615671C2">
        <w:t xml:space="preserve"> investigations or</w:t>
      </w:r>
      <w:r w:rsidR="41C6EC5E">
        <w:t xml:space="preserve"> inquest</w:t>
      </w:r>
      <w:r w:rsidR="1CC364FB">
        <w:t>s may incur lengthy timelines</w:t>
      </w:r>
      <w:r>
        <w:t>; and</w:t>
      </w:r>
      <w:r w:rsidR="41C6EC5E">
        <w:t xml:space="preserve"> </w:t>
      </w:r>
    </w:p>
    <w:p w:rsidR="00F215CF" w:rsidP="00F215CF" w:rsidRDefault="5D9269CD" w14:paraId="2A05C22A" w14:textId="19AB49A1">
      <w:pPr>
        <w:pStyle w:val="SCVbullet1"/>
      </w:pPr>
      <w:r>
        <w:lastRenderedPageBreak/>
        <w:t>p</w:t>
      </w:r>
      <w:r w:rsidR="3858FF90">
        <w:t>rovid</w:t>
      </w:r>
      <w:r w:rsidR="0D531DB1">
        <w:t>ing</w:t>
      </w:r>
      <w:r w:rsidR="3858FF90">
        <w:t xml:space="preserve"> psychological support for the </w:t>
      </w:r>
      <w:r w:rsidR="5F2E2BE5">
        <w:t>NOK</w:t>
      </w:r>
      <w:r w:rsidR="3858FF90">
        <w:t xml:space="preserve"> and any staff affected by the death. </w:t>
      </w:r>
    </w:p>
    <w:p w:rsidR="00F215CF" w:rsidP="00F215CF" w:rsidRDefault="00F215CF" w14:paraId="437F080F" w14:textId="77777777">
      <w:pPr>
        <w:pStyle w:val="SCVbullet1"/>
        <w:numPr>
          <w:ilvl w:val="0"/>
          <w:numId w:val="0"/>
        </w:numPr>
      </w:pPr>
    </w:p>
    <w:p w:rsidR="00841973" w:rsidP="00E13A54" w:rsidRDefault="003526C8" w14:paraId="1A31FE66" w14:textId="53EDC4AD">
      <w:pPr>
        <w:pStyle w:val="Heading3"/>
      </w:pPr>
      <w:r>
        <w:t>4.1.3</w:t>
      </w:r>
      <w:r>
        <w:tab/>
      </w:r>
      <w:r w:rsidR="00841973">
        <w:t>O</w:t>
      </w:r>
      <w:r w:rsidR="007F6366">
        <w:t>rganise the SDC meeting</w:t>
      </w:r>
    </w:p>
    <w:tbl>
      <w:tblPr>
        <w:tblStyle w:val="SCVpulloutbox"/>
        <w:tblW w:w="0" w:type="auto"/>
        <w:tblLook w:val="04A0" w:firstRow="1" w:lastRow="0" w:firstColumn="1" w:lastColumn="0" w:noHBand="0" w:noVBand="1"/>
      </w:tblPr>
      <w:tblGrid>
        <w:gridCol w:w="10204"/>
      </w:tblGrid>
      <w:tr w:rsidR="00C5101D" w:rsidTr="00C5101D" w14:paraId="3828C2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00C5101D" w:rsidP="00C5101D" w:rsidRDefault="00C5101D" w14:paraId="2807392A" w14:textId="058619B8">
            <w:pPr>
              <w:pStyle w:val="SCVpullouttext"/>
            </w:pPr>
            <w:r w:rsidRPr="00841973">
              <w:t xml:space="preserve">Requirement 2: </w:t>
            </w:r>
            <w:r w:rsidRPr="00C233CD" w:rsidR="00C233CD">
              <w:rPr>
                <w:b w:val="0"/>
                <w:bCs w:val="0"/>
              </w:rPr>
              <w:t xml:space="preserve">The health service entity must take steps to organise an SDC meeting </w:t>
            </w:r>
            <w:r w:rsidRPr="003B5750" w:rsidR="00C233CD">
              <w:rPr>
                <w:b w:val="0"/>
                <w:bCs w:val="0"/>
              </w:rPr>
              <w:t>within</w:t>
            </w:r>
            <w:r w:rsidRPr="00C233CD" w:rsidR="00C233CD">
              <w:t xml:space="preserve"> 3 business days </w:t>
            </w:r>
            <w:r w:rsidRPr="00C233CD" w:rsidR="00C233CD">
              <w:rPr>
                <w:b w:val="0"/>
                <w:bCs w:val="0"/>
              </w:rPr>
              <w:t>of the SAPSE being identified by the health service entity.</w:t>
            </w:r>
          </w:p>
        </w:tc>
      </w:tr>
    </w:tbl>
    <w:p w:rsidR="007F6366" w:rsidP="00CF74CE" w:rsidRDefault="007F6366" w14:paraId="7A9C8C9A" w14:textId="3E9D5FCD">
      <w:pPr>
        <w:pStyle w:val="SCVbullet1"/>
        <w:numPr>
          <w:ilvl w:val="0"/>
          <w:numId w:val="0"/>
        </w:numPr>
        <w:ind w:left="284" w:hanging="284"/>
      </w:pPr>
      <w:r>
        <w:t xml:space="preserve">At a minimum, </w:t>
      </w:r>
      <w:r w:rsidR="00CF74CE">
        <w:t xml:space="preserve">the health service entity </w:t>
      </w:r>
      <w:r w:rsidRPr="00BA1262" w:rsidR="00CF74CE">
        <w:t>must</w:t>
      </w:r>
      <w:r w:rsidR="00CF74CE">
        <w:t xml:space="preserve"> </w:t>
      </w:r>
      <w:r>
        <w:t xml:space="preserve">confirm with the patient: </w:t>
      </w:r>
    </w:p>
    <w:p w:rsidRPr="00CF74CE" w:rsidR="007F6366" w:rsidP="00CF74CE" w:rsidRDefault="2B2830B4" w14:paraId="62CAEB93" w14:textId="74902FBC">
      <w:pPr>
        <w:pStyle w:val="SCVbullet1"/>
      </w:pPr>
      <w:r>
        <w:t>when and where the SDC meeting will be held</w:t>
      </w:r>
      <w:r w:rsidR="6D3F3F0C">
        <w:t xml:space="preserve">; </w:t>
      </w:r>
    </w:p>
    <w:p w:rsidRPr="00CF74CE" w:rsidR="007F6366" w:rsidP="00CF74CE" w:rsidRDefault="5AAF2D2A" w14:paraId="1DBC5B85" w14:textId="44990AA6">
      <w:pPr>
        <w:pStyle w:val="SCVbullet1"/>
      </w:pPr>
      <w:r>
        <w:t xml:space="preserve">who will be at the meeting, including </w:t>
      </w:r>
      <w:r w:rsidR="0CC94321">
        <w:t xml:space="preserve">staff and </w:t>
      </w:r>
      <w:r>
        <w:t>representatives the patient would like to invite</w:t>
      </w:r>
      <w:r w:rsidR="6D3F3F0C">
        <w:t xml:space="preserve">; </w:t>
      </w:r>
    </w:p>
    <w:p w:rsidRPr="00CF74CE" w:rsidR="007F6366" w:rsidP="00CF74CE" w:rsidRDefault="1804BAA9" w14:paraId="5E0FAD1F" w14:textId="005E4349">
      <w:pPr>
        <w:pStyle w:val="SCVbullet1"/>
      </w:pPr>
      <w:r>
        <w:t>details of the meeting</w:t>
      </w:r>
      <w:r w:rsidR="2B2830B4">
        <w:t xml:space="preserve">, including </w:t>
      </w:r>
      <w:r w:rsidR="6004E991">
        <w:t xml:space="preserve">informing them </w:t>
      </w:r>
      <w:r w:rsidR="56392BDC">
        <w:t xml:space="preserve">that </w:t>
      </w:r>
      <w:r w:rsidR="2B2830B4">
        <w:t>the</w:t>
      </w:r>
      <w:r w:rsidR="6004E991">
        <w:t>y will have the</w:t>
      </w:r>
      <w:r w:rsidR="2B2830B4">
        <w:t xml:space="preserve"> opportunity to</w:t>
      </w:r>
      <w:r w:rsidR="42673D65">
        <w:t xml:space="preserve"> relate </w:t>
      </w:r>
      <w:r w:rsidR="2B2830B4">
        <w:t>their experience</w:t>
      </w:r>
      <w:r w:rsidR="58CC8C48">
        <w:t xml:space="preserve"> and </w:t>
      </w:r>
      <w:r w:rsidR="6823E5A2">
        <w:t xml:space="preserve">ask any questions </w:t>
      </w:r>
      <w:r w:rsidR="44B8B518">
        <w:t xml:space="preserve">they may have. </w:t>
      </w:r>
      <w:r w:rsidR="6D3F3F0C">
        <w:t>The health service entity may recommend that the patient write these down in preparation for the SDC meeting; and</w:t>
      </w:r>
    </w:p>
    <w:p w:rsidR="008C6D15" w:rsidP="00D17331" w:rsidRDefault="4D706A9E" w14:paraId="1968639A" w14:textId="0A0681F5">
      <w:pPr>
        <w:pStyle w:val="SCVbullet1"/>
      </w:pPr>
      <w:r>
        <w:t>details of key contacts, such as a family liaison person, if the patient has any questions before the meeting</w:t>
      </w:r>
      <w:r w:rsidR="6D3F3F0C">
        <w:t>.</w:t>
      </w:r>
    </w:p>
    <w:p w:rsidR="00AE4ABD" w:rsidP="005941E2" w:rsidRDefault="18104B7B" w14:paraId="26D022D9" w14:textId="53AF9953">
      <w:pPr>
        <w:pStyle w:val="SCVbodyafterheading"/>
      </w:pPr>
      <w:r w:rsidRPr="53AE3B6D">
        <w:rPr>
          <w:b/>
          <w:bCs/>
        </w:rPr>
        <w:t>Note</w:t>
      </w:r>
      <w:r>
        <w:t>: See section 3.4 ‘Circumstances requiring a delay’ for guidance.</w:t>
      </w:r>
    </w:p>
    <w:p w:rsidR="00AE4ABD" w:rsidP="008A29D6" w:rsidRDefault="00AE4ABD" w14:paraId="749C6130" w14:textId="0DC52A4C">
      <w:pPr>
        <w:pStyle w:val="SCVbullet1"/>
        <w:numPr>
          <w:ilvl w:val="0"/>
          <w:numId w:val="0"/>
        </w:numPr>
      </w:pPr>
    </w:p>
    <w:p w:rsidR="00CF74CE" w:rsidP="00CF74CE" w:rsidRDefault="001D1B3A" w14:paraId="4C94EF8E" w14:textId="0C1441D9">
      <w:pPr>
        <w:pStyle w:val="SCVbullet1"/>
        <w:numPr>
          <w:ilvl w:val="0"/>
          <w:numId w:val="0"/>
        </w:numPr>
        <w:ind w:left="284" w:hanging="284"/>
      </w:pPr>
      <w:r>
        <w:t>In preparing for the meeting, t</w:t>
      </w:r>
      <w:r w:rsidR="00CF74CE">
        <w:t xml:space="preserve">he health </w:t>
      </w:r>
      <w:r w:rsidR="00A64369">
        <w:t>service</w:t>
      </w:r>
      <w:r w:rsidR="00C30315">
        <w:t xml:space="preserve"> entity</w:t>
      </w:r>
      <w:r w:rsidR="00A64369">
        <w:t xml:space="preserve"> </w:t>
      </w:r>
      <w:r w:rsidR="00BA1262">
        <w:t xml:space="preserve">may </w:t>
      </w:r>
      <w:r w:rsidR="00A64369">
        <w:t>consider the following:</w:t>
      </w:r>
    </w:p>
    <w:p w:rsidR="007F6366" w:rsidP="00E13A54" w:rsidRDefault="6D3F3F0C" w14:paraId="5B32E450" w14:textId="4C75428D">
      <w:pPr>
        <w:pStyle w:val="SCVbullet1"/>
      </w:pPr>
      <w:r>
        <w:t>d</w:t>
      </w:r>
      <w:r w:rsidR="2B2830B4">
        <w:t>esign</w:t>
      </w:r>
      <w:r w:rsidR="773DBF2A">
        <w:t>ing</w:t>
      </w:r>
      <w:r w:rsidR="2B2830B4">
        <w:t xml:space="preserve"> the meeting </w:t>
      </w:r>
      <w:r w:rsidR="3858FF90">
        <w:t>with the attendee’s needs in mind, such as having the meeting over video conferenc</w:t>
      </w:r>
      <w:r>
        <w:t xml:space="preserve">e; </w:t>
      </w:r>
    </w:p>
    <w:p w:rsidR="007F6366" w:rsidP="007F6366" w:rsidRDefault="2B2830B4" w14:paraId="5C5BD38F" w14:textId="4C75428D">
      <w:pPr>
        <w:pStyle w:val="SCVbullet1"/>
      </w:pPr>
      <w:r>
        <w:t>the opportunity for further planning and discussions before the SDC meeting</w:t>
      </w:r>
      <w:r w:rsidR="0BF0F613">
        <w:t>;</w:t>
      </w:r>
    </w:p>
    <w:p w:rsidR="00841973" w:rsidRDefault="0BF0F613" w14:paraId="7A7D74D3" w14:textId="2BD02345">
      <w:pPr>
        <w:pStyle w:val="SCVbullet1"/>
      </w:pPr>
      <w:r>
        <w:t>offering</w:t>
      </w:r>
      <w:r w:rsidR="2B2830B4">
        <w:t xml:space="preserve"> t</w:t>
      </w:r>
      <w:r w:rsidR="3858FF90">
        <w:t xml:space="preserve">he patient practical and emotional support at each stage of the process, such as </w:t>
      </w:r>
      <w:r>
        <w:t>paying for</w:t>
      </w:r>
      <w:r w:rsidR="3858FF90">
        <w:t xml:space="preserve"> travel or parking costs to attend the SDC </w:t>
      </w:r>
      <w:r w:rsidR="2C91A7AB">
        <w:t>meeting</w:t>
      </w:r>
      <w:r w:rsidR="1052E42B">
        <w:t>;</w:t>
      </w:r>
    </w:p>
    <w:p w:rsidR="006F4764" w:rsidP="001D1B3A" w:rsidRDefault="1052E42B" w14:paraId="46DF51DA" w14:textId="1B1312B6">
      <w:pPr>
        <w:pStyle w:val="SCVbullet1"/>
      </w:pPr>
      <w:r>
        <w:t>h</w:t>
      </w:r>
      <w:r w:rsidR="0A12315E">
        <w:t>a</w:t>
      </w:r>
      <w:r w:rsidR="7E5F82DD">
        <w:t>v</w:t>
      </w:r>
      <w:r>
        <w:t>ing</w:t>
      </w:r>
      <w:r w:rsidR="3858FF90">
        <w:t xml:space="preserve"> a</w:t>
      </w:r>
      <w:r w:rsidR="68FE1063">
        <w:t>n internal</w:t>
      </w:r>
      <w:r w:rsidR="3858FF90">
        <w:t xml:space="preserve"> planning discussion before the SDC meeting</w:t>
      </w:r>
      <w:r w:rsidR="033FBD92">
        <w:t xml:space="preserve">, including who will </w:t>
      </w:r>
      <w:r w:rsidR="31894056">
        <w:t>lead</w:t>
      </w:r>
      <w:r w:rsidR="63F9F550">
        <w:t xml:space="preserve"> the meeting</w:t>
      </w:r>
      <w:r>
        <w:t>;</w:t>
      </w:r>
    </w:p>
    <w:p w:rsidR="006F4764" w:rsidP="00E13A54" w:rsidRDefault="1052E42B" w14:paraId="0FBCF494" w14:textId="7A629545">
      <w:pPr>
        <w:pStyle w:val="SCVbullet1"/>
      </w:pPr>
      <w:r>
        <w:t>ensuring</w:t>
      </w:r>
      <w:r w:rsidR="1A906C56">
        <w:t xml:space="preserve"> all relevant facts have been collected and understood</w:t>
      </w:r>
      <w:r>
        <w:t>, including seeking</w:t>
      </w:r>
      <w:r w:rsidR="1A906C56">
        <w:t xml:space="preserve"> </w:t>
      </w:r>
      <w:r w:rsidR="3858FF90">
        <w:t>advice from relevant staff</w:t>
      </w:r>
      <w:r>
        <w:t>;</w:t>
      </w:r>
    </w:p>
    <w:p w:rsidR="004D4667" w:rsidP="004D4667" w:rsidRDefault="1052E42B" w14:paraId="50E5DD98" w14:textId="2CFD4145">
      <w:pPr>
        <w:pStyle w:val="SCVbullet1"/>
      </w:pPr>
      <w:r>
        <w:t>seeking</w:t>
      </w:r>
      <w:r w:rsidR="3858FF90">
        <w:t xml:space="preserve"> advice from</w:t>
      </w:r>
      <w:r w:rsidR="647C8A1A">
        <w:t xml:space="preserve"> </w:t>
      </w:r>
      <w:r w:rsidR="379741DE">
        <w:t>an</w:t>
      </w:r>
      <w:r w:rsidR="79E7C8AC">
        <w:t xml:space="preserve"> </w:t>
      </w:r>
      <w:r w:rsidR="57EA25BF">
        <w:t>AHLO</w:t>
      </w:r>
      <w:r w:rsidR="3858FF90">
        <w:t xml:space="preserve"> for any </w:t>
      </w:r>
      <w:r w:rsidR="647C8A1A">
        <w:t xml:space="preserve">events </w:t>
      </w:r>
      <w:r w:rsidR="3858FF90">
        <w:t>involving Aboriginal</w:t>
      </w:r>
      <w:r w:rsidR="078D514E">
        <w:t xml:space="preserve"> and Torres Strait island</w:t>
      </w:r>
      <w:r w:rsidR="3858FF90">
        <w:t xml:space="preserve"> patients</w:t>
      </w:r>
      <w:r>
        <w:t>; and</w:t>
      </w:r>
    </w:p>
    <w:p w:rsidR="0043055C" w:rsidP="004D4667" w:rsidRDefault="1052E42B" w14:paraId="0BB47F68" w14:textId="7A629545">
      <w:pPr>
        <w:pStyle w:val="SCVbullet1"/>
      </w:pPr>
      <w:r>
        <w:t>p</w:t>
      </w:r>
      <w:r w:rsidR="640B19A2">
        <w:t xml:space="preserve">atient preference </w:t>
      </w:r>
      <w:r w:rsidR="4A93D01D">
        <w:t>in regard to relevant</w:t>
      </w:r>
      <w:r w:rsidR="640B19A2">
        <w:t xml:space="preserve"> staff </w:t>
      </w:r>
      <w:r w:rsidR="12F433F2">
        <w:t>at the meeting</w:t>
      </w:r>
      <w:r w:rsidR="640B19A2">
        <w:t>,</w:t>
      </w:r>
      <w:r w:rsidR="12F433F2">
        <w:t xml:space="preserve"> if the patient </w:t>
      </w:r>
      <w:r w:rsidR="640B19A2">
        <w:t>requests certain staff do not attend</w:t>
      </w:r>
      <w:r w:rsidR="6D6AF03A">
        <w:t>.</w:t>
      </w:r>
      <w:r w:rsidR="7DC1B3CD">
        <w:t xml:space="preserve"> </w:t>
      </w:r>
    </w:p>
    <w:p w:rsidRPr="00391EFA" w:rsidR="002918CE" w:rsidP="002918CE" w:rsidRDefault="002918CE" w14:paraId="275DE31C" w14:textId="77777777">
      <w:pPr>
        <w:pStyle w:val="SCVbodyafterheading"/>
      </w:pPr>
    </w:p>
    <w:p w:rsidR="001539A3" w:rsidP="001539A3" w:rsidRDefault="00E748EF" w14:paraId="0B8C1D85" w14:textId="5C22D10F">
      <w:pPr>
        <w:pStyle w:val="Heading2"/>
      </w:pPr>
      <w:bookmarkStart w:name="_Toc117524300" w:id="17"/>
      <w:r>
        <w:t>4</w:t>
      </w:r>
      <w:r w:rsidR="00C00FA4">
        <w:t>.2</w:t>
      </w:r>
      <w:r w:rsidR="00C00FA4">
        <w:tab/>
      </w:r>
      <w:r w:rsidR="00841973">
        <w:t>Stage 2</w:t>
      </w:r>
      <w:r w:rsidR="00BE670D">
        <w:t xml:space="preserve">: </w:t>
      </w:r>
      <w:r w:rsidRPr="00BE670D" w:rsidR="00BE670D">
        <w:t xml:space="preserve">Hold </w:t>
      </w:r>
      <w:r w:rsidR="0098391B">
        <w:t xml:space="preserve">the </w:t>
      </w:r>
      <w:r w:rsidRPr="00BE670D" w:rsidR="00BE670D">
        <w:t>SDC meeting</w:t>
      </w:r>
      <w:bookmarkEnd w:id="17"/>
    </w:p>
    <w:p w:rsidR="00852A69" w:rsidP="00FB57A1" w:rsidRDefault="002933BA" w14:paraId="2918A841" w14:textId="063DDBB8">
      <w:pPr>
        <w:pStyle w:val="SCVbodyafterheading"/>
      </w:pPr>
      <w:r>
        <w:t>Prior to the SDC meeting, a health service entity must</w:t>
      </w:r>
      <w:r w:rsidR="00FB57A1">
        <w:t xml:space="preserve"> e</w:t>
      </w:r>
      <w:r>
        <w:t>nsure the patient understands the agenda of the meeting and highlights any questions they may want answered</w:t>
      </w:r>
      <w:r w:rsidR="00FB57A1">
        <w:t>.</w:t>
      </w:r>
    </w:p>
    <w:p w:rsidR="00D75D34" w:rsidP="007162B3" w:rsidRDefault="00A81653" w14:paraId="5CCA2843" w14:textId="4FDD1F0F">
      <w:pPr>
        <w:pStyle w:val="SCVbody"/>
      </w:pPr>
      <w:r>
        <w:t>A health service entity may a</w:t>
      </w:r>
      <w:r w:rsidR="007162B3">
        <w:t>nticipate emotional reactions from the affected parties or staff involved. Although research has shown that patients may feel anxiety, depression or trauma in response to an incident, these issues can be lessened when a clinician explains the incident compassionately and honestly to them</w:t>
      </w:r>
      <w:r w:rsidR="00396E9C">
        <w:t>.</w:t>
      </w:r>
      <w:r w:rsidR="00E00337">
        <w:rPr>
          <w:rStyle w:val="FootnoteReference"/>
        </w:rPr>
        <w:footnoteReference w:id="22"/>
      </w:r>
      <w:r w:rsidR="007162B3">
        <w:t xml:space="preserve"> </w:t>
      </w:r>
    </w:p>
    <w:p w:rsidRPr="007B4B4A" w:rsidR="00852A69" w:rsidP="007B4B4A" w:rsidRDefault="008A2AEE" w14:paraId="2D82BC92" w14:textId="27677FDC">
      <w:pPr>
        <w:pStyle w:val="Heading3"/>
      </w:pPr>
      <w:r>
        <w:lastRenderedPageBreak/>
        <w:t>4.2.1</w:t>
      </w:r>
      <w:r>
        <w:tab/>
      </w:r>
      <w:r w:rsidR="00852A69">
        <w:t>Hold the SDC meeting</w:t>
      </w:r>
    </w:p>
    <w:tbl>
      <w:tblPr>
        <w:tblStyle w:val="SCVpulloutbox"/>
        <w:tblW w:w="0" w:type="auto"/>
        <w:tblLook w:val="04A0" w:firstRow="1" w:lastRow="0" w:firstColumn="1" w:lastColumn="0" w:noHBand="0" w:noVBand="1"/>
      </w:tblPr>
      <w:tblGrid>
        <w:gridCol w:w="10204"/>
      </w:tblGrid>
      <w:tr w:rsidR="00C5101D" w:rsidTr="00C5101D" w14:paraId="08B7477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00C5101D" w:rsidP="002F10D7" w:rsidRDefault="00C5101D" w14:paraId="0E87BF01" w14:textId="034D4895">
            <w:pPr>
              <w:pStyle w:val="SCVpullouttext"/>
            </w:pPr>
            <w:r w:rsidRPr="00D41E7F">
              <w:t xml:space="preserve">Requirement 3: </w:t>
            </w:r>
            <w:r w:rsidRPr="00C233CD" w:rsidR="00C233CD">
              <w:rPr>
                <w:b w:val="0"/>
                <w:bCs w:val="0"/>
              </w:rPr>
              <w:t xml:space="preserve">The SDC meeting must be held </w:t>
            </w:r>
            <w:r w:rsidRPr="003B5750" w:rsidR="00C233CD">
              <w:rPr>
                <w:b w:val="0"/>
                <w:bCs w:val="0"/>
              </w:rPr>
              <w:t>within</w:t>
            </w:r>
            <w:r w:rsidRPr="00C233CD" w:rsidR="00C233CD">
              <w:t xml:space="preserve"> 10 business days</w:t>
            </w:r>
            <w:r w:rsidRPr="00C233CD" w:rsidR="00C233CD">
              <w:rPr>
                <w:b w:val="0"/>
                <w:bCs w:val="0"/>
              </w:rPr>
              <w:t xml:space="preserve"> of the SAPSE being identified by the health service entity.</w:t>
            </w:r>
          </w:p>
        </w:tc>
      </w:tr>
    </w:tbl>
    <w:p w:rsidR="00FB57A1" w:rsidP="002A6306" w:rsidRDefault="002A6306" w14:paraId="5976F5E0" w14:textId="1F8C08D2">
      <w:pPr>
        <w:pStyle w:val="SCVbullet2"/>
        <w:numPr>
          <w:ilvl w:val="0"/>
          <w:numId w:val="0"/>
        </w:numPr>
      </w:pPr>
      <w:r>
        <w:t>At a minimum there</w:t>
      </w:r>
      <w:r w:rsidR="00ED1AD8">
        <w:t xml:space="preserve"> must be</w:t>
      </w:r>
      <w:r w:rsidR="00FB57A1">
        <w:t>:</w:t>
      </w:r>
    </w:p>
    <w:p w:rsidR="00FB57A1" w:rsidP="00FB57A1" w:rsidRDefault="1052E42B" w14:paraId="6061FDF8" w14:textId="4696E691">
      <w:pPr>
        <w:pStyle w:val="SCVbullet1"/>
      </w:pPr>
      <w:r>
        <w:t>one</w:t>
      </w:r>
      <w:r w:rsidR="0DA35BDA">
        <w:t xml:space="preserve"> member from the health service </w:t>
      </w:r>
      <w:r w:rsidR="56A4EC3C">
        <w:t xml:space="preserve">entity </w:t>
      </w:r>
      <w:r w:rsidR="0DA35BDA">
        <w:t xml:space="preserve">who is experienced and suitably qualified </w:t>
      </w:r>
      <w:r w:rsidR="6AB33960">
        <w:t>in open disclosure or the SDC process</w:t>
      </w:r>
      <w:r>
        <w:t>; and</w:t>
      </w:r>
    </w:p>
    <w:p w:rsidR="00FB57A1" w:rsidP="00FB57A1" w:rsidRDefault="0DA35BDA" w14:paraId="2E1FC9A6" w14:textId="7A629545">
      <w:pPr>
        <w:pStyle w:val="SCVbullet1"/>
      </w:pPr>
      <w:r>
        <w:t xml:space="preserve">a senior member of the clinical team that was involved (e.g. </w:t>
      </w:r>
      <w:r w:rsidR="20C03F6D">
        <w:t>d</w:t>
      </w:r>
      <w:r>
        <w:t>octor or nurse)</w:t>
      </w:r>
      <w:r w:rsidR="33475E51">
        <w:t>.</w:t>
      </w:r>
      <w:r>
        <w:t xml:space="preserve"> </w:t>
      </w:r>
    </w:p>
    <w:p w:rsidRPr="0077410B" w:rsidR="0077410B" w:rsidP="0077410B" w:rsidRDefault="0077410B" w14:paraId="19CF69CA" w14:textId="60900543">
      <w:pPr>
        <w:pStyle w:val="SCVbullet1"/>
        <w:numPr>
          <w:ilvl w:val="0"/>
          <w:numId w:val="0"/>
        </w:numPr>
      </w:pPr>
      <w:r w:rsidRPr="0077410B">
        <w:t>There may also be:</w:t>
      </w:r>
    </w:p>
    <w:p w:rsidR="0077410B" w:rsidP="0077410B" w:rsidRDefault="6DB0984F" w14:paraId="575A840D" w14:textId="3F8A4868">
      <w:pPr>
        <w:pStyle w:val="SCVbullet1"/>
      </w:pPr>
      <w:r>
        <w:t>a member of the quality team</w:t>
      </w:r>
      <w:r w:rsidR="20C03F6D">
        <w:t>; and</w:t>
      </w:r>
    </w:p>
    <w:p w:rsidR="00DE114B" w:rsidP="0077410B" w:rsidRDefault="6FD9966A" w14:paraId="35D8A1DF" w14:textId="145C700E">
      <w:pPr>
        <w:pStyle w:val="SCVbullet1"/>
      </w:pPr>
      <w:r>
        <w:t>a trainee or junior staff membe</w:t>
      </w:r>
      <w:r w:rsidR="6807163B">
        <w:t>r from a development and organisational culture point of view</w:t>
      </w:r>
      <w:r w:rsidR="34D09217">
        <w:t>.</w:t>
      </w:r>
    </w:p>
    <w:p w:rsidR="008D6324" w:rsidP="00CB334E" w:rsidRDefault="00D75D34" w14:paraId="37769B7C" w14:textId="2E11FD13">
      <w:pPr>
        <w:pStyle w:val="SCVbody"/>
        <w:spacing w:after="120"/>
      </w:pPr>
      <w:r>
        <w:t xml:space="preserve">The SDC meeting is an opportunity for </w:t>
      </w:r>
      <w:r w:rsidR="00A81653">
        <w:t>the health service entity</w:t>
      </w:r>
      <w:r>
        <w:t xml:space="preserve"> to provide all required information, and for the patient to ask questions and relate their experience about the event.</w:t>
      </w:r>
      <w:r w:rsidR="008D6324">
        <w:t xml:space="preserve"> </w:t>
      </w:r>
    </w:p>
    <w:p w:rsidR="00D75D34" w:rsidP="009C03A4" w:rsidRDefault="5B6C3DAF" w14:paraId="66263554" w14:textId="7E53F865">
      <w:pPr>
        <w:pStyle w:val="SCVbodyafterheading"/>
      </w:pPr>
      <w:r w:rsidRPr="12950A02">
        <w:rPr>
          <w:b/>
        </w:rPr>
        <w:t>Note</w:t>
      </w:r>
      <w:r>
        <w:t xml:space="preserve">: </w:t>
      </w:r>
      <w:r w:rsidR="00A81653">
        <w:t>See section 3.4 ‘Circumstances requiring a delay’ for guidance.</w:t>
      </w:r>
    </w:p>
    <w:p w:rsidR="19ABF44D" w:rsidP="19ABF44D" w:rsidRDefault="19ABF44D" w14:paraId="4F1B5777" w14:textId="042FFD24">
      <w:pPr>
        <w:pStyle w:val="SCVbodyafterheading"/>
      </w:pPr>
    </w:p>
    <w:tbl>
      <w:tblPr>
        <w:tblStyle w:val="SCVpulloutbox"/>
        <w:tblW w:w="0" w:type="auto"/>
        <w:tblLook w:val="04A0" w:firstRow="1" w:lastRow="0" w:firstColumn="1" w:lastColumn="0" w:noHBand="0" w:noVBand="1"/>
      </w:tblPr>
      <w:tblGrid>
        <w:gridCol w:w="10204"/>
      </w:tblGrid>
      <w:tr w:rsidR="002F10D7" w:rsidTr="4D3E8C3A" w14:paraId="37A34D0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Pr="00167D4F" w:rsidR="00167D4F" w:rsidP="00167D4F" w:rsidRDefault="002F10D7" w14:paraId="335961ED" w14:textId="77777777">
            <w:pPr>
              <w:pStyle w:val="SCVpullouttext"/>
              <w:rPr>
                <w:b w:val="0"/>
                <w:bCs w:val="0"/>
              </w:rPr>
            </w:pPr>
            <w:r>
              <w:t xml:space="preserve">Requirement 4: </w:t>
            </w:r>
            <w:r w:rsidRPr="00167D4F" w:rsidR="00167D4F">
              <w:rPr>
                <w:b w:val="0"/>
                <w:bCs w:val="0"/>
              </w:rPr>
              <w:t>The health service entity must ensure that it provides the following in the SDC meeting:</w:t>
            </w:r>
          </w:p>
          <w:p w:rsidRPr="00AC17FB" w:rsidR="00167D4F" w:rsidP="002D76D0" w:rsidRDefault="00167D4F" w14:paraId="070E9027" w14:textId="0DFD333E">
            <w:pPr>
              <w:pStyle w:val="SCVpulloutbullet"/>
              <w:spacing w:before="60" w:after="60"/>
              <w:rPr>
                <w:b w:val="0"/>
              </w:rPr>
            </w:pPr>
            <w:r w:rsidRPr="00AC17FB">
              <w:rPr>
                <w:b w:val="0"/>
              </w:rPr>
              <w:t>an honest, factual explanation of what occurred in a language that is understandable to the patient</w:t>
            </w:r>
            <w:r w:rsidRPr="00AC17FB" w:rsidR="00582B46">
              <w:rPr>
                <w:b w:val="0"/>
              </w:rPr>
              <w:t xml:space="preserve">; </w:t>
            </w:r>
          </w:p>
          <w:p w:rsidRPr="00AC17FB" w:rsidR="00167D4F" w:rsidP="002D76D0" w:rsidRDefault="00167D4F" w14:paraId="54BCCD7B" w14:textId="036DE3CC">
            <w:pPr>
              <w:pStyle w:val="SCVpulloutbullet"/>
              <w:spacing w:before="60" w:after="60"/>
              <w:rPr>
                <w:b w:val="0"/>
              </w:rPr>
            </w:pPr>
            <w:r w:rsidRPr="00AC17FB">
              <w:rPr>
                <w:b w:val="0"/>
              </w:rPr>
              <w:t>an apology for the harm suffered by the patient</w:t>
            </w:r>
            <w:r w:rsidRPr="00AC17FB" w:rsidR="00582B46">
              <w:rPr>
                <w:b w:val="0"/>
              </w:rPr>
              <w:t xml:space="preserve">; </w:t>
            </w:r>
          </w:p>
          <w:p w:rsidRPr="00AC17FB" w:rsidR="00167D4F" w:rsidP="002D76D0" w:rsidRDefault="00167D4F" w14:paraId="6A23D30E" w14:textId="7DDF9933">
            <w:pPr>
              <w:pStyle w:val="SCVpulloutbullet"/>
              <w:spacing w:before="60" w:after="60"/>
              <w:rPr>
                <w:b w:val="0"/>
              </w:rPr>
            </w:pPr>
            <w:r w:rsidRPr="00AC17FB">
              <w:rPr>
                <w:b w:val="0"/>
              </w:rPr>
              <w:t>an opportunity for the patient to relate their experience and ask questions</w:t>
            </w:r>
            <w:r w:rsidRPr="00AC17FB" w:rsidR="00582B46">
              <w:rPr>
                <w:b w:val="0"/>
              </w:rPr>
              <w:t xml:space="preserve">; </w:t>
            </w:r>
          </w:p>
          <w:p w:rsidRPr="00AC17FB" w:rsidR="00167D4F" w:rsidP="002D76D0" w:rsidRDefault="00167D4F" w14:paraId="7B64A516" w14:textId="6FA21BA3">
            <w:pPr>
              <w:pStyle w:val="SCVpulloutbullet"/>
              <w:spacing w:before="60" w:after="60"/>
              <w:rPr>
                <w:b w:val="0"/>
              </w:rPr>
            </w:pPr>
            <w:r w:rsidRPr="00AC17FB">
              <w:rPr>
                <w:b w:val="0"/>
              </w:rPr>
              <w:t>an explanation of the steps that will be taken to review the SAPSE and outline any immediate improvements already made</w:t>
            </w:r>
            <w:r w:rsidRPr="00AC17FB" w:rsidR="00582B46">
              <w:rPr>
                <w:b w:val="0"/>
              </w:rPr>
              <w:t>;</w:t>
            </w:r>
            <w:r w:rsidRPr="00AC17FB">
              <w:rPr>
                <w:b w:val="0"/>
              </w:rPr>
              <w:t xml:space="preserve"> and</w:t>
            </w:r>
          </w:p>
          <w:p w:rsidRPr="00D75D34" w:rsidR="00063580" w:rsidP="002D76D0" w:rsidRDefault="00167D4F" w14:paraId="5258E703" w14:textId="24BE33D0">
            <w:pPr>
              <w:pStyle w:val="SCVpulloutbullet"/>
              <w:spacing w:before="60" w:after="60"/>
              <w:rPr>
                <w:b w:val="0"/>
                <w:bCs w:val="0"/>
              </w:rPr>
            </w:pPr>
            <w:r>
              <w:rPr>
                <w:b w:val="0"/>
                <w:bCs w:val="0"/>
              </w:rPr>
              <w:t>any implications as a result of the SAPSE (if known) and any follow up for the patient.</w:t>
            </w:r>
          </w:p>
        </w:tc>
      </w:tr>
    </w:tbl>
    <w:p w:rsidR="007E6606" w:rsidP="007E6606" w:rsidRDefault="007E6606" w14:paraId="1D083204" w14:textId="5BE8D51A">
      <w:pPr>
        <w:pStyle w:val="SCVbullet1"/>
        <w:numPr>
          <w:ilvl w:val="0"/>
          <w:numId w:val="0"/>
        </w:numPr>
        <w:spacing w:before="240"/>
        <w:ind w:left="284" w:hanging="284"/>
      </w:pPr>
      <w:r>
        <w:t xml:space="preserve">In attending the SDC meeting, the health service </w:t>
      </w:r>
      <w:r w:rsidR="00C30315">
        <w:t xml:space="preserve">entity </w:t>
      </w:r>
      <w:r w:rsidR="00610D1A">
        <w:t>must</w:t>
      </w:r>
      <w:r>
        <w:t>:</w:t>
      </w:r>
    </w:p>
    <w:p w:rsidR="00852A69" w:rsidP="00D75D34" w:rsidRDefault="7BBAE27F" w14:paraId="7734E293" w14:textId="5F80260B">
      <w:pPr>
        <w:pStyle w:val="SCVbullet1"/>
        <w:spacing w:before="240"/>
      </w:pPr>
      <w:r>
        <w:t>t</w:t>
      </w:r>
      <w:r w:rsidR="756E842A">
        <w:t xml:space="preserve">ake measures to make the </w:t>
      </w:r>
      <w:r w:rsidR="5F2E2BE5">
        <w:t>attendees</w:t>
      </w:r>
      <w:r w:rsidR="3858FF90">
        <w:t xml:space="preserve"> feel supported in th</w:t>
      </w:r>
      <w:r w:rsidR="756E842A">
        <w:t>e</w:t>
      </w:r>
      <w:r w:rsidR="3858FF90">
        <w:t xml:space="preserve"> meeting</w:t>
      </w:r>
      <w:r w:rsidR="756E842A">
        <w:t>. For example, provide materials for them to take notes, and offer</w:t>
      </w:r>
      <w:r w:rsidR="70B15836">
        <w:t>ing</w:t>
      </w:r>
      <w:r w:rsidR="756E842A">
        <w:t xml:space="preserve"> a </w:t>
      </w:r>
      <w:r w:rsidR="70B15836">
        <w:t>comfortable, quiet environment to conduct the meeting</w:t>
      </w:r>
      <w:r>
        <w:t xml:space="preserve">; </w:t>
      </w:r>
    </w:p>
    <w:p w:rsidR="004E18DD" w:rsidP="004E18DD" w:rsidRDefault="7BBAE27F" w14:paraId="4AEEAA6F" w14:textId="0A199410">
      <w:pPr>
        <w:pStyle w:val="SCVbullet1"/>
      </w:pPr>
      <w:r>
        <w:t>present a full, frank and honest explanation of what is known to have occurred. Use terminology and phrases that are likely to be understood by the attendees</w:t>
      </w:r>
      <w:r w:rsidR="1D0E7E64">
        <w:t>. A</w:t>
      </w:r>
      <w:r w:rsidR="23D6A80D">
        <w:t xml:space="preserve"> professional interpreter should be considered in this meeting</w:t>
      </w:r>
      <w:r>
        <w:t xml:space="preserve">; </w:t>
      </w:r>
    </w:p>
    <w:p w:rsidR="004E18DD" w:rsidP="004E18DD" w:rsidRDefault="7BBAE27F" w14:paraId="14434FF8" w14:textId="79DACBF6">
      <w:pPr>
        <w:pStyle w:val="SCVbullet1"/>
      </w:pPr>
      <w:r>
        <w:t xml:space="preserve">apologise to the patient again for the harm suffered; </w:t>
      </w:r>
    </w:p>
    <w:p w:rsidR="00852A69" w:rsidP="004E18DD" w:rsidRDefault="7BBAE27F" w14:paraId="21EB3695" w14:textId="725CC1C4">
      <w:pPr>
        <w:pStyle w:val="SCVbullet1"/>
      </w:pPr>
      <w:r>
        <w:t>a</w:t>
      </w:r>
      <w:r w:rsidR="756E842A">
        <w:t xml:space="preserve">llow the </w:t>
      </w:r>
      <w:r w:rsidR="4C0D58BE">
        <w:t>patient</w:t>
      </w:r>
      <w:r>
        <w:t xml:space="preserve"> opportunity</w:t>
      </w:r>
      <w:r w:rsidR="4C0D58BE">
        <w:t xml:space="preserve"> </w:t>
      </w:r>
      <w:r w:rsidR="756E842A">
        <w:t>to relate their experience. Ask them to share their own thoughts on the event and the outcomes they are seeking from the SDC process</w:t>
      </w:r>
      <w:r w:rsidR="5A0954BB">
        <w:t>;</w:t>
      </w:r>
      <w:r>
        <w:t xml:space="preserve"> </w:t>
      </w:r>
    </w:p>
    <w:p w:rsidR="00E02D2F" w:rsidP="00E02D2F" w:rsidRDefault="7BBAE27F" w14:paraId="385E472F" w14:textId="362F3880">
      <w:pPr>
        <w:pStyle w:val="SCVbullet1"/>
      </w:pPr>
      <w:r>
        <w:t>e</w:t>
      </w:r>
      <w:r w:rsidR="28061B65">
        <w:t>nsure there is sufficient time for the attendees to ask questions</w:t>
      </w:r>
      <w:r>
        <w:t xml:space="preserve">; </w:t>
      </w:r>
    </w:p>
    <w:p w:rsidR="004E18DD" w:rsidP="004E18DD" w:rsidRDefault="7BBAE27F" w14:paraId="42F7ED46" w14:textId="7A629545">
      <w:pPr>
        <w:pStyle w:val="SCVbullet1"/>
      </w:pPr>
      <w:r>
        <w:lastRenderedPageBreak/>
        <w:t xml:space="preserve">explain the steps the health service entity is taking to review and manage the event, and any immediate improvements that have been made or will be made to prevent similar harm in the future (if applicable). This information may not be </w:t>
      </w:r>
      <w:r w:rsidR="12B1339D">
        <w:t>complete</w:t>
      </w:r>
      <w:r>
        <w:t xml:space="preserve"> at the time of this meeting, however the patient should be informed that more details will be available in a subsequent review report; and</w:t>
      </w:r>
    </w:p>
    <w:p w:rsidR="00852A69" w:rsidP="00852A69" w:rsidRDefault="7BBAE27F" w14:paraId="6F3782B6" w14:textId="639C7923">
      <w:pPr>
        <w:pStyle w:val="SCVbullet1"/>
      </w:pPr>
      <w:r>
        <w:t>i</w:t>
      </w:r>
      <w:r w:rsidR="43676980">
        <w:t xml:space="preserve">nform </w:t>
      </w:r>
      <w:r w:rsidR="7858615E">
        <w:t xml:space="preserve">those at the meeting </w:t>
      </w:r>
      <w:r w:rsidR="43676980">
        <w:t xml:space="preserve">about the implications of the </w:t>
      </w:r>
      <w:r w:rsidR="0A13601F">
        <w:t>SAPSE</w:t>
      </w:r>
      <w:r w:rsidR="43676980">
        <w:t>, especially any immediate</w:t>
      </w:r>
      <w:r w:rsidR="12B1339D">
        <w:t xml:space="preserve"> or </w:t>
      </w:r>
      <w:r w:rsidR="43676980">
        <w:t>long-term health or other consequences</w:t>
      </w:r>
      <w:r w:rsidR="2DA4EB8F">
        <w:t xml:space="preserve"> (if known)</w:t>
      </w:r>
      <w:r w:rsidR="43676980">
        <w:t>. Develop a plan to ensure the</w:t>
      </w:r>
      <w:r w:rsidR="12B1339D">
        <w:t xml:space="preserve"> patient</w:t>
      </w:r>
      <w:r w:rsidR="43676980">
        <w:t xml:space="preserve"> receive</w:t>
      </w:r>
      <w:r w:rsidR="12B1339D">
        <w:t>s</w:t>
      </w:r>
      <w:r w:rsidR="43676980">
        <w:t xml:space="preserve"> appropriate treatment, including notifying their local health service or general practitioner (if agreed)</w:t>
      </w:r>
      <w:r w:rsidR="472E3B63">
        <w:t>.</w:t>
      </w:r>
    </w:p>
    <w:p w:rsidR="002C0F38" w:rsidP="00AB0447" w:rsidRDefault="002C0F38" w14:paraId="78F05984" w14:textId="77777777">
      <w:pPr>
        <w:pStyle w:val="SCVbody"/>
      </w:pPr>
    </w:p>
    <w:p w:rsidR="00D41E7F" w:rsidP="00D75D34" w:rsidRDefault="00DD12A4" w14:paraId="44428CB4" w14:textId="12DE65B4">
      <w:pPr>
        <w:pStyle w:val="Heading4"/>
      </w:pPr>
      <w:r>
        <w:t>Immediately a</w:t>
      </w:r>
      <w:r w:rsidR="007B4B4A">
        <w:t xml:space="preserve">fter the </w:t>
      </w:r>
      <w:r w:rsidRPr="00D75D34" w:rsidR="007B4B4A">
        <w:t>meeting</w:t>
      </w:r>
    </w:p>
    <w:p w:rsidR="00D41E7F" w:rsidP="00B8408A" w:rsidRDefault="00046535" w14:paraId="536D7271" w14:textId="4E2C7226">
      <w:pPr>
        <w:pStyle w:val="SCVbullet1"/>
        <w:numPr>
          <w:ilvl w:val="0"/>
          <w:numId w:val="0"/>
        </w:numPr>
      </w:pPr>
      <w:r>
        <w:t xml:space="preserve">The health service entity </w:t>
      </w:r>
      <w:r w:rsidR="006F455E">
        <w:t xml:space="preserve">may </w:t>
      </w:r>
      <w:r>
        <w:t>consider compiling</w:t>
      </w:r>
      <w:r w:rsidR="007B4B4A">
        <w:t xml:space="preserve"> the</w:t>
      </w:r>
      <w:r w:rsidR="00D41E7F">
        <w:t xml:space="preserve"> </w:t>
      </w:r>
      <w:r w:rsidR="00DF03F6">
        <w:t xml:space="preserve">initial </w:t>
      </w:r>
      <w:r w:rsidR="00D41E7F">
        <w:t xml:space="preserve">details of the meeting </w:t>
      </w:r>
      <w:r w:rsidR="00CB6623">
        <w:t>and provide this to the patient</w:t>
      </w:r>
      <w:r w:rsidR="004B288C">
        <w:t xml:space="preserve"> immediately following</w:t>
      </w:r>
      <w:r w:rsidR="007B4B4A">
        <w:t xml:space="preserve">, </w:t>
      </w:r>
      <w:r w:rsidR="00D41E7F">
        <w:t>including:</w:t>
      </w:r>
    </w:p>
    <w:p w:rsidR="00D41E7F" w:rsidP="002D76D0" w:rsidRDefault="52AED2B6" w14:paraId="28CC4A45" w14:textId="7A629545">
      <w:pPr>
        <w:pStyle w:val="SCVbullet1"/>
      </w:pPr>
      <w:r>
        <w:t>who was present</w:t>
      </w:r>
      <w:r w:rsidR="12B1339D">
        <w:t>;</w:t>
      </w:r>
    </w:p>
    <w:p w:rsidR="00D41E7F" w:rsidP="002D76D0" w:rsidRDefault="7632A30F" w14:paraId="4049FE27" w14:textId="7A629545">
      <w:pPr>
        <w:pStyle w:val="SCVbullet1"/>
      </w:pPr>
      <w:r>
        <w:t>the time and date</w:t>
      </w:r>
      <w:r w:rsidR="43676980">
        <w:t xml:space="preserve"> of</w:t>
      </w:r>
      <w:r>
        <w:t xml:space="preserve"> the meeting</w:t>
      </w:r>
      <w:r w:rsidR="12B1339D">
        <w:t>;</w:t>
      </w:r>
    </w:p>
    <w:p w:rsidR="00D41E7F" w:rsidP="002D76D0" w:rsidRDefault="7632A30F" w14:paraId="71A7E3C6" w14:textId="7A629545">
      <w:pPr>
        <w:pStyle w:val="SCVbullet1"/>
      </w:pPr>
      <w:r>
        <w:t xml:space="preserve">confirmation that all elements of </w:t>
      </w:r>
      <w:r w:rsidR="12B1339D">
        <w:t xml:space="preserve">the </w:t>
      </w:r>
      <w:r>
        <w:t>SDC were discussed</w:t>
      </w:r>
      <w:r w:rsidR="12B1339D">
        <w:t>;</w:t>
      </w:r>
    </w:p>
    <w:p w:rsidR="00D41E7F" w:rsidP="002D76D0" w:rsidRDefault="7632A30F" w14:paraId="50DA1951" w14:textId="7A629545">
      <w:pPr>
        <w:pStyle w:val="SCVbullet1"/>
      </w:pPr>
      <w:r>
        <w:t xml:space="preserve">a </w:t>
      </w:r>
      <w:r w:rsidR="55320142">
        <w:t>point of contact</w:t>
      </w:r>
      <w:r>
        <w:t xml:space="preserve"> for ongoing follow up</w:t>
      </w:r>
      <w:r w:rsidR="12B1339D">
        <w:t>;</w:t>
      </w:r>
    </w:p>
    <w:p w:rsidR="00D41E7F" w:rsidP="002D76D0" w:rsidRDefault="7632A30F" w14:paraId="5A0A11F7" w14:textId="54583F95">
      <w:pPr>
        <w:pStyle w:val="SCVbullet1"/>
      </w:pPr>
      <w:r>
        <w:t>clear details of the future timelines and requirements of the SDC process</w:t>
      </w:r>
      <w:r w:rsidR="12B1339D">
        <w:t>; and</w:t>
      </w:r>
    </w:p>
    <w:p w:rsidR="00D41E7F" w:rsidP="002D76D0" w:rsidRDefault="7632A30F" w14:paraId="4F600CE4" w14:textId="6C2F115C">
      <w:pPr>
        <w:pStyle w:val="SCVbullet1"/>
      </w:pPr>
      <w:r>
        <w:t xml:space="preserve">any other comments or questions for noting. </w:t>
      </w:r>
    </w:p>
    <w:p w:rsidR="000B74AF" w:rsidP="00D75D34" w:rsidRDefault="00B8408A" w14:paraId="56E72E3F" w14:textId="46DCEA59">
      <w:pPr>
        <w:pStyle w:val="SCVbody"/>
      </w:pPr>
      <w:r>
        <w:t xml:space="preserve">A copy of this note </w:t>
      </w:r>
      <w:r w:rsidR="00464EF8">
        <w:t xml:space="preserve">should </w:t>
      </w:r>
      <w:r w:rsidR="005E1250">
        <w:t xml:space="preserve">then </w:t>
      </w:r>
      <w:r w:rsidR="00464EF8">
        <w:t xml:space="preserve">be filed in the appropriate </w:t>
      </w:r>
      <w:r w:rsidR="00843144">
        <w:t>records</w:t>
      </w:r>
      <w:r w:rsidR="00464EF8">
        <w:t>.</w:t>
      </w:r>
    </w:p>
    <w:p w:rsidR="001F4949" w:rsidP="00D75D34" w:rsidRDefault="001F4949" w14:paraId="787E33E1" w14:textId="77777777">
      <w:pPr>
        <w:pStyle w:val="SCVbody"/>
      </w:pPr>
    </w:p>
    <w:p w:rsidR="00767C0B" w:rsidP="00B62936" w:rsidRDefault="00532E50" w14:paraId="77A87040" w14:textId="29F926E6">
      <w:pPr>
        <w:pStyle w:val="Heading3"/>
      </w:pPr>
      <w:r>
        <w:t>4.2.2</w:t>
      </w:r>
      <w:r>
        <w:tab/>
      </w:r>
      <w:r w:rsidR="00767C0B">
        <w:t>Provide a copy of the SDC meeting report</w:t>
      </w:r>
    </w:p>
    <w:tbl>
      <w:tblPr>
        <w:tblStyle w:val="SCVpulloutbox"/>
        <w:tblW w:w="0" w:type="auto"/>
        <w:tblLook w:val="04A0" w:firstRow="1" w:lastRow="0" w:firstColumn="1" w:lastColumn="0" w:noHBand="0" w:noVBand="1"/>
      </w:tblPr>
      <w:tblGrid>
        <w:gridCol w:w="10204"/>
      </w:tblGrid>
      <w:tr w:rsidR="002F10D7" w:rsidTr="5AB7E433" w14:paraId="4C5274F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002F10D7" w:rsidP="00E13A54" w:rsidRDefault="002F10D7" w14:paraId="13B2C594" w14:textId="12205584">
            <w:pPr>
              <w:pStyle w:val="SCVbody"/>
              <w:spacing w:before="120"/>
            </w:pPr>
            <w:r w:rsidRPr="5AB7E433">
              <w:rPr>
                <w:color w:val="007586" w:themeColor="accent2"/>
              </w:rPr>
              <w:t xml:space="preserve">Requirement </w:t>
            </w:r>
            <w:r w:rsidRPr="5AB7E433" w:rsidR="0BA37DE0">
              <w:rPr>
                <w:color w:val="007586" w:themeColor="accent2"/>
              </w:rPr>
              <w:t>5</w:t>
            </w:r>
            <w:r w:rsidRPr="5AB7E433">
              <w:rPr>
                <w:color w:val="007586" w:themeColor="accent2"/>
              </w:rPr>
              <w:t xml:space="preserve">: </w:t>
            </w:r>
            <w:r w:rsidRPr="00167D4F" w:rsidR="00167D4F">
              <w:rPr>
                <w:b w:val="0"/>
                <w:bCs w:val="0"/>
                <w:color w:val="007586" w:themeColor="accent2"/>
              </w:rPr>
              <w:t xml:space="preserve">The health service entity must document the SDC meeting and provide a copy of the meeting report to the patient within </w:t>
            </w:r>
            <w:r w:rsidRPr="00167D4F" w:rsidR="00167D4F">
              <w:rPr>
                <w:color w:val="007586" w:themeColor="accent2"/>
              </w:rPr>
              <w:t>10 business days</w:t>
            </w:r>
            <w:r w:rsidRPr="00167D4F" w:rsidR="00167D4F">
              <w:rPr>
                <w:b w:val="0"/>
                <w:bCs w:val="0"/>
                <w:color w:val="007586" w:themeColor="accent2"/>
              </w:rPr>
              <w:t xml:space="preserve"> of the SDC meeting.</w:t>
            </w:r>
          </w:p>
        </w:tc>
      </w:tr>
    </w:tbl>
    <w:p w:rsidR="00DF03F6" w:rsidP="00D75D34" w:rsidRDefault="00D912E5" w14:paraId="13762C4F" w14:textId="7F7B3220">
      <w:pPr>
        <w:pStyle w:val="SCVbody"/>
      </w:pPr>
      <w:r>
        <w:t xml:space="preserve">The meeting report must include </w:t>
      </w:r>
      <w:r w:rsidR="00D75D34">
        <w:t>a</w:t>
      </w:r>
      <w:r w:rsidR="00DF03F6">
        <w:t xml:space="preserve"> detailed account of all the different </w:t>
      </w:r>
      <w:r w:rsidR="00EA07B1">
        <w:t>elements</w:t>
      </w:r>
      <w:r w:rsidR="00DF03F6">
        <w:t xml:space="preserve"> of SDC that were discussed.</w:t>
      </w:r>
      <w:r w:rsidR="00224B20">
        <w:t xml:space="preserve"> Documentation of the SDC meeting should follow usual clinical documentation conventions and expand on the initial note given after the meeting.</w:t>
      </w:r>
    </w:p>
    <w:p w:rsidR="00224B20" w:rsidP="00224B20" w:rsidRDefault="00224B20" w14:paraId="7D98A9E7" w14:textId="1C51905D">
      <w:pPr>
        <w:pStyle w:val="SCVbodyafterheading"/>
      </w:pPr>
      <w:r>
        <w:t xml:space="preserve">The health service entity may consider offering </w:t>
      </w:r>
      <w:r w:rsidR="00420A18">
        <w:t xml:space="preserve">the meeting report </w:t>
      </w:r>
      <w:r>
        <w:t>in a language understandable to the patient. If</w:t>
      </w:r>
      <w:r w:rsidR="006C2E90">
        <w:t xml:space="preserve"> the</w:t>
      </w:r>
      <w:r>
        <w:t xml:space="preserve"> </w:t>
      </w:r>
      <w:r w:rsidR="006C2E90">
        <w:t xml:space="preserve">report </w:t>
      </w:r>
      <w:r>
        <w:t xml:space="preserve">requires translation, inform the patient that this may require more time and document any delay in the appropriate location. </w:t>
      </w:r>
    </w:p>
    <w:p w:rsidRPr="00BE7418" w:rsidR="00E5029B" w:rsidP="00D75D34" w:rsidRDefault="000C5EE7" w14:paraId="545D1C1E" w14:textId="0EFD6F7C">
      <w:pPr>
        <w:pStyle w:val="SCVbody"/>
      </w:pPr>
      <w:r>
        <w:t xml:space="preserve">A copy of the </w:t>
      </w:r>
      <w:r w:rsidR="00747BDD">
        <w:t xml:space="preserve">SDC </w:t>
      </w:r>
      <w:r w:rsidR="0064453C">
        <w:t xml:space="preserve">meeting </w:t>
      </w:r>
      <w:r w:rsidR="00747BDD">
        <w:t xml:space="preserve">report must be </w:t>
      </w:r>
      <w:r w:rsidR="00BC0E28">
        <w:t>stored</w:t>
      </w:r>
      <w:r w:rsidR="00747BDD">
        <w:t xml:space="preserve"> in an appropriate location. </w:t>
      </w:r>
    </w:p>
    <w:p w:rsidR="007B4B4A" w:rsidP="00D75D34" w:rsidRDefault="00E748EF" w14:paraId="7BC85738" w14:textId="2C5315A8">
      <w:pPr>
        <w:pStyle w:val="Heading2"/>
      </w:pPr>
      <w:bookmarkStart w:name="_Toc117524301" w:id="18"/>
      <w:r>
        <w:lastRenderedPageBreak/>
        <w:t>4</w:t>
      </w:r>
      <w:r w:rsidR="00C00FA4">
        <w:t>.3</w:t>
      </w:r>
      <w:r w:rsidR="00C00FA4">
        <w:tab/>
      </w:r>
      <w:r w:rsidR="00D41E7F">
        <w:t>Stage 3</w:t>
      </w:r>
      <w:r w:rsidR="00BE670D">
        <w:t xml:space="preserve">: </w:t>
      </w:r>
      <w:r w:rsidRPr="00BE670D" w:rsidR="00BE670D">
        <w:t xml:space="preserve">Complete a review of the SAPSE and </w:t>
      </w:r>
      <w:r w:rsidR="006D6C87">
        <w:t xml:space="preserve">produce </w:t>
      </w:r>
      <w:r w:rsidRPr="00BE670D" w:rsidR="00BE670D">
        <w:t>report</w:t>
      </w:r>
      <w:bookmarkEnd w:id="18"/>
    </w:p>
    <w:p w:rsidR="00BE38DA" w:rsidP="00D75D34" w:rsidRDefault="00532E50" w14:paraId="0BB8473F" w14:textId="0A72AA46">
      <w:pPr>
        <w:pStyle w:val="Heading3"/>
      </w:pPr>
      <w:r>
        <w:t>4.3.1</w:t>
      </w:r>
      <w:r>
        <w:tab/>
      </w:r>
      <w:r w:rsidR="00BE38DA">
        <w:t xml:space="preserve">Complete </w:t>
      </w:r>
      <w:r w:rsidR="000C4D2E">
        <w:t xml:space="preserve">a review </w:t>
      </w:r>
      <w:r w:rsidR="00A14F08">
        <w:t>of</w:t>
      </w:r>
      <w:r w:rsidR="000C4D2E">
        <w:t xml:space="preserve"> the SAPSE</w:t>
      </w:r>
    </w:p>
    <w:tbl>
      <w:tblPr>
        <w:tblStyle w:val="SCVpulloutbox"/>
        <w:tblW w:w="10206" w:type="dxa"/>
        <w:tblLook w:val="04A0" w:firstRow="1" w:lastRow="0" w:firstColumn="1" w:lastColumn="0" w:noHBand="0" w:noVBand="1"/>
      </w:tblPr>
      <w:tblGrid>
        <w:gridCol w:w="10206"/>
      </w:tblGrid>
      <w:tr w:rsidR="00BE38DA" w:rsidTr="5AB7E433" w14:paraId="50F0AB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00BE38DA" w:rsidP="00E13A54" w:rsidRDefault="00BE38DA" w14:paraId="793896D9" w14:textId="065E24F3">
            <w:pPr>
              <w:pStyle w:val="SCVpullouttext"/>
            </w:pPr>
            <w:r>
              <w:t xml:space="preserve">Requirement </w:t>
            </w:r>
            <w:r w:rsidR="21958645">
              <w:t>6</w:t>
            </w:r>
            <w:r>
              <w:t xml:space="preserve">: </w:t>
            </w:r>
            <w:r w:rsidRPr="00167D4F" w:rsidR="00167D4F">
              <w:rPr>
                <w:b w:val="0"/>
                <w:bCs w:val="0"/>
              </w:rPr>
              <w:t>The health service entity must complete a review for the SAPSE and produce a report outlining what happened and any areas identified for improvement. If the SAPSE is classified as a sentinel event, the health service entity must also outline in the report clear recommendations from the review findings.</w:t>
            </w:r>
          </w:p>
          <w:p w:rsidR="00FB39A8" w:rsidP="00E13A54" w:rsidRDefault="00FB39A8" w14:paraId="2B615B1A" w14:textId="17767724">
            <w:pPr>
              <w:pStyle w:val="SCVpullouttext"/>
              <w:rPr>
                <w:b w:val="0"/>
              </w:rPr>
            </w:pPr>
            <w:r>
              <w:t xml:space="preserve">Requirement 7: </w:t>
            </w:r>
            <w:r w:rsidRPr="00167D4F" w:rsidR="00167D4F">
              <w:rPr>
                <w:b w:val="0"/>
                <w:bCs w:val="0"/>
              </w:rPr>
              <w:t xml:space="preserve">The report created from Requirement 6 must then be offered to the patient within </w:t>
            </w:r>
            <w:r w:rsidRPr="00167D4F" w:rsidR="00167D4F">
              <w:t xml:space="preserve">50 business days of </w:t>
            </w:r>
            <w:r w:rsidRPr="00167D4F" w:rsidR="00167D4F">
              <w:rPr>
                <w:b w:val="0"/>
                <w:bCs w:val="0"/>
              </w:rPr>
              <w:t>the SAPSE being identified by the health service entity.</w:t>
            </w:r>
            <w:r w:rsidR="00167D4F">
              <w:rPr>
                <w:b w:val="0"/>
                <w:bCs w:val="0"/>
              </w:rPr>
              <w:t xml:space="preserve"> </w:t>
            </w:r>
            <w:r w:rsidRPr="00CC464B" w:rsidR="00CC464B">
              <w:rPr>
                <w:b w:val="0"/>
                <w:bCs w:val="0"/>
              </w:rPr>
              <w:t xml:space="preserve">If the SAPSE involves more than one health service entity, this may be extended to </w:t>
            </w:r>
            <w:r w:rsidRPr="00CC464B" w:rsidR="00CC464B">
              <w:t>75 business days</w:t>
            </w:r>
            <w:r w:rsidRPr="00CC464B" w:rsidR="00CC464B">
              <w:rPr>
                <w:b w:val="0"/>
                <w:bCs w:val="0"/>
              </w:rPr>
              <w:t xml:space="preserve"> of the SAPSE being identified by the </w:t>
            </w:r>
            <w:r w:rsidR="00965806">
              <w:rPr>
                <w:b w:val="0"/>
                <w:bCs w:val="0"/>
              </w:rPr>
              <w:t xml:space="preserve">initial </w:t>
            </w:r>
            <w:r w:rsidRPr="00CC464B" w:rsidR="00CC464B">
              <w:rPr>
                <w:b w:val="0"/>
                <w:bCs w:val="0"/>
              </w:rPr>
              <w:t>health service entity.</w:t>
            </w:r>
          </w:p>
        </w:tc>
      </w:tr>
    </w:tbl>
    <w:p w:rsidR="00590FDD" w:rsidP="00E85168" w:rsidRDefault="00590FDD" w14:paraId="0B53256A" w14:textId="61031A06">
      <w:pPr>
        <w:pStyle w:val="SCVbullet1"/>
        <w:numPr>
          <w:ilvl w:val="0"/>
          <w:numId w:val="0"/>
        </w:numPr>
      </w:pPr>
    </w:p>
    <w:p w:rsidR="2605B37B" w:rsidP="7B529235" w:rsidRDefault="2F6F5987" w14:paraId="27CDD574" w14:textId="025B7C01">
      <w:pPr>
        <w:pStyle w:val="SCVbullet1"/>
        <w:numPr>
          <w:ilvl w:val="0"/>
          <w:numId w:val="0"/>
        </w:numPr>
      </w:pPr>
      <w:r>
        <w:t xml:space="preserve">If the SAPSE involves more than </w:t>
      </w:r>
      <w:r w:rsidR="6E8AA6D9">
        <w:t xml:space="preserve">one health service entity and the </w:t>
      </w:r>
      <w:r w:rsidR="275F1D9E">
        <w:t xml:space="preserve">report is extended to </w:t>
      </w:r>
      <w:r w:rsidR="566B9C39">
        <w:t xml:space="preserve">75 business days, this </w:t>
      </w:r>
      <w:r w:rsidR="5B30950C">
        <w:t xml:space="preserve">delay </w:t>
      </w:r>
      <w:r w:rsidR="566B9C39">
        <w:t>must be</w:t>
      </w:r>
      <w:r w:rsidR="007F1A08">
        <w:t xml:space="preserve"> clearly</w:t>
      </w:r>
      <w:r w:rsidR="566B9C39">
        <w:t xml:space="preserve"> </w:t>
      </w:r>
      <w:r w:rsidR="60E68D50">
        <w:t>communicated with the patient</w:t>
      </w:r>
      <w:r w:rsidR="00EA447F">
        <w:t xml:space="preserve"> </w:t>
      </w:r>
      <w:r w:rsidR="00D71ABB">
        <w:t>and documented in the appropriate location</w:t>
      </w:r>
      <w:r w:rsidR="60E68D50">
        <w:t>.</w:t>
      </w:r>
    </w:p>
    <w:p w:rsidR="7A30D5A1" w:rsidP="7B529235" w:rsidRDefault="7A30D5A1" w14:paraId="1073F368" w14:textId="3A15AB08">
      <w:pPr>
        <w:pStyle w:val="SCVbullet1"/>
        <w:numPr>
          <w:ilvl w:val="0"/>
          <w:numId w:val="0"/>
        </w:numPr>
      </w:pPr>
    </w:p>
    <w:p w:rsidR="00D811D9" w:rsidP="00D811D9" w:rsidRDefault="00D811D9" w14:paraId="5FF63F40" w14:textId="700A42FE">
      <w:pPr>
        <w:pStyle w:val="SCVbullet1"/>
        <w:numPr>
          <w:ilvl w:val="0"/>
          <w:numId w:val="0"/>
        </w:numPr>
      </w:pPr>
      <w:r>
        <w:t>The report created as a result of the review must include the matters required by s</w:t>
      </w:r>
      <w:r w:rsidR="00532E50">
        <w:t xml:space="preserve">ection </w:t>
      </w:r>
      <w:r>
        <w:t xml:space="preserve">128ZC of the </w:t>
      </w:r>
      <w:r w:rsidRPr="00BC6660">
        <w:rPr>
          <w:i/>
          <w:iCs/>
        </w:rPr>
        <w:t>Health Services Act</w:t>
      </w:r>
      <w:r w:rsidRPr="00BC6660" w:rsidR="00BC6660">
        <w:rPr>
          <w:i/>
          <w:iCs/>
        </w:rPr>
        <w:t xml:space="preserve"> 1988</w:t>
      </w:r>
      <w:r w:rsidRPr="00532E50" w:rsidR="00532E50">
        <w:t>, being</w:t>
      </w:r>
      <w:r>
        <w:t>:</w:t>
      </w:r>
    </w:p>
    <w:p w:rsidR="00D811D9" w:rsidP="002D76D0" w:rsidRDefault="1E1CF1FC" w14:paraId="04E5633A" w14:textId="78E650FA">
      <w:pPr>
        <w:pStyle w:val="SCVbullet1"/>
      </w:pPr>
      <w:r>
        <w:t>a written account of the facts regarding the SAPSE</w:t>
      </w:r>
      <w:r w:rsidR="081AC3D2">
        <w:t xml:space="preserve">; </w:t>
      </w:r>
    </w:p>
    <w:p w:rsidR="00D811D9" w:rsidP="002D76D0" w:rsidRDefault="1E1CF1FC" w14:paraId="6F1C6DE7" w14:textId="36BD6F32">
      <w:pPr>
        <w:pStyle w:val="SCVbullet1"/>
      </w:pPr>
      <w:r>
        <w:t>an apology for the harm suffered by the patient</w:t>
      </w:r>
      <w:r w:rsidR="081AC3D2">
        <w:t xml:space="preserve">; </w:t>
      </w:r>
    </w:p>
    <w:p w:rsidR="00D811D9" w:rsidP="002D76D0" w:rsidRDefault="1E1CF1FC" w14:paraId="30B11BD9" w14:textId="3A5F665A">
      <w:pPr>
        <w:pStyle w:val="SCVbullet1"/>
      </w:pPr>
      <w:r>
        <w:t>a description of the health service entity's response to the event</w:t>
      </w:r>
      <w:r w:rsidR="4EABDA8E">
        <w:t>;</w:t>
      </w:r>
      <w:r>
        <w:t xml:space="preserve"> and</w:t>
      </w:r>
    </w:p>
    <w:p w:rsidRPr="00E57AA5" w:rsidR="00766A54" w:rsidP="002D76D0" w:rsidRDefault="5E5C23C2" w14:paraId="4D8CC28B" w14:textId="3AE7A30B">
      <w:pPr>
        <w:pStyle w:val="SCVbullet1"/>
      </w:pPr>
      <w:r w:rsidRPr="00DF0F99">
        <w:t>the steps that the health service entity has taken to prevent re-occurrence of the event</w:t>
      </w:r>
      <w:r>
        <w:t>.</w:t>
      </w:r>
      <w:r w:rsidR="00D811D9">
        <w:rPr>
          <w:rStyle w:val="FootnoteReference"/>
        </w:rPr>
        <w:footnoteReference w:id="23"/>
      </w:r>
    </w:p>
    <w:p w:rsidR="007A6B91" w:rsidP="004576AD" w:rsidRDefault="007A6B91" w14:paraId="13708B00" w14:textId="77777777">
      <w:pPr>
        <w:pStyle w:val="SCVbody"/>
      </w:pPr>
    </w:p>
    <w:p w:rsidR="004576AD" w:rsidP="004576AD" w:rsidRDefault="00122D31" w14:paraId="3FFD459D" w14:textId="233A6CE6">
      <w:pPr>
        <w:pStyle w:val="SCVbody"/>
      </w:pPr>
      <w:r>
        <w:t>As part of the SDC process, t</w:t>
      </w:r>
      <w:r w:rsidR="004576AD">
        <w:t xml:space="preserve">he </w:t>
      </w:r>
      <w:r w:rsidR="003A2CEE">
        <w:t xml:space="preserve">review </w:t>
      </w:r>
      <w:r w:rsidR="004576AD">
        <w:t>report must then be offered to:</w:t>
      </w:r>
    </w:p>
    <w:p w:rsidR="004576AD" w:rsidP="002D76D0" w:rsidRDefault="081AC3D2" w14:paraId="72647B50" w14:textId="4B7E93BD">
      <w:pPr>
        <w:pStyle w:val="SCVbullet1"/>
      </w:pPr>
      <w:r>
        <w:t>the</w:t>
      </w:r>
      <w:r w:rsidR="0E38BC2B">
        <w:t xml:space="preserve"> patient</w:t>
      </w:r>
      <w:r>
        <w:t>;</w:t>
      </w:r>
      <w:r w:rsidR="552FB1B0">
        <w:t xml:space="preserve"> or</w:t>
      </w:r>
    </w:p>
    <w:p w:rsidRPr="00CA693B" w:rsidR="004576AD" w:rsidP="002D76D0" w:rsidRDefault="081AC3D2" w14:paraId="6B8C73F8" w14:textId="7919F59F">
      <w:pPr>
        <w:pStyle w:val="SCVbullet1"/>
        <w:rPr>
          <w:b/>
          <w:bCs/>
        </w:rPr>
      </w:pPr>
      <w:r>
        <w:t>if</w:t>
      </w:r>
      <w:r w:rsidR="574DC4DD">
        <w:t xml:space="preserve"> the patient is deceased or lacks capacity, </w:t>
      </w:r>
      <w:r w:rsidR="0E38BC2B">
        <w:t>a person nominated by the patient</w:t>
      </w:r>
      <w:r w:rsidR="4FAEB6D0">
        <w:t xml:space="preserve">, </w:t>
      </w:r>
      <w:r w:rsidR="0E38BC2B">
        <w:t>the immediate family, carer or NOK of a patient.</w:t>
      </w:r>
    </w:p>
    <w:p w:rsidR="007A6B91" w:rsidP="009C03A4" w:rsidRDefault="007A6B91" w14:paraId="2ECACC73" w14:textId="77777777">
      <w:pPr>
        <w:rPr>
          <w:sz w:val="26"/>
          <w:szCs w:val="26"/>
        </w:rPr>
      </w:pPr>
    </w:p>
    <w:p w:rsidR="00ED22AB" w:rsidP="00ED22AB" w:rsidRDefault="00ED22AB" w14:paraId="5631522D" w14:textId="62411B3E">
      <w:pPr>
        <w:pStyle w:val="SCVbody"/>
        <w:spacing w:before="120" w:after="120"/>
      </w:pPr>
      <w:r>
        <w:t xml:space="preserve">The review is part of the ongoing information gathering process of </w:t>
      </w:r>
      <w:r w:rsidR="00171309">
        <w:t xml:space="preserve">the </w:t>
      </w:r>
      <w:r>
        <w:t>SDC. The resulting report forms part of the response to the patient. The health service entity must:</w:t>
      </w:r>
    </w:p>
    <w:p w:rsidR="00ED22AB" w:rsidP="00ED22AB" w:rsidRDefault="574DC4DD" w14:paraId="3D2A66AF" w14:textId="162EB890">
      <w:pPr>
        <w:pStyle w:val="SCVbullet1"/>
        <w:rPr>
          <w:rStyle w:val="normaltextrun1"/>
          <w:rFonts w:cstheme="minorHAnsi"/>
        </w:rPr>
      </w:pPr>
      <w:r w:rsidRPr="1147C3B3">
        <w:rPr>
          <w:rStyle w:val="normaltextrun1"/>
        </w:rPr>
        <w:t>a</w:t>
      </w:r>
      <w:r w:rsidRPr="1147C3B3" w:rsidR="699A6350">
        <w:rPr>
          <w:rStyle w:val="normaltextrun1"/>
        </w:rPr>
        <w:t>void jargon or legalistic wording</w:t>
      </w:r>
      <w:r w:rsidRPr="1147C3B3" w:rsidR="354C09D6">
        <w:rPr>
          <w:rStyle w:val="normaltextrun1"/>
        </w:rPr>
        <w:t>,</w:t>
      </w:r>
      <w:r w:rsidRPr="1147C3B3">
        <w:rPr>
          <w:rStyle w:val="normaltextrun1"/>
        </w:rPr>
        <w:t xml:space="preserve"> and</w:t>
      </w:r>
    </w:p>
    <w:p w:rsidR="00ED22AB" w:rsidP="00ED22AB" w:rsidRDefault="574DC4DD" w14:paraId="1EB2155A" w14:textId="5C5E283C">
      <w:pPr>
        <w:pStyle w:val="SCVbullet1"/>
      </w:pPr>
      <w:r>
        <w:t>e</w:t>
      </w:r>
      <w:r w:rsidR="699A6350">
        <w:t>nsure the patient is aware of the timeline for review</w:t>
      </w:r>
      <w:r w:rsidR="354C09D6">
        <w:t>.</w:t>
      </w:r>
    </w:p>
    <w:p w:rsidR="007A6B91" w:rsidP="00B35419" w:rsidRDefault="007A6B91" w14:paraId="221D62A5" w14:textId="77777777">
      <w:pPr>
        <w:pStyle w:val="SCVbullet1"/>
        <w:numPr>
          <w:ilvl w:val="0"/>
          <w:numId w:val="0"/>
        </w:numPr>
      </w:pPr>
    </w:p>
    <w:p w:rsidR="002D76D0" w:rsidP="002D76D0" w:rsidRDefault="00B35419" w14:paraId="25686188" w14:textId="77777777">
      <w:pPr>
        <w:pStyle w:val="SCVbullet1"/>
        <w:numPr>
          <w:ilvl w:val="0"/>
          <w:numId w:val="0"/>
        </w:numPr>
      </w:pPr>
      <w:r>
        <w:lastRenderedPageBreak/>
        <w:t xml:space="preserve">The health service entity may </w:t>
      </w:r>
      <w:r w:rsidR="00C1575F">
        <w:t xml:space="preserve">also </w:t>
      </w:r>
      <w:r>
        <w:t xml:space="preserve">consider offering the report in a language understandable to the patient. If the report requires translation, inform the patient that this may require more time and document any delay in the appropriate location. </w:t>
      </w:r>
    </w:p>
    <w:p w:rsidR="00994A71" w:rsidP="002D76D0" w:rsidRDefault="00994A71" w14:paraId="70ED6446" w14:textId="77777777">
      <w:pPr>
        <w:pStyle w:val="SCVbullet1"/>
        <w:numPr>
          <w:ilvl w:val="0"/>
          <w:numId w:val="0"/>
        </w:numPr>
      </w:pPr>
    </w:p>
    <w:p w:rsidR="005B06A4" w:rsidP="002D76D0" w:rsidRDefault="005B06A4" w14:paraId="03CD80E3" w14:textId="795FFC9F">
      <w:pPr>
        <w:pStyle w:val="SCVbullet1"/>
        <w:numPr>
          <w:ilvl w:val="0"/>
          <w:numId w:val="0"/>
        </w:numPr>
      </w:pPr>
      <w:r w:rsidRPr="005B06A4">
        <w:rPr>
          <w:b/>
          <w:bCs/>
        </w:rPr>
        <w:t>Note:</w:t>
      </w:r>
      <w:r>
        <w:t xml:space="preserve"> If the health service entity</w:t>
      </w:r>
      <w:r w:rsidR="00222A78">
        <w:t xml:space="preserve"> appoints a panel to</w:t>
      </w:r>
      <w:r>
        <w:t xml:space="preserve"> conduct</w:t>
      </w:r>
      <w:r w:rsidR="00222A78">
        <w:t xml:space="preserve"> a</w:t>
      </w:r>
      <w:r w:rsidR="00D3725A">
        <w:t xml:space="preserve"> </w:t>
      </w:r>
      <w:r>
        <w:t xml:space="preserve">review in accordance with </w:t>
      </w:r>
      <w:r w:rsidRPr="00554381">
        <w:t xml:space="preserve">Division 8 of Part 5A of the </w:t>
      </w:r>
      <w:r w:rsidRPr="00554381">
        <w:rPr>
          <w:i/>
          <w:iCs/>
        </w:rPr>
        <w:t>Health Services Act 1988</w:t>
      </w:r>
      <w:r w:rsidRPr="00554381">
        <w:t>, relevant protections apply</w:t>
      </w:r>
      <w:r>
        <w:t xml:space="preserve"> to the review process, and it will be</w:t>
      </w:r>
      <w:r w:rsidR="005969F2">
        <w:t xml:space="preserve"> called</w:t>
      </w:r>
      <w:r>
        <w:t xml:space="preserve"> a ‘SAPSE review’</w:t>
      </w:r>
      <w:r w:rsidRPr="00554381">
        <w:t>.</w:t>
      </w:r>
      <w:r w:rsidR="005969F2">
        <w:t xml:space="preserve"> </w:t>
      </w:r>
      <w:r w:rsidR="00DF3C43">
        <w:t>If a</w:t>
      </w:r>
      <w:r w:rsidR="005969F2">
        <w:t xml:space="preserve"> ‘SAPSE review panel’ is not formed </w:t>
      </w:r>
      <w:r w:rsidR="000609D1">
        <w:t xml:space="preserve">to produce a ‘SAPSE review report’ </w:t>
      </w:r>
      <w:r w:rsidR="005969F2">
        <w:t xml:space="preserve">in </w:t>
      </w:r>
      <w:r w:rsidR="00B12DD0">
        <w:t>accordance</w:t>
      </w:r>
      <w:r w:rsidR="005969F2">
        <w:t xml:space="preserve"> with the </w:t>
      </w:r>
      <w:r w:rsidRPr="00B12DD0" w:rsidR="005969F2">
        <w:rPr>
          <w:i/>
          <w:iCs/>
        </w:rPr>
        <w:t>Health Services Act 1988</w:t>
      </w:r>
      <w:r w:rsidR="005969F2">
        <w:t xml:space="preserve"> and relevant regulations, it will not be a ‘SAPSE review’ or</w:t>
      </w:r>
      <w:r w:rsidR="00B12DD0">
        <w:t xml:space="preserve"> have relevant protections apply. </w:t>
      </w:r>
      <w:r w:rsidR="009813E6">
        <w:t>It is important to note that</w:t>
      </w:r>
      <w:r w:rsidR="00B12DD0">
        <w:t xml:space="preserve"> a ‘SAPSE review’ </w:t>
      </w:r>
      <w:r w:rsidR="00B77D0B">
        <w:t xml:space="preserve">is not </w:t>
      </w:r>
      <w:r w:rsidR="00C272CF">
        <w:t>mandatory and</w:t>
      </w:r>
      <w:r w:rsidR="00B77D0B">
        <w:t xml:space="preserve"> </w:t>
      </w:r>
      <w:r w:rsidR="00B12DD0">
        <w:t>does not need to be completed for all SAPSE.</w:t>
      </w:r>
    </w:p>
    <w:p w:rsidR="00994A71" w:rsidP="002D76D0" w:rsidRDefault="00994A71" w14:paraId="756DC875" w14:textId="77777777">
      <w:pPr>
        <w:pStyle w:val="SCVbullet1"/>
        <w:numPr>
          <w:ilvl w:val="0"/>
          <w:numId w:val="0"/>
        </w:numPr>
      </w:pPr>
    </w:p>
    <w:p w:rsidRPr="006174DA" w:rsidR="006174DA" w:rsidP="00BE7418" w:rsidRDefault="006174DA" w14:paraId="1D54CC14" w14:textId="2BCDAC5C">
      <w:pPr>
        <w:pStyle w:val="SCVbody"/>
        <w:spacing w:before="120" w:after="120"/>
        <w:rPr>
          <w:b/>
          <w:bCs/>
        </w:rPr>
      </w:pPr>
      <w:r w:rsidRPr="5AB7E433">
        <w:rPr>
          <w:b/>
          <w:bCs/>
        </w:rPr>
        <w:t>Following the review</w:t>
      </w:r>
    </w:p>
    <w:p w:rsidR="003A2CEE" w:rsidP="003A2CEE" w:rsidRDefault="003A2CEE" w14:paraId="58AA322B" w14:textId="037004FF">
      <w:pPr>
        <w:pStyle w:val="SCVbody"/>
        <w:spacing w:before="120" w:after="120"/>
      </w:pPr>
      <w:r>
        <w:t xml:space="preserve">When the relevant review or investigation is complete, the health service entity should consider providing the patient with feedback through face-to-face interview or equivalent (e.g. videoconference).  </w:t>
      </w:r>
    </w:p>
    <w:p w:rsidRPr="004C2068" w:rsidR="00DB0796" w:rsidP="00590EA0" w:rsidRDefault="00DB0796" w14:paraId="0B7F9A67" w14:textId="77777777">
      <w:pPr>
        <w:pStyle w:val="SCVbullet1"/>
        <w:numPr>
          <w:ilvl w:val="0"/>
          <w:numId w:val="0"/>
        </w:numPr>
      </w:pPr>
    </w:p>
    <w:p w:rsidR="00BE38DA" w:rsidP="00B35054" w:rsidRDefault="00E748EF" w14:paraId="525435E0" w14:textId="071AA1D9">
      <w:pPr>
        <w:pStyle w:val="Heading1"/>
      </w:pPr>
      <w:bookmarkStart w:name="_Toc117524302" w:id="19"/>
      <w:r>
        <w:t>5</w:t>
      </w:r>
      <w:r w:rsidR="00442FCF">
        <w:t xml:space="preserve">. </w:t>
      </w:r>
      <w:r w:rsidR="00616FE7">
        <w:t>Documentation and r</w:t>
      </w:r>
      <w:r w:rsidR="00BE38DA">
        <w:t>eporting</w:t>
      </w:r>
      <w:bookmarkEnd w:id="19"/>
    </w:p>
    <w:tbl>
      <w:tblPr>
        <w:tblStyle w:val="SCVpulloutbox"/>
        <w:tblW w:w="10206" w:type="dxa"/>
        <w:tblLook w:val="04A0" w:firstRow="1" w:lastRow="0" w:firstColumn="1" w:lastColumn="0" w:noHBand="0" w:noVBand="1"/>
      </w:tblPr>
      <w:tblGrid>
        <w:gridCol w:w="10206"/>
      </w:tblGrid>
      <w:tr w:rsidR="00BE38DA" w:rsidTr="00E13A54" w14:paraId="639CD9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rsidRPr="00404706" w:rsidR="00BE38DA" w:rsidP="00E13A54" w:rsidRDefault="00BE38DA" w14:paraId="6FF05D2B" w14:textId="50801C17">
            <w:pPr>
              <w:pStyle w:val="SCVpullouttext"/>
              <w:rPr>
                <w:b w:val="0"/>
                <w:bCs w:val="0"/>
              </w:rPr>
            </w:pPr>
            <w:r>
              <w:t xml:space="preserve">Requirement </w:t>
            </w:r>
            <w:r w:rsidR="00FC22FD">
              <w:t>8</w:t>
            </w:r>
            <w:r>
              <w:t xml:space="preserve">: </w:t>
            </w:r>
            <w:r w:rsidRPr="00167D4F" w:rsidR="00167D4F">
              <w:rPr>
                <w:b w:val="0"/>
                <w:bCs w:val="0"/>
              </w:rPr>
              <w:t xml:space="preserve">The health service entity must ensure that there is a record of the SDC being completed, including clear dates of when the SAPSE occurred and when each </w:t>
            </w:r>
            <w:r w:rsidR="00D71C7D">
              <w:rPr>
                <w:b w:val="0"/>
                <w:bCs w:val="0"/>
              </w:rPr>
              <w:t>stage</w:t>
            </w:r>
            <w:r w:rsidRPr="00167D4F" w:rsidR="00D71C7D">
              <w:rPr>
                <w:b w:val="0"/>
                <w:bCs w:val="0"/>
              </w:rPr>
              <w:t xml:space="preserve"> </w:t>
            </w:r>
            <w:r w:rsidRPr="00167D4F" w:rsidR="00167D4F">
              <w:rPr>
                <w:b w:val="0"/>
                <w:bCs w:val="0"/>
              </w:rPr>
              <w:t>of the SDC was completed.</w:t>
            </w:r>
          </w:p>
          <w:p w:rsidR="00BE38DA" w:rsidP="00E13A54" w:rsidRDefault="00BE38DA" w14:paraId="5739E897" w14:textId="30F59737">
            <w:pPr>
              <w:pStyle w:val="SCVpullouttext"/>
            </w:pPr>
            <w:r>
              <w:t xml:space="preserve">Requirement </w:t>
            </w:r>
            <w:r w:rsidR="00FC22FD">
              <w:t>9</w:t>
            </w:r>
            <w:r>
              <w:t xml:space="preserve">: </w:t>
            </w:r>
            <w:r w:rsidRPr="00167D4F" w:rsidR="00167D4F">
              <w:rPr>
                <w:b w:val="0"/>
                <w:bCs w:val="0"/>
              </w:rPr>
              <w:t>The health service entity must report its compliance with the SDC as legally required.</w:t>
            </w:r>
          </w:p>
        </w:tc>
      </w:tr>
    </w:tbl>
    <w:p w:rsidR="00BE38DA" w:rsidP="00E57AA5" w:rsidRDefault="00BE38DA" w14:paraId="171F9B15" w14:textId="026C1028">
      <w:pPr>
        <w:pStyle w:val="SCVbody"/>
      </w:pPr>
      <w:r>
        <w:t>Mandatory documentation and reporting requirements</w:t>
      </w:r>
      <w:r w:rsidR="00D3725A">
        <w:t xml:space="preserve"> will</w:t>
      </w:r>
      <w:r>
        <w:t xml:space="preserve"> demonstrat</w:t>
      </w:r>
      <w:r w:rsidR="00E57AA5">
        <w:t>e</w:t>
      </w:r>
      <w:r>
        <w:t xml:space="preserve"> compliance with the SDC process. </w:t>
      </w:r>
      <w:r w:rsidR="00E57AA5">
        <w:t xml:space="preserve">While </w:t>
      </w:r>
      <w:r>
        <w:t xml:space="preserve">governed at an organisational level, </w:t>
      </w:r>
      <w:r w:rsidR="00481356">
        <w:t xml:space="preserve">relevant </w:t>
      </w:r>
      <w:r>
        <w:t xml:space="preserve">staff </w:t>
      </w:r>
      <w:r w:rsidR="00481356">
        <w:t xml:space="preserve">must </w:t>
      </w:r>
      <w:r>
        <w:t xml:space="preserve">be trained to adhere to and understand the steps required to ensure correct </w:t>
      </w:r>
      <w:r w:rsidR="00B1685A">
        <w:t>records</w:t>
      </w:r>
      <w:r w:rsidR="00D3725A">
        <w:t xml:space="preserve"> are prepared and maintained</w:t>
      </w:r>
      <w:r>
        <w:t>.</w:t>
      </w:r>
    </w:p>
    <w:p w:rsidR="004F4359" w:rsidP="00E57AA5" w:rsidRDefault="00D3725A" w14:paraId="479CC566" w14:textId="66DD10A3">
      <w:pPr>
        <w:pStyle w:val="SCVbody"/>
      </w:pPr>
      <w:r>
        <w:t>The h</w:t>
      </w:r>
      <w:r w:rsidR="004F4359">
        <w:t xml:space="preserve">ealth service </w:t>
      </w:r>
      <w:r>
        <w:t>entity</w:t>
      </w:r>
      <w:r w:rsidR="004F4359">
        <w:t xml:space="preserve"> must ensure </w:t>
      </w:r>
      <w:r>
        <w:t>it</w:t>
      </w:r>
      <w:r w:rsidR="004F4359">
        <w:t>:</w:t>
      </w:r>
    </w:p>
    <w:p w:rsidR="0098593C" w:rsidP="0098593C" w:rsidRDefault="41DE6E4A" w14:paraId="66C4C85B" w14:textId="0A8CB1E6">
      <w:pPr>
        <w:pStyle w:val="SCVbullet1"/>
      </w:pPr>
      <w:r>
        <w:t>has</w:t>
      </w:r>
      <w:r w:rsidR="6F92A4BD">
        <w:t xml:space="preserve"> an appropriate reporting system to monitor </w:t>
      </w:r>
      <w:r w:rsidR="56CAD30C">
        <w:t xml:space="preserve">compliance with </w:t>
      </w:r>
      <w:r>
        <w:t xml:space="preserve">the </w:t>
      </w:r>
      <w:r w:rsidR="56CAD30C">
        <w:t>SDC</w:t>
      </w:r>
      <w:r w:rsidR="10AEEA8E">
        <w:t xml:space="preserve"> such as a clinical incident management system</w:t>
      </w:r>
      <w:r>
        <w:t>; and</w:t>
      </w:r>
    </w:p>
    <w:p w:rsidR="00FE6215" w:rsidP="0098593C" w:rsidRDefault="41DE6E4A" w14:paraId="04840733" w14:textId="69334A70">
      <w:pPr>
        <w:pStyle w:val="SCVbullet1"/>
      </w:pPr>
      <w:r>
        <w:t>r</w:t>
      </w:r>
      <w:r w:rsidR="792479F8">
        <w:t xml:space="preserve">eport </w:t>
      </w:r>
      <w:r w:rsidR="1B38A756">
        <w:t>compliance with</w:t>
      </w:r>
      <w:r w:rsidR="792479F8">
        <w:t xml:space="preserve"> </w:t>
      </w:r>
      <w:r>
        <w:t xml:space="preserve">the </w:t>
      </w:r>
      <w:r w:rsidR="792479F8">
        <w:t xml:space="preserve">SDC undertakings to </w:t>
      </w:r>
      <w:r w:rsidR="1B38A756">
        <w:t>the relevant bodies as legally required</w:t>
      </w:r>
      <w:r w:rsidR="792479F8">
        <w:t xml:space="preserve">. These reports allow </w:t>
      </w:r>
      <w:r w:rsidR="1B38A756">
        <w:t>the</w:t>
      </w:r>
      <w:r w:rsidR="792479F8">
        <w:t xml:space="preserve"> health service</w:t>
      </w:r>
      <w:r w:rsidR="7CB8AE3E">
        <w:t xml:space="preserve"> entity’</w:t>
      </w:r>
      <w:r w:rsidR="792479F8">
        <w:t xml:space="preserve">s board to monitor </w:t>
      </w:r>
      <w:r>
        <w:t xml:space="preserve">the </w:t>
      </w:r>
      <w:r w:rsidR="792479F8">
        <w:t xml:space="preserve">SDC and must be made available for auditing by the relevant bodies. </w:t>
      </w:r>
    </w:p>
    <w:p w:rsidR="00D756C9" w:rsidP="00D756C9" w:rsidRDefault="00D756C9" w14:paraId="2133FB56" w14:textId="77777777">
      <w:pPr>
        <w:pStyle w:val="SCVbullet1"/>
        <w:numPr>
          <w:ilvl w:val="0"/>
          <w:numId w:val="0"/>
        </w:numPr>
      </w:pPr>
    </w:p>
    <w:p w:rsidR="00926D4A" w:rsidP="006D6F75" w:rsidRDefault="683F12D0" w14:paraId="31E964ED" w14:textId="2421C11E">
      <w:pPr>
        <w:pStyle w:val="SCVbullet1"/>
        <w:numPr>
          <w:ilvl w:val="0"/>
          <w:numId w:val="0"/>
        </w:numPr>
      </w:pPr>
      <w:r>
        <w:t>The reporting requirements are detailed in:</w:t>
      </w:r>
    </w:p>
    <w:p w:rsidRPr="00D756C9" w:rsidR="00926D4A" w:rsidRDefault="683F12D0" w14:paraId="64E8D7E0" w14:textId="6BC7716A">
      <w:pPr>
        <w:pStyle w:val="SCVbullet1"/>
      </w:pPr>
      <w:r w:rsidRPr="00D756C9">
        <w:t xml:space="preserve">the </w:t>
      </w:r>
      <w:r w:rsidRPr="00D756C9">
        <w:rPr>
          <w:i/>
          <w:iCs/>
        </w:rPr>
        <w:t>Health Services (Health Service Establishments) Regulations 2013</w:t>
      </w:r>
      <w:r w:rsidRPr="00D756C9">
        <w:t xml:space="preserve"> for health services that are health service establishments under the Act; and</w:t>
      </w:r>
    </w:p>
    <w:p w:rsidR="00926D4A" w:rsidP="1147C3B3" w:rsidRDefault="683F12D0" w14:paraId="3E8A837E" w14:textId="16FB1BE6">
      <w:pPr>
        <w:pStyle w:val="SCVbullet1"/>
      </w:pPr>
      <w:r>
        <w:t xml:space="preserve">the Policy and Funding Guidelines for health services that are funded agencies.  </w:t>
      </w:r>
    </w:p>
    <w:p w:rsidR="006D6F75" w:rsidP="00884C32" w:rsidRDefault="006D6F75" w14:paraId="145F974F" w14:textId="77777777">
      <w:pPr>
        <w:pStyle w:val="SCVbullet1"/>
        <w:numPr>
          <w:ilvl w:val="0"/>
          <w:numId w:val="0"/>
        </w:numPr>
        <w:ind w:left="284" w:hanging="284"/>
      </w:pPr>
    </w:p>
    <w:p w:rsidR="002D76D0" w:rsidP="008A55AF" w:rsidRDefault="00C90E81" w14:paraId="45D2CD96" w14:textId="1B6B3DA6">
      <w:pPr>
        <w:pStyle w:val="SCVbullet1"/>
        <w:numPr>
          <w:ilvl w:val="0"/>
          <w:numId w:val="0"/>
        </w:numPr>
        <w:rPr>
          <w:rFonts w:eastAsia="MS PGothic"/>
        </w:rPr>
      </w:pPr>
      <w:r w:rsidRPr="75AAB049">
        <w:rPr>
          <w:b/>
          <w:bCs/>
        </w:rPr>
        <w:lastRenderedPageBreak/>
        <w:t>Note:</w:t>
      </w:r>
      <w:r>
        <w:t xml:space="preserve"> </w:t>
      </w:r>
      <w:r w:rsidR="00884C32">
        <w:t xml:space="preserve">If it is identified through the </w:t>
      </w:r>
      <w:r w:rsidR="00673E4A">
        <w:t xml:space="preserve">review </w:t>
      </w:r>
      <w:r w:rsidR="00884C32">
        <w:t xml:space="preserve">process that a health professional has </w:t>
      </w:r>
      <w:r w:rsidR="00D3725A">
        <w:t>acted</w:t>
      </w:r>
      <w:r w:rsidR="00DD1BD4">
        <w:t xml:space="preserve"> in a way that constitutes</w:t>
      </w:r>
      <w:r w:rsidR="00822BFA">
        <w:t xml:space="preserve"> </w:t>
      </w:r>
      <w:r w:rsidR="00DD1BD4">
        <w:t>notifiable conduct</w:t>
      </w:r>
      <w:r w:rsidR="00822BFA">
        <w:t xml:space="preserve"> under the </w:t>
      </w:r>
      <w:r w:rsidRPr="75AAB049" w:rsidR="00822BFA">
        <w:rPr>
          <w:i/>
          <w:iCs/>
        </w:rPr>
        <w:t xml:space="preserve">Health </w:t>
      </w:r>
      <w:r w:rsidRPr="75AAB049" w:rsidR="00AA6F79">
        <w:rPr>
          <w:i/>
          <w:iCs/>
        </w:rPr>
        <w:t>Practitioner</w:t>
      </w:r>
      <w:r w:rsidRPr="75AAB049" w:rsidR="00822BFA">
        <w:rPr>
          <w:i/>
          <w:iCs/>
        </w:rPr>
        <w:t xml:space="preserve"> Regulation National Law Act 2009</w:t>
      </w:r>
      <w:r w:rsidR="00884C32">
        <w:t xml:space="preserve">, a </w:t>
      </w:r>
      <w:r w:rsidR="00262EFD">
        <w:t xml:space="preserve">staff </w:t>
      </w:r>
      <w:r w:rsidR="00884C32">
        <w:t>member must submit a concern to</w:t>
      </w:r>
      <w:r w:rsidR="0090437F">
        <w:t xml:space="preserve"> the </w:t>
      </w:r>
      <w:r w:rsidRPr="0090437F" w:rsidR="0090437F">
        <w:t>Australian Health Practitioner Regulation Agency</w:t>
      </w:r>
      <w:r w:rsidR="00884C32">
        <w:t xml:space="preserve"> </w:t>
      </w:r>
      <w:r w:rsidR="0090437F">
        <w:t>(</w:t>
      </w:r>
      <w:r w:rsidRPr="75AAB049" w:rsidR="00884C32">
        <w:rPr>
          <w:rFonts w:eastAsia="MS PGothic"/>
        </w:rPr>
        <w:t>Ahpra</w:t>
      </w:r>
      <w:r w:rsidR="0090437F">
        <w:rPr>
          <w:rFonts w:eastAsia="MS PGothic"/>
        </w:rPr>
        <w:t>)</w:t>
      </w:r>
      <w:r w:rsidR="00A7615A">
        <w:rPr>
          <w:rFonts w:eastAsia="MS PGothic"/>
        </w:rPr>
        <w:t>.</w:t>
      </w:r>
      <w:r w:rsidRPr="75AAB049" w:rsidR="00884C32">
        <w:rPr>
          <w:rFonts w:eastAsia="MS PGothic"/>
        </w:rPr>
        <w:t xml:space="preserve"> </w:t>
      </w:r>
      <w:r w:rsidRPr="00A7615A" w:rsidR="00A7615A">
        <w:rPr>
          <w:rFonts w:eastAsia="MS PGothic"/>
        </w:rPr>
        <w:t>It is recommended that this referral take place after a discussion has occurred with the relevant staff member.</w:t>
      </w:r>
    </w:p>
    <w:p w:rsidRPr="008A55AF" w:rsidR="008A55AF" w:rsidP="008A55AF" w:rsidRDefault="008A55AF" w14:paraId="45153157" w14:textId="77777777">
      <w:pPr>
        <w:pStyle w:val="SCVbullet1"/>
        <w:numPr>
          <w:ilvl w:val="0"/>
          <w:numId w:val="0"/>
        </w:numPr>
        <w:rPr>
          <w:rFonts w:eastAsia="MS PGothic"/>
        </w:rPr>
      </w:pPr>
    </w:p>
    <w:p w:rsidR="00077C0A" w:rsidP="008162ED" w:rsidRDefault="00E748EF" w14:paraId="0F5346CC" w14:textId="766618D0">
      <w:pPr>
        <w:pStyle w:val="Heading1"/>
      </w:pPr>
      <w:bookmarkStart w:name="_Toc117524303" w:id="20"/>
      <w:r>
        <w:t>6</w:t>
      </w:r>
      <w:r w:rsidR="008162ED">
        <w:t>.</w:t>
      </w:r>
      <w:r w:rsidR="00077C0A">
        <w:t xml:space="preserve"> Review</w:t>
      </w:r>
      <w:bookmarkEnd w:id="20"/>
      <w:r w:rsidR="008162ED">
        <w:t xml:space="preserve"> </w:t>
      </w:r>
    </w:p>
    <w:p w:rsidR="00077C0A" w:rsidP="00077C0A" w:rsidRDefault="000700DB" w14:paraId="069A0143" w14:textId="53EA50F9">
      <w:pPr>
        <w:pStyle w:val="SCVbody"/>
      </w:pPr>
      <w:r>
        <w:t xml:space="preserve">These Guidelines </w:t>
      </w:r>
      <w:r w:rsidR="00CE022A">
        <w:t xml:space="preserve">may </w:t>
      </w:r>
      <w:r>
        <w:t xml:space="preserve">be reviewed and updated </w:t>
      </w:r>
      <w:r w:rsidR="0029529A">
        <w:t xml:space="preserve">periodically </w:t>
      </w:r>
      <w:r>
        <w:t xml:space="preserve">and following significant incidents if they occur. Feedback received from </w:t>
      </w:r>
      <w:r w:rsidR="00195ED6">
        <w:t xml:space="preserve">patients and NOK </w:t>
      </w:r>
      <w:r>
        <w:t>will be considered as part of the review process. Where possible</w:t>
      </w:r>
      <w:r w:rsidR="008A6012">
        <w:t>,</w:t>
      </w:r>
      <w:r>
        <w:t xml:space="preserve"> </w:t>
      </w:r>
      <w:r w:rsidR="00BC6B8C">
        <w:t xml:space="preserve">when the Guidelines are </w:t>
      </w:r>
      <w:r w:rsidR="004259F4">
        <w:t xml:space="preserve">reviewed, collaboration </w:t>
      </w:r>
      <w:r w:rsidR="00D3725A">
        <w:t>will</w:t>
      </w:r>
      <w:r w:rsidR="004259F4">
        <w:t xml:space="preserve"> occur</w:t>
      </w:r>
      <w:r>
        <w:t xml:space="preserve"> with local Aboriginal communities, culturally and/or linguistically diverse communities and people with a disability.</w:t>
      </w:r>
    </w:p>
    <w:p w:rsidRPr="00077C0A" w:rsidR="000700DB" w:rsidP="00077C0A" w:rsidRDefault="000700DB" w14:paraId="6FC8F3D7" w14:textId="77777777">
      <w:pPr>
        <w:pStyle w:val="SCVbody"/>
      </w:pPr>
    </w:p>
    <w:p w:rsidR="00383661" w:rsidP="008162ED" w:rsidRDefault="00E748EF" w14:paraId="0C0668EB" w14:textId="5EC09F69">
      <w:pPr>
        <w:pStyle w:val="Heading1"/>
      </w:pPr>
      <w:bookmarkStart w:name="_Toc117524304" w:id="21"/>
      <w:r>
        <w:t>7</w:t>
      </w:r>
      <w:r w:rsidR="00077C0A">
        <w:t xml:space="preserve">. </w:t>
      </w:r>
      <w:r w:rsidR="008162ED">
        <w:t>Further information</w:t>
      </w:r>
      <w:bookmarkEnd w:id="21"/>
    </w:p>
    <w:p w:rsidR="00F8302B" w:rsidP="008162ED" w:rsidRDefault="008162ED" w14:paraId="5DDA726E" w14:textId="1963C1D0">
      <w:pPr>
        <w:pStyle w:val="SCVbody"/>
      </w:pPr>
      <w:r>
        <w:t xml:space="preserve">Further information </w:t>
      </w:r>
      <w:r w:rsidR="00370859">
        <w:t xml:space="preserve">and resources </w:t>
      </w:r>
      <w:r>
        <w:t xml:space="preserve">about the </w:t>
      </w:r>
      <w:hyperlink w:history="1" w:anchor=":~:text=around%20adverse%20events.-,Statutory%20duty%20of%20candour,and%20improvements%20put%20in%20place." r:id="rId30">
        <w:r w:rsidRPr="00BE1F8F" w:rsidR="00342765">
          <w:rPr>
            <w:rStyle w:val="Hyperlink"/>
          </w:rPr>
          <w:t>Statutory duty of candour</w:t>
        </w:r>
      </w:hyperlink>
      <w:r>
        <w:t xml:space="preserve"> </w:t>
      </w:r>
      <w:r w:rsidR="00C078AB">
        <w:t>&lt;</w:t>
      </w:r>
      <w:r w:rsidRPr="00C078AB" w:rsidR="00C078AB">
        <w:t>https://www.safercare.vic.gov.au/support-training/adverse-event-review-and-response/duty-of-candour</w:t>
      </w:r>
      <w:r w:rsidR="00E57DAA">
        <w:t>&gt;</w:t>
      </w:r>
      <w:r w:rsidR="00C078AB">
        <w:t xml:space="preserve"> </w:t>
      </w:r>
      <w:r>
        <w:t xml:space="preserve">can be found on the </w:t>
      </w:r>
      <w:r w:rsidRPr="00E57DAA" w:rsidR="00342765">
        <w:t>Safer Care Victoria</w:t>
      </w:r>
      <w:r w:rsidRPr="00E57DAA">
        <w:t xml:space="preserve"> </w:t>
      </w:r>
      <w:r w:rsidR="00A04A38">
        <w:t xml:space="preserve">(SCV) </w:t>
      </w:r>
      <w:r w:rsidRPr="00E57DAA">
        <w:t>website</w:t>
      </w:r>
      <w:r>
        <w:t>.</w:t>
      </w:r>
    </w:p>
    <w:p w:rsidR="00F8302B" w:rsidP="008162ED" w:rsidRDefault="008162ED" w14:paraId="02E36594" w14:textId="5AA21320">
      <w:pPr>
        <w:pStyle w:val="SCVbody"/>
      </w:pPr>
      <w:r>
        <w:t xml:space="preserve">This includes a link to additional </w:t>
      </w:r>
      <w:r w:rsidR="00F8302B">
        <w:t xml:space="preserve">information and </w:t>
      </w:r>
      <w:r>
        <w:t xml:space="preserve">resources that have been designed for </w:t>
      </w:r>
      <w:r w:rsidR="00342765">
        <w:t>health service entit</w:t>
      </w:r>
      <w:r w:rsidR="00D01AA3">
        <w:t>ies in Victoria outline</w:t>
      </w:r>
      <w:r w:rsidR="00F8302B">
        <w:t>d</w:t>
      </w:r>
      <w:r w:rsidR="00D01AA3">
        <w:t xml:space="preserve"> within this document.</w:t>
      </w:r>
      <w:r w:rsidR="00A04A38">
        <w:t xml:space="preserve"> Relevant contact information can also be found on the SCV website. </w:t>
      </w:r>
    </w:p>
    <w:p w:rsidR="00B04241" w:rsidP="006D53AC" w:rsidRDefault="00B04241" w14:paraId="1BC8A791" w14:textId="77777777">
      <w:pPr>
        <w:pStyle w:val="SCVpullouttext"/>
        <w:spacing w:line="260" w:lineRule="atLeast"/>
        <w:rPr>
          <w:rFonts w:eastAsiaTheme="majorEastAsia"/>
        </w:rPr>
      </w:pPr>
    </w:p>
    <w:p w:rsidR="00284C3C" w:rsidRDefault="00077C0A" w14:paraId="5ED62FB7" w14:textId="09EF74B1">
      <w:pPr>
        <w:pStyle w:val="Heading1"/>
      </w:pPr>
      <w:bookmarkStart w:name="_Toc117524305" w:id="22"/>
      <w:r>
        <w:t>8</w:t>
      </w:r>
      <w:r w:rsidR="005203A7">
        <w:t xml:space="preserve">. </w:t>
      </w:r>
      <w:r w:rsidR="00B109A8">
        <w:t>Re</w:t>
      </w:r>
      <w:r w:rsidR="00891EDE">
        <w:t>lated Act</w:t>
      </w:r>
      <w:r>
        <w:t>s</w:t>
      </w:r>
      <w:r w:rsidR="00891EDE">
        <w:t xml:space="preserve"> and other </w:t>
      </w:r>
      <w:r w:rsidR="00DB4AB4">
        <w:t>resources</w:t>
      </w:r>
      <w:bookmarkEnd w:id="22"/>
    </w:p>
    <w:p w:rsidR="001C4D20" w:rsidP="00CE4E5D" w:rsidRDefault="007E7785" w14:paraId="21F35C7F" w14:textId="2A216E48">
      <w:pPr>
        <w:pStyle w:val="SCVbody"/>
        <w:rPr>
          <w:rStyle w:val="Hyperlink"/>
          <w:i/>
          <w:iCs/>
        </w:rPr>
      </w:pPr>
      <w:hyperlink w:history="1" r:id="rId31">
        <w:r w:rsidRPr="00FA175D" w:rsidR="001C4D20">
          <w:rPr>
            <w:rStyle w:val="Hyperlink"/>
            <w:i/>
            <w:iCs/>
          </w:rPr>
          <w:t>Ambulance Services Act 1986</w:t>
        </w:r>
      </w:hyperlink>
    </w:p>
    <w:p w:rsidRPr="001578F9" w:rsidR="001578F9" w:rsidP="00CE4E5D" w:rsidRDefault="007E7785" w14:paraId="416CC2DC" w14:textId="78AC9405">
      <w:pPr>
        <w:pStyle w:val="SCVbody"/>
      </w:pPr>
      <w:hyperlink w:history="1" r:id="rId32">
        <w:r w:rsidRPr="00201708" w:rsidR="001578F9">
          <w:rPr>
            <w:rStyle w:val="Hyperlink"/>
          </w:rPr>
          <w:t>Expert Working Group report on statutory duty of candour</w:t>
        </w:r>
      </w:hyperlink>
    </w:p>
    <w:p w:rsidR="001C4D20" w:rsidP="00CE4E5D" w:rsidRDefault="007E7785" w14:paraId="10302EE2" w14:textId="4697C791">
      <w:pPr>
        <w:pStyle w:val="SCVbody"/>
        <w:rPr>
          <w:i/>
          <w:iCs/>
        </w:rPr>
      </w:pPr>
      <w:hyperlink w:history="1" r:id="rId33">
        <w:r w:rsidRPr="003E54CD" w:rsidR="001C4D20">
          <w:rPr>
            <w:rStyle w:val="Hyperlink"/>
            <w:i/>
            <w:iCs/>
          </w:rPr>
          <w:t>Health Legislation Amendment (Quality and Safety) Act 2022</w:t>
        </w:r>
      </w:hyperlink>
    </w:p>
    <w:p w:rsidR="001C4D20" w:rsidP="00CE4E5D" w:rsidRDefault="007E7785" w14:paraId="2383572A" w14:textId="79B6AF1F">
      <w:pPr>
        <w:pStyle w:val="SCVbody"/>
        <w:rPr>
          <w:rStyle w:val="Hyperlink"/>
          <w:i/>
          <w:iCs/>
        </w:rPr>
      </w:pPr>
      <w:hyperlink w:history="1" r:id="rId34">
        <w:r w:rsidRPr="003E54CD" w:rsidR="001C4D20">
          <w:rPr>
            <w:rStyle w:val="Hyperlink"/>
            <w:i/>
            <w:iCs/>
          </w:rPr>
          <w:t>Health Services Act 1988</w:t>
        </w:r>
      </w:hyperlink>
    </w:p>
    <w:p w:rsidR="00275CE3" w:rsidP="00CE4E5D" w:rsidRDefault="007E7785" w14:paraId="289243D1" w14:textId="38D6BA39">
      <w:pPr>
        <w:pStyle w:val="SCVbody"/>
        <w:rPr>
          <w:i/>
          <w:iCs/>
        </w:rPr>
      </w:pPr>
      <w:hyperlink r:id="rId35">
        <w:r w:rsidRPr="0E1F860E" w:rsidR="09A29476">
          <w:rPr>
            <w:rStyle w:val="Hyperlink"/>
            <w:i/>
            <w:iCs/>
          </w:rPr>
          <w:t>Health Services (Quality and Safety) Regulations 202</w:t>
        </w:r>
        <w:r w:rsidRPr="0E1F860E" w:rsidR="738FE989">
          <w:rPr>
            <w:rStyle w:val="Hyperlink"/>
            <w:i/>
            <w:iCs/>
          </w:rPr>
          <w:t>0</w:t>
        </w:r>
      </w:hyperlink>
    </w:p>
    <w:p w:rsidR="00E432DB" w:rsidP="00CE4E5D" w:rsidRDefault="007E7785" w14:paraId="4B065C07" w14:textId="38D6BA39">
      <w:pPr>
        <w:pStyle w:val="SCVbody"/>
        <w:rPr>
          <w:i/>
          <w:iCs/>
        </w:rPr>
      </w:pPr>
      <w:hyperlink r:id="rId36">
        <w:r w:rsidRPr="0E1F860E" w:rsidR="00E432DB">
          <w:rPr>
            <w:rStyle w:val="Hyperlink"/>
          </w:rPr>
          <w:t>Learning and education | Safer Care Victoria</w:t>
        </w:r>
      </w:hyperlink>
    </w:p>
    <w:p w:rsidR="001C4D20" w:rsidP="00CE4E5D" w:rsidRDefault="007E7785" w14:paraId="00B3AF8B" w14:textId="035005B4">
      <w:pPr>
        <w:pStyle w:val="SCVbody"/>
        <w:rPr>
          <w:i/>
          <w:iCs/>
        </w:rPr>
      </w:pPr>
      <w:hyperlink w:history="1" r:id="rId37">
        <w:r w:rsidRPr="005C384D" w:rsidR="001C4D20">
          <w:rPr>
            <w:rStyle w:val="Hyperlink"/>
            <w:i/>
            <w:iCs/>
          </w:rPr>
          <w:t>Mental Health Act 2014</w:t>
        </w:r>
      </w:hyperlink>
    </w:p>
    <w:p w:rsidR="001C4D20" w:rsidP="00CE4E5D" w:rsidRDefault="007E7785" w14:paraId="08620D57" w14:textId="218F9F63">
      <w:pPr>
        <w:pStyle w:val="SCVbody"/>
      </w:pPr>
      <w:hyperlink w:history="1" r:id="rId38">
        <w:r w:rsidRPr="007C5150" w:rsidR="001C4D20">
          <w:rPr>
            <w:rStyle w:val="Hyperlink"/>
          </w:rPr>
          <w:t>Policy: Adverse patient safety events</w:t>
        </w:r>
      </w:hyperlink>
    </w:p>
    <w:p w:rsidR="001C4D20" w:rsidP="00CE4E5D" w:rsidRDefault="007E7785" w14:paraId="34A66BAB" w14:textId="228B4E18">
      <w:pPr>
        <w:pStyle w:val="SCVbody"/>
      </w:pPr>
      <w:hyperlink w:history="1" r:id="rId39">
        <w:r w:rsidRPr="007E7785" w:rsidR="001C4D20">
          <w:rPr>
            <w:rStyle w:val="Hyperlink"/>
          </w:rPr>
          <w:t>Protections for</w:t>
        </w:r>
        <w:r w:rsidRPr="007E7785" w:rsidR="00665A04">
          <w:rPr>
            <w:rStyle w:val="Hyperlink"/>
          </w:rPr>
          <w:t xml:space="preserve"> serious adverse patient safety event</w:t>
        </w:r>
        <w:r w:rsidRPr="007E7785" w:rsidR="001C4D20">
          <w:rPr>
            <w:rStyle w:val="Hyperlink"/>
          </w:rPr>
          <w:t xml:space="preserve"> </w:t>
        </w:r>
        <w:r w:rsidRPr="007E7785" w:rsidR="00665A04">
          <w:rPr>
            <w:rStyle w:val="Hyperlink"/>
          </w:rPr>
          <w:t>(</w:t>
        </w:r>
        <w:r w:rsidRPr="007E7785" w:rsidR="001C4D20">
          <w:rPr>
            <w:rStyle w:val="Hyperlink"/>
          </w:rPr>
          <w:t>SAPSE</w:t>
        </w:r>
        <w:r w:rsidRPr="007E7785" w:rsidR="00665A04">
          <w:rPr>
            <w:rStyle w:val="Hyperlink"/>
          </w:rPr>
          <w:t>)</w:t>
        </w:r>
        <w:r w:rsidRPr="007E7785" w:rsidR="001C4D20">
          <w:rPr>
            <w:rStyle w:val="Hyperlink"/>
          </w:rPr>
          <w:t xml:space="preserve"> reviews</w:t>
        </w:r>
      </w:hyperlink>
      <w:r w:rsidR="001C4D20">
        <w:t xml:space="preserve"> </w:t>
      </w:r>
    </w:p>
    <w:p w:rsidRPr="00BD2B13" w:rsidR="00CA2876" w:rsidP="00CE4E5D" w:rsidRDefault="007E7785" w14:paraId="7DC72B3F" w14:textId="09DC768B">
      <w:pPr>
        <w:pStyle w:val="SCVbody"/>
      </w:pPr>
      <w:hyperlink w:history="1" r:id="rId40">
        <w:r w:rsidR="00CA2876">
          <w:rPr>
            <w:rStyle w:val="Hyperlink"/>
          </w:rPr>
          <w:t>Statutory Duty of Candour and protections for SAPSE reviews | Safer Care Victoria</w:t>
        </w:r>
      </w:hyperlink>
    </w:p>
    <w:p w:rsidR="000802B4" w:rsidP="00CE4E5D" w:rsidRDefault="007E7785" w14:paraId="5E76702E" w14:textId="5F2083BC">
      <w:pPr>
        <w:pStyle w:val="SCVbody"/>
      </w:pPr>
      <w:hyperlink w:history="1" r:id="rId41">
        <w:r w:rsidRPr="00B45720" w:rsidR="000802B4">
          <w:rPr>
            <w:rStyle w:val="Hyperlink"/>
          </w:rPr>
          <w:t xml:space="preserve">Targeting </w:t>
        </w:r>
        <w:r w:rsidR="000802B4">
          <w:rPr>
            <w:rStyle w:val="Hyperlink"/>
          </w:rPr>
          <w:t>z</w:t>
        </w:r>
        <w:r w:rsidRPr="00B45720" w:rsidR="000802B4">
          <w:rPr>
            <w:rStyle w:val="Hyperlink"/>
          </w:rPr>
          <w:t>ero report</w:t>
        </w:r>
        <w:r w:rsidR="000802B4">
          <w:rPr>
            <w:rStyle w:val="Hyperlink"/>
          </w:rPr>
          <w:t xml:space="preserve">: </w:t>
        </w:r>
        <w:r w:rsidRPr="000D5579" w:rsidR="000802B4">
          <w:rPr>
            <w:rStyle w:val="Hyperlink"/>
          </w:rPr>
          <w:t>Better, Safer Care, Delivering a world-leading healthcare system</w:t>
        </w:r>
      </w:hyperlink>
    </w:p>
    <w:p w:rsidR="001C4D20" w:rsidP="00CE4E5D" w:rsidRDefault="007E7785" w14:paraId="35DD81B6" w14:textId="6D25CEAB">
      <w:pPr>
        <w:pStyle w:val="SCVbody"/>
      </w:pPr>
      <w:hyperlink w:history="1" r:id="rId42">
        <w:r w:rsidRPr="00E43A0B" w:rsidR="001C4D20">
          <w:rPr>
            <w:rStyle w:val="Hyperlink"/>
          </w:rPr>
          <w:t>The Australian Open Disclosure Framework</w:t>
        </w:r>
      </w:hyperlink>
    </w:p>
    <w:p w:rsidR="001C4D20" w:rsidP="00284C3C" w:rsidRDefault="007E7785" w14:paraId="1995FDCB" w14:textId="06DEC638">
      <w:pPr>
        <w:pStyle w:val="SCVbody"/>
      </w:pPr>
      <w:hyperlink w:history="1" r:id="rId43">
        <w:r w:rsidRPr="00CB4AFB" w:rsidR="001C4D20">
          <w:rPr>
            <w:rStyle w:val="Hyperlink"/>
          </w:rPr>
          <w:t>Victorian Duty of Candour Framework</w:t>
        </w:r>
      </w:hyperlink>
    </w:p>
    <w:p w:rsidRPr="0059267A" w:rsidR="001C4D20" w:rsidP="00284C3C" w:rsidRDefault="007E7785" w14:paraId="0DC5E415" w14:textId="64ADA78F">
      <w:pPr>
        <w:pStyle w:val="SCVbody"/>
      </w:pPr>
      <w:hyperlink w:history="1" r:id="rId44">
        <w:r w:rsidRPr="00837663" w:rsidR="198DAE13">
          <w:rPr>
            <w:rStyle w:val="Hyperlink"/>
          </w:rPr>
          <w:t>Victorian sentinel events guide</w:t>
        </w:r>
      </w:hyperlink>
    </w:p>
    <w:p w:rsidRPr="00B45720" w:rsidR="617511EA" w:rsidP="00D3725A" w:rsidRDefault="00B45720" w14:paraId="74B8671E" w14:textId="42793008">
      <w:pPr>
        <w:pStyle w:val="SCVbody"/>
        <w:rPr>
          <w:rStyle w:val="Hyperlink"/>
        </w:rPr>
        <w:sectPr w:rsidRPr="00B45720" w:rsidR="617511EA" w:rsidSect="00284C3C">
          <w:pgSz w:w="11906" w:h="16838" w:code="9"/>
          <w:pgMar w:top="3402" w:right="851" w:bottom="1361" w:left="851" w:header="851" w:footer="851" w:gutter="0"/>
          <w:cols w:space="284"/>
          <w:docGrid w:linePitch="360"/>
        </w:sectPr>
      </w:pPr>
      <w:r>
        <w:fldChar w:fldCharType="begin"/>
      </w:r>
      <w:r>
        <w:instrText xml:space="preserve"> HYPERLINK "https://www.dhhs.vic.gov.au/publications/targeting-zero-review-hospital-safety-and-quality-assurance-victoria" </w:instrText>
      </w:r>
      <w:r>
        <w:fldChar w:fldCharType="separate"/>
      </w:r>
    </w:p>
    <w:p w:rsidRPr="0059267A" w:rsidR="00E22A20" w:rsidP="00A45CB0" w:rsidRDefault="00B45720" w14:paraId="36D8161C" w14:textId="59CAAD3A">
      <w:pPr>
        <w:pStyle w:val="SCVbody"/>
      </w:pPr>
      <w:r>
        <w:lastRenderedPageBreak/>
        <w:fldChar w:fldCharType="end"/>
      </w:r>
    </w:p>
    <w:sectPr w:rsidRPr="0059267A" w:rsidR="00E22A20" w:rsidSect="00EC2F85">
      <w:headerReference w:type="even" r:id="rId45"/>
      <w:headerReference w:type="default" r:id="rId46"/>
      <w:footerReference w:type="even" r:id="rId47"/>
      <w:footerReference w:type="default" r:id="rId48"/>
      <w:pgSz w:w="11906" w:h="16838" w:code="9"/>
      <w:pgMar w:top="3402" w:right="851" w:bottom="1361"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2001" w:rsidP="002D711A" w:rsidRDefault="00672001" w14:paraId="644A7043" w14:textId="77777777">
      <w:pPr>
        <w:spacing w:after="0" w:line="240" w:lineRule="auto"/>
      </w:pPr>
      <w:r>
        <w:separator/>
      </w:r>
    </w:p>
  </w:endnote>
  <w:endnote w:type="continuationSeparator" w:id="0">
    <w:p w:rsidR="00672001" w:rsidP="002D711A" w:rsidRDefault="00672001" w14:paraId="1B58BAA5" w14:textId="77777777">
      <w:pPr>
        <w:spacing w:after="0" w:line="240" w:lineRule="auto"/>
      </w:pPr>
      <w:r>
        <w:continuationSeparator/>
      </w:r>
    </w:p>
  </w:endnote>
  <w:endnote w:type="continuationNotice" w:id="1">
    <w:p w:rsidR="00672001" w:rsidRDefault="00672001" w14:paraId="470A701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84C3C" w:rsidRDefault="00284C3C" w14:paraId="20DE1CB8" w14:textId="008DBFAC">
    <w:pPr>
      <w:pStyle w:val="Footer"/>
    </w:pPr>
    <w:r>
      <mc:AlternateContent>
        <mc:Choice Requires="wps">
          <w:drawing>
            <wp:anchor distT="0" distB="0" distL="114300" distR="114300" simplePos="1" relativeHeight="251658249" behindDoc="0" locked="0" layoutInCell="0" allowOverlap="1" wp14:anchorId="58FED71D" wp14:editId="7BAB8913">
              <wp:simplePos x="0" y="10189687"/>
              <wp:positionH relativeFrom="page">
                <wp:posOffset>0</wp:posOffset>
              </wp:positionH>
              <wp:positionV relativeFrom="page">
                <wp:posOffset>10189210</wp:posOffset>
              </wp:positionV>
              <wp:extent cx="7560310" cy="311785"/>
              <wp:effectExtent l="0" t="0" r="0" b="12065"/>
              <wp:wrapNone/>
              <wp:docPr id="8" name="MSIPCM55da4300b6b8fd2c260e004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5966" w:rsidR="00284C3C" w:rsidP="007D5966" w:rsidRDefault="00284C3C" w14:paraId="6F277003" w14:textId="6101B550">
                          <w:pPr>
                            <w:spacing w:before="0" w:after="0"/>
                            <w:jc w:val="center"/>
                            <w:rPr>
                              <w:rFonts w:ascii="Arial Black" w:hAnsi="Arial Black"/>
                              <w:color w:val="000000"/>
                            </w:rPr>
                          </w:pPr>
                          <w:r w:rsidRPr="007D59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w14:anchorId="5F51C5E4">
            <v:shapetype id="_x0000_t202" coordsize="21600,21600" o:spt="202" path="m,l,21600r21600,l21600,xe" w14:anchorId="58FED71D">
              <v:stroke joinstyle="miter"/>
              <v:path gradientshapeok="t" o:connecttype="rect"/>
            </v:shapetype>
            <v:shape id="MSIPCM55da4300b6b8fd2c260e0043"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7D5966" w:rsidR="00284C3C" w:rsidP="007D5966" w:rsidRDefault="00284C3C" w14:paraId="08CE8BEA" w14:textId="6101B550">
                    <w:pPr>
                      <w:spacing w:before="0" w:after="0"/>
                      <w:jc w:val="center"/>
                      <w:rPr>
                        <w:rFonts w:ascii="Arial Black" w:hAnsi="Arial Black"/>
                        <w:color w:val="000000"/>
                      </w:rPr>
                    </w:pPr>
                    <w:r w:rsidRPr="007D596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6B337A" w:rsidR="00284C3C" w:rsidP="006B337A" w:rsidRDefault="00284C3C" w14:paraId="2541CB02" w14:textId="4E8985A6">
    <w:pPr>
      <w:pStyle w:val="SCVheaderempty"/>
    </w:pPr>
    <w:r>
      <w:rPr>
        <w:noProof/>
      </w:rPr>
      <mc:AlternateContent>
        <mc:Choice Requires="wps">
          <w:drawing>
            <wp:anchor distT="0" distB="0" distL="114300" distR="114300" simplePos="0" relativeHeight="251658248" behindDoc="0" locked="0" layoutInCell="0" allowOverlap="1" wp14:anchorId="0CD9211A" wp14:editId="1509E6E6">
              <wp:simplePos x="0" y="0"/>
              <wp:positionH relativeFrom="page">
                <wp:posOffset>0</wp:posOffset>
              </wp:positionH>
              <wp:positionV relativeFrom="page">
                <wp:posOffset>10189210</wp:posOffset>
              </wp:positionV>
              <wp:extent cx="7560310" cy="311785"/>
              <wp:effectExtent l="0" t="0" r="0" b="12065"/>
              <wp:wrapNone/>
              <wp:docPr id="2" name="MSIPCMa2a34b3c8b7d59ec7dc6da2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5966" w:rsidR="00284C3C" w:rsidP="007D5966" w:rsidRDefault="00284C3C" w14:paraId="69AACFE3" w14:textId="291CD27B">
                          <w:pPr>
                            <w:spacing w:before="0" w:after="0"/>
                            <w:jc w:val="center"/>
                            <w:rPr>
                              <w:rFonts w:ascii="Arial Black" w:hAnsi="Arial Black"/>
                              <w:color w:val="000000"/>
                            </w:rPr>
                          </w:pPr>
                          <w:r w:rsidRPr="007D59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w14:anchorId="6E5A7A3F">
            <v:shapetype id="_x0000_t202" coordsize="21600,21600" o:spt="202" path="m,l,21600r21600,l21600,xe" w14:anchorId="0CD9211A">
              <v:stroke joinstyle="miter"/>
              <v:path gradientshapeok="t" o:connecttype="rect"/>
            </v:shapetype>
            <v:shape id="MSIPCMa2a34b3c8b7d59ec7dc6da21"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7D5966" w:rsidR="00284C3C" w:rsidP="007D5966" w:rsidRDefault="00284C3C" w14:paraId="171AAEBA" w14:textId="291CD27B">
                    <w:pPr>
                      <w:spacing w:before="0" w:after="0"/>
                      <w:jc w:val="center"/>
                      <w:rPr>
                        <w:rFonts w:ascii="Arial Black" w:hAnsi="Arial Black"/>
                        <w:color w:val="000000"/>
                      </w:rPr>
                    </w:pPr>
                    <w:r w:rsidRPr="007D596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B52" w:rsidRDefault="00511B52" w14:paraId="7AEF866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A5891" w:rsidR="00284C3C" w:rsidP="006B5EEF" w:rsidRDefault="00284C3C" w14:paraId="23EE2D61" w14:textId="4B45EBF2">
    <w:pPr>
      <w:pStyle w:val="SCVfooterempty"/>
      <w:pBdr>
        <w:top w:val="single" w:color="D9D9D9" w:themeColor="background1" w:themeShade="D9" w:sz="8" w:space="6"/>
      </w:pBdr>
      <w:tabs>
        <w:tab w:val="clear" w:pos="1304"/>
        <w:tab w:val="center" w:pos="5102"/>
        <w:tab w:val="left" w:pos="7888"/>
      </w:tabs>
    </w:pPr>
    <w:r>
      <w:rPr>
        <w:noProof/>
      </w:rPr>
      <mc:AlternateContent>
        <mc:Choice Requires="wps">
          <w:drawing>
            <wp:anchor distT="0" distB="0" distL="114300" distR="114300" simplePos="0" relativeHeight="251658247" behindDoc="0" locked="0" layoutInCell="0" allowOverlap="1" wp14:anchorId="4CBE7B83" wp14:editId="73E24F6F">
              <wp:simplePos x="0" y="0"/>
              <wp:positionH relativeFrom="page">
                <wp:posOffset>0</wp:posOffset>
              </wp:positionH>
              <wp:positionV relativeFrom="page">
                <wp:posOffset>10189210</wp:posOffset>
              </wp:positionV>
              <wp:extent cx="7560310" cy="311785"/>
              <wp:effectExtent l="0" t="0" r="0" b="12065"/>
              <wp:wrapNone/>
              <wp:docPr id="14" name="MSIPCMb16440f2b37679aa829def6b"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5966" w:rsidR="00284C3C" w:rsidP="007D5966" w:rsidRDefault="00284C3C" w14:paraId="6F2D93C5" w14:textId="34E3F158">
                          <w:pPr>
                            <w:spacing w:before="0" w:after="0"/>
                            <w:jc w:val="center"/>
                            <w:rPr>
                              <w:rFonts w:ascii="Arial Black" w:hAnsi="Arial Black"/>
                              <w:color w:val="000000"/>
                            </w:rPr>
                          </w:pPr>
                          <w:r w:rsidRPr="007D59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w14:anchorId="4FAE28FC">
            <v:shapetype id="_x0000_t202" coordsize="21600,21600" o:spt="202" path="m,l,21600r21600,l21600,xe" w14:anchorId="4CBE7B83">
              <v:stroke joinstyle="miter"/>
              <v:path gradientshapeok="t" o:connecttype="rect"/>
            </v:shapetype>
            <v:shape id="MSIPCMb16440f2b37679aa829def6b"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7D5966" w:rsidR="00284C3C" w:rsidP="007D5966" w:rsidRDefault="00284C3C" w14:paraId="17D1F485" w14:textId="34E3F158">
                    <w:pPr>
                      <w:spacing w:before="0" w:after="0"/>
                      <w:jc w:val="center"/>
                      <w:rPr>
                        <w:rFonts w:ascii="Arial Black" w:hAnsi="Arial Black"/>
                        <w:color w:val="000000"/>
                      </w:rPr>
                    </w:pPr>
                    <w:r w:rsidRPr="007D5966">
                      <w:rPr>
                        <w:rFonts w:ascii="Arial Black" w:hAnsi="Arial Black"/>
                        <w:color w:val="000000"/>
                      </w:rPr>
                      <w:t>OFFICIAL</w:t>
                    </w:r>
                  </w:p>
                </w:txbxContent>
              </v:textbox>
              <w10:wrap anchorx="page" anchory="page"/>
            </v:shape>
          </w:pict>
        </mc:Fallback>
      </mc:AlternateContent>
    </w:r>
    <w:r w:rsidR="002A7DB4">
      <w:tab/>
    </w:r>
    <w:r>
      <w:fldChar w:fldCharType="begin"/>
    </w:r>
    <w:r>
      <w:instrText>TITLE  \* FirstCap  \* MERGEFORMAT</w:instrText>
    </w:r>
    <w:r>
      <w:fldChar w:fldCharType="separate"/>
    </w:r>
    <w:r w:rsidR="002A7DB4">
      <w:t xml:space="preserve">Victorian </w:t>
    </w:r>
    <w:r w:rsidR="002842DF">
      <w:t>D</w:t>
    </w:r>
    <w:r w:rsidR="002A7DB4">
      <w:t xml:space="preserve">uty of </w:t>
    </w:r>
    <w:r w:rsidR="002842DF">
      <w:t>C</w:t>
    </w:r>
    <w:r w:rsidR="002A7DB4">
      <w:t xml:space="preserve">andour </w:t>
    </w:r>
    <w:r w:rsidR="002842DF">
      <w:t>G</w:t>
    </w:r>
    <w:r w:rsidR="002A7DB4">
      <w:t>uidelines</w:t>
    </w:r>
    <w:r>
      <w:fldChar w:fldCharType="end"/>
    </w:r>
    <w:r w:rsidR="00B05F66">
      <w:t xml:space="preserve"> </w:t>
    </w:r>
    <w:r w:rsidR="000473EA">
      <w:tab/>
    </w:r>
    <w:r w:rsidR="00B05F66">
      <w:tab/>
    </w:r>
    <w:r w:rsidRPr="006F42CE" w:rsidR="00347524">
      <w:rPr>
        <w:b/>
        <w:bCs/>
        <w:noProof/>
      </w:rPr>
      <w:t>Safer Care Victoria</w:t>
    </w:r>
    <w:r w:rsidR="000021DB">
      <w:t xml:space="preserve">       </w:t>
    </w:r>
    <w:r w:rsidR="000473EA">
      <w:fldChar w:fldCharType="begin"/>
    </w:r>
    <w:r w:rsidR="000473EA">
      <w:instrText xml:space="preserve"> PAGE   \* MERGEFORMAT </w:instrText>
    </w:r>
    <w:r w:rsidR="000473EA">
      <w:fldChar w:fldCharType="separate"/>
    </w:r>
    <w:r w:rsidR="000473EA">
      <w:rPr>
        <w:noProof/>
      </w:rPr>
      <w:t>1</w:t>
    </w:r>
    <w:r w:rsidR="000473EA">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6B337A" w:rsidR="00284C3C" w:rsidP="009320C1" w:rsidRDefault="000473EA" w14:paraId="1F51DD9A" w14:textId="5D514402">
    <w:pPr>
      <w:pStyle w:val="SCVheaderempty"/>
      <w:pBdr>
        <w:top w:val="single" w:color="D9D9D9" w:themeColor="background1" w:themeShade="D9" w:sz="8" w:space="6"/>
      </w:pBdr>
      <w:tabs>
        <w:tab w:val="clear" w:pos="1304"/>
        <w:tab w:val="center" w:pos="5102"/>
        <w:tab w:val="left" w:pos="7245"/>
      </w:tabs>
    </w:pPr>
    <w:r>
      <w:fldChar w:fldCharType="begin"/>
    </w:r>
    <w:r>
      <w:instrText xml:space="preserve"> PAGE   \* MERGEFORMAT </w:instrText>
    </w:r>
    <w:r>
      <w:fldChar w:fldCharType="separate"/>
    </w:r>
    <w:r>
      <w:rPr>
        <w:noProof/>
      </w:rPr>
      <w:t>1</w:t>
    </w:r>
    <w:r>
      <w:rPr>
        <w:noProof/>
      </w:rPr>
      <w:fldChar w:fldCharType="end"/>
    </w:r>
    <w:r w:rsidR="00284C3C">
      <w:rPr>
        <w:noProof/>
      </w:rPr>
      <mc:AlternateContent>
        <mc:Choice Requires="wps">
          <w:drawing>
            <wp:anchor distT="0" distB="0" distL="114300" distR="114300" simplePos="0" relativeHeight="251658241" behindDoc="0" locked="0" layoutInCell="0" allowOverlap="1" wp14:anchorId="2D90F7DF" wp14:editId="47BDE193">
              <wp:simplePos x="0" y="0"/>
              <wp:positionH relativeFrom="page">
                <wp:posOffset>0</wp:posOffset>
              </wp:positionH>
              <wp:positionV relativeFrom="page">
                <wp:posOffset>10189687</wp:posOffset>
              </wp:positionV>
              <wp:extent cx="7560310" cy="311785"/>
              <wp:effectExtent l="0" t="0" r="0" b="12065"/>
              <wp:wrapNone/>
              <wp:docPr id="13" name="MSIPCM57e24070a1d848c071457ba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5966" w:rsidR="00284C3C" w:rsidP="007D5966" w:rsidRDefault="00284C3C" w14:paraId="6D91F343" w14:textId="29FAE87E">
                          <w:pPr>
                            <w:spacing w:before="0" w:after="0"/>
                            <w:jc w:val="center"/>
                            <w:rPr>
                              <w:rFonts w:ascii="Arial Black" w:hAnsi="Arial Black"/>
                              <w:color w:val="000000"/>
                            </w:rPr>
                          </w:pPr>
                          <w:r w:rsidRPr="007D59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w14:anchorId="6477E1A6">
            <v:shapetype id="_x0000_t202" coordsize="21600,21600" o:spt="202" path="m,l,21600r21600,l21600,xe" w14:anchorId="2D90F7DF">
              <v:stroke joinstyle="miter"/>
              <v:path gradientshapeok="t" o:connecttype="rect"/>
            </v:shapetype>
            <v:shape id="MSIPCM57e24070a1d848c071457bae"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v:textbox inset=",0,,0">
                <w:txbxContent>
                  <w:p w:rsidRPr="007D5966" w:rsidR="00284C3C" w:rsidP="007D5966" w:rsidRDefault="00284C3C" w14:paraId="75F360E3" w14:textId="29FAE87E">
                    <w:pPr>
                      <w:spacing w:before="0" w:after="0"/>
                      <w:jc w:val="center"/>
                      <w:rPr>
                        <w:rFonts w:ascii="Arial Black" w:hAnsi="Arial Black"/>
                        <w:color w:val="000000"/>
                      </w:rPr>
                    </w:pPr>
                    <w:r w:rsidRPr="007D5966">
                      <w:rPr>
                        <w:rFonts w:ascii="Arial Black" w:hAnsi="Arial Black"/>
                        <w:color w:val="000000"/>
                      </w:rPr>
                      <w:t>OFFICIAL</w:t>
                    </w:r>
                  </w:p>
                </w:txbxContent>
              </v:textbox>
              <w10:wrap anchorx="page" anchory="page"/>
            </v:shape>
          </w:pict>
        </mc:Fallback>
      </mc:AlternateContent>
    </w:r>
    <w:r w:rsidR="00082CFD">
      <w:rPr>
        <w:noProof/>
      </w:rPr>
      <w:t xml:space="preserve"> </w:t>
    </w:r>
    <w:r w:rsidR="00B05F66">
      <w:rPr>
        <w:noProof/>
      </w:rPr>
      <w:t xml:space="preserve">  </w:t>
    </w:r>
    <w:r w:rsidR="00082CFD">
      <w:rPr>
        <w:noProof/>
      </w:rPr>
      <w:t xml:space="preserve"> </w:t>
    </w:r>
    <w:r w:rsidRPr="00481A76" w:rsidR="00082CFD">
      <w:rPr>
        <w:b/>
        <w:bCs/>
        <w:noProof/>
      </w:rPr>
      <w:t>Safer</w:t>
    </w:r>
    <w:r w:rsidRPr="00481A76" w:rsidR="00B05F66">
      <w:rPr>
        <w:b/>
        <w:bCs/>
        <w:noProof/>
      </w:rPr>
      <w:t xml:space="preserve"> Care Victoria</w:t>
    </w:r>
    <w:r w:rsidR="00154E95">
      <w:tab/>
    </w:r>
    <w:sdt>
      <w:sdtPr>
        <w:alias w:val="Title"/>
        <w:tag w:val=""/>
        <w:id w:val="-503432537"/>
        <w:placeholder>
          <w:docPart w:val="9922F25561A345B8AAE2984745D27F7B"/>
        </w:placeholder>
        <w:dataBinding w:prefixMappings="xmlns:ns0='http://purl.org/dc/elements/1.1/' xmlns:ns1='http://schemas.openxmlformats.org/package/2006/metadata/core-properties' " w:xpath="/ns1:coreProperties[1]/ns0:title[1]" w:storeItemID="{6C3C8BC8-F283-45AE-878A-BAB7291924A1}"/>
        <w:text/>
      </w:sdtPr>
      <w:sdtEndPr/>
      <w:sdtContent>
        <w:r w:rsidR="006C47C9">
          <w:t xml:space="preserve">Victorian </w:t>
        </w:r>
        <w:r w:rsidR="002842DF">
          <w:t>D</w:t>
        </w:r>
        <w:r w:rsidR="006C47C9">
          <w:t xml:space="preserve">uty of </w:t>
        </w:r>
        <w:r w:rsidR="002842DF">
          <w:t>C</w:t>
        </w:r>
        <w:r w:rsidR="006C47C9">
          <w:t xml:space="preserve">andour </w:t>
        </w:r>
        <w:r w:rsidR="002842DF">
          <w:t>G</w:t>
        </w:r>
        <w:r w:rsidR="006C47C9">
          <w:t>uidelines</w:t>
        </w:r>
      </w:sdtContent>
    </w:sdt>
    <w:r w:rsidR="00AE4F30">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C3C" w:rsidRDefault="00284C3C" w14:paraId="3C9A12BC"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A5891" w:rsidR="00284C3C" w:rsidP="00BC437C" w:rsidRDefault="00284C3C" w14:paraId="67CDC9C8" w14:textId="1B562F5F">
    <w:pPr>
      <w:pStyle w:val="SCVfooterempty"/>
    </w:pPr>
    <w:r>
      <w:rPr>
        <w:noProof/>
      </w:rPr>
      <mc:AlternateContent>
        <mc:Choice Requires="wps">
          <w:drawing>
            <wp:anchor distT="0" distB="0" distL="114300" distR="114300" simplePos="0" relativeHeight="251658245" behindDoc="0" locked="0" layoutInCell="0" allowOverlap="1" wp14:anchorId="7FCE8863" wp14:editId="38184F8C">
              <wp:simplePos x="0" y="0"/>
              <wp:positionH relativeFrom="page">
                <wp:posOffset>0</wp:posOffset>
              </wp:positionH>
              <wp:positionV relativeFrom="page">
                <wp:posOffset>10189210</wp:posOffset>
              </wp:positionV>
              <wp:extent cx="7560310" cy="311785"/>
              <wp:effectExtent l="0" t="0" r="0" b="12065"/>
              <wp:wrapNone/>
              <wp:docPr id="20" name="MSIPCMf7da4a4bb921f25e68419559"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D5966" w:rsidR="00284C3C" w:rsidP="007D5966" w:rsidRDefault="00284C3C" w14:paraId="1D456AEE" w14:textId="6A2DF815">
                          <w:pPr>
                            <w:spacing w:before="0" w:after="0"/>
                            <w:jc w:val="center"/>
                            <w:rPr>
                              <w:rFonts w:ascii="Arial Black" w:hAnsi="Arial Black"/>
                              <w:color w:val="000000"/>
                            </w:rPr>
                          </w:pPr>
                          <w:r w:rsidRPr="007D596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w14:anchorId="3D8BD32A">
            <v:shapetype id="_x0000_t202" coordsize="21600,21600" o:spt="202" path="m,l,21600r21600,l21600,xe" w14:anchorId="7FCE8863">
              <v:stroke joinstyle="miter"/>
              <v:path gradientshapeok="t" o:connecttype="rect"/>
            </v:shapetype>
            <v:shape id="MSIPCMf7da4a4bb921f25e68419559"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5,&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7D5966" w:rsidR="00284C3C" w:rsidP="007D5966" w:rsidRDefault="00284C3C" w14:paraId="09E77742" w14:textId="6A2DF815">
                    <w:pPr>
                      <w:spacing w:before="0" w:after="0"/>
                      <w:jc w:val="center"/>
                      <w:rPr>
                        <w:rFonts w:ascii="Arial Black" w:hAnsi="Arial Black"/>
                        <w:color w:val="000000"/>
                      </w:rPr>
                    </w:pPr>
                    <w:r w:rsidRPr="007D5966">
                      <w:rPr>
                        <w:rFonts w:ascii="Arial Black" w:hAnsi="Arial Black"/>
                        <w:color w:val="00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2A5891" w:rsidR="00284C3C" w:rsidP="00BC437C" w:rsidRDefault="00F104BE" w14:paraId="3F04D8EE" w14:textId="09B56EA6">
    <w:pPr>
      <w:pStyle w:val="SCVfooterempty"/>
    </w:pPr>
    <w:r>
      <w:rPr>
        <w:noProof/>
      </w:rPr>
      <mc:AlternateContent>
        <mc:Choice Requires="wps">
          <w:drawing>
            <wp:anchor distT="0" distB="0" distL="114300" distR="114300" simplePos="0" relativeHeight="251658246" behindDoc="0" locked="0" layoutInCell="0" allowOverlap="1" wp14:anchorId="10629360" wp14:editId="4DF9F55D">
              <wp:simplePos x="0" y="0"/>
              <wp:positionH relativeFrom="page">
                <wp:posOffset>0</wp:posOffset>
              </wp:positionH>
              <wp:positionV relativeFrom="page">
                <wp:posOffset>10189210</wp:posOffset>
              </wp:positionV>
              <wp:extent cx="7560310" cy="311785"/>
              <wp:effectExtent l="0" t="0" r="0" b="12065"/>
              <wp:wrapNone/>
              <wp:docPr id="6" name="MSIPCM748a41018ed19339425a5a30"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104BE" w:rsidR="00F104BE" w:rsidP="00F104BE" w:rsidRDefault="00F104BE" w14:paraId="39BE4676" w14:textId="7E4326A7">
                          <w:pPr>
                            <w:spacing w:before="0" w:after="0"/>
                            <w:jc w:val="center"/>
                            <w:rPr>
                              <w:rFonts w:ascii="Arial Black" w:hAnsi="Arial Black"/>
                              <w:color w:val="000000"/>
                            </w:rPr>
                          </w:pPr>
                          <w:r w:rsidRPr="00F104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w14:anchorId="777685C2">
            <v:shapetype id="_x0000_t202" coordsize="21600,21600" o:spt="202" path="m,l,21600r21600,l21600,xe" w14:anchorId="10629360">
              <v:stroke joinstyle="miter"/>
              <v:path gradientshapeok="t" o:connecttype="rect"/>
            </v:shapetype>
            <v:shape id="MSIPCM748a41018ed19339425a5a3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4,&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v:textbox inset=",0,,0">
                <w:txbxContent>
                  <w:p w:rsidRPr="00F104BE" w:rsidR="00F104BE" w:rsidP="00F104BE" w:rsidRDefault="00F104BE" w14:paraId="2CCFEE10" w14:textId="7E4326A7">
                    <w:pPr>
                      <w:spacing w:before="0" w:after="0"/>
                      <w:jc w:val="center"/>
                      <w:rPr>
                        <w:rFonts w:ascii="Arial Black" w:hAnsi="Arial Black"/>
                        <w:color w:val="000000"/>
                      </w:rPr>
                    </w:pPr>
                    <w:r w:rsidRPr="00F104BE">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2001" w:rsidP="00E33E08" w:rsidRDefault="00672001" w14:paraId="07DB3E39" w14:textId="77777777">
      <w:pPr>
        <w:spacing w:before="0" w:after="0" w:line="240" w:lineRule="auto"/>
      </w:pPr>
    </w:p>
  </w:footnote>
  <w:footnote w:type="continuationSeparator" w:id="0">
    <w:p w:rsidR="00672001" w:rsidP="00E33E08" w:rsidRDefault="00672001" w14:paraId="6336AD41" w14:textId="77777777">
      <w:pPr>
        <w:spacing w:before="0" w:after="0" w:line="240" w:lineRule="auto"/>
      </w:pPr>
    </w:p>
  </w:footnote>
  <w:footnote w:type="continuationNotice" w:id="1">
    <w:p w:rsidR="00672001" w:rsidRDefault="00672001" w14:paraId="23E54975" w14:textId="77777777">
      <w:pPr>
        <w:spacing w:before="0" w:after="0" w:line="240" w:lineRule="auto"/>
      </w:pPr>
    </w:p>
  </w:footnote>
  <w:footnote w:id="2">
    <w:p w:rsidR="51D0F6BA" w:rsidP="009D1027" w:rsidRDefault="51D0F6BA" w14:paraId="76721F2B" w14:textId="75BE09BD">
      <w:pPr>
        <w:pStyle w:val="FootnoteText"/>
      </w:pPr>
      <w:r w:rsidRPr="51D0F6BA">
        <w:rPr>
          <w:rStyle w:val="FootnoteReference"/>
        </w:rPr>
        <w:footnoteRef/>
      </w:r>
      <w:r>
        <w:t xml:space="preserve"> See definition of ‘health service entity’ in </w:t>
      </w:r>
      <w:r w:rsidR="00394981">
        <w:t>s</w:t>
      </w:r>
      <w:r w:rsidR="00B21388">
        <w:t xml:space="preserve">ection </w:t>
      </w:r>
      <w:r>
        <w:t xml:space="preserve">4 of the </w:t>
      </w:r>
      <w:r w:rsidRPr="00E536D7">
        <w:rPr>
          <w:i/>
          <w:iCs/>
        </w:rPr>
        <w:t>Health Services Act 1988</w:t>
      </w:r>
      <w:r w:rsidR="00404F14">
        <w:rPr>
          <w:i/>
          <w:iCs/>
        </w:rPr>
        <w:t>.</w:t>
      </w:r>
    </w:p>
  </w:footnote>
  <w:footnote w:id="3">
    <w:p w:rsidRPr="00EE680B" w:rsidR="00A3336A" w:rsidP="00A3336A" w:rsidRDefault="00A3336A" w14:paraId="49E36781" w14:textId="0A74FBD0">
      <w:pPr>
        <w:pStyle w:val="FootnoteText"/>
        <w:rPr>
          <w:lang w:val="en-US"/>
        </w:rPr>
      </w:pPr>
      <w:r>
        <w:rPr>
          <w:rStyle w:val="FootnoteReference"/>
        </w:rPr>
        <w:footnoteRef/>
      </w:r>
      <w:r>
        <w:t xml:space="preserve"> </w:t>
      </w:r>
      <w:r w:rsidR="007160EC">
        <w:t>s</w:t>
      </w:r>
      <w:r>
        <w:t xml:space="preserve">128ZE </w:t>
      </w:r>
      <w:r w:rsidR="007160EC">
        <w:t xml:space="preserve">of the </w:t>
      </w:r>
      <w:r w:rsidRPr="007160EC">
        <w:rPr>
          <w:i/>
          <w:iCs/>
        </w:rPr>
        <w:t>Health Services Act 1988</w:t>
      </w:r>
      <w:r>
        <w:t xml:space="preserve">; s22K of the </w:t>
      </w:r>
      <w:r w:rsidRPr="003B686F">
        <w:rPr>
          <w:i/>
          <w:iCs/>
        </w:rPr>
        <w:t>Ambulance Services Act 1986</w:t>
      </w:r>
      <w:r>
        <w:t xml:space="preserve">; s345D of the </w:t>
      </w:r>
      <w:r w:rsidRPr="003B686F">
        <w:rPr>
          <w:i/>
          <w:iCs/>
        </w:rPr>
        <w:t>Mental Health Act 2014</w:t>
      </w:r>
      <w:r w:rsidR="00404F14">
        <w:rPr>
          <w:i/>
          <w:iCs/>
        </w:rPr>
        <w:t>.</w:t>
      </w:r>
    </w:p>
  </w:footnote>
  <w:footnote w:id="4">
    <w:p w:rsidRPr="00EE680B" w:rsidR="00A3336A" w:rsidP="00A3336A" w:rsidRDefault="00A3336A" w14:paraId="3406894B" w14:textId="44ED1CCD">
      <w:pPr>
        <w:pStyle w:val="FootnoteText"/>
        <w:rPr>
          <w:lang w:val="en-US"/>
        </w:rPr>
      </w:pPr>
      <w:r>
        <w:rPr>
          <w:rStyle w:val="FootnoteReference"/>
        </w:rPr>
        <w:footnoteRef/>
      </w:r>
      <w:r>
        <w:t xml:space="preserve"> </w:t>
      </w:r>
      <w:r w:rsidR="00AB2326">
        <w:t>s</w:t>
      </w:r>
      <w:r>
        <w:t>128ZH</w:t>
      </w:r>
      <w:r w:rsidR="007160EC">
        <w:t xml:space="preserve"> of the</w:t>
      </w:r>
      <w:r>
        <w:t xml:space="preserve"> </w:t>
      </w:r>
      <w:r w:rsidRPr="007160EC">
        <w:rPr>
          <w:i/>
          <w:iCs/>
        </w:rPr>
        <w:t>Health Services Act 1988</w:t>
      </w:r>
      <w:r w:rsidR="00404F14">
        <w:rPr>
          <w:i/>
          <w:iCs/>
        </w:rPr>
        <w:t>.</w:t>
      </w:r>
    </w:p>
  </w:footnote>
  <w:footnote w:id="5">
    <w:p w:rsidR="5AB7E433" w:rsidP="00E536D7" w:rsidRDefault="5AB7E433" w14:paraId="6820EBFE" w14:textId="5776ADD4">
      <w:pPr>
        <w:pStyle w:val="FootnoteText"/>
      </w:pPr>
      <w:r w:rsidRPr="5AB7E433">
        <w:rPr>
          <w:rStyle w:val="FootnoteReference"/>
        </w:rPr>
        <w:footnoteRef/>
      </w:r>
      <w:r>
        <w:t xml:space="preserve"> </w:t>
      </w:r>
      <w:r w:rsidR="00E536D7">
        <w:t>s</w:t>
      </w:r>
      <w:r>
        <w:t xml:space="preserve">128ZG of the </w:t>
      </w:r>
      <w:r w:rsidRPr="00E536D7">
        <w:rPr>
          <w:i/>
          <w:iCs/>
        </w:rPr>
        <w:t>Health Services Act 1988</w:t>
      </w:r>
      <w:r w:rsidR="00404F14">
        <w:rPr>
          <w:i/>
          <w:iCs/>
        </w:rPr>
        <w:t>.</w:t>
      </w:r>
    </w:p>
  </w:footnote>
  <w:footnote w:id="6">
    <w:p w:rsidRPr="00A20CF8" w:rsidR="00C31A61" w:rsidRDefault="00C31A61" w14:paraId="5D60D5BB" w14:textId="7EF7712F">
      <w:pPr>
        <w:pStyle w:val="FootnoteText"/>
        <w:rPr>
          <w:i/>
          <w:iCs/>
        </w:rPr>
      </w:pPr>
      <w:r>
        <w:rPr>
          <w:rStyle w:val="FootnoteReference"/>
        </w:rPr>
        <w:footnoteRef/>
      </w:r>
      <w:r>
        <w:t xml:space="preserve"> </w:t>
      </w:r>
      <w:r w:rsidR="00A20CF8">
        <w:t xml:space="preserve">s128ZI of the </w:t>
      </w:r>
      <w:r w:rsidR="00A20CF8">
        <w:rPr>
          <w:i/>
          <w:iCs/>
        </w:rPr>
        <w:t>Health Services Act 1988</w:t>
      </w:r>
      <w:r w:rsidR="00404F14">
        <w:rPr>
          <w:i/>
          <w:iCs/>
        </w:rPr>
        <w:t>.</w:t>
      </w:r>
    </w:p>
  </w:footnote>
  <w:footnote w:id="7">
    <w:p w:rsidR="003374E1" w:rsidRDefault="003374E1" w14:paraId="5E339319" w14:textId="4FDC39B8">
      <w:pPr>
        <w:pStyle w:val="FootnoteText"/>
      </w:pPr>
      <w:r>
        <w:rPr>
          <w:rStyle w:val="FootnoteReference"/>
        </w:rPr>
        <w:footnoteRef/>
      </w:r>
      <w:r>
        <w:t xml:space="preserve"> </w:t>
      </w:r>
      <w:r w:rsidR="00403101">
        <w:t xml:space="preserve">s128ZB(1) of the </w:t>
      </w:r>
      <w:r w:rsidRPr="00247308" w:rsidR="00403101">
        <w:rPr>
          <w:i/>
          <w:iCs/>
        </w:rPr>
        <w:t>Health Services Act 1988</w:t>
      </w:r>
      <w:r w:rsidR="00403101">
        <w:rPr>
          <w:i/>
          <w:iCs/>
        </w:rPr>
        <w:t>.</w:t>
      </w:r>
    </w:p>
  </w:footnote>
  <w:footnote w:id="8">
    <w:p w:rsidR="003D71DB" w:rsidRDefault="003D71DB" w14:paraId="7249961E" w14:textId="6B6802BE">
      <w:pPr>
        <w:pStyle w:val="FootnoteText"/>
      </w:pPr>
      <w:r>
        <w:rPr>
          <w:rStyle w:val="FootnoteReference"/>
        </w:rPr>
        <w:footnoteRef/>
      </w:r>
      <w:r>
        <w:t xml:space="preserve"> s128ZB of the </w:t>
      </w:r>
      <w:r w:rsidRPr="00247308">
        <w:rPr>
          <w:i/>
          <w:iCs/>
        </w:rPr>
        <w:t>Health Services Act 1988</w:t>
      </w:r>
      <w:r>
        <w:t xml:space="preserve">; s14 of the </w:t>
      </w:r>
      <w:r w:rsidRPr="00247308">
        <w:rPr>
          <w:i/>
          <w:iCs/>
        </w:rPr>
        <w:t>Ambulance Services Act 1986</w:t>
      </w:r>
      <w:r>
        <w:t xml:space="preserve">; s345A of the </w:t>
      </w:r>
      <w:r w:rsidRPr="00247308">
        <w:rPr>
          <w:i/>
          <w:iCs/>
        </w:rPr>
        <w:t>Mental Health Act 2014</w:t>
      </w:r>
      <w:r>
        <w:rPr>
          <w:i/>
          <w:iCs/>
        </w:rPr>
        <w:t>.</w:t>
      </w:r>
    </w:p>
  </w:footnote>
  <w:footnote w:id="9">
    <w:p w:rsidR="00403101" w:rsidRDefault="00403101" w14:paraId="484C3693" w14:textId="77FEE4AF">
      <w:pPr>
        <w:pStyle w:val="FootnoteText"/>
      </w:pPr>
      <w:r>
        <w:rPr>
          <w:rStyle w:val="FootnoteReference"/>
        </w:rPr>
        <w:footnoteRef/>
      </w:r>
      <w:r>
        <w:t xml:space="preserve"> Regulation </w:t>
      </w:r>
      <w:r w:rsidR="0013126D">
        <w:t xml:space="preserve">3A of the </w:t>
      </w:r>
      <w:r w:rsidRPr="00961269" w:rsidR="0007043B">
        <w:rPr>
          <w:i/>
          <w:iCs/>
        </w:rPr>
        <w:t>Health Services (Quality and Safety) Regulations 2020</w:t>
      </w:r>
      <w:r w:rsidRPr="00961269" w:rsidR="00961269">
        <w:rPr>
          <w:i/>
          <w:iCs/>
        </w:rPr>
        <w:t>.</w:t>
      </w:r>
    </w:p>
  </w:footnote>
  <w:footnote w:id="10">
    <w:p w:rsidR="00961269" w:rsidRDefault="00961269" w14:paraId="6277FF1D" w14:textId="4CD0A431">
      <w:pPr>
        <w:pStyle w:val="FootnoteText"/>
      </w:pPr>
      <w:r>
        <w:rPr>
          <w:rStyle w:val="FootnoteReference"/>
        </w:rPr>
        <w:footnoteRef/>
      </w:r>
      <w:r>
        <w:t xml:space="preserve"> Regulation 3A of the </w:t>
      </w:r>
      <w:r w:rsidRPr="00961269">
        <w:rPr>
          <w:i/>
          <w:iCs/>
        </w:rPr>
        <w:t>Health Services (Quality and Safety) Regulations 2020.</w:t>
      </w:r>
    </w:p>
  </w:footnote>
  <w:footnote w:id="11">
    <w:p w:rsidR="00185832" w:rsidRDefault="00185832" w14:paraId="70602931" w14:textId="3F65745B">
      <w:pPr>
        <w:pStyle w:val="FootnoteText"/>
      </w:pPr>
      <w:r>
        <w:rPr>
          <w:rStyle w:val="FootnoteReference"/>
        </w:rPr>
        <w:footnoteRef/>
      </w:r>
      <w:r>
        <w:t xml:space="preserve"> </w:t>
      </w:r>
      <w:r>
        <w:rPr>
          <w:lang w:val="en-US"/>
        </w:rPr>
        <w:t xml:space="preserve">s128ZB of the </w:t>
      </w:r>
      <w:r w:rsidRPr="0017273E">
        <w:rPr>
          <w:i/>
          <w:iCs/>
          <w:lang w:val="en-US"/>
        </w:rPr>
        <w:t>Health Services Act 1988</w:t>
      </w:r>
      <w:r>
        <w:rPr>
          <w:lang w:val="en-US"/>
        </w:rPr>
        <w:t>.</w:t>
      </w:r>
    </w:p>
  </w:footnote>
  <w:footnote w:id="12">
    <w:p w:rsidR="00310FE7" w:rsidRDefault="00310FE7" w14:paraId="435D1C41" w14:textId="4A19EB98">
      <w:pPr>
        <w:pStyle w:val="FootnoteText"/>
      </w:pPr>
      <w:r>
        <w:rPr>
          <w:rStyle w:val="FootnoteReference"/>
        </w:rPr>
        <w:footnoteRef/>
      </w:r>
      <w:r>
        <w:t xml:space="preserve"> Regulation 3A of the </w:t>
      </w:r>
      <w:r w:rsidRPr="00961269">
        <w:rPr>
          <w:i/>
          <w:iCs/>
        </w:rPr>
        <w:t>Health Services (Quality and Safety) Regulations 2020.</w:t>
      </w:r>
    </w:p>
  </w:footnote>
  <w:footnote w:id="13">
    <w:p w:rsidR="0003351E" w:rsidP="0003351E" w:rsidRDefault="0003351E" w14:paraId="04BDA169" w14:textId="7E24D5E8">
      <w:pPr>
        <w:pStyle w:val="FootnoteText"/>
      </w:pPr>
      <w:r>
        <w:rPr>
          <w:rStyle w:val="FootnoteReference"/>
        </w:rPr>
        <w:footnoteRef/>
      </w:r>
      <w:r>
        <w:t xml:space="preserve"> </w:t>
      </w:r>
      <w:r w:rsidR="00174D01">
        <w:t>s</w:t>
      </w:r>
      <w:r>
        <w:t xml:space="preserve">5 of the </w:t>
      </w:r>
      <w:r w:rsidRPr="004128FF">
        <w:rPr>
          <w:i/>
          <w:iCs/>
        </w:rPr>
        <w:t>Health Practitioner Regulation National Law Act 2009</w:t>
      </w:r>
      <w:r w:rsidRPr="00992307">
        <w:t xml:space="preserve"> (Qld)</w:t>
      </w:r>
      <w:r>
        <w:t>.</w:t>
      </w:r>
    </w:p>
  </w:footnote>
  <w:footnote w:id="14">
    <w:p w:rsidR="004128FF" w:rsidRDefault="004128FF" w14:paraId="00B4AB3E" w14:textId="0171A939">
      <w:pPr>
        <w:pStyle w:val="FootnoteText"/>
      </w:pPr>
      <w:r>
        <w:rPr>
          <w:rStyle w:val="FootnoteReference"/>
        </w:rPr>
        <w:footnoteRef/>
      </w:r>
      <w:r>
        <w:t xml:space="preserve"> R</w:t>
      </w:r>
      <w:r w:rsidRPr="005E5A77">
        <w:t xml:space="preserve">egulation </w:t>
      </w:r>
      <w:r>
        <w:t>3B</w:t>
      </w:r>
      <w:r w:rsidRPr="005E5A77">
        <w:t xml:space="preserve"> of the </w:t>
      </w:r>
      <w:r w:rsidRPr="005E5A77">
        <w:rPr>
          <w:i/>
          <w:iCs/>
        </w:rPr>
        <w:t>Health Services (</w:t>
      </w:r>
      <w:r>
        <w:rPr>
          <w:i/>
          <w:iCs/>
        </w:rPr>
        <w:t>Quality and Safety</w:t>
      </w:r>
      <w:r w:rsidRPr="005E5A77">
        <w:rPr>
          <w:i/>
          <w:iCs/>
        </w:rPr>
        <w:t>) Regulations 20</w:t>
      </w:r>
      <w:r>
        <w:rPr>
          <w:i/>
          <w:iCs/>
        </w:rPr>
        <w:t>20.</w:t>
      </w:r>
    </w:p>
  </w:footnote>
  <w:footnote w:id="15">
    <w:p w:rsidR="00E97886" w:rsidRDefault="00E97886" w14:paraId="158393D5" w14:textId="21BE592A">
      <w:pPr>
        <w:pStyle w:val="FootnoteText"/>
      </w:pPr>
      <w:r>
        <w:rPr>
          <w:rStyle w:val="FootnoteReference"/>
        </w:rPr>
        <w:footnoteRef/>
      </w:r>
      <w:r>
        <w:t xml:space="preserve"> </w:t>
      </w:r>
      <w:r w:rsidR="00174D01">
        <w:t>s</w:t>
      </w:r>
      <w:r>
        <w:t xml:space="preserve">3 of the </w:t>
      </w:r>
      <w:r w:rsidRPr="00E97886">
        <w:rPr>
          <w:i/>
          <w:iCs/>
        </w:rPr>
        <w:t>Health Services Act 1988</w:t>
      </w:r>
      <w:r>
        <w:t>.</w:t>
      </w:r>
    </w:p>
  </w:footnote>
  <w:footnote w:id="16">
    <w:p w:rsidR="00E544FE" w:rsidRDefault="00E544FE" w14:paraId="3BDDC8ED" w14:textId="4555F762">
      <w:pPr>
        <w:pStyle w:val="FootnoteText"/>
      </w:pPr>
      <w:r>
        <w:rPr>
          <w:rStyle w:val="FootnoteReference"/>
        </w:rPr>
        <w:footnoteRef/>
      </w:r>
      <w:r>
        <w:t xml:space="preserve"> R</w:t>
      </w:r>
      <w:r w:rsidRPr="005E5A77">
        <w:t xml:space="preserve">egulation </w:t>
      </w:r>
      <w:r w:rsidR="004128FF">
        <w:t>3A</w:t>
      </w:r>
      <w:r w:rsidRPr="005E5A77">
        <w:t xml:space="preserve"> of the </w:t>
      </w:r>
      <w:r w:rsidRPr="005E5A77">
        <w:rPr>
          <w:i/>
          <w:iCs/>
        </w:rPr>
        <w:t>Health Services (</w:t>
      </w:r>
      <w:r w:rsidR="005E74F7">
        <w:rPr>
          <w:i/>
          <w:iCs/>
        </w:rPr>
        <w:t>Quality and Safety</w:t>
      </w:r>
      <w:r w:rsidRPr="005E5A77">
        <w:rPr>
          <w:i/>
          <w:iCs/>
        </w:rPr>
        <w:t>) Regulations 20</w:t>
      </w:r>
      <w:r w:rsidR="00DF732A">
        <w:rPr>
          <w:i/>
          <w:iCs/>
        </w:rPr>
        <w:t>20</w:t>
      </w:r>
      <w:r>
        <w:rPr>
          <w:i/>
          <w:iCs/>
        </w:rPr>
        <w:t>.</w:t>
      </w:r>
    </w:p>
  </w:footnote>
  <w:footnote w:id="17">
    <w:p w:rsidR="00240923" w:rsidRDefault="00240923" w14:paraId="66A1C249" w14:textId="0195ED30">
      <w:pPr>
        <w:pStyle w:val="FootnoteText"/>
      </w:pPr>
      <w:r>
        <w:rPr>
          <w:rStyle w:val="FootnoteReference"/>
        </w:rPr>
        <w:footnoteRef/>
      </w:r>
      <w:r>
        <w:t xml:space="preserve"> R</w:t>
      </w:r>
      <w:r w:rsidRPr="005E5A77">
        <w:t xml:space="preserve">egulation </w:t>
      </w:r>
      <w:r>
        <w:t>3A</w:t>
      </w:r>
      <w:r w:rsidRPr="005E5A77">
        <w:t xml:space="preserve"> of the </w:t>
      </w:r>
      <w:r w:rsidRPr="005E5A77">
        <w:rPr>
          <w:i/>
          <w:iCs/>
        </w:rPr>
        <w:t>Health Services (</w:t>
      </w:r>
      <w:r>
        <w:rPr>
          <w:i/>
          <w:iCs/>
        </w:rPr>
        <w:t>Quality and Safety</w:t>
      </w:r>
      <w:r w:rsidRPr="005E5A77">
        <w:rPr>
          <w:i/>
          <w:iCs/>
        </w:rPr>
        <w:t>) Regulations 20</w:t>
      </w:r>
      <w:r>
        <w:rPr>
          <w:i/>
          <w:iCs/>
        </w:rPr>
        <w:t>20.</w:t>
      </w:r>
    </w:p>
  </w:footnote>
  <w:footnote w:id="18">
    <w:p w:rsidRPr="005A78E0" w:rsidR="00C8180B" w:rsidP="00C8180B" w:rsidRDefault="00C8180B" w14:paraId="7D32C4B5" w14:textId="7584CACD">
      <w:pPr>
        <w:pStyle w:val="FootnoteText"/>
        <w:rPr>
          <w:lang w:val="en-US"/>
        </w:rPr>
      </w:pPr>
      <w:r>
        <w:rPr>
          <w:rStyle w:val="FootnoteReference"/>
        </w:rPr>
        <w:footnoteRef/>
      </w:r>
      <w:r>
        <w:t xml:space="preserve"> </w:t>
      </w:r>
      <w:r w:rsidR="00AB2326">
        <w:t>s</w:t>
      </w:r>
      <w:r>
        <w:t xml:space="preserve">128ZC of the </w:t>
      </w:r>
      <w:r w:rsidRPr="008D02A2">
        <w:rPr>
          <w:i/>
          <w:iCs/>
        </w:rPr>
        <w:t>Health Services Act 1988</w:t>
      </w:r>
      <w:r>
        <w:t xml:space="preserve">; </w:t>
      </w:r>
      <w:r w:rsidR="00AB2326">
        <w:t>s</w:t>
      </w:r>
      <w:r>
        <w:t xml:space="preserve">22I of the </w:t>
      </w:r>
      <w:r w:rsidRPr="008D02A2">
        <w:rPr>
          <w:i/>
          <w:iCs/>
        </w:rPr>
        <w:t>Ambulance Services Act 1986</w:t>
      </w:r>
      <w:r>
        <w:t xml:space="preserve">; and </w:t>
      </w:r>
      <w:r w:rsidR="00AB2326">
        <w:t>s</w:t>
      </w:r>
      <w:r>
        <w:t xml:space="preserve">345B of the </w:t>
      </w:r>
      <w:r w:rsidRPr="008D02A2">
        <w:rPr>
          <w:i/>
          <w:iCs/>
        </w:rPr>
        <w:t>Mental Health Act 2014</w:t>
      </w:r>
      <w:r w:rsidR="005D64DB">
        <w:rPr>
          <w:i/>
          <w:iCs/>
        </w:rPr>
        <w:t>.</w:t>
      </w:r>
    </w:p>
  </w:footnote>
  <w:footnote w:id="19">
    <w:p w:rsidR="00367431" w:rsidRDefault="00367431" w14:paraId="659BA652" w14:textId="40FBFA34">
      <w:pPr>
        <w:pStyle w:val="FootnoteText"/>
      </w:pPr>
      <w:r>
        <w:rPr>
          <w:rStyle w:val="FootnoteReference"/>
        </w:rPr>
        <w:footnoteRef/>
      </w:r>
      <w:r>
        <w:t xml:space="preserve"> s128ZC</w:t>
      </w:r>
      <w:r w:rsidR="002515AF">
        <w:t xml:space="preserve"> of the </w:t>
      </w:r>
      <w:r w:rsidRPr="002515AF" w:rsidR="002515AF">
        <w:rPr>
          <w:i/>
          <w:iCs/>
        </w:rPr>
        <w:t>Health Services Act 1988</w:t>
      </w:r>
    </w:p>
  </w:footnote>
  <w:footnote w:id="20">
    <w:p w:rsidR="002F7D90" w:rsidP="002F7D90" w:rsidRDefault="002F7D90" w14:paraId="7D8C4652" w14:textId="77777777">
      <w:pPr>
        <w:pStyle w:val="FootnoteText"/>
      </w:pPr>
      <w:r>
        <w:rPr>
          <w:rStyle w:val="FootnoteReference"/>
        </w:rPr>
        <w:footnoteRef/>
      </w:r>
      <w:r>
        <w:t xml:space="preserve"> s128ZC of the </w:t>
      </w:r>
      <w:r w:rsidRPr="008D02A2">
        <w:rPr>
          <w:i/>
          <w:iCs/>
        </w:rPr>
        <w:t>Health Services Act 1988</w:t>
      </w:r>
    </w:p>
  </w:footnote>
  <w:footnote w:id="21">
    <w:p w:rsidRPr="00805691" w:rsidR="00613F77" w:rsidP="00613F77" w:rsidRDefault="00613F77" w14:paraId="262D1777" w14:textId="48155B3E">
      <w:pPr>
        <w:pStyle w:val="FootnoteText"/>
        <w:rPr>
          <w:i/>
          <w:iCs/>
        </w:rPr>
      </w:pPr>
      <w:r>
        <w:rPr>
          <w:rStyle w:val="FootnoteReference"/>
        </w:rPr>
        <w:footnoteRef/>
      </w:r>
      <w:r>
        <w:t xml:space="preserve"> s128ZD of the </w:t>
      </w:r>
      <w:r>
        <w:rPr>
          <w:i/>
          <w:iCs/>
        </w:rPr>
        <w:t>Health Services Act 1988</w:t>
      </w:r>
      <w:r w:rsidR="00327103">
        <w:rPr>
          <w:i/>
          <w:iCs/>
        </w:rPr>
        <w:t xml:space="preserve">; </w:t>
      </w:r>
      <w:r w:rsidRPr="0017273E" w:rsidR="00327103">
        <w:t xml:space="preserve">s22J </w:t>
      </w:r>
      <w:r w:rsidR="00327103">
        <w:t xml:space="preserve">of the </w:t>
      </w:r>
      <w:r w:rsidRPr="00247308" w:rsidR="00327103">
        <w:rPr>
          <w:i/>
          <w:iCs/>
        </w:rPr>
        <w:t>Ambulance Services Act 1986</w:t>
      </w:r>
      <w:r w:rsidR="00327103">
        <w:t xml:space="preserve">; s345C of the </w:t>
      </w:r>
      <w:r w:rsidRPr="00247308" w:rsidR="00327103">
        <w:rPr>
          <w:i/>
          <w:iCs/>
        </w:rPr>
        <w:t>Mental Health Act 2014</w:t>
      </w:r>
      <w:r w:rsidR="00327103">
        <w:rPr>
          <w:i/>
          <w:iCs/>
        </w:rPr>
        <w:t>.</w:t>
      </w:r>
    </w:p>
  </w:footnote>
  <w:footnote w:id="22">
    <w:p w:rsidRPr="008A0AA5" w:rsidR="00284C3C" w:rsidP="00B12F6F" w:rsidRDefault="00284C3C" w14:paraId="2C4B468F" w14:textId="77777777">
      <w:pPr>
        <w:pStyle w:val="SCVbody"/>
        <w:spacing w:line="240" w:lineRule="auto"/>
        <w:rPr>
          <w:sz w:val="16"/>
          <w:szCs w:val="16"/>
        </w:rPr>
      </w:pPr>
      <w:r w:rsidRPr="004B69C1">
        <w:rPr>
          <w:rStyle w:val="FootnoteReference"/>
          <w:sz w:val="16"/>
          <w:szCs w:val="16"/>
        </w:rPr>
        <w:footnoteRef/>
      </w:r>
      <w:r w:rsidRPr="004B69C1">
        <w:rPr>
          <w:sz w:val="16"/>
          <w:szCs w:val="16"/>
        </w:rPr>
        <w:t xml:space="preserve"> O'Connor E, </w:t>
      </w:r>
      <w:r>
        <w:rPr>
          <w:sz w:val="16"/>
          <w:szCs w:val="16"/>
        </w:rPr>
        <w:t>et al. (2010)</w:t>
      </w:r>
      <w:r w:rsidRPr="004B69C1">
        <w:rPr>
          <w:sz w:val="16"/>
          <w:szCs w:val="16"/>
        </w:rPr>
        <w:t xml:space="preserve"> Disclosure of patient safety incidents: a comprehensive review</w:t>
      </w:r>
      <w:r>
        <w:rPr>
          <w:sz w:val="16"/>
          <w:szCs w:val="16"/>
        </w:rPr>
        <w:t>.</w:t>
      </w:r>
      <w:r w:rsidRPr="004B69C1">
        <w:rPr>
          <w:sz w:val="16"/>
          <w:szCs w:val="16"/>
        </w:rPr>
        <w:t xml:space="preserve"> </w:t>
      </w:r>
      <w:r w:rsidRPr="004B69C1">
        <w:rPr>
          <w:i/>
          <w:iCs/>
          <w:sz w:val="16"/>
          <w:szCs w:val="16"/>
        </w:rPr>
        <w:t>International Journal for Quality in Health Care,</w:t>
      </w:r>
      <w:r w:rsidRPr="004B69C1">
        <w:rPr>
          <w:sz w:val="16"/>
          <w:szCs w:val="16"/>
        </w:rPr>
        <w:t xml:space="preserve"> 22</w:t>
      </w:r>
      <w:r>
        <w:rPr>
          <w:sz w:val="16"/>
          <w:szCs w:val="16"/>
        </w:rPr>
        <w:t>(5)</w:t>
      </w:r>
      <w:r w:rsidRPr="004B69C1">
        <w:rPr>
          <w:sz w:val="16"/>
          <w:szCs w:val="16"/>
        </w:rPr>
        <w:t>, pp 371–379.</w:t>
      </w:r>
    </w:p>
  </w:footnote>
  <w:footnote w:id="23">
    <w:p w:rsidRPr="005A78E0" w:rsidR="00D811D9" w:rsidP="00D811D9" w:rsidRDefault="00D811D9" w14:paraId="5D04E74A" w14:textId="77777777">
      <w:pPr>
        <w:pStyle w:val="FootnoteText"/>
        <w:rPr>
          <w:lang w:val="en-US"/>
        </w:rPr>
      </w:pPr>
      <w:r>
        <w:rPr>
          <w:rStyle w:val="FootnoteReference"/>
        </w:rPr>
        <w:footnoteRef/>
      </w:r>
      <w:r>
        <w:t xml:space="preserve"> Also see section 22I of the </w:t>
      </w:r>
      <w:r w:rsidRPr="00171309">
        <w:rPr>
          <w:i/>
          <w:iCs/>
        </w:rPr>
        <w:t>Ambulance Services Act 1986</w:t>
      </w:r>
      <w:r>
        <w:t xml:space="preserve">; and section 345B of the </w:t>
      </w:r>
      <w:r w:rsidRPr="00171309">
        <w:rPr>
          <w:i/>
          <w:iCs/>
        </w:rPr>
        <w:t>Mental Health Act 2014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50"/>
      <w:gridCol w:w="2550"/>
      <w:gridCol w:w="2550"/>
    </w:tblGrid>
    <w:tr w:rsidR="5A3F528E" w:rsidTr="001C4D20" w14:paraId="5CD85560" w14:textId="77777777">
      <w:tc>
        <w:tcPr>
          <w:tcW w:w="2550" w:type="dxa"/>
        </w:tcPr>
        <w:p w:rsidR="5A3F528E" w:rsidP="001C4D20" w:rsidRDefault="5A3F528E" w14:paraId="4238C7AF" w14:textId="3C601A45">
          <w:pPr>
            <w:pStyle w:val="Header"/>
            <w:ind w:left="-115"/>
          </w:pPr>
        </w:p>
      </w:tc>
      <w:tc>
        <w:tcPr>
          <w:tcW w:w="2550" w:type="dxa"/>
        </w:tcPr>
        <w:p w:rsidR="5A3F528E" w:rsidP="001C4D20" w:rsidRDefault="5A3F528E" w14:paraId="0B09DDA0" w14:textId="316F3786">
          <w:pPr>
            <w:pStyle w:val="Header"/>
            <w:jc w:val="center"/>
          </w:pPr>
        </w:p>
      </w:tc>
      <w:tc>
        <w:tcPr>
          <w:tcW w:w="2550" w:type="dxa"/>
        </w:tcPr>
        <w:p w:rsidR="5A3F528E" w:rsidP="001C4D20" w:rsidRDefault="5A3F528E" w14:paraId="08D2E9F6" w14:textId="31FDF6F5">
          <w:pPr>
            <w:pStyle w:val="Header"/>
            <w:ind w:right="-115"/>
            <w:jc w:val="right"/>
          </w:pPr>
        </w:p>
      </w:tc>
    </w:tr>
  </w:tbl>
  <w:p w:rsidR="00375186" w:rsidRDefault="00375186" w14:paraId="0557D655" w14:textId="13B5AB1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4C3C" w:rsidP="00BC437C" w:rsidRDefault="00284C3C" w14:paraId="2AD72916" w14:textId="77777777">
    <w:pPr>
      <w:pStyle w:val="SCVheaderempty"/>
    </w:pPr>
    <w:r>
      <w:rPr>
        <w:noProof/>
      </w:rPr>
      <w:drawing>
        <wp:anchor distT="0" distB="0" distL="114300" distR="114300" simplePos="0" relativeHeight="251658243" behindDoc="1" locked="1" layoutInCell="1" allowOverlap="1" wp14:anchorId="7E8D90A3" wp14:editId="17F2AA77">
          <wp:simplePos x="538163" y="671513"/>
          <wp:positionH relativeFrom="page">
            <wp:align>left</wp:align>
          </wp:positionH>
          <wp:positionV relativeFrom="page">
            <wp:align>top</wp:align>
          </wp:positionV>
          <wp:extent cx="7560000" cy="10692000"/>
          <wp:effectExtent l="0" t="0" r="3175" b="0"/>
          <wp:wrapNone/>
          <wp:docPr id="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4C3C" w:rsidP="00AA4288" w:rsidRDefault="00284C3C" w14:paraId="59019BF8" w14:textId="5153A244">
    <w:pPr>
      <w:pStyle w:val="SCVheaderempty"/>
    </w:pPr>
    <w:r>
      <w:rPr>
        <w:noProof/>
      </w:rPr>
      <w:drawing>
        <wp:anchor distT="0" distB="0" distL="114300" distR="114300" simplePos="0" relativeHeight="251658240" behindDoc="1" locked="1" layoutInCell="1" allowOverlap="1" wp14:anchorId="545FDA3A" wp14:editId="7C43BB42">
          <wp:simplePos x="0" y="0"/>
          <wp:positionH relativeFrom="page">
            <wp:align>left</wp:align>
          </wp:positionH>
          <wp:positionV relativeFrom="page">
            <wp:align>top</wp:align>
          </wp:positionV>
          <wp:extent cx="7563600" cy="10697040"/>
          <wp:effectExtent l="0" t="0" r="0" b="9525"/>
          <wp:wrapNone/>
          <wp:docPr id="5" name="Picture 5"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1B52" w:rsidRDefault="00511B52" w14:paraId="6B537D8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4C3C" w:rsidP="00947A0F" w:rsidRDefault="00284C3C" w14:paraId="27D322DB" w14:textId="77777777">
    <w:pPr>
      <w:pStyle w:val="SCVheaderempty"/>
    </w:pPr>
    <w:r>
      <w:rPr>
        <w:noProof/>
      </w:rPr>
      <w:drawing>
        <wp:anchor distT="0" distB="0" distL="114300" distR="114300" simplePos="0" relativeHeight="251658242" behindDoc="1" locked="1" layoutInCell="1" allowOverlap="1" wp14:anchorId="7D66F482" wp14:editId="71BF1B61">
          <wp:simplePos x="0" y="0"/>
          <wp:positionH relativeFrom="page">
            <wp:posOffset>540385</wp:posOffset>
          </wp:positionH>
          <wp:positionV relativeFrom="page">
            <wp:posOffset>540385</wp:posOffset>
          </wp:positionV>
          <wp:extent cx="6505200" cy="5670000"/>
          <wp:effectExtent l="0" t="0" r="0" b="6985"/>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C3C" w:rsidP="00AA4288" w:rsidRDefault="00284C3C" w14:paraId="400424A1" w14:textId="77777777">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C3C" w:rsidP="0086277A" w:rsidRDefault="00284C3C" w14:paraId="351AF99D" w14:textId="77777777">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C3C" w:rsidP="00BC437C" w:rsidRDefault="00284C3C" w14:paraId="1B0DAFB0" w14:textId="77777777">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C3C" w:rsidP="00972812" w:rsidRDefault="00284C3C" w14:paraId="300BEB6B" w14:textId="77777777">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4C3C" w:rsidP="006B337A" w:rsidRDefault="00284C3C" w14:paraId="49B966C7" w14:textId="77777777">
    <w:pPr>
      <w:pStyle w:val="SCVheaderempty"/>
    </w:pPr>
    <w:r>
      <w:rPr>
        <w:noProof/>
      </w:rPr>
      <w:drawing>
        <wp:anchor distT="0" distB="0" distL="114300" distR="114300" simplePos="0" relativeHeight="251658244" behindDoc="1" locked="1" layoutInCell="1" allowOverlap="1" wp14:anchorId="70636E82" wp14:editId="319364C4">
          <wp:simplePos x="0" y="0"/>
          <wp:positionH relativeFrom="page">
            <wp:align>left</wp:align>
          </wp:positionH>
          <wp:positionV relativeFrom="page">
            <wp:align>top</wp:align>
          </wp:positionV>
          <wp:extent cx="7559640" cy="10691640"/>
          <wp:effectExtent l="0" t="0" r="3810" b="0"/>
          <wp:wrapNone/>
          <wp:docPr id="9"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C3EUS+j05HFFw" int2:id="E3BqmtY6">
      <int2:state int2:value="Rejected" int2:type="LegacyProofing"/>
    </int2:textHash>
    <int2:textHash int2:hashCode="ELlNMx6ReFGzq4" int2:id="NDPKfyN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C5F"/>
    <w:multiLevelType w:val="hybridMultilevel"/>
    <w:tmpl w:val="8E46A6F8"/>
    <w:lvl w:ilvl="0" w:tplc="7E32E08A">
      <w:start w:val="1"/>
      <w:numFmt w:val="lowerLetter"/>
      <w:lvlText w:val="(%1)"/>
      <w:lvlJc w:val="left"/>
      <w:pPr>
        <w:ind w:left="360" w:hanging="360"/>
      </w:pPr>
      <w:rPr>
        <w:rFonts w:hint="default"/>
      </w:rPr>
    </w:lvl>
    <w:lvl w:ilvl="1" w:tplc="2CE23554">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FA75E8"/>
    <w:multiLevelType w:val="hybridMultilevel"/>
    <w:tmpl w:val="453C6B4E"/>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E44E64"/>
    <w:multiLevelType w:val="hybridMultilevel"/>
    <w:tmpl w:val="23DAC05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7E6195A"/>
    <w:multiLevelType w:val="hybridMultilevel"/>
    <w:tmpl w:val="927622E4"/>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0351B3"/>
    <w:multiLevelType w:val="hybridMultilevel"/>
    <w:tmpl w:val="1AF208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hint="default" w:ascii="Calibri" w:hAnsi="Calibri"/>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E8622A9"/>
    <w:multiLevelType w:val="hybridMultilevel"/>
    <w:tmpl w:val="375AD612"/>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033B95"/>
    <w:multiLevelType w:val="hybridMultilevel"/>
    <w:tmpl w:val="151AE9EE"/>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8" w15:restartNumberingAfterBreak="0">
    <w:nsid w:val="22C22C82"/>
    <w:multiLevelType w:val="hybridMultilevel"/>
    <w:tmpl w:val="E264BEFC"/>
    <w:lvl w:ilvl="0" w:tplc="E968C538">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15:restartNumberingAfterBreak="0">
    <w:nsid w:val="230D598E"/>
    <w:multiLevelType w:val="hybridMultilevel"/>
    <w:tmpl w:val="CBE45F90"/>
    <w:lvl w:ilvl="0" w:tplc="E968C538">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6D5B9D"/>
    <w:multiLevelType w:val="hybridMultilevel"/>
    <w:tmpl w:val="257421AC"/>
    <w:lvl w:ilvl="0" w:tplc="1F264408">
      <w:start w:val="2"/>
      <w:numFmt w:val="bullet"/>
      <w:lvlText w:val="-"/>
      <w:lvlJc w:val="left"/>
      <w:pPr>
        <w:ind w:left="720" w:hanging="360"/>
      </w:pPr>
      <w:rPr>
        <w:rFonts w:hint="default" w:ascii="Arial" w:hAnsi="Arial" w:cs="Arial" w:eastAsiaTheme="minorEastAsia"/>
      </w:rPr>
    </w:lvl>
    <w:lvl w:ilvl="1" w:tplc="249847A2">
      <w:start w:val="6"/>
      <w:numFmt w:val="bullet"/>
      <w:lvlText w:val="•"/>
      <w:lvlJc w:val="left"/>
      <w:pPr>
        <w:ind w:left="1800" w:hanging="720"/>
      </w:pPr>
      <w:rPr>
        <w:rFonts w:hint="default" w:ascii="Arial" w:hAnsi="Arial" w:cs="Arial" w:eastAsiaTheme="minorEastAsia"/>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5D14012"/>
    <w:multiLevelType w:val="hybridMultilevel"/>
    <w:tmpl w:val="7BD2C724"/>
    <w:lvl w:ilvl="0" w:tplc="5B6CC44A">
      <w:start w:val="1"/>
      <w:numFmt w:val="lowerLetter"/>
      <w:lvlText w:val="(%1)"/>
      <w:lvlJc w:val="left"/>
      <w:pPr>
        <w:ind w:left="720" w:hanging="360"/>
      </w:pPr>
      <w:rPr>
        <w:rFonts w:ascii="Times New Roman" w:hAnsi="Times New Roman" w:eastAsia="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3"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hint="default" w:cs="Times New Roman"/>
      </w:rPr>
    </w:lvl>
    <w:lvl w:ilvl="1">
      <w:start w:val="1"/>
      <w:numFmt w:val="lowerLetter"/>
      <w:pStyle w:val="SCVnumberloweralphaindent"/>
      <w:lvlText w:val="%2."/>
      <w:lvlJc w:val="left"/>
      <w:pPr>
        <w:tabs>
          <w:tab w:val="num" w:pos="794"/>
        </w:tabs>
        <w:ind w:left="794" w:hanging="397"/>
      </w:pPr>
      <w:rPr>
        <w:rFonts w:hint="default" w:cs="Times New Roman"/>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cs="Times New Roman"/>
      </w:rPr>
    </w:lvl>
    <w:lvl w:ilvl="5">
      <w:start w:val="1"/>
      <w:numFmt w:val="none"/>
      <w:lvlRestart w:val="0"/>
      <w:lvlText w:val=""/>
      <w:lvlJc w:val="left"/>
      <w:pPr>
        <w:tabs>
          <w:tab w:val="num" w:pos="0"/>
        </w:tabs>
        <w:ind w:left="0" w:firstLine="0"/>
      </w:pPr>
      <w:rPr>
        <w:rFonts w:hint="default" w:cs="Times New Roman"/>
      </w:rPr>
    </w:lvl>
    <w:lvl w:ilvl="6">
      <w:start w:val="1"/>
      <w:numFmt w:val="none"/>
      <w:lvlRestart w:val="0"/>
      <w:lvlText w:val=""/>
      <w:lvlJc w:val="left"/>
      <w:pPr>
        <w:ind w:left="0" w:firstLine="0"/>
      </w:pPr>
      <w:rPr>
        <w:rFonts w:hint="default" w:cs="Times New Roman"/>
      </w:rPr>
    </w:lvl>
    <w:lvl w:ilvl="7">
      <w:start w:val="1"/>
      <w:numFmt w:val="none"/>
      <w:lvlRestart w:val="0"/>
      <w:lvlText w:val=""/>
      <w:lvlJc w:val="left"/>
      <w:pPr>
        <w:ind w:left="0" w:firstLine="0"/>
      </w:pPr>
      <w:rPr>
        <w:rFonts w:hint="default" w:cs="Times New Roman"/>
      </w:rPr>
    </w:lvl>
    <w:lvl w:ilvl="8">
      <w:start w:val="1"/>
      <w:numFmt w:val="none"/>
      <w:lvlRestart w:val="0"/>
      <w:lvlText w:val=""/>
      <w:lvlJc w:val="right"/>
      <w:pPr>
        <w:ind w:left="0" w:firstLine="0"/>
      </w:pPr>
      <w:rPr>
        <w:rFonts w:hint="default" w:cs="Times New Roman"/>
      </w:rPr>
    </w:lvl>
  </w:abstractNum>
  <w:abstractNum w:abstractNumId="14" w15:restartNumberingAfterBreak="0">
    <w:nsid w:val="3F04342D"/>
    <w:multiLevelType w:val="hybridMultilevel"/>
    <w:tmpl w:val="B322C1FE"/>
    <w:lvl w:ilvl="0" w:tplc="0C09001B">
      <w:start w:val="1"/>
      <w:numFmt w:val="lowerRoman"/>
      <w:lvlText w:val="%1."/>
      <w:lvlJc w:val="right"/>
      <w:pPr>
        <w:ind w:left="1572" w:hanging="360"/>
      </w:pPr>
    </w:lvl>
    <w:lvl w:ilvl="1" w:tplc="0C09001B">
      <w:start w:val="1"/>
      <w:numFmt w:val="lowerRoman"/>
      <w:lvlText w:val="%2."/>
      <w:lvlJc w:val="righ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15" w15:restartNumberingAfterBreak="0">
    <w:nsid w:val="400A7E14"/>
    <w:multiLevelType w:val="hybridMultilevel"/>
    <w:tmpl w:val="40A6B57C"/>
    <w:lvl w:ilvl="0" w:tplc="249847A2">
      <w:start w:val="6"/>
      <w:numFmt w:val="bullet"/>
      <w:lvlText w:val="•"/>
      <w:lvlJc w:val="left"/>
      <w:pPr>
        <w:ind w:left="780" w:hanging="360"/>
      </w:pPr>
      <w:rPr>
        <w:rFonts w:hint="default" w:ascii="Arial" w:hAnsi="Arial" w:cs="Arial" w:eastAsiaTheme="minorEastAsia"/>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16" w15:restartNumberingAfterBreak="0">
    <w:nsid w:val="43BA7DB0"/>
    <w:multiLevelType w:val="hybridMultilevel"/>
    <w:tmpl w:val="413E51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50E6264"/>
    <w:multiLevelType w:val="hybridMultilevel"/>
    <w:tmpl w:val="DC4627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CAF084E"/>
    <w:multiLevelType w:val="hybridMultilevel"/>
    <w:tmpl w:val="7E168014"/>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hint="default" w:ascii="Calibri" w:hAnsi="Calibri"/>
      </w:rPr>
    </w:lvl>
    <w:lvl w:ilvl="1">
      <w:start w:val="1"/>
      <w:numFmt w:val="bullet"/>
      <w:lvlRestart w:val="0"/>
      <w:pStyle w:val="SCVtablebullet2"/>
      <w:lvlText w:val="–"/>
      <w:lvlJc w:val="left"/>
      <w:pPr>
        <w:tabs>
          <w:tab w:val="num" w:pos="227"/>
        </w:tabs>
        <w:ind w:left="454" w:hanging="227"/>
      </w:pPr>
      <w:rPr>
        <w:rFonts w:hint="default" w:ascii="Calibri" w:hAnsi="Calibri"/>
      </w:rPr>
    </w:lvl>
    <w:lvl w:ilvl="2">
      <w:start w:val="1"/>
      <w:numFmt w:val="none"/>
      <w:lvlRestart w:val="0"/>
      <w:lvlText w:val=""/>
      <w:lvlJc w:val="left"/>
      <w:rPr>
        <w:rFonts w:hint="default" w:cs="Times New Roman"/>
      </w:rPr>
    </w:lvl>
    <w:lvl w:ilvl="3">
      <w:start w:val="1"/>
      <w:numFmt w:val="none"/>
      <w:lvlRestart w:val="0"/>
      <w:lvlText w:val=""/>
      <w:lvlJc w:val="left"/>
      <w:rPr>
        <w:rFonts w:hint="default" w:cs="Times New Roman"/>
      </w:rPr>
    </w:lvl>
    <w:lvl w:ilvl="4">
      <w:start w:val="1"/>
      <w:numFmt w:val="none"/>
      <w:lvlRestart w:val="0"/>
      <w:lvlText w:val=""/>
      <w:lvlJc w:val="left"/>
      <w:rPr>
        <w:rFonts w:hint="default" w:cs="Times New Roman"/>
      </w:rPr>
    </w:lvl>
    <w:lvl w:ilvl="5">
      <w:start w:val="1"/>
      <w:numFmt w:val="none"/>
      <w:lvlRestart w:val="0"/>
      <w:lvlText w:val=""/>
      <w:lvlJc w:val="left"/>
      <w:rPr>
        <w:rFonts w:hint="default" w:cs="Times New Roman"/>
      </w:rPr>
    </w:lvl>
    <w:lvl w:ilvl="6">
      <w:start w:val="1"/>
      <w:numFmt w:val="none"/>
      <w:lvlRestart w:val="0"/>
      <w:lvlText w:val=""/>
      <w:lvlJc w:val="left"/>
      <w:rPr>
        <w:rFonts w:hint="default" w:cs="Times New Roman"/>
      </w:rPr>
    </w:lvl>
    <w:lvl w:ilvl="7">
      <w:start w:val="1"/>
      <w:numFmt w:val="none"/>
      <w:lvlRestart w:val="0"/>
      <w:lvlText w:val=""/>
      <w:lvlJc w:val="left"/>
      <w:rPr>
        <w:rFonts w:hint="default" w:cs="Times New Roman"/>
      </w:rPr>
    </w:lvl>
    <w:lvl w:ilvl="8">
      <w:start w:val="1"/>
      <w:numFmt w:val="none"/>
      <w:lvlRestart w:val="0"/>
      <w:lvlText w:val=""/>
      <w:lvlJc w:val="left"/>
      <w:rPr>
        <w:rFonts w:hint="default" w:cs="Times New Roman"/>
      </w:rPr>
    </w:lvl>
  </w:abstractNum>
  <w:abstractNum w:abstractNumId="21" w15:restartNumberingAfterBreak="0">
    <w:nsid w:val="5B2E4F5F"/>
    <w:multiLevelType w:val="hybridMultilevel"/>
    <w:tmpl w:val="6938F9A2"/>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462983"/>
    <w:multiLevelType w:val="hybridMultilevel"/>
    <w:tmpl w:val="3A1EFA3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F88265B"/>
    <w:multiLevelType w:val="hybridMultilevel"/>
    <w:tmpl w:val="3F40FEDC"/>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4" w15:restartNumberingAfterBreak="0">
    <w:nsid w:val="61320433"/>
    <w:multiLevelType w:val="hybridMultilevel"/>
    <w:tmpl w:val="69C2D2B4"/>
    <w:styleLink w:val="ZZBullets"/>
    <w:lvl w:ilvl="0" w:tplc="A3906B08">
      <w:start w:val="1"/>
      <w:numFmt w:val="bullet"/>
      <w:pStyle w:val="SCVbullet1"/>
      <w:lvlText w:val=""/>
      <w:lvlJc w:val="left"/>
      <w:pPr>
        <w:ind w:left="284" w:hanging="284"/>
      </w:pPr>
      <w:rPr>
        <w:rFonts w:hint="default" w:ascii="Wingdings 2" w:hAnsi="Wingdings 2"/>
        <w:color w:val="004C97" w:themeColor="accent4"/>
        <w:position w:val="2"/>
        <w:sz w:val="16"/>
      </w:rPr>
    </w:lvl>
    <w:lvl w:ilvl="1" w:tplc="B0703E08">
      <w:start w:val="1"/>
      <w:numFmt w:val="bullet"/>
      <w:pStyle w:val="SCVbullet2"/>
      <w:lvlText w:val="–"/>
      <w:lvlJc w:val="left"/>
      <w:pPr>
        <w:tabs>
          <w:tab w:val="num" w:pos="284"/>
        </w:tabs>
        <w:ind w:left="567" w:hanging="283"/>
      </w:pPr>
      <w:rPr>
        <w:rFonts w:hint="default" w:ascii="Arial Black" w:hAnsi="Arial Black"/>
      </w:rPr>
    </w:lvl>
    <w:lvl w:ilvl="2" w:tplc="1B2E3E18">
      <w:start w:val="1"/>
      <w:numFmt w:val="decimal"/>
      <w:lvlRestart w:val="0"/>
      <w:lvlText w:val=""/>
      <w:lvlJc w:val="left"/>
      <w:pPr>
        <w:ind w:left="0" w:firstLine="0"/>
      </w:pPr>
    </w:lvl>
    <w:lvl w:ilvl="3" w:tplc="934A0DC0">
      <w:start w:val="1"/>
      <w:numFmt w:val="decimal"/>
      <w:lvlRestart w:val="0"/>
      <w:lvlText w:val=""/>
      <w:lvlJc w:val="left"/>
      <w:pPr>
        <w:ind w:left="0" w:firstLine="0"/>
      </w:pPr>
    </w:lvl>
    <w:lvl w:ilvl="4" w:tplc="C11E3D74">
      <w:start w:val="1"/>
      <w:numFmt w:val="decimal"/>
      <w:lvlRestart w:val="0"/>
      <w:lvlText w:val=""/>
      <w:lvlJc w:val="left"/>
      <w:pPr>
        <w:ind w:left="0" w:firstLine="0"/>
      </w:pPr>
    </w:lvl>
    <w:lvl w:ilvl="5" w:tplc="FB62851C">
      <w:start w:val="1"/>
      <w:numFmt w:val="decimal"/>
      <w:lvlRestart w:val="0"/>
      <w:lvlText w:val=""/>
      <w:lvlJc w:val="left"/>
      <w:pPr>
        <w:ind w:left="0" w:firstLine="0"/>
      </w:pPr>
    </w:lvl>
    <w:lvl w:ilvl="6" w:tplc="20FE2C22">
      <w:start w:val="1"/>
      <w:numFmt w:val="decimal"/>
      <w:lvlRestart w:val="0"/>
      <w:lvlText w:val=""/>
      <w:lvlJc w:val="left"/>
      <w:pPr>
        <w:ind w:left="0" w:firstLine="0"/>
      </w:pPr>
    </w:lvl>
    <w:lvl w:ilvl="7" w:tplc="6F42A670">
      <w:start w:val="1"/>
      <w:numFmt w:val="decimal"/>
      <w:lvlRestart w:val="0"/>
      <w:lvlText w:val=""/>
      <w:lvlJc w:val="left"/>
      <w:pPr>
        <w:ind w:left="0" w:firstLine="0"/>
      </w:pPr>
    </w:lvl>
    <w:lvl w:ilvl="8" w:tplc="7F4E7086">
      <w:start w:val="1"/>
      <w:numFmt w:val="decimal"/>
      <w:lvlRestart w:val="0"/>
      <w:lvlText w:val=""/>
      <w:lvlJc w:val="left"/>
      <w:pPr>
        <w:ind w:left="0" w:firstLine="0"/>
      </w:pPr>
    </w:lvl>
  </w:abstractNum>
  <w:abstractNum w:abstractNumId="25"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hint="default" w:ascii="Calibri" w:hAnsi="Calibri"/>
        <w:color w:val="007586" w:themeColor="text2"/>
      </w:rPr>
    </w:lvl>
    <w:lvl w:ilvl="1">
      <w:start w:val="1"/>
      <w:numFmt w:val="bullet"/>
      <w:lvlRestart w:val="0"/>
      <w:pStyle w:val="SCVquotebullet2"/>
      <w:lvlText w:val="–"/>
      <w:lvlJc w:val="left"/>
      <w:pPr>
        <w:ind w:left="964" w:hanging="284"/>
      </w:pPr>
      <w:rPr>
        <w:rFonts w:hint="default" w:ascii="Calibri" w:hAnsi="Calibri"/>
        <w:color w:val="007586" w:themeColor="text2"/>
      </w:rPr>
    </w:lvl>
    <w:lvl w:ilvl="2">
      <w:start w:val="1"/>
      <w:numFmt w:val="none"/>
      <w:lvlRestart w:val="0"/>
      <w:lvlText w:val=""/>
      <w:lvlJc w:val="left"/>
      <w:pPr>
        <w:ind w:left="0" w:firstLine="0"/>
      </w:pPr>
      <w:rPr>
        <w:rFonts w:hint="default" w:cs="Times New Roman"/>
      </w:rPr>
    </w:lvl>
    <w:lvl w:ilvl="3">
      <w:start w:val="1"/>
      <w:numFmt w:val="none"/>
      <w:lvlRestart w:val="0"/>
      <w:lvlText w:val=""/>
      <w:lvlJc w:val="left"/>
      <w:pPr>
        <w:ind w:left="0" w:firstLine="0"/>
      </w:pPr>
      <w:rPr>
        <w:rFonts w:hint="default" w:cs="Times New Roman"/>
      </w:rPr>
    </w:lvl>
    <w:lvl w:ilvl="4">
      <w:start w:val="1"/>
      <w:numFmt w:val="none"/>
      <w:lvlRestart w:val="0"/>
      <w:lvlText w:val=""/>
      <w:lvlJc w:val="left"/>
      <w:pPr>
        <w:ind w:left="0" w:firstLine="0"/>
      </w:pPr>
      <w:rPr>
        <w:rFonts w:hint="default" w:cs="Times New Roman"/>
      </w:rPr>
    </w:lvl>
    <w:lvl w:ilvl="5">
      <w:start w:val="1"/>
      <w:numFmt w:val="none"/>
      <w:lvlRestart w:val="0"/>
      <w:lvlText w:val=""/>
      <w:lvlJc w:val="left"/>
      <w:pPr>
        <w:ind w:left="0" w:firstLine="0"/>
      </w:pPr>
      <w:rPr>
        <w:rFonts w:hint="default" w:cs="Times New Roman"/>
      </w:rPr>
    </w:lvl>
    <w:lvl w:ilvl="6">
      <w:start w:val="1"/>
      <w:numFmt w:val="none"/>
      <w:lvlRestart w:val="0"/>
      <w:lvlText w:val=""/>
      <w:lvlJc w:val="left"/>
      <w:pPr>
        <w:ind w:left="0" w:firstLine="0"/>
      </w:pPr>
      <w:rPr>
        <w:rFonts w:hint="default" w:cs="Times New Roman"/>
      </w:rPr>
    </w:lvl>
    <w:lvl w:ilvl="7">
      <w:start w:val="1"/>
      <w:numFmt w:val="none"/>
      <w:lvlRestart w:val="0"/>
      <w:lvlText w:val=""/>
      <w:lvlJc w:val="left"/>
      <w:pPr>
        <w:ind w:left="0" w:firstLine="0"/>
      </w:pPr>
      <w:rPr>
        <w:rFonts w:hint="default" w:cs="Times New Roman"/>
      </w:rPr>
    </w:lvl>
    <w:lvl w:ilvl="8">
      <w:start w:val="1"/>
      <w:numFmt w:val="none"/>
      <w:lvlRestart w:val="0"/>
      <w:lvlText w:val=""/>
      <w:lvlJc w:val="left"/>
      <w:pPr>
        <w:ind w:left="0" w:firstLine="0"/>
      </w:pPr>
      <w:rPr>
        <w:rFonts w:hint="default" w:cs="Times New Roman"/>
      </w:rPr>
    </w:lvl>
  </w:abstractNum>
  <w:abstractNum w:abstractNumId="26" w15:restartNumberingAfterBreak="0">
    <w:nsid w:val="63772376"/>
    <w:multiLevelType w:val="hybridMultilevel"/>
    <w:tmpl w:val="225EBEF6"/>
    <w:lvl w:ilvl="0" w:tplc="0C090017">
      <w:start w:val="1"/>
      <w:numFmt w:val="lowerLetter"/>
      <w:lvlText w:val="%1)"/>
      <w:lvlJc w:val="left"/>
      <w:pPr>
        <w:ind w:left="720" w:hanging="360"/>
      </w:pPr>
    </w:lvl>
    <w:lvl w:ilvl="1" w:tplc="E968C53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026AB0"/>
    <w:multiLevelType w:val="hybridMultilevel"/>
    <w:tmpl w:val="BF14F108"/>
    <w:lvl w:ilvl="0" w:tplc="837EEA28">
      <w:numFmt w:val="bullet"/>
      <w:lvlText w:val="-"/>
      <w:lvlJc w:val="left"/>
      <w:pPr>
        <w:ind w:left="720" w:hanging="360"/>
      </w:pPr>
      <w:rPr>
        <w:rFonts w:hint="default" w:ascii="Arial" w:hAnsi="Arial" w:cs="Arial" w:eastAsiaTheme="minorEastAsia"/>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4873485"/>
    <w:multiLevelType w:val="hybridMultilevel"/>
    <w:tmpl w:val="3F24AF76"/>
    <w:lvl w:ilvl="0" w:tplc="E968C53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4E70303"/>
    <w:multiLevelType w:val="hybridMultilevel"/>
    <w:tmpl w:val="6BE0046E"/>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A33F4B"/>
    <w:multiLevelType w:val="hybridMultilevel"/>
    <w:tmpl w:val="AB6E3F04"/>
    <w:lvl w:ilvl="0" w:tplc="E968C5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E8B7FB9"/>
    <w:multiLevelType w:val="hybridMultilevel"/>
    <w:tmpl w:val="520E4ECC"/>
    <w:lvl w:ilvl="0" w:tplc="0C09001B">
      <w:start w:val="1"/>
      <w:numFmt w:val="lowerRoman"/>
      <w:lvlText w:val="%1."/>
      <w:lvlJc w:val="right"/>
      <w:pPr>
        <w:ind w:left="1572" w:hanging="360"/>
      </w:pPr>
    </w:lvl>
    <w:lvl w:ilvl="1" w:tplc="0C090019">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33" w15:restartNumberingAfterBreak="0">
    <w:nsid w:val="7FD44514"/>
    <w:multiLevelType w:val="hybridMultilevel"/>
    <w:tmpl w:val="457635A8"/>
    <w:name w:val="List num"/>
    <w:lvl w:ilvl="0" w:tplc="1D82826C">
      <w:start w:val="1"/>
      <w:numFmt w:val="decimal"/>
      <w:lvlText w:val="%1."/>
      <w:lvlJc w:val="left"/>
      <w:pPr>
        <w:ind w:left="720" w:hanging="360"/>
      </w:pPr>
    </w:lvl>
    <w:lvl w:ilvl="1" w:tplc="DA22E496">
      <w:start w:val="1"/>
      <w:numFmt w:val="lowerLetter"/>
      <w:lvlText w:val="%2."/>
      <w:lvlJc w:val="left"/>
      <w:pPr>
        <w:ind w:left="1440" w:hanging="360"/>
      </w:pPr>
    </w:lvl>
    <w:lvl w:ilvl="2" w:tplc="02C0FE34">
      <w:start w:val="1"/>
      <w:numFmt w:val="lowerRoman"/>
      <w:lvlText w:val="%3."/>
      <w:lvlJc w:val="right"/>
      <w:pPr>
        <w:ind w:left="2160" w:hanging="180"/>
      </w:pPr>
    </w:lvl>
    <w:lvl w:ilvl="3" w:tplc="AF90AF54">
      <w:start w:val="1"/>
      <w:numFmt w:val="decimal"/>
      <w:lvlText w:val="%4."/>
      <w:lvlJc w:val="left"/>
      <w:pPr>
        <w:ind w:left="2880" w:hanging="360"/>
      </w:pPr>
    </w:lvl>
    <w:lvl w:ilvl="4" w:tplc="BEF6723C">
      <w:start w:val="1"/>
      <w:numFmt w:val="lowerLetter"/>
      <w:lvlRestart w:val="1"/>
      <w:lvlText w:val="%5."/>
      <w:lvlJc w:val="left"/>
      <w:pPr>
        <w:ind w:left="3600" w:hanging="360"/>
      </w:pPr>
    </w:lvl>
    <w:lvl w:ilvl="5" w:tplc="E6529236">
      <w:start w:val="1"/>
      <w:numFmt w:val="lowerRoman"/>
      <w:lvlText w:val="%6."/>
      <w:lvlJc w:val="right"/>
      <w:pPr>
        <w:tabs>
          <w:tab w:val="num" w:pos="2345"/>
        </w:tabs>
        <w:ind w:left="4320" w:hanging="180"/>
      </w:pPr>
    </w:lvl>
    <w:lvl w:ilvl="6" w:tplc="93E8C724">
      <w:start w:val="1"/>
      <w:numFmt w:val="decimal"/>
      <w:lvlText w:val="%7."/>
      <w:lvlJc w:val="left"/>
      <w:pPr>
        <w:tabs>
          <w:tab w:val="num" w:pos="2742"/>
        </w:tabs>
        <w:ind w:left="5040" w:hanging="360"/>
      </w:pPr>
    </w:lvl>
    <w:lvl w:ilvl="7" w:tplc="3356F992">
      <w:start w:val="1"/>
      <w:numFmt w:val="lowerLetter"/>
      <w:lvlText w:val="%8."/>
      <w:lvlJc w:val="left"/>
      <w:pPr>
        <w:tabs>
          <w:tab w:val="num" w:pos="3139"/>
        </w:tabs>
        <w:ind w:left="5760" w:hanging="360"/>
      </w:pPr>
    </w:lvl>
    <w:lvl w:ilvl="8" w:tplc="E65849B2">
      <w:start w:val="1"/>
      <w:numFmt w:val="lowerRoman"/>
      <w:lvlText w:val="%9."/>
      <w:lvlJc w:val="right"/>
      <w:pPr>
        <w:tabs>
          <w:tab w:val="num" w:pos="3536"/>
        </w:tabs>
        <w:ind w:left="6480" w:hanging="180"/>
      </w:pPr>
    </w:lvl>
  </w:abstractNum>
  <w:num w:numId="1">
    <w:abstractNumId w:val="24"/>
  </w:num>
  <w:num w:numId="2">
    <w:abstractNumId w:val="31"/>
  </w:num>
  <w:num w:numId="3">
    <w:abstractNumId w:val="13"/>
  </w:num>
  <w:num w:numId="4">
    <w:abstractNumId w:val="5"/>
  </w:num>
  <w:num w:numId="5">
    <w:abstractNumId w:val="25"/>
  </w:num>
  <w:num w:numId="6">
    <w:abstractNumId w:val="20"/>
  </w:num>
  <w:num w:numId="7">
    <w:abstractNumId w:val="18"/>
  </w:num>
  <w:num w:numId="8">
    <w:abstractNumId w:val="22"/>
  </w:num>
  <w:num w:numId="9">
    <w:abstractNumId w:val="2"/>
  </w:num>
  <w:num w:numId="10">
    <w:abstractNumId w:val="3"/>
  </w:num>
  <w:num w:numId="11">
    <w:abstractNumId w:val="6"/>
  </w:num>
  <w:num w:numId="12">
    <w:abstractNumId w:val="1"/>
  </w:num>
  <w:num w:numId="13">
    <w:abstractNumId w:val="9"/>
  </w:num>
  <w:num w:numId="14">
    <w:abstractNumId w:val="0"/>
  </w:num>
  <w:num w:numId="15">
    <w:abstractNumId w:val="10"/>
  </w:num>
  <w:num w:numId="16">
    <w:abstractNumId w:val="23"/>
  </w:num>
  <w:num w:numId="17">
    <w:abstractNumId w:val="19"/>
  </w:num>
  <w:num w:numId="18">
    <w:abstractNumId w:val="17"/>
  </w:num>
  <w:num w:numId="19">
    <w:abstractNumId w:val="27"/>
  </w:num>
  <w:num w:numId="20">
    <w:abstractNumId w:val="30"/>
  </w:num>
  <w:num w:numId="21">
    <w:abstractNumId w:val="28"/>
  </w:num>
  <w:num w:numId="22">
    <w:abstractNumId w:val="26"/>
  </w:num>
  <w:num w:numId="23">
    <w:abstractNumId w:val="11"/>
  </w:num>
  <w:num w:numId="24">
    <w:abstractNumId w:val="21"/>
  </w:num>
  <w:num w:numId="25">
    <w:abstractNumId w:val="8"/>
  </w:num>
  <w:num w:numId="26">
    <w:abstractNumId w:val="32"/>
  </w:num>
  <w:num w:numId="27">
    <w:abstractNumId w:val="14"/>
  </w:num>
  <w:num w:numId="28">
    <w:abstractNumId w:val="4"/>
  </w:num>
  <w:num w:numId="29">
    <w:abstractNumId w:val="15"/>
  </w:num>
  <w:num w:numId="30">
    <w:abstractNumId w:val="16"/>
  </w:num>
  <w:num w:numId="31">
    <w:abstractNumId w:val="7"/>
  </w:num>
  <w:num w:numId="32">
    <w:abstractNumId w:val="29"/>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displayBackgroundShape/>
  <w:proofState w:spelling="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44"/>
    <w:rsid w:val="00000008"/>
    <w:rsid w:val="00000C5F"/>
    <w:rsid w:val="00000FEB"/>
    <w:rsid w:val="000021DB"/>
    <w:rsid w:val="00002C4F"/>
    <w:rsid w:val="000031C8"/>
    <w:rsid w:val="00010469"/>
    <w:rsid w:val="000115CD"/>
    <w:rsid w:val="000115F9"/>
    <w:rsid w:val="00012593"/>
    <w:rsid w:val="00012629"/>
    <w:rsid w:val="00012F6F"/>
    <w:rsid w:val="000136BB"/>
    <w:rsid w:val="00013703"/>
    <w:rsid w:val="00013B67"/>
    <w:rsid w:val="00013D47"/>
    <w:rsid w:val="00014213"/>
    <w:rsid w:val="00014B55"/>
    <w:rsid w:val="00014C1A"/>
    <w:rsid w:val="000154AD"/>
    <w:rsid w:val="00016D3F"/>
    <w:rsid w:val="00017178"/>
    <w:rsid w:val="00017233"/>
    <w:rsid w:val="00017700"/>
    <w:rsid w:val="00017F22"/>
    <w:rsid w:val="00020E3E"/>
    <w:rsid w:val="000212DA"/>
    <w:rsid w:val="0002231B"/>
    <w:rsid w:val="0002328B"/>
    <w:rsid w:val="00023484"/>
    <w:rsid w:val="00023BF3"/>
    <w:rsid w:val="0002443A"/>
    <w:rsid w:val="000252F9"/>
    <w:rsid w:val="000254A6"/>
    <w:rsid w:val="00025C22"/>
    <w:rsid w:val="000267BC"/>
    <w:rsid w:val="00026811"/>
    <w:rsid w:val="00027BAA"/>
    <w:rsid w:val="0003034F"/>
    <w:rsid w:val="00030B16"/>
    <w:rsid w:val="00030FDB"/>
    <w:rsid w:val="00031191"/>
    <w:rsid w:val="0003307A"/>
    <w:rsid w:val="0003313A"/>
    <w:rsid w:val="0003351E"/>
    <w:rsid w:val="00033684"/>
    <w:rsid w:val="00034656"/>
    <w:rsid w:val="00034803"/>
    <w:rsid w:val="0003494C"/>
    <w:rsid w:val="000350F3"/>
    <w:rsid w:val="00035A93"/>
    <w:rsid w:val="00035F6A"/>
    <w:rsid w:val="00036532"/>
    <w:rsid w:val="00036831"/>
    <w:rsid w:val="00036EA3"/>
    <w:rsid w:val="00040C32"/>
    <w:rsid w:val="0004185E"/>
    <w:rsid w:val="00042D35"/>
    <w:rsid w:val="00044BF0"/>
    <w:rsid w:val="00045B26"/>
    <w:rsid w:val="0004601B"/>
    <w:rsid w:val="0004644A"/>
    <w:rsid w:val="00046535"/>
    <w:rsid w:val="00046938"/>
    <w:rsid w:val="0004698F"/>
    <w:rsid w:val="00047089"/>
    <w:rsid w:val="000473EA"/>
    <w:rsid w:val="000477DC"/>
    <w:rsid w:val="00047C3D"/>
    <w:rsid w:val="00047ED7"/>
    <w:rsid w:val="00050412"/>
    <w:rsid w:val="000519BA"/>
    <w:rsid w:val="00052147"/>
    <w:rsid w:val="00052EE3"/>
    <w:rsid w:val="00053AEB"/>
    <w:rsid w:val="00054228"/>
    <w:rsid w:val="00055C57"/>
    <w:rsid w:val="00055F6E"/>
    <w:rsid w:val="000566D5"/>
    <w:rsid w:val="00056988"/>
    <w:rsid w:val="00057461"/>
    <w:rsid w:val="000609D1"/>
    <w:rsid w:val="00060A9D"/>
    <w:rsid w:val="00060ED1"/>
    <w:rsid w:val="00062279"/>
    <w:rsid w:val="00063580"/>
    <w:rsid w:val="0006364F"/>
    <w:rsid w:val="00065794"/>
    <w:rsid w:val="0006700C"/>
    <w:rsid w:val="000674C4"/>
    <w:rsid w:val="00067A6D"/>
    <w:rsid w:val="000700DB"/>
    <w:rsid w:val="0007043B"/>
    <w:rsid w:val="000705E7"/>
    <w:rsid w:val="00071762"/>
    <w:rsid w:val="00071C8B"/>
    <w:rsid w:val="00072279"/>
    <w:rsid w:val="00072989"/>
    <w:rsid w:val="000738DD"/>
    <w:rsid w:val="000746D4"/>
    <w:rsid w:val="00075355"/>
    <w:rsid w:val="0007542A"/>
    <w:rsid w:val="00075A01"/>
    <w:rsid w:val="00075B17"/>
    <w:rsid w:val="00075E6C"/>
    <w:rsid w:val="00075F77"/>
    <w:rsid w:val="0007602B"/>
    <w:rsid w:val="000761CC"/>
    <w:rsid w:val="00077C0A"/>
    <w:rsid w:val="00077DD1"/>
    <w:rsid w:val="000802B4"/>
    <w:rsid w:val="0008093E"/>
    <w:rsid w:val="00080D08"/>
    <w:rsid w:val="00080E82"/>
    <w:rsid w:val="000812F1"/>
    <w:rsid w:val="00081304"/>
    <w:rsid w:val="00081B99"/>
    <w:rsid w:val="00081C12"/>
    <w:rsid w:val="00082CFD"/>
    <w:rsid w:val="0008329A"/>
    <w:rsid w:val="00084110"/>
    <w:rsid w:val="00085B0F"/>
    <w:rsid w:val="00086835"/>
    <w:rsid w:val="0008785E"/>
    <w:rsid w:val="00087D42"/>
    <w:rsid w:val="00090205"/>
    <w:rsid w:val="000911E0"/>
    <w:rsid w:val="00091723"/>
    <w:rsid w:val="00091985"/>
    <w:rsid w:val="00092423"/>
    <w:rsid w:val="00092857"/>
    <w:rsid w:val="0009289E"/>
    <w:rsid w:val="000932E3"/>
    <w:rsid w:val="000936FA"/>
    <w:rsid w:val="000943AA"/>
    <w:rsid w:val="000946D5"/>
    <w:rsid w:val="00094F07"/>
    <w:rsid w:val="000952F3"/>
    <w:rsid w:val="000953AE"/>
    <w:rsid w:val="000956C3"/>
    <w:rsid w:val="000A005B"/>
    <w:rsid w:val="000A2620"/>
    <w:rsid w:val="000A2D04"/>
    <w:rsid w:val="000A2D44"/>
    <w:rsid w:val="000A2D6F"/>
    <w:rsid w:val="000A3017"/>
    <w:rsid w:val="000A30D4"/>
    <w:rsid w:val="000A378A"/>
    <w:rsid w:val="000A3B6E"/>
    <w:rsid w:val="000A5360"/>
    <w:rsid w:val="000A6FCE"/>
    <w:rsid w:val="000A7BAA"/>
    <w:rsid w:val="000A7F02"/>
    <w:rsid w:val="000B16AA"/>
    <w:rsid w:val="000B29AD"/>
    <w:rsid w:val="000B3667"/>
    <w:rsid w:val="000B37E2"/>
    <w:rsid w:val="000B38F0"/>
    <w:rsid w:val="000B3B52"/>
    <w:rsid w:val="000B5339"/>
    <w:rsid w:val="000B5BD4"/>
    <w:rsid w:val="000B673F"/>
    <w:rsid w:val="000B6B7C"/>
    <w:rsid w:val="000B6D1D"/>
    <w:rsid w:val="000B74AF"/>
    <w:rsid w:val="000B788E"/>
    <w:rsid w:val="000B7B42"/>
    <w:rsid w:val="000C0076"/>
    <w:rsid w:val="000C0AE9"/>
    <w:rsid w:val="000C0B2E"/>
    <w:rsid w:val="000C1045"/>
    <w:rsid w:val="000C123A"/>
    <w:rsid w:val="000C1C1B"/>
    <w:rsid w:val="000C26B4"/>
    <w:rsid w:val="000C2896"/>
    <w:rsid w:val="000C2DF8"/>
    <w:rsid w:val="000C2E5A"/>
    <w:rsid w:val="000C392F"/>
    <w:rsid w:val="000C3A94"/>
    <w:rsid w:val="000C3F6A"/>
    <w:rsid w:val="000C42D4"/>
    <w:rsid w:val="000C4D2E"/>
    <w:rsid w:val="000C4FC3"/>
    <w:rsid w:val="000C5391"/>
    <w:rsid w:val="000C5EE7"/>
    <w:rsid w:val="000C6372"/>
    <w:rsid w:val="000D0E48"/>
    <w:rsid w:val="000D19DC"/>
    <w:rsid w:val="000D1AB7"/>
    <w:rsid w:val="000D23FF"/>
    <w:rsid w:val="000D25AB"/>
    <w:rsid w:val="000D297D"/>
    <w:rsid w:val="000D3667"/>
    <w:rsid w:val="000D41E7"/>
    <w:rsid w:val="000D487E"/>
    <w:rsid w:val="000D5579"/>
    <w:rsid w:val="000D5707"/>
    <w:rsid w:val="000D5E10"/>
    <w:rsid w:val="000D663A"/>
    <w:rsid w:val="000D6991"/>
    <w:rsid w:val="000D7841"/>
    <w:rsid w:val="000E0444"/>
    <w:rsid w:val="000E05E2"/>
    <w:rsid w:val="000E14BA"/>
    <w:rsid w:val="000E14BF"/>
    <w:rsid w:val="000E2841"/>
    <w:rsid w:val="000E2A4E"/>
    <w:rsid w:val="000E2B71"/>
    <w:rsid w:val="000E3173"/>
    <w:rsid w:val="000E3810"/>
    <w:rsid w:val="000E38B4"/>
    <w:rsid w:val="000E3909"/>
    <w:rsid w:val="000E392D"/>
    <w:rsid w:val="000E39B6"/>
    <w:rsid w:val="000E3A59"/>
    <w:rsid w:val="000E3D05"/>
    <w:rsid w:val="000E5E9A"/>
    <w:rsid w:val="000E6ECC"/>
    <w:rsid w:val="000E77FE"/>
    <w:rsid w:val="000E7860"/>
    <w:rsid w:val="000E78C1"/>
    <w:rsid w:val="000E79C3"/>
    <w:rsid w:val="000E7B06"/>
    <w:rsid w:val="000E7E9A"/>
    <w:rsid w:val="000F02E1"/>
    <w:rsid w:val="000F11D0"/>
    <w:rsid w:val="000F13AF"/>
    <w:rsid w:val="000F266C"/>
    <w:rsid w:val="000F35E5"/>
    <w:rsid w:val="000F4288"/>
    <w:rsid w:val="000F42BF"/>
    <w:rsid w:val="000F44D9"/>
    <w:rsid w:val="000F4A4A"/>
    <w:rsid w:val="000F4C6F"/>
    <w:rsid w:val="000F5B1C"/>
    <w:rsid w:val="000F7165"/>
    <w:rsid w:val="000F7492"/>
    <w:rsid w:val="000F7889"/>
    <w:rsid w:val="00100361"/>
    <w:rsid w:val="00100981"/>
    <w:rsid w:val="001013BD"/>
    <w:rsid w:val="00101797"/>
    <w:rsid w:val="00101F6E"/>
    <w:rsid w:val="0010218C"/>
    <w:rsid w:val="00102379"/>
    <w:rsid w:val="001023F7"/>
    <w:rsid w:val="00103722"/>
    <w:rsid w:val="00103A57"/>
    <w:rsid w:val="0010477E"/>
    <w:rsid w:val="00105280"/>
    <w:rsid w:val="00105ADC"/>
    <w:rsid w:val="00105EB8"/>
    <w:rsid w:val="001062BD"/>
    <w:rsid w:val="001063CF"/>
    <w:rsid w:val="001065D6"/>
    <w:rsid w:val="001068D5"/>
    <w:rsid w:val="00106B21"/>
    <w:rsid w:val="0010769F"/>
    <w:rsid w:val="00107C06"/>
    <w:rsid w:val="00107F56"/>
    <w:rsid w:val="00110160"/>
    <w:rsid w:val="00111117"/>
    <w:rsid w:val="001122D4"/>
    <w:rsid w:val="001129C8"/>
    <w:rsid w:val="00113706"/>
    <w:rsid w:val="001145C2"/>
    <w:rsid w:val="00114B50"/>
    <w:rsid w:val="001154BA"/>
    <w:rsid w:val="00115F5E"/>
    <w:rsid w:val="001163C5"/>
    <w:rsid w:val="00121252"/>
    <w:rsid w:val="00121626"/>
    <w:rsid w:val="0012217B"/>
    <w:rsid w:val="00122568"/>
    <w:rsid w:val="00122999"/>
    <w:rsid w:val="00122D31"/>
    <w:rsid w:val="00122E36"/>
    <w:rsid w:val="001230B2"/>
    <w:rsid w:val="0012340E"/>
    <w:rsid w:val="001236B3"/>
    <w:rsid w:val="00123AAA"/>
    <w:rsid w:val="00124609"/>
    <w:rsid w:val="001254CE"/>
    <w:rsid w:val="0012587E"/>
    <w:rsid w:val="00126CA3"/>
    <w:rsid w:val="00126CF7"/>
    <w:rsid w:val="001303EB"/>
    <w:rsid w:val="0013068E"/>
    <w:rsid w:val="0013126D"/>
    <w:rsid w:val="00131CE5"/>
    <w:rsid w:val="00132212"/>
    <w:rsid w:val="001324CA"/>
    <w:rsid w:val="00133D71"/>
    <w:rsid w:val="001353D7"/>
    <w:rsid w:val="00135433"/>
    <w:rsid w:val="001354E5"/>
    <w:rsid w:val="00136934"/>
    <w:rsid w:val="00136E8B"/>
    <w:rsid w:val="00137650"/>
    <w:rsid w:val="00140AE5"/>
    <w:rsid w:val="001416C8"/>
    <w:rsid w:val="00141DF5"/>
    <w:rsid w:val="001422CC"/>
    <w:rsid w:val="0014234F"/>
    <w:rsid w:val="00142CC3"/>
    <w:rsid w:val="00143AF5"/>
    <w:rsid w:val="00144B1A"/>
    <w:rsid w:val="00144DC5"/>
    <w:rsid w:val="00145346"/>
    <w:rsid w:val="00146EE3"/>
    <w:rsid w:val="00150333"/>
    <w:rsid w:val="00150B75"/>
    <w:rsid w:val="00150C2B"/>
    <w:rsid w:val="00151020"/>
    <w:rsid w:val="00151814"/>
    <w:rsid w:val="00151C9E"/>
    <w:rsid w:val="00152984"/>
    <w:rsid w:val="00152FFA"/>
    <w:rsid w:val="0015300C"/>
    <w:rsid w:val="0015325D"/>
    <w:rsid w:val="00153643"/>
    <w:rsid w:val="001539A3"/>
    <w:rsid w:val="00154E95"/>
    <w:rsid w:val="00157039"/>
    <w:rsid w:val="001578F9"/>
    <w:rsid w:val="0016052C"/>
    <w:rsid w:val="00160CF0"/>
    <w:rsid w:val="00160F74"/>
    <w:rsid w:val="0016142E"/>
    <w:rsid w:val="001617B6"/>
    <w:rsid w:val="00162516"/>
    <w:rsid w:val="001630AA"/>
    <w:rsid w:val="001630E9"/>
    <w:rsid w:val="00163601"/>
    <w:rsid w:val="00163AAD"/>
    <w:rsid w:val="001649B7"/>
    <w:rsid w:val="00164A4D"/>
    <w:rsid w:val="00164A6A"/>
    <w:rsid w:val="0016555C"/>
    <w:rsid w:val="001658E6"/>
    <w:rsid w:val="00165E66"/>
    <w:rsid w:val="00166377"/>
    <w:rsid w:val="00166D44"/>
    <w:rsid w:val="00167D4F"/>
    <w:rsid w:val="001701B2"/>
    <w:rsid w:val="00171309"/>
    <w:rsid w:val="00171492"/>
    <w:rsid w:val="00171A51"/>
    <w:rsid w:val="00171C02"/>
    <w:rsid w:val="00171E9A"/>
    <w:rsid w:val="0017227A"/>
    <w:rsid w:val="0017344C"/>
    <w:rsid w:val="001736A1"/>
    <w:rsid w:val="00174D01"/>
    <w:rsid w:val="00174DC7"/>
    <w:rsid w:val="00174F38"/>
    <w:rsid w:val="00175AE8"/>
    <w:rsid w:val="001760CB"/>
    <w:rsid w:val="00176F32"/>
    <w:rsid w:val="00180A46"/>
    <w:rsid w:val="00180DB5"/>
    <w:rsid w:val="00181E64"/>
    <w:rsid w:val="001825F1"/>
    <w:rsid w:val="00182A4F"/>
    <w:rsid w:val="00183D69"/>
    <w:rsid w:val="00183E11"/>
    <w:rsid w:val="00184107"/>
    <w:rsid w:val="001849FD"/>
    <w:rsid w:val="00185832"/>
    <w:rsid w:val="00187780"/>
    <w:rsid w:val="00187DC6"/>
    <w:rsid w:val="001912C2"/>
    <w:rsid w:val="00191346"/>
    <w:rsid w:val="0019182D"/>
    <w:rsid w:val="001918A3"/>
    <w:rsid w:val="001918C6"/>
    <w:rsid w:val="00192123"/>
    <w:rsid w:val="00192549"/>
    <w:rsid w:val="00192758"/>
    <w:rsid w:val="0019351B"/>
    <w:rsid w:val="0019391D"/>
    <w:rsid w:val="00193BCD"/>
    <w:rsid w:val="00193DDD"/>
    <w:rsid w:val="00193EA0"/>
    <w:rsid w:val="00193F4E"/>
    <w:rsid w:val="00194B79"/>
    <w:rsid w:val="00195DCC"/>
    <w:rsid w:val="00195ED6"/>
    <w:rsid w:val="00196143"/>
    <w:rsid w:val="00196467"/>
    <w:rsid w:val="00196714"/>
    <w:rsid w:val="00197B51"/>
    <w:rsid w:val="001A04AE"/>
    <w:rsid w:val="001A10B5"/>
    <w:rsid w:val="001A1D18"/>
    <w:rsid w:val="001A2345"/>
    <w:rsid w:val="001A24FC"/>
    <w:rsid w:val="001A3920"/>
    <w:rsid w:val="001A4109"/>
    <w:rsid w:val="001A7B03"/>
    <w:rsid w:val="001B0B9C"/>
    <w:rsid w:val="001B291B"/>
    <w:rsid w:val="001B2D62"/>
    <w:rsid w:val="001B3B12"/>
    <w:rsid w:val="001B3DB8"/>
    <w:rsid w:val="001B4602"/>
    <w:rsid w:val="001B5658"/>
    <w:rsid w:val="001B5CB8"/>
    <w:rsid w:val="001B61F1"/>
    <w:rsid w:val="001B70A7"/>
    <w:rsid w:val="001B7E9E"/>
    <w:rsid w:val="001C0ECD"/>
    <w:rsid w:val="001C129B"/>
    <w:rsid w:val="001C1734"/>
    <w:rsid w:val="001C2178"/>
    <w:rsid w:val="001C236B"/>
    <w:rsid w:val="001C3459"/>
    <w:rsid w:val="001C3774"/>
    <w:rsid w:val="001C428D"/>
    <w:rsid w:val="001C4D20"/>
    <w:rsid w:val="001C4F5B"/>
    <w:rsid w:val="001C5A9F"/>
    <w:rsid w:val="001C6868"/>
    <w:rsid w:val="001C6958"/>
    <w:rsid w:val="001C7039"/>
    <w:rsid w:val="001C75BD"/>
    <w:rsid w:val="001C796B"/>
    <w:rsid w:val="001C7BAE"/>
    <w:rsid w:val="001CB417"/>
    <w:rsid w:val="001D086C"/>
    <w:rsid w:val="001D0D60"/>
    <w:rsid w:val="001D0D85"/>
    <w:rsid w:val="001D0F1E"/>
    <w:rsid w:val="001D1B3A"/>
    <w:rsid w:val="001D201D"/>
    <w:rsid w:val="001D267E"/>
    <w:rsid w:val="001D2A60"/>
    <w:rsid w:val="001D38C6"/>
    <w:rsid w:val="001D3BB6"/>
    <w:rsid w:val="001D3F41"/>
    <w:rsid w:val="001D4782"/>
    <w:rsid w:val="001D4E6D"/>
    <w:rsid w:val="001D59FC"/>
    <w:rsid w:val="001D69FA"/>
    <w:rsid w:val="001D7232"/>
    <w:rsid w:val="001D744C"/>
    <w:rsid w:val="001D7CEA"/>
    <w:rsid w:val="001E006E"/>
    <w:rsid w:val="001E0DB0"/>
    <w:rsid w:val="001E11A9"/>
    <w:rsid w:val="001E31FA"/>
    <w:rsid w:val="001E3366"/>
    <w:rsid w:val="001E3E73"/>
    <w:rsid w:val="001E48F9"/>
    <w:rsid w:val="001E49E5"/>
    <w:rsid w:val="001E5135"/>
    <w:rsid w:val="001E5D42"/>
    <w:rsid w:val="001E64F6"/>
    <w:rsid w:val="001E7AEB"/>
    <w:rsid w:val="001F03C5"/>
    <w:rsid w:val="001F17F7"/>
    <w:rsid w:val="001F2343"/>
    <w:rsid w:val="001F255A"/>
    <w:rsid w:val="001F2910"/>
    <w:rsid w:val="001F3449"/>
    <w:rsid w:val="001F3DB5"/>
    <w:rsid w:val="001F4949"/>
    <w:rsid w:val="001F4BC0"/>
    <w:rsid w:val="001F6182"/>
    <w:rsid w:val="001F65BE"/>
    <w:rsid w:val="00200B20"/>
    <w:rsid w:val="0020105C"/>
    <w:rsid w:val="002017F6"/>
    <w:rsid w:val="00202F2F"/>
    <w:rsid w:val="00204A75"/>
    <w:rsid w:val="00204B82"/>
    <w:rsid w:val="00205223"/>
    <w:rsid w:val="002053A1"/>
    <w:rsid w:val="0020575F"/>
    <w:rsid w:val="00205C68"/>
    <w:rsid w:val="00205FC9"/>
    <w:rsid w:val="0020692B"/>
    <w:rsid w:val="00210CDD"/>
    <w:rsid w:val="00210DD4"/>
    <w:rsid w:val="00212FC0"/>
    <w:rsid w:val="002134F2"/>
    <w:rsid w:val="0021360B"/>
    <w:rsid w:val="002141B8"/>
    <w:rsid w:val="00214F58"/>
    <w:rsid w:val="00215156"/>
    <w:rsid w:val="002156B3"/>
    <w:rsid w:val="00215B9F"/>
    <w:rsid w:val="00216A57"/>
    <w:rsid w:val="00217DC7"/>
    <w:rsid w:val="00220F56"/>
    <w:rsid w:val="002214B8"/>
    <w:rsid w:val="00221BB7"/>
    <w:rsid w:val="0022253D"/>
    <w:rsid w:val="00222A78"/>
    <w:rsid w:val="00222BEB"/>
    <w:rsid w:val="00223217"/>
    <w:rsid w:val="002241B1"/>
    <w:rsid w:val="00224B20"/>
    <w:rsid w:val="00224B76"/>
    <w:rsid w:val="002257C4"/>
    <w:rsid w:val="002258ED"/>
    <w:rsid w:val="00225B22"/>
    <w:rsid w:val="00225E60"/>
    <w:rsid w:val="00226CC9"/>
    <w:rsid w:val="0022745B"/>
    <w:rsid w:val="002275DE"/>
    <w:rsid w:val="00227859"/>
    <w:rsid w:val="00227ADF"/>
    <w:rsid w:val="00230BBB"/>
    <w:rsid w:val="00230FC1"/>
    <w:rsid w:val="00231711"/>
    <w:rsid w:val="0023172C"/>
    <w:rsid w:val="00231FF8"/>
    <w:rsid w:val="0023202C"/>
    <w:rsid w:val="002320E5"/>
    <w:rsid w:val="00232422"/>
    <w:rsid w:val="00233149"/>
    <w:rsid w:val="00234253"/>
    <w:rsid w:val="00234619"/>
    <w:rsid w:val="00235A5E"/>
    <w:rsid w:val="00237039"/>
    <w:rsid w:val="00237404"/>
    <w:rsid w:val="002377C8"/>
    <w:rsid w:val="002405A8"/>
    <w:rsid w:val="00240923"/>
    <w:rsid w:val="002417E4"/>
    <w:rsid w:val="00241AAF"/>
    <w:rsid w:val="00242559"/>
    <w:rsid w:val="00243725"/>
    <w:rsid w:val="00243C3E"/>
    <w:rsid w:val="00243DB7"/>
    <w:rsid w:val="002449E1"/>
    <w:rsid w:val="00244A87"/>
    <w:rsid w:val="00244C30"/>
    <w:rsid w:val="00245043"/>
    <w:rsid w:val="00245255"/>
    <w:rsid w:val="0024595A"/>
    <w:rsid w:val="00246483"/>
    <w:rsid w:val="00247308"/>
    <w:rsid w:val="00247A88"/>
    <w:rsid w:val="00250765"/>
    <w:rsid w:val="00250F61"/>
    <w:rsid w:val="0025139C"/>
    <w:rsid w:val="002515AF"/>
    <w:rsid w:val="00251746"/>
    <w:rsid w:val="0025187A"/>
    <w:rsid w:val="00251F1A"/>
    <w:rsid w:val="00252372"/>
    <w:rsid w:val="0025339A"/>
    <w:rsid w:val="00253829"/>
    <w:rsid w:val="00253B2B"/>
    <w:rsid w:val="00254425"/>
    <w:rsid w:val="00254C88"/>
    <w:rsid w:val="00254EDB"/>
    <w:rsid w:val="0025578B"/>
    <w:rsid w:val="00255D41"/>
    <w:rsid w:val="002570BD"/>
    <w:rsid w:val="0025712A"/>
    <w:rsid w:val="002574E5"/>
    <w:rsid w:val="00257B4F"/>
    <w:rsid w:val="0026028E"/>
    <w:rsid w:val="00260383"/>
    <w:rsid w:val="002611E3"/>
    <w:rsid w:val="00261FB6"/>
    <w:rsid w:val="00262EFD"/>
    <w:rsid w:val="00263BC3"/>
    <w:rsid w:val="00264A44"/>
    <w:rsid w:val="0026542C"/>
    <w:rsid w:val="002657A3"/>
    <w:rsid w:val="002670BB"/>
    <w:rsid w:val="00267990"/>
    <w:rsid w:val="00267D39"/>
    <w:rsid w:val="00267EED"/>
    <w:rsid w:val="0027098A"/>
    <w:rsid w:val="0027128F"/>
    <w:rsid w:val="00271CC5"/>
    <w:rsid w:val="00272EC4"/>
    <w:rsid w:val="00274FF7"/>
    <w:rsid w:val="002752F0"/>
    <w:rsid w:val="002753BA"/>
    <w:rsid w:val="00275700"/>
    <w:rsid w:val="00275CE3"/>
    <w:rsid w:val="00276717"/>
    <w:rsid w:val="0027696A"/>
    <w:rsid w:val="002808BD"/>
    <w:rsid w:val="00280F3F"/>
    <w:rsid w:val="00281D42"/>
    <w:rsid w:val="00282037"/>
    <w:rsid w:val="00282118"/>
    <w:rsid w:val="0028290C"/>
    <w:rsid w:val="0028354F"/>
    <w:rsid w:val="00284045"/>
    <w:rsid w:val="002842DF"/>
    <w:rsid w:val="00284C3C"/>
    <w:rsid w:val="00284FA2"/>
    <w:rsid w:val="0028577C"/>
    <w:rsid w:val="00285C1A"/>
    <w:rsid w:val="00285E13"/>
    <w:rsid w:val="00286657"/>
    <w:rsid w:val="00286D3F"/>
    <w:rsid w:val="002874BE"/>
    <w:rsid w:val="0028774A"/>
    <w:rsid w:val="00287853"/>
    <w:rsid w:val="00287E48"/>
    <w:rsid w:val="00290B25"/>
    <w:rsid w:val="002911AA"/>
    <w:rsid w:val="002918CE"/>
    <w:rsid w:val="00291F79"/>
    <w:rsid w:val="00292657"/>
    <w:rsid w:val="00292A68"/>
    <w:rsid w:val="00292D36"/>
    <w:rsid w:val="002933BA"/>
    <w:rsid w:val="0029361C"/>
    <w:rsid w:val="00294A5A"/>
    <w:rsid w:val="00294DCB"/>
    <w:rsid w:val="0029529A"/>
    <w:rsid w:val="002958E9"/>
    <w:rsid w:val="00295C7D"/>
    <w:rsid w:val="00295EA0"/>
    <w:rsid w:val="002964E7"/>
    <w:rsid w:val="00296F77"/>
    <w:rsid w:val="00296FB4"/>
    <w:rsid w:val="00297281"/>
    <w:rsid w:val="00297480"/>
    <w:rsid w:val="00297A47"/>
    <w:rsid w:val="002A073D"/>
    <w:rsid w:val="002A0AC8"/>
    <w:rsid w:val="002A1B9E"/>
    <w:rsid w:val="002A25BE"/>
    <w:rsid w:val="002A2F96"/>
    <w:rsid w:val="002A3352"/>
    <w:rsid w:val="002A385F"/>
    <w:rsid w:val="002A4210"/>
    <w:rsid w:val="002A4AD5"/>
    <w:rsid w:val="002A5289"/>
    <w:rsid w:val="002A5891"/>
    <w:rsid w:val="002A5B2A"/>
    <w:rsid w:val="002A60C9"/>
    <w:rsid w:val="002A6306"/>
    <w:rsid w:val="002A6CBD"/>
    <w:rsid w:val="002A6FC0"/>
    <w:rsid w:val="002A7132"/>
    <w:rsid w:val="002A7860"/>
    <w:rsid w:val="002A7BED"/>
    <w:rsid w:val="002A7DB4"/>
    <w:rsid w:val="002B008A"/>
    <w:rsid w:val="002B03F1"/>
    <w:rsid w:val="002B14A5"/>
    <w:rsid w:val="002B198E"/>
    <w:rsid w:val="002B2AA4"/>
    <w:rsid w:val="002B2EA3"/>
    <w:rsid w:val="002B31FB"/>
    <w:rsid w:val="002B4680"/>
    <w:rsid w:val="002B4C3E"/>
    <w:rsid w:val="002B5109"/>
    <w:rsid w:val="002B5E2B"/>
    <w:rsid w:val="002B6496"/>
    <w:rsid w:val="002B65B6"/>
    <w:rsid w:val="002B6DAA"/>
    <w:rsid w:val="002B6FFE"/>
    <w:rsid w:val="002B736F"/>
    <w:rsid w:val="002B7500"/>
    <w:rsid w:val="002B7759"/>
    <w:rsid w:val="002B7984"/>
    <w:rsid w:val="002B7D16"/>
    <w:rsid w:val="002C08B9"/>
    <w:rsid w:val="002C0EEE"/>
    <w:rsid w:val="002C0F38"/>
    <w:rsid w:val="002C159B"/>
    <w:rsid w:val="002C1AB6"/>
    <w:rsid w:val="002C1C32"/>
    <w:rsid w:val="002C2C95"/>
    <w:rsid w:val="002C3188"/>
    <w:rsid w:val="002C3EB2"/>
    <w:rsid w:val="002C40AF"/>
    <w:rsid w:val="002C41A4"/>
    <w:rsid w:val="002C4329"/>
    <w:rsid w:val="002C438D"/>
    <w:rsid w:val="002C5354"/>
    <w:rsid w:val="002C5868"/>
    <w:rsid w:val="002C6179"/>
    <w:rsid w:val="002C6316"/>
    <w:rsid w:val="002D0FCF"/>
    <w:rsid w:val="002D1999"/>
    <w:rsid w:val="002D28F1"/>
    <w:rsid w:val="002D2982"/>
    <w:rsid w:val="002D2BCE"/>
    <w:rsid w:val="002D2DE9"/>
    <w:rsid w:val="002D42C3"/>
    <w:rsid w:val="002D4648"/>
    <w:rsid w:val="002D4872"/>
    <w:rsid w:val="002D4F8D"/>
    <w:rsid w:val="002D5288"/>
    <w:rsid w:val="002D599C"/>
    <w:rsid w:val="002D652B"/>
    <w:rsid w:val="002D6F3C"/>
    <w:rsid w:val="002D70F7"/>
    <w:rsid w:val="002D711A"/>
    <w:rsid w:val="002D7252"/>
    <w:rsid w:val="002D72D0"/>
    <w:rsid w:val="002D7336"/>
    <w:rsid w:val="002D7347"/>
    <w:rsid w:val="002D7481"/>
    <w:rsid w:val="002D7649"/>
    <w:rsid w:val="002D76B1"/>
    <w:rsid w:val="002D76D0"/>
    <w:rsid w:val="002E0077"/>
    <w:rsid w:val="002E06CA"/>
    <w:rsid w:val="002E164D"/>
    <w:rsid w:val="002E1A21"/>
    <w:rsid w:val="002E1B8C"/>
    <w:rsid w:val="002E21E7"/>
    <w:rsid w:val="002E31DC"/>
    <w:rsid w:val="002E3396"/>
    <w:rsid w:val="002E4204"/>
    <w:rsid w:val="002E4918"/>
    <w:rsid w:val="002E50A9"/>
    <w:rsid w:val="002E550D"/>
    <w:rsid w:val="002E594A"/>
    <w:rsid w:val="002E64F9"/>
    <w:rsid w:val="002E6B4D"/>
    <w:rsid w:val="002E7578"/>
    <w:rsid w:val="002F0E64"/>
    <w:rsid w:val="002F10D7"/>
    <w:rsid w:val="002F17A6"/>
    <w:rsid w:val="002F1888"/>
    <w:rsid w:val="002F2953"/>
    <w:rsid w:val="002F3C7F"/>
    <w:rsid w:val="002F4173"/>
    <w:rsid w:val="002F4691"/>
    <w:rsid w:val="002F46D8"/>
    <w:rsid w:val="002F5281"/>
    <w:rsid w:val="002F5DCA"/>
    <w:rsid w:val="002F5E5A"/>
    <w:rsid w:val="002F7D90"/>
    <w:rsid w:val="0030169E"/>
    <w:rsid w:val="00303E66"/>
    <w:rsid w:val="003041AD"/>
    <w:rsid w:val="00304868"/>
    <w:rsid w:val="003059E0"/>
    <w:rsid w:val="00305A63"/>
    <w:rsid w:val="003060B6"/>
    <w:rsid w:val="0030662E"/>
    <w:rsid w:val="00306C8B"/>
    <w:rsid w:val="00307122"/>
    <w:rsid w:val="00307309"/>
    <w:rsid w:val="00310BA1"/>
    <w:rsid w:val="00310FE7"/>
    <w:rsid w:val="0031149C"/>
    <w:rsid w:val="00311F5B"/>
    <w:rsid w:val="00312B05"/>
    <w:rsid w:val="00312EBE"/>
    <w:rsid w:val="0031429D"/>
    <w:rsid w:val="00314BCA"/>
    <w:rsid w:val="00314C03"/>
    <w:rsid w:val="00314C18"/>
    <w:rsid w:val="00315B8F"/>
    <w:rsid w:val="00316FC9"/>
    <w:rsid w:val="00316FD1"/>
    <w:rsid w:val="00316FFB"/>
    <w:rsid w:val="003172F6"/>
    <w:rsid w:val="003174FF"/>
    <w:rsid w:val="00321038"/>
    <w:rsid w:val="003216B7"/>
    <w:rsid w:val="0032201E"/>
    <w:rsid w:val="0032206D"/>
    <w:rsid w:val="0032211B"/>
    <w:rsid w:val="00322209"/>
    <w:rsid w:val="00322658"/>
    <w:rsid w:val="00323ED3"/>
    <w:rsid w:val="0032448F"/>
    <w:rsid w:val="00325225"/>
    <w:rsid w:val="00325703"/>
    <w:rsid w:val="00325E21"/>
    <w:rsid w:val="00326817"/>
    <w:rsid w:val="00326D57"/>
    <w:rsid w:val="00326E68"/>
    <w:rsid w:val="00327103"/>
    <w:rsid w:val="003273C8"/>
    <w:rsid w:val="00327DF0"/>
    <w:rsid w:val="00330270"/>
    <w:rsid w:val="00330B4C"/>
    <w:rsid w:val="00331037"/>
    <w:rsid w:val="00332563"/>
    <w:rsid w:val="00332BD6"/>
    <w:rsid w:val="00333016"/>
    <w:rsid w:val="003332C1"/>
    <w:rsid w:val="00333430"/>
    <w:rsid w:val="00333A7B"/>
    <w:rsid w:val="00333A8D"/>
    <w:rsid w:val="00333AFB"/>
    <w:rsid w:val="003349F3"/>
    <w:rsid w:val="0033649B"/>
    <w:rsid w:val="003372BD"/>
    <w:rsid w:val="003374E1"/>
    <w:rsid w:val="00337763"/>
    <w:rsid w:val="00337924"/>
    <w:rsid w:val="00341546"/>
    <w:rsid w:val="00341F0E"/>
    <w:rsid w:val="00342721"/>
    <w:rsid w:val="00342765"/>
    <w:rsid w:val="00342840"/>
    <w:rsid w:val="003429C9"/>
    <w:rsid w:val="00342E5F"/>
    <w:rsid w:val="003437B6"/>
    <w:rsid w:val="00343C8C"/>
    <w:rsid w:val="003447A9"/>
    <w:rsid w:val="00344A73"/>
    <w:rsid w:val="00344AD5"/>
    <w:rsid w:val="003456D4"/>
    <w:rsid w:val="00345B45"/>
    <w:rsid w:val="00345B7C"/>
    <w:rsid w:val="00345F0B"/>
    <w:rsid w:val="0034615A"/>
    <w:rsid w:val="003468C1"/>
    <w:rsid w:val="00347524"/>
    <w:rsid w:val="00347B19"/>
    <w:rsid w:val="00347C58"/>
    <w:rsid w:val="00347E45"/>
    <w:rsid w:val="00350201"/>
    <w:rsid w:val="00350311"/>
    <w:rsid w:val="0035035E"/>
    <w:rsid w:val="00350441"/>
    <w:rsid w:val="00350962"/>
    <w:rsid w:val="003514B9"/>
    <w:rsid w:val="0035167C"/>
    <w:rsid w:val="003519BB"/>
    <w:rsid w:val="003526C8"/>
    <w:rsid w:val="00354D98"/>
    <w:rsid w:val="00354ECD"/>
    <w:rsid w:val="00355990"/>
    <w:rsid w:val="00355A5E"/>
    <w:rsid w:val="00355B32"/>
    <w:rsid w:val="00356860"/>
    <w:rsid w:val="00357AA7"/>
    <w:rsid w:val="00357D0F"/>
    <w:rsid w:val="00357D8E"/>
    <w:rsid w:val="0036041C"/>
    <w:rsid w:val="003607DA"/>
    <w:rsid w:val="003618B3"/>
    <w:rsid w:val="003625B4"/>
    <w:rsid w:val="00363A38"/>
    <w:rsid w:val="00364612"/>
    <w:rsid w:val="003649C0"/>
    <w:rsid w:val="00367327"/>
    <w:rsid w:val="00367431"/>
    <w:rsid w:val="0036778F"/>
    <w:rsid w:val="00370009"/>
    <w:rsid w:val="00370859"/>
    <w:rsid w:val="00370FEE"/>
    <w:rsid w:val="003711B9"/>
    <w:rsid w:val="00373486"/>
    <w:rsid w:val="00373515"/>
    <w:rsid w:val="003743C0"/>
    <w:rsid w:val="003746C6"/>
    <w:rsid w:val="003749AC"/>
    <w:rsid w:val="00374A57"/>
    <w:rsid w:val="00375186"/>
    <w:rsid w:val="003757CD"/>
    <w:rsid w:val="0037626F"/>
    <w:rsid w:val="00377113"/>
    <w:rsid w:val="00377ED6"/>
    <w:rsid w:val="003802A9"/>
    <w:rsid w:val="00380B8B"/>
    <w:rsid w:val="00380C60"/>
    <w:rsid w:val="0038180D"/>
    <w:rsid w:val="00381BF7"/>
    <w:rsid w:val="00382728"/>
    <w:rsid w:val="003828EB"/>
    <w:rsid w:val="0038321F"/>
    <w:rsid w:val="0038327D"/>
    <w:rsid w:val="00383661"/>
    <w:rsid w:val="00383BCE"/>
    <w:rsid w:val="00384D72"/>
    <w:rsid w:val="00384E9D"/>
    <w:rsid w:val="00385237"/>
    <w:rsid w:val="00385A36"/>
    <w:rsid w:val="00385BE3"/>
    <w:rsid w:val="0038771C"/>
    <w:rsid w:val="0039044E"/>
    <w:rsid w:val="00390573"/>
    <w:rsid w:val="00390599"/>
    <w:rsid w:val="00390DBA"/>
    <w:rsid w:val="003918CE"/>
    <w:rsid w:val="00391EFA"/>
    <w:rsid w:val="00393D2B"/>
    <w:rsid w:val="0039402E"/>
    <w:rsid w:val="003940B1"/>
    <w:rsid w:val="003942D1"/>
    <w:rsid w:val="00394981"/>
    <w:rsid w:val="00394A06"/>
    <w:rsid w:val="00394BE1"/>
    <w:rsid w:val="00394F2F"/>
    <w:rsid w:val="00396032"/>
    <w:rsid w:val="00396E9C"/>
    <w:rsid w:val="003972E8"/>
    <w:rsid w:val="003975FD"/>
    <w:rsid w:val="003A0AFE"/>
    <w:rsid w:val="003A16E1"/>
    <w:rsid w:val="003A24F9"/>
    <w:rsid w:val="003A2515"/>
    <w:rsid w:val="003A2CEE"/>
    <w:rsid w:val="003A398B"/>
    <w:rsid w:val="003A4234"/>
    <w:rsid w:val="003A424F"/>
    <w:rsid w:val="003A430B"/>
    <w:rsid w:val="003A541A"/>
    <w:rsid w:val="003A5C80"/>
    <w:rsid w:val="003A67F0"/>
    <w:rsid w:val="003A6923"/>
    <w:rsid w:val="003A6CEA"/>
    <w:rsid w:val="003A7E22"/>
    <w:rsid w:val="003A7F5F"/>
    <w:rsid w:val="003A7F96"/>
    <w:rsid w:val="003B0680"/>
    <w:rsid w:val="003B0AF6"/>
    <w:rsid w:val="003B1B08"/>
    <w:rsid w:val="003B1DF5"/>
    <w:rsid w:val="003B2A72"/>
    <w:rsid w:val="003B2FE0"/>
    <w:rsid w:val="003B4097"/>
    <w:rsid w:val="003B553E"/>
    <w:rsid w:val="003B5750"/>
    <w:rsid w:val="003B659E"/>
    <w:rsid w:val="003B686F"/>
    <w:rsid w:val="003B6EDF"/>
    <w:rsid w:val="003C0D7D"/>
    <w:rsid w:val="003C0EC1"/>
    <w:rsid w:val="003C1D39"/>
    <w:rsid w:val="003C1EE0"/>
    <w:rsid w:val="003C2225"/>
    <w:rsid w:val="003C2C67"/>
    <w:rsid w:val="003C2D4C"/>
    <w:rsid w:val="003C2EA1"/>
    <w:rsid w:val="003C325E"/>
    <w:rsid w:val="003C3B3A"/>
    <w:rsid w:val="003C4946"/>
    <w:rsid w:val="003C4A95"/>
    <w:rsid w:val="003C5BA4"/>
    <w:rsid w:val="003C75DF"/>
    <w:rsid w:val="003D1655"/>
    <w:rsid w:val="003D33AA"/>
    <w:rsid w:val="003D3BAC"/>
    <w:rsid w:val="003D5126"/>
    <w:rsid w:val="003D5B2B"/>
    <w:rsid w:val="003D6483"/>
    <w:rsid w:val="003D71DB"/>
    <w:rsid w:val="003E0251"/>
    <w:rsid w:val="003E0717"/>
    <w:rsid w:val="003E0BB9"/>
    <w:rsid w:val="003E0CDE"/>
    <w:rsid w:val="003E1387"/>
    <w:rsid w:val="003E36B0"/>
    <w:rsid w:val="003E380F"/>
    <w:rsid w:val="003E3E26"/>
    <w:rsid w:val="003E4925"/>
    <w:rsid w:val="003E4A50"/>
    <w:rsid w:val="003E52C0"/>
    <w:rsid w:val="003E54CD"/>
    <w:rsid w:val="003E5934"/>
    <w:rsid w:val="003E6EFE"/>
    <w:rsid w:val="003F0032"/>
    <w:rsid w:val="003F0D29"/>
    <w:rsid w:val="003F1295"/>
    <w:rsid w:val="003F2692"/>
    <w:rsid w:val="003F27FF"/>
    <w:rsid w:val="003F2E28"/>
    <w:rsid w:val="003F3B3A"/>
    <w:rsid w:val="003F483B"/>
    <w:rsid w:val="003F5102"/>
    <w:rsid w:val="003F5E44"/>
    <w:rsid w:val="003F622E"/>
    <w:rsid w:val="003F6F12"/>
    <w:rsid w:val="003F7494"/>
    <w:rsid w:val="003F76D6"/>
    <w:rsid w:val="003F76FC"/>
    <w:rsid w:val="004002EB"/>
    <w:rsid w:val="00400A81"/>
    <w:rsid w:val="00400E6A"/>
    <w:rsid w:val="004013B3"/>
    <w:rsid w:val="004027B6"/>
    <w:rsid w:val="00403077"/>
    <w:rsid w:val="00403101"/>
    <w:rsid w:val="00403158"/>
    <w:rsid w:val="00403235"/>
    <w:rsid w:val="00403D57"/>
    <w:rsid w:val="00403EAD"/>
    <w:rsid w:val="00403F55"/>
    <w:rsid w:val="004042D6"/>
    <w:rsid w:val="00404706"/>
    <w:rsid w:val="00404F14"/>
    <w:rsid w:val="00406F1D"/>
    <w:rsid w:val="00407A79"/>
    <w:rsid w:val="00410373"/>
    <w:rsid w:val="004104A3"/>
    <w:rsid w:val="004108A6"/>
    <w:rsid w:val="00410F7C"/>
    <w:rsid w:val="00411607"/>
    <w:rsid w:val="0041160D"/>
    <w:rsid w:val="00411733"/>
    <w:rsid w:val="004128FF"/>
    <w:rsid w:val="00413102"/>
    <w:rsid w:val="004134BA"/>
    <w:rsid w:val="0041365C"/>
    <w:rsid w:val="0041369A"/>
    <w:rsid w:val="004136BE"/>
    <w:rsid w:val="004162DB"/>
    <w:rsid w:val="00416B0D"/>
    <w:rsid w:val="00416EA8"/>
    <w:rsid w:val="00416FE0"/>
    <w:rsid w:val="0041715B"/>
    <w:rsid w:val="00417ED8"/>
    <w:rsid w:val="00420A18"/>
    <w:rsid w:val="00420A83"/>
    <w:rsid w:val="00420E48"/>
    <w:rsid w:val="00421005"/>
    <w:rsid w:val="00421268"/>
    <w:rsid w:val="00421328"/>
    <w:rsid w:val="00421980"/>
    <w:rsid w:val="00422043"/>
    <w:rsid w:val="00422597"/>
    <w:rsid w:val="00422DDC"/>
    <w:rsid w:val="004231B5"/>
    <w:rsid w:val="004236C8"/>
    <w:rsid w:val="004253BD"/>
    <w:rsid w:val="004254BD"/>
    <w:rsid w:val="004259F4"/>
    <w:rsid w:val="00425D7D"/>
    <w:rsid w:val="00426AD2"/>
    <w:rsid w:val="00426D07"/>
    <w:rsid w:val="0042758E"/>
    <w:rsid w:val="00427681"/>
    <w:rsid w:val="00430253"/>
    <w:rsid w:val="0043055C"/>
    <w:rsid w:val="004319A4"/>
    <w:rsid w:val="00431A94"/>
    <w:rsid w:val="004322E6"/>
    <w:rsid w:val="00433DB7"/>
    <w:rsid w:val="00433DEC"/>
    <w:rsid w:val="004340A7"/>
    <w:rsid w:val="004347F4"/>
    <w:rsid w:val="004354AA"/>
    <w:rsid w:val="00435EA6"/>
    <w:rsid w:val="0043635B"/>
    <w:rsid w:val="004363CF"/>
    <w:rsid w:val="004364FC"/>
    <w:rsid w:val="0043696B"/>
    <w:rsid w:val="00437F58"/>
    <w:rsid w:val="00441350"/>
    <w:rsid w:val="00441A34"/>
    <w:rsid w:val="00442373"/>
    <w:rsid w:val="004424D6"/>
    <w:rsid w:val="00442FCF"/>
    <w:rsid w:val="00443587"/>
    <w:rsid w:val="00443ACA"/>
    <w:rsid w:val="0044511A"/>
    <w:rsid w:val="004464C3"/>
    <w:rsid w:val="004465EA"/>
    <w:rsid w:val="00450191"/>
    <w:rsid w:val="00450478"/>
    <w:rsid w:val="0045054E"/>
    <w:rsid w:val="00450A0D"/>
    <w:rsid w:val="00450E2B"/>
    <w:rsid w:val="0045123E"/>
    <w:rsid w:val="0045315B"/>
    <w:rsid w:val="004532BD"/>
    <w:rsid w:val="00453750"/>
    <w:rsid w:val="00454ADF"/>
    <w:rsid w:val="00455047"/>
    <w:rsid w:val="00455C02"/>
    <w:rsid w:val="00456941"/>
    <w:rsid w:val="004569A0"/>
    <w:rsid w:val="004576AD"/>
    <w:rsid w:val="0046035A"/>
    <w:rsid w:val="00460CF8"/>
    <w:rsid w:val="00462432"/>
    <w:rsid w:val="004629CC"/>
    <w:rsid w:val="00462BE5"/>
    <w:rsid w:val="00463B4D"/>
    <w:rsid w:val="00463C5A"/>
    <w:rsid w:val="00464AB8"/>
    <w:rsid w:val="00464EF8"/>
    <w:rsid w:val="00464F51"/>
    <w:rsid w:val="00464FF3"/>
    <w:rsid w:val="00465859"/>
    <w:rsid w:val="00466B85"/>
    <w:rsid w:val="00467DD9"/>
    <w:rsid w:val="00467FC5"/>
    <w:rsid w:val="004702EA"/>
    <w:rsid w:val="00471549"/>
    <w:rsid w:val="004724A5"/>
    <w:rsid w:val="004729A3"/>
    <w:rsid w:val="004733A5"/>
    <w:rsid w:val="0047380F"/>
    <w:rsid w:val="004747E8"/>
    <w:rsid w:val="00474928"/>
    <w:rsid w:val="00476BF7"/>
    <w:rsid w:val="004777DB"/>
    <w:rsid w:val="00477821"/>
    <w:rsid w:val="0047786F"/>
    <w:rsid w:val="00477A27"/>
    <w:rsid w:val="00477A38"/>
    <w:rsid w:val="00477B4B"/>
    <w:rsid w:val="00480903"/>
    <w:rsid w:val="004810AC"/>
    <w:rsid w:val="00481356"/>
    <w:rsid w:val="00481A76"/>
    <w:rsid w:val="004822ED"/>
    <w:rsid w:val="004824BA"/>
    <w:rsid w:val="0048259C"/>
    <w:rsid w:val="00482D02"/>
    <w:rsid w:val="00483CA4"/>
    <w:rsid w:val="00483CD2"/>
    <w:rsid w:val="00483F0B"/>
    <w:rsid w:val="00484326"/>
    <w:rsid w:val="0048583D"/>
    <w:rsid w:val="00485E9E"/>
    <w:rsid w:val="004861A5"/>
    <w:rsid w:val="00486B8D"/>
    <w:rsid w:val="00490369"/>
    <w:rsid w:val="00490580"/>
    <w:rsid w:val="0049072F"/>
    <w:rsid w:val="0049077C"/>
    <w:rsid w:val="004911B1"/>
    <w:rsid w:val="00491A54"/>
    <w:rsid w:val="00491BA9"/>
    <w:rsid w:val="00492EF9"/>
    <w:rsid w:val="00493C4F"/>
    <w:rsid w:val="00493C6E"/>
    <w:rsid w:val="00494273"/>
    <w:rsid w:val="00494DE9"/>
    <w:rsid w:val="00495033"/>
    <w:rsid w:val="00495A14"/>
    <w:rsid w:val="00495BE4"/>
    <w:rsid w:val="00496AC5"/>
    <w:rsid w:val="00496D28"/>
    <w:rsid w:val="004971F7"/>
    <w:rsid w:val="004978BA"/>
    <w:rsid w:val="00497EB0"/>
    <w:rsid w:val="004A03FE"/>
    <w:rsid w:val="004A0C81"/>
    <w:rsid w:val="004A1249"/>
    <w:rsid w:val="004A4DD2"/>
    <w:rsid w:val="004A6983"/>
    <w:rsid w:val="004A69D1"/>
    <w:rsid w:val="004A6A21"/>
    <w:rsid w:val="004A716C"/>
    <w:rsid w:val="004A7519"/>
    <w:rsid w:val="004A7727"/>
    <w:rsid w:val="004B0183"/>
    <w:rsid w:val="004B112B"/>
    <w:rsid w:val="004B288C"/>
    <w:rsid w:val="004B3149"/>
    <w:rsid w:val="004B32F4"/>
    <w:rsid w:val="004B35D7"/>
    <w:rsid w:val="004B4E7C"/>
    <w:rsid w:val="004B51F2"/>
    <w:rsid w:val="004B64B1"/>
    <w:rsid w:val="004B6BCD"/>
    <w:rsid w:val="004B718C"/>
    <w:rsid w:val="004B73C0"/>
    <w:rsid w:val="004C031B"/>
    <w:rsid w:val="004C0DBF"/>
    <w:rsid w:val="004C1A56"/>
    <w:rsid w:val="004C2068"/>
    <w:rsid w:val="004C2F3F"/>
    <w:rsid w:val="004C3AD7"/>
    <w:rsid w:val="004C4D03"/>
    <w:rsid w:val="004C55FB"/>
    <w:rsid w:val="004C66F3"/>
    <w:rsid w:val="004C6D0A"/>
    <w:rsid w:val="004C7F3A"/>
    <w:rsid w:val="004D01AC"/>
    <w:rsid w:val="004D039F"/>
    <w:rsid w:val="004D0AC2"/>
    <w:rsid w:val="004D10A9"/>
    <w:rsid w:val="004D16E7"/>
    <w:rsid w:val="004D1CE8"/>
    <w:rsid w:val="004D26B2"/>
    <w:rsid w:val="004D2B95"/>
    <w:rsid w:val="004D3518"/>
    <w:rsid w:val="004D37C3"/>
    <w:rsid w:val="004D4667"/>
    <w:rsid w:val="004D474C"/>
    <w:rsid w:val="004D62D6"/>
    <w:rsid w:val="004D63B9"/>
    <w:rsid w:val="004D650A"/>
    <w:rsid w:val="004D6898"/>
    <w:rsid w:val="004D7242"/>
    <w:rsid w:val="004D7778"/>
    <w:rsid w:val="004D7A05"/>
    <w:rsid w:val="004E0327"/>
    <w:rsid w:val="004E0648"/>
    <w:rsid w:val="004E1689"/>
    <w:rsid w:val="004E18DD"/>
    <w:rsid w:val="004E232B"/>
    <w:rsid w:val="004E2620"/>
    <w:rsid w:val="004E2CE8"/>
    <w:rsid w:val="004E3601"/>
    <w:rsid w:val="004E41ED"/>
    <w:rsid w:val="004E44E4"/>
    <w:rsid w:val="004E4AC4"/>
    <w:rsid w:val="004E632E"/>
    <w:rsid w:val="004E648D"/>
    <w:rsid w:val="004E7777"/>
    <w:rsid w:val="004F01DB"/>
    <w:rsid w:val="004F0BAE"/>
    <w:rsid w:val="004F0C30"/>
    <w:rsid w:val="004F1FA1"/>
    <w:rsid w:val="004F2019"/>
    <w:rsid w:val="004F37C9"/>
    <w:rsid w:val="004F3F4E"/>
    <w:rsid w:val="004F4359"/>
    <w:rsid w:val="004F559B"/>
    <w:rsid w:val="004F59B4"/>
    <w:rsid w:val="004F5A97"/>
    <w:rsid w:val="004F6EA8"/>
    <w:rsid w:val="004F6F02"/>
    <w:rsid w:val="0050047E"/>
    <w:rsid w:val="00500D02"/>
    <w:rsid w:val="00500E2C"/>
    <w:rsid w:val="005015A6"/>
    <w:rsid w:val="00501C51"/>
    <w:rsid w:val="00501D5F"/>
    <w:rsid w:val="00501DA9"/>
    <w:rsid w:val="005028E9"/>
    <w:rsid w:val="005031D2"/>
    <w:rsid w:val="005032DC"/>
    <w:rsid w:val="00504988"/>
    <w:rsid w:val="00504C58"/>
    <w:rsid w:val="00504E77"/>
    <w:rsid w:val="005061F1"/>
    <w:rsid w:val="0050701B"/>
    <w:rsid w:val="005079B2"/>
    <w:rsid w:val="00510167"/>
    <w:rsid w:val="00510AA4"/>
    <w:rsid w:val="00510BF7"/>
    <w:rsid w:val="00511139"/>
    <w:rsid w:val="005115CB"/>
    <w:rsid w:val="00511730"/>
    <w:rsid w:val="00511B52"/>
    <w:rsid w:val="00511E12"/>
    <w:rsid w:val="00512C49"/>
    <w:rsid w:val="00513763"/>
    <w:rsid w:val="00513917"/>
    <w:rsid w:val="00513E86"/>
    <w:rsid w:val="00514638"/>
    <w:rsid w:val="00514CE0"/>
    <w:rsid w:val="00514F52"/>
    <w:rsid w:val="005154B8"/>
    <w:rsid w:val="0051570A"/>
    <w:rsid w:val="00515958"/>
    <w:rsid w:val="00516CB8"/>
    <w:rsid w:val="00516D3B"/>
    <w:rsid w:val="005203A7"/>
    <w:rsid w:val="005207B7"/>
    <w:rsid w:val="00520C77"/>
    <w:rsid w:val="00522C26"/>
    <w:rsid w:val="00523997"/>
    <w:rsid w:val="00523BC9"/>
    <w:rsid w:val="00523E77"/>
    <w:rsid w:val="00524A07"/>
    <w:rsid w:val="005254A0"/>
    <w:rsid w:val="00525F9E"/>
    <w:rsid w:val="005267A6"/>
    <w:rsid w:val="00527954"/>
    <w:rsid w:val="005306A2"/>
    <w:rsid w:val="00530C1D"/>
    <w:rsid w:val="005311E2"/>
    <w:rsid w:val="00531E0A"/>
    <w:rsid w:val="00532097"/>
    <w:rsid w:val="005321E2"/>
    <w:rsid w:val="00532A17"/>
    <w:rsid w:val="00532E50"/>
    <w:rsid w:val="0053416C"/>
    <w:rsid w:val="00534CB2"/>
    <w:rsid w:val="00535120"/>
    <w:rsid w:val="00536850"/>
    <w:rsid w:val="00536AD1"/>
    <w:rsid w:val="00537242"/>
    <w:rsid w:val="00537305"/>
    <w:rsid w:val="00540528"/>
    <w:rsid w:val="005416D7"/>
    <w:rsid w:val="00541C2F"/>
    <w:rsid w:val="00543226"/>
    <w:rsid w:val="0054367C"/>
    <w:rsid w:val="00544418"/>
    <w:rsid w:val="005450D9"/>
    <w:rsid w:val="005455B4"/>
    <w:rsid w:val="00545885"/>
    <w:rsid w:val="00547A71"/>
    <w:rsid w:val="0054D409"/>
    <w:rsid w:val="005508DC"/>
    <w:rsid w:val="00551C7D"/>
    <w:rsid w:val="00552001"/>
    <w:rsid w:val="00552DE4"/>
    <w:rsid w:val="00554381"/>
    <w:rsid w:val="005545B0"/>
    <w:rsid w:val="00554D4B"/>
    <w:rsid w:val="00556AC9"/>
    <w:rsid w:val="005571BE"/>
    <w:rsid w:val="00560B03"/>
    <w:rsid w:val="00560B95"/>
    <w:rsid w:val="005619BB"/>
    <w:rsid w:val="00562561"/>
    <w:rsid w:val="0056263C"/>
    <w:rsid w:val="00563527"/>
    <w:rsid w:val="00563F99"/>
    <w:rsid w:val="00564A6D"/>
    <w:rsid w:val="005652EC"/>
    <w:rsid w:val="00567A5C"/>
    <w:rsid w:val="00570D36"/>
    <w:rsid w:val="00572369"/>
    <w:rsid w:val="005726CA"/>
    <w:rsid w:val="005734C2"/>
    <w:rsid w:val="0057354D"/>
    <w:rsid w:val="00573EF8"/>
    <w:rsid w:val="0057407A"/>
    <w:rsid w:val="00574604"/>
    <w:rsid w:val="00574B77"/>
    <w:rsid w:val="0057624D"/>
    <w:rsid w:val="00576382"/>
    <w:rsid w:val="00576BA8"/>
    <w:rsid w:val="00577126"/>
    <w:rsid w:val="0058124E"/>
    <w:rsid w:val="005816D4"/>
    <w:rsid w:val="00582B07"/>
    <w:rsid w:val="00582B46"/>
    <w:rsid w:val="0058350E"/>
    <w:rsid w:val="0058383C"/>
    <w:rsid w:val="00584309"/>
    <w:rsid w:val="005844B0"/>
    <w:rsid w:val="005848A5"/>
    <w:rsid w:val="00584FCB"/>
    <w:rsid w:val="0058587C"/>
    <w:rsid w:val="00585D2D"/>
    <w:rsid w:val="00585EF8"/>
    <w:rsid w:val="005864C2"/>
    <w:rsid w:val="00586DCF"/>
    <w:rsid w:val="005875A3"/>
    <w:rsid w:val="00590EA0"/>
    <w:rsid w:val="00590FDD"/>
    <w:rsid w:val="005921A9"/>
    <w:rsid w:val="0059267A"/>
    <w:rsid w:val="005929C3"/>
    <w:rsid w:val="00592BBD"/>
    <w:rsid w:val="0059355F"/>
    <w:rsid w:val="0059367E"/>
    <w:rsid w:val="00593A04"/>
    <w:rsid w:val="005941E2"/>
    <w:rsid w:val="005953EA"/>
    <w:rsid w:val="005955DF"/>
    <w:rsid w:val="0059577D"/>
    <w:rsid w:val="005964BB"/>
    <w:rsid w:val="005969F2"/>
    <w:rsid w:val="00596DDF"/>
    <w:rsid w:val="00596EEE"/>
    <w:rsid w:val="00597985"/>
    <w:rsid w:val="005A0B81"/>
    <w:rsid w:val="005A2211"/>
    <w:rsid w:val="005A2838"/>
    <w:rsid w:val="005A3416"/>
    <w:rsid w:val="005A4BD6"/>
    <w:rsid w:val="005A58BF"/>
    <w:rsid w:val="005A7B2E"/>
    <w:rsid w:val="005B01BA"/>
    <w:rsid w:val="005B06A4"/>
    <w:rsid w:val="005B0969"/>
    <w:rsid w:val="005B0DE6"/>
    <w:rsid w:val="005B1221"/>
    <w:rsid w:val="005B1C35"/>
    <w:rsid w:val="005B27FE"/>
    <w:rsid w:val="005B3165"/>
    <w:rsid w:val="005B3400"/>
    <w:rsid w:val="005B76DF"/>
    <w:rsid w:val="005B79CB"/>
    <w:rsid w:val="005C018A"/>
    <w:rsid w:val="005C04F0"/>
    <w:rsid w:val="005C07D3"/>
    <w:rsid w:val="005C1007"/>
    <w:rsid w:val="005C12A8"/>
    <w:rsid w:val="005C17FD"/>
    <w:rsid w:val="005C384D"/>
    <w:rsid w:val="005C447B"/>
    <w:rsid w:val="005C4E43"/>
    <w:rsid w:val="005C5070"/>
    <w:rsid w:val="005C56E8"/>
    <w:rsid w:val="005C5FDB"/>
    <w:rsid w:val="005C62FB"/>
    <w:rsid w:val="005C6573"/>
    <w:rsid w:val="005C6AEC"/>
    <w:rsid w:val="005D003B"/>
    <w:rsid w:val="005D0E54"/>
    <w:rsid w:val="005D117C"/>
    <w:rsid w:val="005D28B6"/>
    <w:rsid w:val="005D38ED"/>
    <w:rsid w:val="005D45B9"/>
    <w:rsid w:val="005D4F95"/>
    <w:rsid w:val="005D5B32"/>
    <w:rsid w:val="005D6353"/>
    <w:rsid w:val="005D64DB"/>
    <w:rsid w:val="005D723B"/>
    <w:rsid w:val="005E02D8"/>
    <w:rsid w:val="005E08D7"/>
    <w:rsid w:val="005E1155"/>
    <w:rsid w:val="005E1250"/>
    <w:rsid w:val="005E2B96"/>
    <w:rsid w:val="005E2E4F"/>
    <w:rsid w:val="005E3424"/>
    <w:rsid w:val="005E3C25"/>
    <w:rsid w:val="005E3F37"/>
    <w:rsid w:val="005E451D"/>
    <w:rsid w:val="005E456E"/>
    <w:rsid w:val="005E4C16"/>
    <w:rsid w:val="005E53A2"/>
    <w:rsid w:val="005E5503"/>
    <w:rsid w:val="005E57E1"/>
    <w:rsid w:val="005E5947"/>
    <w:rsid w:val="005E5D0B"/>
    <w:rsid w:val="005E6BBA"/>
    <w:rsid w:val="005E74F7"/>
    <w:rsid w:val="005F04DD"/>
    <w:rsid w:val="005F0881"/>
    <w:rsid w:val="005F270B"/>
    <w:rsid w:val="005F2A67"/>
    <w:rsid w:val="005F43B2"/>
    <w:rsid w:val="005F43D0"/>
    <w:rsid w:val="005F4600"/>
    <w:rsid w:val="005F4C7A"/>
    <w:rsid w:val="005F5499"/>
    <w:rsid w:val="005F569A"/>
    <w:rsid w:val="005F5BDD"/>
    <w:rsid w:val="005F6112"/>
    <w:rsid w:val="005F61DF"/>
    <w:rsid w:val="005F6795"/>
    <w:rsid w:val="005F6B18"/>
    <w:rsid w:val="005F7859"/>
    <w:rsid w:val="0060163A"/>
    <w:rsid w:val="00601A70"/>
    <w:rsid w:val="00601D3D"/>
    <w:rsid w:val="00601F24"/>
    <w:rsid w:val="006023F9"/>
    <w:rsid w:val="00602489"/>
    <w:rsid w:val="006028B6"/>
    <w:rsid w:val="006049F4"/>
    <w:rsid w:val="00604D5F"/>
    <w:rsid w:val="00604E74"/>
    <w:rsid w:val="00607148"/>
    <w:rsid w:val="006104C1"/>
    <w:rsid w:val="00610559"/>
    <w:rsid w:val="006108DA"/>
    <w:rsid w:val="00610909"/>
    <w:rsid w:val="00610D1A"/>
    <w:rsid w:val="00611768"/>
    <w:rsid w:val="00612139"/>
    <w:rsid w:val="006126AF"/>
    <w:rsid w:val="0061274B"/>
    <w:rsid w:val="00612A76"/>
    <w:rsid w:val="006130A0"/>
    <w:rsid w:val="00613442"/>
    <w:rsid w:val="00613F77"/>
    <w:rsid w:val="00614076"/>
    <w:rsid w:val="006143F3"/>
    <w:rsid w:val="00614880"/>
    <w:rsid w:val="00614F1C"/>
    <w:rsid w:val="006150AE"/>
    <w:rsid w:val="0061548C"/>
    <w:rsid w:val="00615850"/>
    <w:rsid w:val="00615C64"/>
    <w:rsid w:val="00616087"/>
    <w:rsid w:val="00616FE7"/>
    <w:rsid w:val="006174DA"/>
    <w:rsid w:val="00617BB5"/>
    <w:rsid w:val="006204F4"/>
    <w:rsid w:val="006208C4"/>
    <w:rsid w:val="006209E7"/>
    <w:rsid w:val="00620A24"/>
    <w:rsid w:val="00621448"/>
    <w:rsid w:val="00621525"/>
    <w:rsid w:val="00622D2A"/>
    <w:rsid w:val="00623476"/>
    <w:rsid w:val="006235A6"/>
    <w:rsid w:val="00625118"/>
    <w:rsid w:val="006254CE"/>
    <w:rsid w:val="00625969"/>
    <w:rsid w:val="00626865"/>
    <w:rsid w:val="00626DBD"/>
    <w:rsid w:val="0063008E"/>
    <w:rsid w:val="00630421"/>
    <w:rsid w:val="00630A6E"/>
    <w:rsid w:val="00630AA9"/>
    <w:rsid w:val="00630D1A"/>
    <w:rsid w:val="006310AF"/>
    <w:rsid w:val="00631C83"/>
    <w:rsid w:val="00632F2E"/>
    <w:rsid w:val="00632FF9"/>
    <w:rsid w:val="006332F6"/>
    <w:rsid w:val="00633C42"/>
    <w:rsid w:val="00633C69"/>
    <w:rsid w:val="00635F0E"/>
    <w:rsid w:val="006378B6"/>
    <w:rsid w:val="00637CE9"/>
    <w:rsid w:val="00640210"/>
    <w:rsid w:val="006406F9"/>
    <w:rsid w:val="006413F2"/>
    <w:rsid w:val="00641402"/>
    <w:rsid w:val="0064140A"/>
    <w:rsid w:val="00641E9F"/>
    <w:rsid w:val="006420B3"/>
    <w:rsid w:val="00642CFE"/>
    <w:rsid w:val="006431AB"/>
    <w:rsid w:val="00643E46"/>
    <w:rsid w:val="0064453C"/>
    <w:rsid w:val="00645625"/>
    <w:rsid w:val="00645640"/>
    <w:rsid w:val="00645E9B"/>
    <w:rsid w:val="00650B06"/>
    <w:rsid w:val="00650EB4"/>
    <w:rsid w:val="00651874"/>
    <w:rsid w:val="00652410"/>
    <w:rsid w:val="00652AD0"/>
    <w:rsid w:val="0065328A"/>
    <w:rsid w:val="00653334"/>
    <w:rsid w:val="006534B2"/>
    <w:rsid w:val="00653517"/>
    <w:rsid w:val="0065373A"/>
    <w:rsid w:val="00653746"/>
    <w:rsid w:val="00653D15"/>
    <w:rsid w:val="00653FA3"/>
    <w:rsid w:val="0065520A"/>
    <w:rsid w:val="00655414"/>
    <w:rsid w:val="0065615D"/>
    <w:rsid w:val="006566B6"/>
    <w:rsid w:val="00656EDC"/>
    <w:rsid w:val="00656F49"/>
    <w:rsid w:val="00657011"/>
    <w:rsid w:val="006574D6"/>
    <w:rsid w:val="00657E51"/>
    <w:rsid w:val="00660386"/>
    <w:rsid w:val="006603DB"/>
    <w:rsid w:val="00660445"/>
    <w:rsid w:val="0066103A"/>
    <w:rsid w:val="00661274"/>
    <w:rsid w:val="0066184A"/>
    <w:rsid w:val="00661E75"/>
    <w:rsid w:val="006620CE"/>
    <w:rsid w:val="00663519"/>
    <w:rsid w:val="006650B5"/>
    <w:rsid w:val="006651B1"/>
    <w:rsid w:val="006652E6"/>
    <w:rsid w:val="00665778"/>
    <w:rsid w:val="00665A04"/>
    <w:rsid w:val="006706DF"/>
    <w:rsid w:val="00671303"/>
    <w:rsid w:val="00671416"/>
    <w:rsid w:val="006719AE"/>
    <w:rsid w:val="00672001"/>
    <w:rsid w:val="006722AF"/>
    <w:rsid w:val="00672BE7"/>
    <w:rsid w:val="00673246"/>
    <w:rsid w:val="006737A0"/>
    <w:rsid w:val="00673E4A"/>
    <w:rsid w:val="006746C5"/>
    <w:rsid w:val="006749A0"/>
    <w:rsid w:val="00675867"/>
    <w:rsid w:val="00676A47"/>
    <w:rsid w:val="00676E5F"/>
    <w:rsid w:val="006771E7"/>
    <w:rsid w:val="006777BE"/>
    <w:rsid w:val="00680158"/>
    <w:rsid w:val="00680385"/>
    <w:rsid w:val="00680485"/>
    <w:rsid w:val="00680A68"/>
    <w:rsid w:val="00680E66"/>
    <w:rsid w:val="00681994"/>
    <w:rsid w:val="00682D20"/>
    <w:rsid w:val="00683CB2"/>
    <w:rsid w:val="0068484B"/>
    <w:rsid w:val="00684CC0"/>
    <w:rsid w:val="00684D6A"/>
    <w:rsid w:val="006851C9"/>
    <w:rsid w:val="00686EC5"/>
    <w:rsid w:val="00686F76"/>
    <w:rsid w:val="006872FC"/>
    <w:rsid w:val="0068739F"/>
    <w:rsid w:val="00690265"/>
    <w:rsid w:val="0069046D"/>
    <w:rsid w:val="00690D2C"/>
    <w:rsid w:val="0069127C"/>
    <w:rsid w:val="0069188B"/>
    <w:rsid w:val="006924E4"/>
    <w:rsid w:val="006926F9"/>
    <w:rsid w:val="00692DCB"/>
    <w:rsid w:val="006945CA"/>
    <w:rsid w:val="00694C3E"/>
    <w:rsid w:val="0069561F"/>
    <w:rsid w:val="00695AA5"/>
    <w:rsid w:val="00695E2F"/>
    <w:rsid w:val="00695FE7"/>
    <w:rsid w:val="00696BB6"/>
    <w:rsid w:val="00697709"/>
    <w:rsid w:val="0069780E"/>
    <w:rsid w:val="0069799E"/>
    <w:rsid w:val="006A07C7"/>
    <w:rsid w:val="006A2387"/>
    <w:rsid w:val="006A24B6"/>
    <w:rsid w:val="006A3309"/>
    <w:rsid w:val="006A39A3"/>
    <w:rsid w:val="006A3A5A"/>
    <w:rsid w:val="006A42EB"/>
    <w:rsid w:val="006A5B34"/>
    <w:rsid w:val="006A5B87"/>
    <w:rsid w:val="006A78F8"/>
    <w:rsid w:val="006A7F43"/>
    <w:rsid w:val="006B073D"/>
    <w:rsid w:val="006B07AE"/>
    <w:rsid w:val="006B0AF8"/>
    <w:rsid w:val="006B18F9"/>
    <w:rsid w:val="006B2073"/>
    <w:rsid w:val="006B212D"/>
    <w:rsid w:val="006B337A"/>
    <w:rsid w:val="006B4F24"/>
    <w:rsid w:val="006B4FEC"/>
    <w:rsid w:val="006B5EEF"/>
    <w:rsid w:val="006B6B12"/>
    <w:rsid w:val="006B6C5F"/>
    <w:rsid w:val="006B704E"/>
    <w:rsid w:val="006B7E2A"/>
    <w:rsid w:val="006C07F9"/>
    <w:rsid w:val="006C0A8A"/>
    <w:rsid w:val="006C1586"/>
    <w:rsid w:val="006C2E90"/>
    <w:rsid w:val="006C3028"/>
    <w:rsid w:val="006C44FB"/>
    <w:rsid w:val="006C47C9"/>
    <w:rsid w:val="006C4E4D"/>
    <w:rsid w:val="006C523E"/>
    <w:rsid w:val="006C735D"/>
    <w:rsid w:val="006C7390"/>
    <w:rsid w:val="006C77A9"/>
    <w:rsid w:val="006CD82D"/>
    <w:rsid w:val="006D08A5"/>
    <w:rsid w:val="006D0A14"/>
    <w:rsid w:val="006D13CE"/>
    <w:rsid w:val="006D20B9"/>
    <w:rsid w:val="006D233C"/>
    <w:rsid w:val="006D286F"/>
    <w:rsid w:val="006D2AC0"/>
    <w:rsid w:val="006D33C7"/>
    <w:rsid w:val="006D350E"/>
    <w:rsid w:val="006D3AF0"/>
    <w:rsid w:val="006D4720"/>
    <w:rsid w:val="006D5348"/>
    <w:rsid w:val="006D53AC"/>
    <w:rsid w:val="006D53CB"/>
    <w:rsid w:val="006D5933"/>
    <w:rsid w:val="006D5B85"/>
    <w:rsid w:val="006D65B8"/>
    <w:rsid w:val="006D6C87"/>
    <w:rsid w:val="006D6F75"/>
    <w:rsid w:val="006D7678"/>
    <w:rsid w:val="006D7B13"/>
    <w:rsid w:val="006E186F"/>
    <w:rsid w:val="006E22B4"/>
    <w:rsid w:val="006E23EF"/>
    <w:rsid w:val="006E2E72"/>
    <w:rsid w:val="006E2FAB"/>
    <w:rsid w:val="006E338D"/>
    <w:rsid w:val="006E3A17"/>
    <w:rsid w:val="006E4C46"/>
    <w:rsid w:val="006E5D58"/>
    <w:rsid w:val="006E64D8"/>
    <w:rsid w:val="006E6624"/>
    <w:rsid w:val="006E677B"/>
    <w:rsid w:val="006E6A39"/>
    <w:rsid w:val="006E6CCC"/>
    <w:rsid w:val="006E6CDF"/>
    <w:rsid w:val="006E6EBA"/>
    <w:rsid w:val="006E72EC"/>
    <w:rsid w:val="006E7889"/>
    <w:rsid w:val="006E7B48"/>
    <w:rsid w:val="006E7C80"/>
    <w:rsid w:val="006F13DA"/>
    <w:rsid w:val="006F1865"/>
    <w:rsid w:val="006F1A27"/>
    <w:rsid w:val="006F278E"/>
    <w:rsid w:val="006F3208"/>
    <w:rsid w:val="006F3259"/>
    <w:rsid w:val="006F37F2"/>
    <w:rsid w:val="006F40C5"/>
    <w:rsid w:val="006F430B"/>
    <w:rsid w:val="006F455E"/>
    <w:rsid w:val="006F4764"/>
    <w:rsid w:val="006F4890"/>
    <w:rsid w:val="006F4985"/>
    <w:rsid w:val="006F4A65"/>
    <w:rsid w:val="006F5A3C"/>
    <w:rsid w:val="006F6693"/>
    <w:rsid w:val="00700219"/>
    <w:rsid w:val="007009CF"/>
    <w:rsid w:val="00701703"/>
    <w:rsid w:val="00701AC5"/>
    <w:rsid w:val="00701C56"/>
    <w:rsid w:val="007023AF"/>
    <w:rsid w:val="00702444"/>
    <w:rsid w:val="00702B3C"/>
    <w:rsid w:val="00704906"/>
    <w:rsid w:val="00704B42"/>
    <w:rsid w:val="00704EAC"/>
    <w:rsid w:val="00705035"/>
    <w:rsid w:val="00705483"/>
    <w:rsid w:val="00707B02"/>
    <w:rsid w:val="00707FE8"/>
    <w:rsid w:val="00710858"/>
    <w:rsid w:val="0071104C"/>
    <w:rsid w:val="00712D00"/>
    <w:rsid w:val="00712E74"/>
    <w:rsid w:val="0071323D"/>
    <w:rsid w:val="00713ACE"/>
    <w:rsid w:val="00713BB5"/>
    <w:rsid w:val="00713C92"/>
    <w:rsid w:val="00714190"/>
    <w:rsid w:val="00714AAE"/>
    <w:rsid w:val="0071542A"/>
    <w:rsid w:val="007160EC"/>
    <w:rsid w:val="007162B3"/>
    <w:rsid w:val="00716CAE"/>
    <w:rsid w:val="00720317"/>
    <w:rsid w:val="00720705"/>
    <w:rsid w:val="00721A0B"/>
    <w:rsid w:val="007227A5"/>
    <w:rsid w:val="00723D50"/>
    <w:rsid w:val="00724962"/>
    <w:rsid w:val="00724A0F"/>
    <w:rsid w:val="00724A9C"/>
    <w:rsid w:val="00725745"/>
    <w:rsid w:val="007263ED"/>
    <w:rsid w:val="0072659A"/>
    <w:rsid w:val="00726D2F"/>
    <w:rsid w:val="00726EC5"/>
    <w:rsid w:val="0072744E"/>
    <w:rsid w:val="00727C92"/>
    <w:rsid w:val="00727F3E"/>
    <w:rsid w:val="00730BA5"/>
    <w:rsid w:val="00731E39"/>
    <w:rsid w:val="00732576"/>
    <w:rsid w:val="00732DCC"/>
    <w:rsid w:val="00732E68"/>
    <w:rsid w:val="00733431"/>
    <w:rsid w:val="00734268"/>
    <w:rsid w:val="00734A54"/>
    <w:rsid w:val="00734BCE"/>
    <w:rsid w:val="00735C47"/>
    <w:rsid w:val="00736732"/>
    <w:rsid w:val="0073712F"/>
    <w:rsid w:val="00737AE2"/>
    <w:rsid w:val="00740019"/>
    <w:rsid w:val="00740CAD"/>
    <w:rsid w:val="00740D2E"/>
    <w:rsid w:val="00740DA6"/>
    <w:rsid w:val="00741081"/>
    <w:rsid w:val="00741E1E"/>
    <w:rsid w:val="00742363"/>
    <w:rsid w:val="007424D3"/>
    <w:rsid w:val="00742BB7"/>
    <w:rsid w:val="007432F9"/>
    <w:rsid w:val="007436FD"/>
    <w:rsid w:val="00743968"/>
    <w:rsid w:val="00744D1E"/>
    <w:rsid w:val="00746426"/>
    <w:rsid w:val="00746868"/>
    <w:rsid w:val="00747BDD"/>
    <w:rsid w:val="00750417"/>
    <w:rsid w:val="0075064F"/>
    <w:rsid w:val="00750ACC"/>
    <w:rsid w:val="00750BF9"/>
    <w:rsid w:val="00750CBE"/>
    <w:rsid w:val="00750EA3"/>
    <w:rsid w:val="00751ED1"/>
    <w:rsid w:val="007528CC"/>
    <w:rsid w:val="007531A4"/>
    <w:rsid w:val="00753D36"/>
    <w:rsid w:val="00753F62"/>
    <w:rsid w:val="00754156"/>
    <w:rsid w:val="00754169"/>
    <w:rsid w:val="0075565F"/>
    <w:rsid w:val="00755A82"/>
    <w:rsid w:val="0075618E"/>
    <w:rsid w:val="00756EE7"/>
    <w:rsid w:val="00757342"/>
    <w:rsid w:val="00757573"/>
    <w:rsid w:val="0076171E"/>
    <w:rsid w:val="00761C45"/>
    <w:rsid w:val="00762A04"/>
    <w:rsid w:val="007632B4"/>
    <w:rsid w:val="00763435"/>
    <w:rsid w:val="00763FD6"/>
    <w:rsid w:val="00764059"/>
    <w:rsid w:val="0076416E"/>
    <w:rsid w:val="007644D1"/>
    <w:rsid w:val="00764D6A"/>
    <w:rsid w:val="007650D2"/>
    <w:rsid w:val="007664E5"/>
    <w:rsid w:val="00766A54"/>
    <w:rsid w:val="00766B5A"/>
    <w:rsid w:val="00766E6F"/>
    <w:rsid w:val="007673B5"/>
    <w:rsid w:val="00767A46"/>
    <w:rsid w:val="00767B8C"/>
    <w:rsid w:val="00767C0B"/>
    <w:rsid w:val="00767F82"/>
    <w:rsid w:val="00770CB7"/>
    <w:rsid w:val="00771098"/>
    <w:rsid w:val="0077150D"/>
    <w:rsid w:val="007715BF"/>
    <w:rsid w:val="00771C81"/>
    <w:rsid w:val="00772209"/>
    <w:rsid w:val="00772CF9"/>
    <w:rsid w:val="007731F4"/>
    <w:rsid w:val="0077410B"/>
    <w:rsid w:val="007741AF"/>
    <w:rsid w:val="00775791"/>
    <w:rsid w:val="00776A69"/>
    <w:rsid w:val="00776DFA"/>
    <w:rsid w:val="007770A5"/>
    <w:rsid w:val="007807CC"/>
    <w:rsid w:val="00780AFF"/>
    <w:rsid w:val="00780C40"/>
    <w:rsid w:val="0078285F"/>
    <w:rsid w:val="00782F3E"/>
    <w:rsid w:val="007834F2"/>
    <w:rsid w:val="0078359B"/>
    <w:rsid w:val="0078432C"/>
    <w:rsid w:val="00785D06"/>
    <w:rsid w:val="007864A8"/>
    <w:rsid w:val="00787062"/>
    <w:rsid w:val="00787C21"/>
    <w:rsid w:val="00790B05"/>
    <w:rsid w:val="00790D0A"/>
    <w:rsid w:val="00791020"/>
    <w:rsid w:val="00791580"/>
    <w:rsid w:val="0079166A"/>
    <w:rsid w:val="00791C28"/>
    <w:rsid w:val="0079208B"/>
    <w:rsid w:val="00794144"/>
    <w:rsid w:val="00794405"/>
    <w:rsid w:val="00794A6E"/>
    <w:rsid w:val="007956A0"/>
    <w:rsid w:val="00795A1B"/>
    <w:rsid w:val="00795EEB"/>
    <w:rsid w:val="00796484"/>
    <w:rsid w:val="00796B7F"/>
    <w:rsid w:val="00797E8F"/>
    <w:rsid w:val="007A03AB"/>
    <w:rsid w:val="007A04B3"/>
    <w:rsid w:val="007A04D2"/>
    <w:rsid w:val="007A0CAC"/>
    <w:rsid w:val="007A1FE1"/>
    <w:rsid w:val="007A2A6A"/>
    <w:rsid w:val="007A35FB"/>
    <w:rsid w:val="007A3EEA"/>
    <w:rsid w:val="007A5051"/>
    <w:rsid w:val="007A5536"/>
    <w:rsid w:val="007A5F82"/>
    <w:rsid w:val="007A6B91"/>
    <w:rsid w:val="007A6F13"/>
    <w:rsid w:val="007A7578"/>
    <w:rsid w:val="007A7FE0"/>
    <w:rsid w:val="007B19B7"/>
    <w:rsid w:val="007B1AF4"/>
    <w:rsid w:val="007B1DC9"/>
    <w:rsid w:val="007B30FF"/>
    <w:rsid w:val="007B4B4A"/>
    <w:rsid w:val="007B50FF"/>
    <w:rsid w:val="007B55C7"/>
    <w:rsid w:val="007B57E3"/>
    <w:rsid w:val="007B6071"/>
    <w:rsid w:val="007B6BA8"/>
    <w:rsid w:val="007B77C0"/>
    <w:rsid w:val="007C0A27"/>
    <w:rsid w:val="007C2072"/>
    <w:rsid w:val="007C2450"/>
    <w:rsid w:val="007C248E"/>
    <w:rsid w:val="007C2B7F"/>
    <w:rsid w:val="007C35B2"/>
    <w:rsid w:val="007C4388"/>
    <w:rsid w:val="007C5150"/>
    <w:rsid w:val="007C5406"/>
    <w:rsid w:val="007C54D9"/>
    <w:rsid w:val="007C5895"/>
    <w:rsid w:val="007C5DBF"/>
    <w:rsid w:val="007C5FA3"/>
    <w:rsid w:val="007C676D"/>
    <w:rsid w:val="007C6B34"/>
    <w:rsid w:val="007C6DD6"/>
    <w:rsid w:val="007C6EF4"/>
    <w:rsid w:val="007C7E9B"/>
    <w:rsid w:val="007D0A4B"/>
    <w:rsid w:val="007D0CB7"/>
    <w:rsid w:val="007D1364"/>
    <w:rsid w:val="007D15D0"/>
    <w:rsid w:val="007D1B8B"/>
    <w:rsid w:val="007D1CBE"/>
    <w:rsid w:val="007D1EB5"/>
    <w:rsid w:val="007D2268"/>
    <w:rsid w:val="007D3BB4"/>
    <w:rsid w:val="007D42EF"/>
    <w:rsid w:val="007D57E1"/>
    <w:rsid w:val="007D5966"/>
    <w:rsid w:val="007D59F8"/>
    <w:rsid w:val="007D5F96"/>
    <w:rsid w:val="007D5F9E"/>
    <w:rsid w:val="007D6713"/>
    <w:rsid w:val="007D705D"/>
    <w:rsid w:val="007D7DF7"/>
    <w:rsid w:val="007E014E"/>
    <w:rsid w:val="007E06C4"/>
    <w:rsid w:val="007E098F"/>
    <w:rsid w:val="007E30F3"/>
    <w:rsid w:val="007E3BA2"/>
    <w:rsid w:val="007E3BB2"/>
    <w:rsid w:val="007E4CB6"/>
    <w:rsid w:val="007E5281"/>
    <w:rsid w:val="007E536F"/>
    <w:rsid w:val="007E6606"/>
    <w:rsid w:val="007E6823"/>
    <w:rsid w:val="007E6896"/>
    <w:rsid w:val="007E7785"/>
    <w:rsid w:val="007E7D12"/>
    <w:rsid w:val="007F0125"/>
    <w:rsid w:val="007F033A"/>
    <w:rsid w:val="007F09D0"/>
    <w:rsid w:val="007F0A86"/>
    <w:rsid w:val="007F1A08"/>
    <w:rsid w:val="007F1A4C"/>
    <w:rsid w:val="007F2A30"/>
    <w:rsid w:val="007F2AA1"/>
    <w:rsid w:val="007F30A1"/>
    <w:rsid w:val="007F3494"/>
    <w:rsid w:val="007F351E"/>
    <w:rsid w:val="007F40B2"/>
    <w:rsid w:val="007F5C61"/>
    <w:rsid w:val="007F6366"/>
    <w:rsid w:val="007F6615"/>
    <w:rsid w:val="007F662C"/>
    <w:rsid w:val="007F6784"/>
    <w:rsid w:val="007F68D9"/>
    <w:rsid w:val="007F723F"/>
    <w:rsid w:val="007F74F8"/>
    <w:rsid w:val="00800469"/>
    <w:rsid w:val="00800C6E"/>
    <w:rsid w:val="00801DB7"/>
    <w:rsid w:val="00802188"/>
    <w:rsid w:val="008022C3"/>
    <w:rsid w:val="00802A88"/>
    <w:rsid w:val="00802EBC"/>
    <w:rsid w:val="00802F48"/>
    <w:rsid w:val="008034A8"/>
    <w:rsid w:val="008041E6"/>
    <w:rsid w:val="00804F9F"/>
    <w:rsid w:val="00805691"/>
    <w:rsid w:val="00805CEF"/>
    <w:rsid w:val="008060A5"/>
    <w:rsid w:val="0080617F"/>
    <w:rsid w:val="008065D2"/>
    <w:rsid w:val="0080740D"/>
    <w:rsid w:val="00807A65"/>
    <w:rsid w:val="00807F68"/>
    <w:rsid w:val="00810227"/>
    <w:rsid w:val="00810246"/>
    <w:rsid w:val="00810E83"/>
    <w:rsid w:val="00812585"/>
    <w:rsid w:val="00812968"/>
    <w:rsid w:val="008142E5"/>
    <w:rsid w:val="00814D79"/>
    <w:rsid w:val="00814F91"/>
    <w:rsid w:val="00815A8A"/>
    <w:rsid w:val="008162ED"/>
    <w:rsid w:val="00820D52"/>
    <w:rsid w:val="0082194C"/>
    <w:rsid w:val="008222FF"/>
    <w:rsid w:val="00822336"/>
    <w:rsid w:val="0082243A"/>
    <w:rsid w:val="0082244C"/>
    <w:rsid w:val="00822AA2"/>
    <w:rsid w:val="00822BFA"/>
    <w:rsid w:val="00823223"/>
    <w:rsid w:val="00823DF5"/>
    <w:rsid w:val="00823E52"/>
    <w:rsid w:val="00824079"/>
    <w:rsid w:val="008241FF"/>
    <w:rsid w:val="00824978"/>
    <w:rsid w:val="00824D30"/>
    <w:rsid w:val="00825100"/>
    <w:rsid w:val="00827454"/>
    <w:rsid w:val="00830C0B"/>
    <w:rsid w:val="00831B51"/>
    <w:rsid w:val="0083220B"/>
    <w:rsid w:val="00832E8A"/>
    <w:rsid w:val="00833745"/>
    <w:rsid w:val="00833803"/>
    <w:rsid w:val="0083539D"/>
    <w:rsid w:val="00835874"/>
    <w:rsid w:val="00835A60"/>
    <w:rsid w:val="00836B80"/>
    <w:rsid w:val="00836CC9"/>
    <w:rsid w:val="00836FD0"/>
    <w:rsid w:val="008373A4"/>
    <w:rsid w:val="00837663"/>
    <w:rsid w:val="00837788"/>
    <w:rsid w:val="00837A82"/>
    <w:rsid w:val="00837F85"/>
    <w:rsid w:val="008411E9"/>
    <w:rsid w:val="00841617"/>
    <w:rsid w:val="00841973"/>
    <w:rsid w:val="0084200F"/>
    <w:rsid w:val="0084209A"/>
    <w:rsid w:val="008422CA"/>
    <w:rsid w:val="00842F54"/>
    <w:rsid w:val="00843144"/>
    <w:rsid w:val="00843B2C"/>
    <w:rsid w:val="00843FDC"/>
    <w:rsid w:val="00844B7A"/>
    <w:rsid w:val="00844BCB"/>
    <w:rsid w:val="00844F16"/>
    <w:rsid w:val="00845097"/>
    <w:rsid w:val="00845123"/>
    <w:rsid w:val="0084527B"/>
    <w:rsid w:val="008468A0"/>
    <w:rsid w:val="008473D1"/>
    <w:rsid w:val="00847745"/>
    <w:rsid w:val="00847898"/>
    <w:rsid w:val="00850329"/>
    <w:rsid w:val="00852A69"/>
    <w:rsid w:val="00852ECF"/>
    <w:rsid w:val="00853F13"/>
    <w:rsid w:val="00854011"/>
    <w:rsid w:val="00854012"/>
    <w:rsid w:val="00855A79"/>
    <w:rsid w:val="00855FF9"/>
    <w:rsid w:val="00856F33"/>
    <w:rsid w:val="0085706E"/>
    <w:rsid w:val="0085737A"/>
    <w:rsid w:val="00860BE7"/>
    <w:rsid w:val="00860EC2"/>
    <w:rsid w:val="0086165E"/>
    <w:rsid w:val="0086277A"/>
    <w:rsid w:val="00863422"/>
    <w:rsid w:val="0086351B"/>
    <w:rsid w:val="00864046"/>
    <w:rsid w:val="0086462E"/>
    <w:rsid w:val="00865032"/>
    <w:rsid w:val="00865A5B"/>
    <w:rsid w:val="00866132"/>
    <w:rsid w:val="008667BF"/>
    <w:rsid w:val="008668A8"/>
    <w:rsid w:val="00867127"/>
    <w:rsid w:val="008671EA"/>
    <w:rsid w:val="0086733B"/>
    <w:rsid w:val="008674E0"/>
    <w:rsid w:val="00870660"/>
    <w:rsid w:val="00870FB6"/>
    <w:rsid w:val="00871038"/>
    <w:rsid w:val="008719DF"/>
    <w:rsid w:val="00872BAF"/>
    <w:rsid w:val="00873375"/>
    <w:rsid w:val="008747E4"/>
    <w:rsid w:val="00874A28"/>
    <w:rsid w:val="00875623"/>
    <w:rsid w:val="00875907"/>
    <w:rsid w:val="00875CB5"/>
    <w:rsid w:val="00876851"/>
    <w:rsid w:val="008768AD"/>
    <w:rsid w:val="00876B7C"/>
    <w:rsid w:val="00877554"/>
    <w:rsid w:val="00877D71"/>
    <w:rsid w:val="00877D96"/>
    <w:rsid w:val="0088069B"/>
    <w:rsid w:val="00880AC4"/>
    <w:rsid w:val="00881C53"/>
    <w:rsid w:val="00882AE4"/>
    <w:rsid w:val="00883273"/>
    <w:rsid w:val="00883E8F"/>
    <w:rsid w:val="00884C32"/>
    <w:rsid w:val="00885789"/>
    <w:rsid w:val="00886BD6"/>
    <w:rsid w:val="00887665"/>
    <w:rsid w:val="0088767E"/>
    <w:rsid w:val="008876EC"/>
    <w:rsid w:val="00890542"/>
    <w:rsid w:val="0089072A"/>
    <w:rsid w:val="0089086E"/>
    <w:rsid w:val="00890EB8"/>
    <w:rsid w:val="0089188C"/>
    <w:rsid w:val="00891EDE"/>
    <w:rsid w:val="00891FB3"/>
    <w:rsid w:val="00895909"/>
    <w:rsid w:val="00897447"/>
    <w:rsid w:val="008A1CC6"/>
    <w:rsid w:val="008A29D6"/>
    <w:rsid w:val="008A2AEE"/>
    <w:rsid w:val="008A2CE5"/>
    <w:rsid w:val="008A3E28"/>
    <w:rsid w:val="008A4900"/>
    <w:rsid w:val="008A4CC8"/>
    <w:rsid w:val="008A4E04"/>
    <w:rsid w:val="008A51D6"/>
    <w:rsid w:val="008A55AF"/>
    <w:rsid w:val="008A55FE"/>
    <w:rsid w:val="008A591A"/>
    <w:rsid w:val="008A5D3C"/>
    <w:rsid w:val="008A6012"/>
    <w:rsid w:val="008A6363"/>
    <w:rsid w:val="008A78F8"/>
    <w:rsid w:val="008B08E4"/>
    <w:rsid w:val="008B146D"/>
    <w:rsid w:val="008B1912"/>
    <w:rsid w:val="008B1BA1"/>
    <w:rsid w:val="008B2109"/>
    <w:rsid w:val="008B2385"/>
    <w:rsid w:val="008B28CC"/>
    <w:rsid w:val="008B29A9"/>
    <w:rsid w:val="008B314C"/>
    <w:rsid w:val="008B3C22"/>
    <w:rsid w:val="008B3C30"/>
    <w:rsid w:val="008B42AD"/>
    <w:rsid w:val="008B4316"/>
    <w:rsid w:val="008B5666"/>
    <w:rsid w:val="008B5ADD"/>
    <w:rsid w:val="008B5B41"/>
    <w:rsid w:val="008B5F7D"/>
    <w:rsid w:val="008B62B2"/>
    <w:rsid w:val="008B6BE5"/>
    <w:rsid w:val="008B6C3B"/>
    <w:rsid w:val="008C00A2"/>
    <w:rsid w:val="008C0764"/>
    <w:rsid w:val="008C0D49"/>
    <w:rsid w:val="008C107A"/>
    <w:rsid w:val="008C196A"/>
    <w:rsid w:val="008C3B19"/>
    <w:rsid w:val="008C3E6D"/>
    <w:rsid w:val="008C46E5"/>
    <w:rsid w:val="008C49AB"/>
    <w:rsid w:val="008C67BD"/>
    <w:rsid w:val="008C6D15"/>
    <w:rsid w:val="008C7915"/>
    <w:rsid w:val="008D0281"/>
    <w:rsid w:val="008D02A2"/>
    <w:rsid w:val="008D0576"/>
    <w:rsid w:val="008D0875"/>
    <w:rsid w:val="008D133C"/>
    <w:rsid w:val="008D1AA4"/>
    <w:rsid w:val="008D1DD2"/>
    <w:rsid w:val="008D277F"/>
    <w:rsid w:val="008D3565"/>
    <w:rsid w:val="008D3E1B"/>
    <w:rsid w:val="008D4747"/>
    <w:rsid w:val="008D4A43"/>
    <w:rsid w:val="008D60C8"/>
    <w:rsid w:val="008D621A"/>
    <w:rsid w:val="008D6324"/>
    <w:rsid w:val="008D69C3"/>
    <w:rsid w:val="008D6AEE"/>
    <w:rsid w:val="008D6B6F"/>
    <w:rsid w:val="008D7669"/>
    <w:rsid w:val="008D7884"/>
    <w:rsid w:val="008E0868"/>
    <w:rsid w:val="008E13BE"/>
    <w:rsid w:val="008E2348"/>
    <w:rsid w:val="008E2381"/>
    <w:rsid w:val="008E2537"/>
    <w:rsid w:val="008E29BB"/>
    <w:rsid w:val="008E2D19"/>
    <w:rsid w:val="008E3398"/>
    <w:rsid w:val="008E347D"/>
    <w:rsid w:val="008E3824"/>
    <w:rsid w:val="008E47C4"/>
    <w:rsid w:val="008E4DFC"/>
    <w:rsid w:val="008E5CBB"/>
    <w:rsid w:val="008E65A9"/>
    <w:rsid w:val="008E69EC"/>
    <w:rsid w:val="008E6EED"/>
    <w:rsid w:val="008F0150"/>
    <w:rsid w:val="008F04C8"/>
    <w:rsid w:val="008F0BA9"/>
    <w:rsid w:val="008F0C51"/>
    <w:rsid w:val="008F1D00"/>
    <w:rsid w:val="008F2252"/>
    <w:rsid w:val="008F2CF0"/>
    <w:rsid w:val="008F2E63"/>
    <w:rsid w:val="008F4C62"/>
    <w:rsid w:val="008F4E06"/>
    <w:rsid w:val="008F502B"/>
    <w:rsid w:val="008F5841"/>
    <w:rsid w:val="008F5ADB"/>
    <w:rsid w:val="008F5D80"/>
    <w:rsid w:val="008F5FD9"/>
    <w:rsid w:val="008F6B63"/>
    <w:rsid w:val="008F6B93"/>
    <w:rsid w:val="008F6D45"/>
    <w:rsid w:val="008F6E8F"/>
    <w:rsid w:val="008F711F"/>
    <w:rsid w:val="008F7498"/>
    <w:rsid w:val="008F74B8"/>
    <w:rsid w:val="008F7D42"/>
    <w:rsid w:val="008F7D49"/>
    <w:rsid w:val="008F7F9E"/>
    <w:rsid w:val="009015FD"/>
    <w:rsid w:val="009022FC"/>
    <w:rsid w:val="0090350F"/>
    <w:rsid w:val="009038E7"/>
    <w:rsid w:val="00903DB7"/>
    <w:rsid w:val="00903F5A"/>
    <w:rsid w:val="00903F81"/>
    <w:rsid w:val="0090437F"/>
    <w:rsid w:val="00904C68"/>
    <w:rsid w:val="00905401"/>
    <w:rsid w:val="00905C7F"/>
    <w:rsid w:val="00905E6A"/>
    <w:rsid w:val="00905F1E"/>
    <w:rsid w:val="00905F25"/>
    <w:rsid w:val="00907771"/>
    <w:rsid w:val="00907AD7"/>
    <w:rsid w:val="00907FF7"/>
    <w:rsid w:val="00910D2C"/>
    <w:rsid w:val="009110E1"/>
    <w:rsid w:val="0091163A"/>
    <w:rsid w:val="00912601"/>
    <w:rsid w:val="00913C2E"/>
    <w:rsid w:val="00913D8B"/>
    <w:rsid w:val="009149EF"/>
    <w:rsid w:val="00915A04"/>
    <w:rsid w:val="009168B1"/>
    <w:rsid w:val="00916B61"/>
    <w:rsid w:val="00916D99"/>
    <w:rsid w:val="00916EEE"/>
    <w:rsid w:val="00916FB6"/>
    <w:rsid w:val="0091777B"/>
    <w:rsid w:val="00920036"/>
    <w:rsid w:val="009206DA"/>
    <w:rsid w:val="00920E37"/>
    <w:rsid w:val="0092159F"/>
    <w:rsid w:val="009225C8"/>
    <w:rsid w:val="00922944"/>
    <w:rsid w:val="00922962"/>
    <w:rsid w:val="00922AC1"/>
    <w:rsid w:val="0092348F"/>
    <w:rsid w:val="009237CA"/>
    <w:rsid w:val="009244FC"/>
    <w:rsid w:val="0092463A"/>
    <w:rsid w:val="0092470D"/>
    <w:rsid w:val="009248B6"/>
    <w:rsid w:val="0092520C"/>
    <w:rsid w:val="00925330"/>
    <w:rsid w:val="00925A3F"/>
    <w:rsid w:val="0092622B"/>
    <w:rsid w:val="009268DB"/>
    <w:rsid w:val="00926D4A"/>
    <w:rsid w:val="00927A76"/>
    <w:rsid w:val="009309EE"/>
    <w:rsid w:val="009311B6"/>
    <w:rsid w:val="00931FD9"/>
    <w:rsid w:val="009320C1"/>
    <w:rsid w:val="00932A36"/>
    <w:rsid w:val="00933AC5"/>
    <w:rsid w:val="00933D97"/>
    <w:rsid w:val="00933F36"/>
    <w:rsid w:val="00934C41"/>
    <w:rsid w:val="00935563"/>
    <w:rsid w:val="009359DD"/>
    <w:rsid w:val="0093635A"/>
    <w:rsid w:val="0093639D"/>
    <w:rsid w:val="00936479"/>
    <w:rsid w:val="00936A26"/>
    <w:rsid w:val="009370A3"/>
    <w:rsid w:val="00937A10"/>
    <w:rsid w:val="00937A5E"/>
    <w:rsid w:val="00940334"/>
    <w:rsid w:val="0094077F"/>
    <w:rsid w:val="0094093E"/>
    <w:rsid w:val="00942BD4"/>
    <w:rsid w:val="00945F63"/>
    <w:rsid w:val="009464B0"/>
    <w:rsid w:val="009469BA"/>
    <w:rsid w:val="009472E0"/>
    <w:rsid w:val="00947999"/>
    <w:rsid w:val="00947A0F"/>
    <w:rsid w:val="00947A5C"/>
    <w:rsid w:val="00950CA7"/>
    <w:rsid w:val="00951390"/>
    <w:rsid w:val="009522BA"/>
    <w:rsid w:val="0095282C"/>
    <w:rsid w:val="00952E38"/>
    <w:rsid w:val="00953C8A"/>
    <w:rsid w:val="00953D1B"/>
    <w:rsid w:val="00954012"/>
    <w:rsid w:val="0095441E"/>
    <w:rsid w:val="00954A31"/>
    <w:rsid w:val="00956430"/>
    <w:rsid w:val="00956869"/>
    <w:rsid w:val="009579EA"/>
    <w:rsid w:val="00960669"/>
    <w:rsid w:val="00961269"/>
    <w:rsid w:val="009640D2"/>
    <w:rsid w:val="009642E9"/>
    <w:rsid w:val="00964408"/>
    <w:rsid w:val="00964F65"/>
    <w:rsid w:val="0096516B"/>
    <w:rsid w:val="00965806"/>
    <w:rsid w:val="00966115"/>
    <w:rsid w:val="00966356"/>
    <w:rsid w:val="00967193"/>
    <w:rsid w:val="00967503"/>
    <w:rsid w:val="00967B7A"/>
    <w:rsid w:val="0097088E"/>
    <w:rsid w:val="009718FC"/>
    <w:rsid w:val="00972812"/>
    <w:rsid w:val="00972A64"/>
    <w:rsid w:val="009736C1"/>
    <w:rsid w:val="00973BAC"/>
    <w:rsid w:val="009741F3"/>
    <w:rsid w:val="009747BF"/>
    <w:rsid w:val="009753B6"/>
    <w:rsid w:val="00975BC6"/>
    <w:rsid w:val="009763B0"/>
    <w:rsid w:val="009769EE"/>
    <w:rsid w:val="00980029"/>
    <w:rsid w:val="009813E6"/>
    <w:rsid w:val="00981806"/>
    <w:rsid w:val="00981F46"/>
    <w:rsid w:val="009834C0"/>
    <w:rsid w:val="0098391B"/>
    <w:rsid w:val="00984037"/>
    <w:rsid w:val="00984071"/>
    <w:rsid w:val="0098463E"/>
    <w:rsid w:val="009858CD"/>
    <w:rsid w:val="0098593C"/>
    <w:rsid w:val="00985B67"/>
    <w:rsid w:val="00985FFD"/>
    <w:rsid w:val="00986057"/>
    <w:rsid w:val="009862D1"/>
    <w:rsid w:val="009863B1"/>
    <w:rsid w:val="00986AAC"/>
    <w:rsid w:val="00986C95"/>
    <w:rsid w:val="00987A2A"/>
    <w:rsid w:val="00987FFA"/>
    <w:rsid w:val="009900F1"/>
    <w:rsid w:val="00990403"/>
    <w:rsid w:val="009905FA"/>
    <w:rsid w:val="0099263C"/>
    <w:rsid w:val="00994A71"/>
    <w:rsid w:val="009954A5"/>
    <w:rsid w:val="00995526"/>
    <w:rsid w:val="009964EE"/>
    <w:rsid w:val="00996AB4"/>
    <w:rsid w:val="00997289"/>
    <w:rsid w:val="0099796C"/>
    <w:rsid w:val="00997B6F"/>
    <w:rsid w:val="00997E50"/>
    <w:rsid w:val="009A0765"/>
    <w:rsid w:val="009A095E"/>
    <w:rsid w:val="009A0E50"/>
    <w:rsid w:val="009A1DA2"/>
    <w:rsid w:val="009A31EB"/>
    <w:rsid w:val="009A35AA"/>
    <w:rsid w:val="009A3704"/>
    <w:rsid w:val="009A4739"/>
    <w:rsid w:val="009A4D27"/>
    <w:rsid w:val="009A4F68"/>
    <w:rsid w:val="009A5B10"/>
    <w:rsid w:val="009A6653"/>
    <w:rsid w:val="009A674F"/>
    <w:rsid w:val="009A6D22"/>
    <w:rsid w:val="009A7E5E"/>
    <w:rsid w:val="009B0200"/>
    <w:rsid w:val="009B1157"/>
    <w:rsid w:val="009B199C"/>
    <w:rsid w:val="009B1A8F"/>
    <w:rsid w:val="009B1D2B"/>
    <w:rsid w:val="009B1E6E"/>
    <w:rsid w:val="009B3752"/>
    <w:rsid w:val="009B3849"/>
    <w:rsid w:val="009B389C"/>
    <w:rsid w:val="009B437E"/>
    <w:rsid w:val="009B5979"/>
    <w:rsid w:val="009B5DD4"/>
    <w:rsid w:val="009B61F1"/>
    <w:rsid w:val="009B62E0"/>
    <w:rsid w:val="009B663C"/>
    <w:rsid w:val="009B6B81"/>
    <w:rsid w:val="009B6CCC"/>
    <w:rsid w:val="009C03A4"/>
    <w:rsid w:val="009C096F"/>
    <w:rsid w:val="009C1BF9"/>
    <w:rsid w:val="009C23DC"/>
    <w:rsid w:val="009C27C8"/>
    <w:rsid w:val="009C3D88"/>
    <w:rsid w:val="009C4410"/>
    <w:rsid w:val="009C4D8D"/>
    <w:rsid w:val="009C4F0C"/>
    <w:rsid w:val="009C511B"/>
    <w:rsid w:val="009C51DC"/>
    <w:rsid w:val="009C63DF"/>
    <w:rsid w:val="009C6FB9"/>
    <w:rsid w:val="009C7C25"/>
    <w:rsid w:val="009C7D73"/>
    <w:rsid w:val="009D005C"/>
    <w:rsid w:val="009D0102"/>
    <w:rsid w:val="009D0BD6"/>
    <w:rsid w:val="009D1027"/>
    <w:rsid w:val="009D29D4"/>
    <w:rsid w:val="009D2F1C"/>
    <w:rsid w:val="009D4160"/>
    <w:rsid w:val="009D51BA"/>
    <w:rsid w:val="009D61D9"/>
    <w:rsid w:val="009D69C2"/>
    <w:rsid w:val="009D7189"/>
    <w:rsid w:val="009D7FD7"/>
    <w:rsid w:val="009D7FED"/>
    <w:rsid w:val="009E0074"/>
    <w:rsid w:val="009E03FA"/>
    <w:rsid w:val="009E0E18"/>
    <w:rsid w:val="009E0ECD"/>
    <w:rsid w:val="009E1651"/>
    <w:rsid w:val="009E20FA"/>
    <w:rsid w:val="009E2932"/>
    <w:rsid w:val="009E3514"/>
    <w:rsid w:val="009E3858"/>
    <w:rsid w:val="009E467D"/>
    <w:rsid w:val="009E47C8"/>
    <w:rsid w:val="009E4B82"/>
    <w:rsid w:val="009E4FD4"/>
    <w:rsid w:val="009E5D7C"/>
    <w:rsid w:val="009E5F5F"/>
    <w:rsid w:val="009E70DD"/>
    <w:rsid w:val="009E7A83"/>
    <w:rsid w:val="009E7BF3"/>
    <w:rsid w:val="009E7C0B"/>
    <w:rsid w:val="009F04C8"/>
    <w:rsid w:val="009F0A49"/>
    <w:rsid w:val="009F1C42"/>
    <w:rsid w:val="009F1F60"/>
    <w:rsid w:val="009F2508"/>
    <w:rsid w:val="009F2AAD"/>
    <w:rsid w:val="009F2BFB"/>
    <w:rsid w:val="009F2ED9"/>
    <w:rsid w:val="009F3181"/>
    <w:rsid w:val="009F3231"/>
    <w:rsid w:val="009F40E3"/>
    <w:rsid w:val="009F450A"/>
    <w:rsid w:val="009F4809"/>
    <w:rsid w:val="009F4B48"/>
    <w:rsid w:val="009F5C58"/>
    <w:rsid w:val="009F5F43"/>
    <w:rsid w:val="009F6C6A"/>
    <w:rsid w:val="009F6D4F"/>
    <w:rsid w:val="009F6FA0"/>
    <w:rsid w:val="009F7604"/>
    <w:rsid w:val="00A01A91"/>
    <w:rsid w:val="00A023A0"/>
    <w:rsid w:val="00A023D1"/>
    <w:rsid w:val="00A034F7"/>
    <w:rsid w:val="00A039A7"/>
    <w:rsid w:val="00A03C8D"/>
    <w:rsid w:val="00A04A38"/>
    <w:rsid w:val="00A05EBC"/>
    <w:rsid w:val="00A06476"/>
    <w:rsid w:val="00A06A64"/>
    <w:rsid w:val="00A0713A"/>
    <w:rsid w:val="00A07415"/>
    <w:rsid w:val="00A0748B"/>
    <w:rsid w:val="00A10165"/>
    <w:rsid w:val="00A10891"/>
    <w:rsid w:val="00A119C5"/>
    <w:rsid w:val="00A143E5"/>
    <w:rsid w:val="00A14981"/>
    <w:rsid w:val="00A14AF2"/>
    <w:rsid w:val="00A14F08"/>
    <w:rsid w:val="00A1562B"/>
    <w:rsid w:val="00A15C3C"/>
    <w:rsid w:val="00A16038"/>
    <w:rsid w:val="00A1699B"/>
    <w:rsid w:val="00A170F4"/>
    <w:rsid w:val="00A17815"/>
    <w:rsid w:val="00A17F5A"/>
    <w:rsid w:val="00A2005A"/>
    <w:rsid w:val="00A206D1"/>
    <w:rsid w:val="00A20CC4"/>
    <w:rsid w:val="00A20CF8"/>
    <w:rsid w:val="00A21408"/>
    <w:rsid w:val="00A217C2"/>
    <w:rsid w:val="00A21CFD"/>
    <w:rsid w:val="00A23427"/>
    <w:rsid w:val="00A23BA4"/>
    <w:rsid w:val="00A24E5C"/>
    <w:rsid w:val="00A2540A"/>
    <w:rsid w:val="00A25664"/>
    <w:rsid w:val="00A2577C"/>
    <w:rsid w:val="00A25A73"/>
    <w:rsid w:val="00A25B6B"/>
    <w:rsid w:val="00A25B78"/>
    <w:rsid w:val="00A25BB8"/>
    <w:rsid w:val="00A26F60"/>
    <w:rsid w:val="00A2791D"/>
    <w:rsid w:val="00A27B01"/>
    <w:rsid w:val="00A3005D"/>
    <w:rsid w:val="00A3037D"/>
    <w:rsid w:val="00A30EB6"/>
    <w:rsid w:val="00A30F3C"/>
    <w:rsid w:val="00A3176B"/>
    <w:rsid w:val="00A31DCA"/>
    <w:rsid w:val="00A31FB8"/>
    <w:rsid w:val="00A32F92"/>
    <w:rsid w:val="00A330AB"/>
    <w:rsid w:val="00A3336A"/>
    <w:rsid w:val="00A336A3"/>
    <w:rsid w:val="00A3384F"/>
    <w:rsid w:val="00A33B14"/>
    <w:rsid w:val="00A35314"/>
    <w:rsid w:val="00A35773"/>
    <w:rsid w:val="00A36194"/>
    <w:rsid w:val="00A400CC"/>
    <w:rsid w:val="00A40495"/>
    <w:rsid w:val="00A407DF"/>
    <w:rsid w:val="00A40A4B"/>
    <w:rsid w:val="00A4214A"/>
    <w:rsid w:val="00A42405"/>
    <w:rsid w:val="00A424D2"/>
    <w:rsid w:val="00A425AE"/>
    <w:rsid w:val="00A42633"/>
    <w:rsid w:val="00A42BED"/>
    <w:rsid w:val="00A43EFE"/>
    <w:rsid w:val="00A44423"/>
    <w:rsid w:val="00A4446D"/>
    <w:rsid w:val="00A44583"/>
    <w:rsid w:val="00A44B91"/>
    <w:rsid w:val="00A44F66"/>
    <w:rsid w:val="00A4519C"/>
    <w:rsid w:val="00A45481"/>
    <w:rsid w:val="00A45CB0"/>
    <w:rsid w:val="00A45EB4"/>
    <w:rsid w:val="00A46288"/>
    <w:rsid w:val="00A46642"/>
    <w:rsid w:val="00A46689"/>
    <w:rsid w:val="00A46BA8"/>
    <w:rsid w:val="00A46F68"/>
    <w:rsid w:val="00A46FFA"/>
    <w:rsid w:val="00A4700B"/>
    <w:rsid w:val="00A47050"/>
    <w:rsid w:val="00A47634"/>
    <w:rsid w:val="00A500EA"/>
    <w:rsid w:val="00A50472"/>
    <w:rsid w:val="00A505F8"/>
    <w:rsid w:val="00A51240"/>
    <w:rsid w:val="00A528DA"/>
    <w:rsid w:val="00A529F9"/>
    <w:rsid w:val="00A5345E"/>
    <w:rsid w:val="00A53965"/>
    <w:rsid w:val="00A54101"/>
    <w:rsid w:val="00A552D5"/>
    <w:rsid w:val="00A57131"/>
    <w:rsid w:val="00A603F4"/>
    <w:rsid w:val="00A6056B"/>
    <w:rsid w:val="00A60828"/>
    <w:rsid w:val="00A612FE"/>
    <w:rsid w:val="00A61BAC"/>
    <w:rsid w:val="00A64369"/>
    <w:rsid w:val="00A6473A"/>
    <w:rsid w:val="00A64758"/>
    <w:rsid w:val="00A65843"/>
    <w:rsid w:val="00A65AB5"/>
    <w:rsid w:val="00A66F4D"/>
    <w:rsid w:val="00A67E8C"/>
    <w:rsid w:val="00A703B3"/>
    <w:rsid w:val="00A70651"/>
    <w:rsid w:val="00A70B49"/>
    <w:rsid w:val="00A70F61"/>
    <w:rsid w:val="00A71376"/>
    <w:rsid w:val="00A71C68"/>
    <w:rsid w:val="00A71E09"/>
    <w:rsid w:val="00A72284"/>
    <w:rsid w:val="00A740A9"/>
    <w:rsid w:val="00A740D4"/>
    <w:rsid w:val="00A74F30"/>
    <w:rsid w:val="00A754C7"/>
    <w:rsid w:val="00A754C8"/>
    <w:rsid w:val="00A7615A"/>
    <w:rsid w:val="00A76330"/>
    <w:rsid w:val="00A7637C"/>
    <w:rsid w:val="00A76494"/>
    <w:rsid w:val="00A76677"/>
    <w:rsid w:val="00A76FBF"/>
    <w:rsid w:val="00A775C0"/>
    <w:rsid w:val="00A77E61"/>
    <w:rsid w:val="00A80094"/>
    <w:rsid w:val="00A802D5"/>
    <w:rsid w:val="00A803C8"/>
    <w:rsid w:val="00A8084F"/>
    <w:rsid w:val="00A80BB0"/>
    <w:rsid w:val="00A811F3"/>
    <w:rsid w:val="00A81653"/>
    <w:rsid w:val="00A81C30"/>
    <w:rsid w:val="00A824A4"/>
    <w:rsid w:val="00A824FC"/>
    <w:rsid w:val="00A825D7"/>
    <w:rsid w:val="00A82693"/>
    <w:rsid w:val="00A82D35"/>
    <w:rsid w:val="00A8392A"/>
    <w:rsid w:val="00A83BAE"/>
    <w:rsid w:val="00A85635"/>
    <w:rsid w:val="00A856CC"/>
    <w:rsid w:val="00A85D21"/>
    <w:rsid w:val="00A8616E"/>
    <w:rsid w:val="00A865E9"/>
    <w:rsid w:val="00A86A72"/>
    <w:rsid w:val="00A92AE9"/>
    <w:rsid w:val="00A92BF4"/>
    <w:rsid w:val="00A92D94"/>
    <w:rsid w:val="00A92DF9"/>
    <w:rsid w:val="00A92F9D"/>
    <w:rsid w:val="00A95A34"/>
    <w:rsid w:val="00A9685A"/>
    <w:rsid w:val="00A96B65"/>
    <w:rsid w:val="00A97CA7"/>
    <w:rsid w:val="00AA0DCB"/>
    <w:rsid w:val="00AA0DF5"/>
    <w:rsid w:val="00AA1177"/>
    <w:rsid w:val="00AA1274"/>
    <w:rsid w:val="00AA1ECF"/>
    <w:rsid w:val="00AA2229"/>
    <w:rsid w:val="00AA2330"/>
    <w:rsid w:val="00AA2649"/>
    <w:rsid w:val="00AA26B8"/>
    <w:rsid w:val="00AA2A2A"/>
    <w:rsid w:val="00AA2C35"/>
    <w:rsid w:val="00AA3C6E"/>
    <w:rsid w:val="00AA3FD7"/>
    <w:rsid w:val="00AA41E0"/>
    <w:rsid w:val="00AA423F"/>
    <w:rsid w:val="00AA4288"/>
    <w:rsid w:val="00AA4658"/>
    <w:rsid w:val="00AA47AF"/>
    <w:rsid w:val="00AA4907"/>
    <w:rsid w:val="00AA4D66"/>
    <w:rsid w:val="00AA5DC9"/>
    <w:rsid w:val="00AA619F"/>
    <w:rsid w:val="00AA6C48"/>
    <w:rsid w:val="00AA6D37"/>
    <w:rsid w:val="00AA6F79"/>
    <w:rsid w:val="00AA7601"/>
    <w:rsid w:val="00AA7890"/>
    <w:rsid w:val="00AA79AD"/>
    <w:rsid w:val="00AB0447"/>
    <w:rsid w:val="00AB1B76"/>
    <w:rsid w:val="00AB2326"/>
    <w:rsid w:val="00AB24E4"/>
    <w:rsid w:val="00AB2895"/>
    <w:rsid w:val="00AB2D87"/>
    <w:rsid w:val="00AB2E50"/>
    <w:rsid w:val="00AB2F6A"/>
    <w:rsid w:val="00AB321F"/>
    <w:rsid w:val="00AB4408"/>
    <w:rsid w:val="00AB45A3"/>
    <w:rsid w:val="00AB5BEE"/>
    <w:rsid w:val="00AB6C1B"/>
    <w:rsid w:val="00AB7604"/>
    <w:rsid w:val="00AC00A4"/>
    <w:rsid w:val="00AC0355"/>
    <w:rsid w:val="00AC0A81"/>
    <w:rsid w:val="00AC0B87"/>
    <w:rsid w:val="00AC100D"/>
    <w:rsid w:val="00AC17FB"/>
    <w:rsid w:val="00AC2610"/>
    <w:rsid w:val="00AC2624"/>
    <w:rsid w:val="00AC32A8"/>
    <w:rsid w:val="00AC3AC3"/>
    <w:rsid w:val="00AC4260"/>
    <w:rsid w:val="00AC5A1E"/>
    <w:rsid w:val="00AC5F25"/>
    <w:rsid w:val="00AC626D"/>
    <w:rsid w:val="00AC7495"/>
    <w:rsid w:val="00AC7FE2"/>
    <w:rsid w:val="00AD0A41"/>
    <w:rsid w:val="00AD12E8"/>
    <w:rsid w:val="00AD1351"/>
    <w:rsid w:val="00AD13BF"/>
    <w:rsid w:val="00AD2E21"/>
    <w:rsid w:val="00AD2E6C"/>
    <w:rsid w:val="00AD36A2"/>
    <w:rsid w:val="00AD3A37"/>
    <w:rsid w:val="00AD3C57"/>
    <w:rsid w:val="00AD3FA5"/>
    <w:rsid w:val="00AD4528"/>
    <w:rsid w:val="00AD4900"/>
    <w:rsid w:val="00AD4929"/>
    <w:rsid w:val="00AD4F80"/>
    <w:rsid w:val="00AD5B9A"/>
    <w:rsid w:val="00AD5BA9"/>
    <w:rsid w:val="00AD5E23"/>
    <w:rsid w:val="00AD71C1"/>
    <w:rsid w:val="00AD76CA"/>
    <w:rsid w:val="00AD76E6"/>
    <w:rsid w:val="00AD7E4E"/>
    <w:rsid w:val="00AE033B"/>
    <w:rsid w:val="00AE1960"/>
    <w:rsid w:val="00AE1B9A"/>
    <w:rsid w:val="00AE2302"/>
    <w:rsid w:val="00AE251E"/>
    <w:rsid w:val="00AE271D"/>
    <w:rsid w:val="00AE2FAC"/>
    <w:rsid w:val="00AE3EF9"/>
    <w:rsid w:val="00AE46D2"/>
    <w:rsid w:val="00AE4ABD"/>
    <w:rsid w:val="00AE4F30"/>
    <w:rsid w:val="00AE603C"/>
    <w:rsid w:val="00AE6468"/>
    <w:rsid w:val="00AE6D04"/>
    <w:rsid w:val="00AE757D"/>
    <w:rsid w:val="00AF070E"/>
    <w:rsid w:val="00AF1E18"/>
    <w:rsid w:val="00AF25B3"/>
    <w:rsid w:val="00AF2C0E"/>
    <w:rsid w:val="00AF2D0C"/>
    <w:rsid w:val="00AF431D"/>
    <w:rsid w:val="00AF459F"/>
    <w:rsid w:val="00AF4A8F"/>
    <w:rsid w:val="00AF4D58"/>
    <w:rsid w:val="00AF6120"/>
    <w:rsid w:val="00AF6666"/>
    <w:rsid w:val="00AF6903"/>
    <w:rsid w:val="00AF69B4"/>
    <w:rsid w:val="00AF7828"/>
    <w:rsid w:val="00AF7A6B"/>
    <w:rsid w:val="00AF7BC5"/>
    <w:rsid w:val="00B01775"/>
    <w:rsid w:val="00B03436"/>
    <w:rsid w:val="00B03772"/>
    <w:rsid w:val="00B03AED"/>
    <w:rsid w:val="00B03C77"/>
    <w:rsid w:val="00B04241"/>
    <w:rsid w:val="00B04B0D"/>
    <w:rsid w:val="00B0521D"/>
    <w:rsid w:val="00B0548E"/>
    <w:rsid w:val="00B05947"/>
    <w:rsid w:val="00B05B9A"/>
    <w:rsid w:val="00B05F66"/>
    <w:rsid w:val="00B06DA8"/>
    <w:rsid w:val="00B071EE"/>
    <w:rsid w:val="00B074C2"/>
    <w:rsid w:val="00B07580"/>
    <w:rsid w:val="00B07B34"/>
    <w:rsid w:val="00B07C17"/>
    <w:rsid w:val="00B07EE5"/>
    <w:rsid w:val="00B109A8"/>
    <w:rsid w:val="00B116E3"/>
    <w:rsid w:val="00B11F77"/>
    <w:rsid w:val="00B12DD0"/>
    <w:rsid w:val="00B12F6F"/>
    <w:rsid w:val="00B131FF"/>
    <w:rsid w:val="00B1337F"/>
    <w:rsid w:val="00B138C3"/>
    <w:rsid w:val="00B1467F"/>
    <w:rsid w:val="00B15592"/>
    <w:rsid w:val="00B158B7"/>
    <w:rsid w:val="00B159AE"/>
    <w:rsid w:val="00B162C3"/>
    <w:rsid w:val="00B164CF"/>
    <w:rsid w:val="00B1685A"/>
    <w:rsid w:val="00B16D2B"/>
    <w:rsid w:val="00B17391"/>
    <w:rsid w:val="00B17464"/>
    <w:rsid w:val="00B174FC"/>
    <w:rsid w:val="00B1770F"/>
    <w:rsid w:val="00B177A5"/>
    <w:rsid w:val="00B178AD"/>
    <w:rsid w:val="00B17A8F"/>
    <w:rsid w:val="00B17E12"/>
    <w:rsid w:val="00B206F0"/>
    <w:rsid w:val="00B208DE"/>
    <w:rsid w:val="00B20BDC"/>
    <w:rsid w:val="00B21388"/>
    <w:rsid w:val="00B21413"/>
    <w:rsid w:val="00B21BB9"/>
    <w:rsid w:val="00B22258"/>
    <w:rsid w:val="00B228B5"/>
    <w:rsid w:val="00B23492"/>
    <w:rsid w:val="00B23AE9"/>
    <w:rsid w:val="00B23CD2"/>
    <w:rsid w:val="00B24213"/>
    <w:rsid w:val="00B244AB"/>
    <w:rsid w:val="00B24521"/>
    <w:rsid w:val="00B24BEE"/>
    <w:rsid w:val="00B269D5"/>
    <w:rsid w:val="00B26A7F"/>
    <w:rsid w:val="00B27282"/>
    <w:rsid w:val="00B27412"/>
    <w:rsid w:val="00B27EAE"/>
    <w:rsid w:val="00B3002E"/>
    <w:rsid w:val="00B3132C"/>
    <w:rsid w:val="00B32485"/>
    <w:rsid w:val="00B328AC"/>
    <w:rsid w:val="00B34060"/>
    <w:rsid w:val="00B3415B"/>
    <w:rsid w:val="00B348C8"/>
    <w:rsid w:val="00B34C5D"/>
    <w:rsid w:val="00B35054"/>
    <w:rsid w:val="00B35419"/>
    <w:rsid w:val="00B35C04"/>
    <w:rsid w:val="00B360C6"/>
    <w:rsid w:val="00B37FF8"/>
    <w:rsid w:val="00B40702"/>
    <w:rsid w:val="00B41D09"/>
    <w:rsid w:val="00B41DEC"/>
    <w:rsid w:val="00B42CC1"/>
    <w:rsid w:val="00B42CFD"/>
    <w:rsid w:val="00B42E65"/>
    <w:rsid w:val="00B42F3B"/>
    <w:rsid w:val="00B43167"/>
    <w:rsid w:val="00B43446"/>
    <w:rsid w:val="00B44E98"/>
    <w:rsid w:val="00B45596"/>
    <w:rsid w:val="00B45720"/>
    <w:rsid w:val="00B470BE"/>
    <w:rsid w:val="00B47213"/>
    <w:rsid w:val="00B4794C"/>
    <w:rsid w:val="00B511F3"/>
    <w:rsid w:val="00B515DB"/>
    <w:rsid w:val="00B51C50"/>
    <w:rsid w:val="00B52306"/>
    <w:rsid w:val="00B534A4"/>
    <w:rsid w:val="00B53BF6"/>
    <w:rsid w:val="00B53EB7"/>
    <w:rsid w:val="00B54041"/>
    <w:rsid w:val="00B54B47"/>
    <w:rsid w:val="00B5509A"/>
    <w:rsid w:val="00B556E1"/>
    <w:rsid w:val="00B57A89"/>
    <w:rsid w:val="00B6001D"/>
    <w:rsid w:val="00B602E8"/>
    <w:rsid w:val="00B6080E"/>
    <w:rsid w:val="00B62936"/>
    <w:rsid w:val="00B62A4B"/>
    <w:rsid w:val="00B63027"/>
    <w:rsid w:val="00B6351F"/>
    <w:rsid w:val="00B64935"/>
    <w:rsid w:val="00B65464"/>
    <w:rsid w:val="00B6546E"/>
    <w:rsid w:val="00B673BB"/>
    <w:rsid w:val="00B70478"/>
    <w:rsid w:val="00B70506"/>
    <w:rsid w:val="00B70AEC"/>
    <w:rsid w:val="00B70DF0"/>
    <w:rsid w:val="00B71911"/>
    <w:rsid w:val="00B72ACA"/>
    <w:rsid w:val="00B72BAE"/>
    <w:rsid w:val="00B73B9C"/>
    <w:rsid w:val="00B73C27"/>
    <w:rsid w:val="00B745AD"/>
    <w:rsid w:val="00B74C57"/>
    <w:rsid w:val="00B74EFF"/>
    <w:rsid w:val="00B76B32"/>
    <w:rsid w:val="00B772F3"/>
    <w:rsid w:val="00B77D0B"/>
    <w:rsid w:val="00B804DA"/>
    <w:rsid w:val="00B8095B"/>
    <w:rsid w:val="00B811F8"/>
    <w:rsid w:val="00B81B44"/>
    <w:rsid w:val="00B82966"/>
    <w:rsid w:val="00B82FB2"/>
    <w:rsid w:val="00B83BBE"/>
    <w:rsid w:val="00B8408A"/>
    <w:rsid w:val="00B840D7"/>
    <w:rsid w:val="00B84457"/>
    <w:rsid w:val="00B84BB7"/>
    <w:rsid w:val="00B84F49"/>
    <w:rsid w:val="00B855C1"/>
    <w:rsid w:val="00B86BF3"/>
    <w:rsid w:val="00B86C6D"/>
    <w:rsid w:val="00B86FB5"/>
    <w:rsid w:val="00B87112"/>
    <w:rsid w:val="00B87126"/>
    <w:rsid w:val="00B875EF"/>
    <w:rsid w:val="00B87FEB"/>
    <w:rsid w:val="00B9053B"/>
    <w:rsid w:val="00B9059E"/>
    <w:rsid w:val="00B90BFA"/>
    <w:rsid w:val="00B90D20"/>
    <w:rsid w:val="00B9131D"/>
    <w:rsid w:val="00B913B6"/>
    <w:rsid w:val="00B91CA0"/>
    <w:rsid w:val="00B93257"/>
    <w:rsid w:val="00B939C7"/>
    <w:rsid w:val="00B943CB"/>
    <w:rsid w:val="00B95D37"/>
    <w:rsid w:val="00B9631D"/>
    <w:rsid w:val="00B9651D"/>
    <w:rsid w:val="00B96CF6"/>
    <w:rsid w:val="00B9777C"/>
    <w:rsid w:val="00B97EE2"/>
    <w:rsid w:val="00BA0C37"/>
    <w:rsid w:val="00BA1262"/>
    <w:rsid w:val="00BA12ED"/>
    <w:rsid w:val="00BA14EE"/>
    <w:rsid w:val="00BA175D"/>
    <w:rsid w:val="00BA1D17"/>
    <w:rsid w:val="00BA21AC"/>
    <w:rsid w:val="00BA21B5"/>
    <w:rsid w:val="00BA3782"/>
    <w:rsid w:val="00BA3985"/>
    <w:rsid w:val="00BA423C"/>
    <w:rsid w:val="00BA460D"/>
    <w:rsid w:val="00BA47E6"/>
    <w:rsid w:val="00BA491C"/>
    <w:rsid w:val="00BA5627"/>
    <w:rsid w:val="00BA5BEB"/>
    <w:rsid w:val="00BA5EC3"/>
    <w:rsid w:val="00BA62C6"/>
    <w:rsid w:val="00BA657F"/>
    <w:rsid w:val="00BA7905"/>
    <w:rsid w:val="00BA7952"/>
    <w:rsid w:val="00BB1F82"/>
    <w:rsid w:val="00BB20ED"/>
    <w:rsid w:val="00BB2AC2"/>
    <w:rsid w:val="00BB3903"/>
    <w:rsid w:val="00BB3B4F"/>
    <w:rsid w:val="00BB3BA2"/>
    <w:rsid w:val="00BB43DA"/>
    <w:rsid w:val="00BB454F"/>
    <w:rsid w:val="00BB4D98"/>
    <w:rsid w:val="00BB4EBF"/>
    <w:rsid w:val="00BB59E0"/>
    <w:rsid w:val="00BB6A97"/>
    <w:rsid w:val="00BB6F30"/>
    <w:rsid w:val="00BB72ED"/>
    <w:rsid w:val="00BB7A5C"/>
    <w:rsid w:val="00BB7D8A"/>
    <w:rsid w:val="00BB7DF0"/>
    <w:rsid w:val="00BC0E28"/>
    <w:rsid w:val="00BC31B9"/>
    <w:rsid w:val="00BC31CC"/>
    <w:rsid w:val="00BC3249"/>
    <w:rsid w:val="00BC3422"/>
    <w:rsid w:val="00BC3BB7"/>
    <w:rsid w:val="00BC3D1F"/>
    <w:rsid w:val="00BC437C"/>
    <w:rsid w:val="00BC4ED5"/>
    <w:rsid w:val="00BC52A2"/>
    <w:rsid w:val="00BC6660"/>
    <w:rsid w:val="00BC6B8C"/>
    <w:rsid w:val="00BC6E19"/>
    <w:rsid w:val="00BD05FA"/>
    <w:rsid w:val="00BD089C"/>
    <w:rsid w:val="00BD0B31"/>
    <w:rsid w:val="00BD0F12"/>
    <w:rsid w:val="00BD153B"/>
    <w:rsid w:val="00BD2531"/>
    <w:rsid w:val="00BD28E3"/>
    <w:rsid w:val="00BD2B13"/>
    <w:rsid w:val="00BD3B28"/>
    <w:rsid w:val="00BD3F71"/>
    <w:rsid w:val="00BD4FF1"/>
    <w:rsid w:val="00BD5018"/>
    <w:rsid w:val="00BD5053"/>
    <w:rsid w:val="00BD5381"/>
    <w:rsid w:val="00BD5652"/>
    <w:rsid w:val="00BD623D"/>
    <w:rsid w:val="00BD76DF"/>
    <w:rsid w:val="00BD7FA4"/>
    <w:rsid w:val="00BE07CC"/>
    <w:rsid w:val="00BE1608"/>
    <w:rsid w:val="00BE1F8F"/>
    <w:rsid w:val="00BE38D8"/>
    <w:rsid w:val="00BE38DA"/>
    <w:rsid w:val="00BE38E4"/>
    <w:rsid w:val="00BE39C6"/>
    <w:rsid w:val="00BE3C17"/>
    <w:rsid w:val="00BE4C2C"/>
    <w:rsid w:val="00BE4EDC"/>
    <w:rsid w:val="00BE52C6"/>
    <w:rsid w:val="00BE5ADC"/>
    <w:rsid w:val="00BE670D"/>
    <w:rsid w:val="00BE6A66"/>
    <w:rsid w:val="00BE7418"/>
    <w:rsid w:val="00BE74F5"/>
    <w:rsid w:val="00BE7639"/>
    <w:rsid w:val="00BF1F35"/>
    <w:rsid w:val="00BF2880"/>
    <w:rsid w:val="00BF3DF7"/>
    <w:rsid w:val="00BF4F96"/>
    <w:rsid w:val="00BF5042"/>
    <w:rsid w:val="00BF51EF"/>
    <w:rsid w:val="00BF5A3F"/>
    <w:rsid w:val="00BF5B5C"/>
    <w:rsid w:val="00BF68C4"/>
    <w:rsid w:val="00BF71D1"/>
    <w:rsid w:val="00BF720F"/>
    <w:rsid w:val="00C0008A"/>
    <w:rsid w:val="00C00FA4"/>
    <w:rsid w:val="00C01428"/>
    <w:rsid w:val="00C015B9"/>
    <w:rsid w:val="00C0228E"/>
    <w:rsid w:val="00C022F9"/>
    <w:rsid w:val="00C0277D"/>
    <w:rsid w:val="00C02BB7"/>
    <w:rsid w:val="00C032EA"/>
    <w:rsid w:val="00C0464D"/>
    <w:rsid w:val="00C06593"/>
    <w:rsid w:val="00C06919"/>
    <w:rsid w:val="00C06B3A"/>
    <w:rsid w:val="00C06EB5"/>
    <w:rsid w:val="00C078AB"/>
    <w:rsid w:val="00C10634"/>
    <w:rsid w:val="00C10816"/>
    <w:rsid w:val="00C1145F"/>
    <w:rsid w:val="00C119A8"/>
    <w:rsid w:val="00C11CD1"/>
    <w:rsid w:val="00C12213"/>
    <w:rsid w:val="00C122B7"/>
    <w:rsid w:val="00C12388"/>
    <w:rsid w:val="00C124E6"/>
    <w:rsid w:val="00C137E6"/>
    <w:rsid w:val="00C14C01"/>
    <w:rsid w:val="00C14EDC"/>
    <w:rsid w:val="00C153E2"/>
    <w:rsid w:val="00C15701"/>
    <w:rsid w:val="00C1575F"/>
    <w:rsid w:val="00C15817"/>
    <w:rsid w:val="00C15971"/>
    <w:rsid w:val="00C15B08"/>
    <w:rsid w:val="00C16E3F"/>
    <w:rsid w:val="00C171CC"/>
    <w:rsid w:val="00C17F32"/>
    <w:rsid w:val="00C20318"/>
    <w:rsid w:val="00C2070D"/>
    <w:rsid w:val="00C21D73"/>
    <w:rsid w:val="00C222E3"/>
    <w:rsid w:val="00C233CD"/>
    <w:rsid w:val="00C23EF7"/>
    <w:rsid w:val="00C242BC"/>
    <w:rsid w:val="00C2456E"/>
    <w:rsid w:val="00C249D4"/>
    <w:rsid w:val="00C252D7"/>
    <w:rsid w:val="00C258F2"/>
    <w:rsid w:val="00C25A92"/>
    <w:rsid w:val="00C25FDA"/>
    <w:rsid w:val="00C2623B"/>
    <w:rsid w:val="00C26901"/>
    <w:rsid w:val="00C2715F"/>
    <w:rsid w:val="00C272CF"/>
    <w:rsid w:val="00C27451"/>
    <w:rsid w:val="00C30315"/>
    <w:rsid w:val="00C308D9"/>
    <w:rsid w:val="00C30C98"/>
    <w:rsid w:val="00C31A61"/>
    <w:rsid w:val="00C31BF3"/>
    <w:rsid w:val="00C31E90"/>
    <w:rsid w:val="00C326A7"/>
    <w:rsid w:val="00C32729"/>
    <w:rsid w:val="00C329AB"/>
    <w:rsid w:val="00C32D49"/>
    <w:rsid w:val="00C32FDE"/>
    <w:rsid w:val="00C332B2"/>
    <w:rsid w:val="00C33A0A"/>
    <w:rsid w:val="00C33AD3"/>
    <w:rsid w:val="00C34AEC"/>
    <w:rsid w:val="00C35BCE"/>
    <w:rsid w:val="00C36B65"/>
    <w:rsid w:val="00C36E50"/>
    <w:rsid w:val="00C37347"/>
    <w:rsid w:val="00C37645"/>
    <w:rsid w:val="00C37C5B"/>
    <w:rsid w:val="00C41141"/>
    <w:rsid w:val="00C41951"/>
    <w:rsid w:val="00C41B3C"/>
    <w:rsid w:val="00C42D56"/>
    <w:rsid w:val="00C42E04"/>
    <w:rsid w:val="00C43F06"/>
    <w:rsid w:val="00C44481"/>
    <w:rsid w:val="00C45702"/>
    <w:rsid w:val="00C458E3"/>
    <w:rsid w:val="00C46858"/>
    <w:rsid w:val="00C47503"/>
    <w:rsid w:val="00C506B1"/>
    <w:rsid w:val="00C50A2B"/>
    <w:rsid w:val="00C5101D"/>
    <w:rsid w:val="00C51C01"/>
    <w:rsid w:val="00C52660"/>
    <w:rsid w:val="00C5272B"/>
    <w:rsid w:val="00C53822"/>
    <w:rsid w:val="00C539DC"/>
    <w:rsid w:val="00C53F61"/>
    <w:rsid w:val="00C5535F"/>
    <w:rsid w:val="00C56168"/>
    <w:rsid w:val="00C56382"/>
    <w:rsid w:val="00C56947"/>
    <w:rsid w:val="00C56A4E"/>
    <w:rsid w:val="00C579D6"/>
    <w:rsid w:val="00C57B13"/>
    <w:rsid w:val="00C57B2B"/>
    <w:rsid w:val="00C610D9"/>
    <w:rsid w:val="00C61C07"/>
    <w:rsid w:val="00C61CBA"/>
    <w:rsid w:val="00C637E1"/>
    <w:rsid w:val="00C63DB0"/>
    <w:rsid w:val="00C64C48"/>
    <w:rsid w:val="00C6581D"/>
    <w:rsid w:val="00C66B26"/>
    <w:rsid w:val="00C66C61"/>
    <w:rsid w:val="00C674C1"/>
    <w:rsid w:val="00C67631"/>
    <w:rsid w:val="00C67EAC"/>
    <w:rsid w:val="00C7023D"/>
    <w:rsid w:val="00C707FF"/>
    <w:rsid w:val="00C70D50"/>
    <w:rsid w:val="00C71D66"/>
    <w:rsid w:val="00C72252"/>
    <w:rsid w:val="00C72520"/>
    <w:rsid w:val="00C730DC"/>
    <w:rsid w:val="00C73163"/>
    <w:rsid w:val="00C7459B"/>
    <w:rsid w:val="00C7511D"/>
    <w:rsid w:val="00C76C4D"/>
    <w:rsid w:val="00C7726C"/>
    <w:rsid w:val="00C7769A"/>
    <w:rsid w:val="00C777A3"/>
    <w:rsid w:val="00C80516"/>
    <w:rsid w:val="00C81050"/>
    <w:rsid w:val="00C8180B"/>
    <w:rsid w:val="00C819CE"/>
    <w:rsid w:val="00C827B9"/>
    <w:rsid w:val="00C83A96"/>
    <w:rsid w:val="00C849D7"/>
    <w:rsid w:val="00C860E9"/>
    <w:rsid w:val="00C8675B"/>
    <w:rsid w:val="00C869E3"/>
    <w:rsid w:val="00C86AD3"/>
    <w:rsid w:val="00C901F2"/>
    <w:rsid w:val="00C907D7"/>
    <w:rsid w:val="00C9096F"/>
    <w:rsid w:val="00C90B6E"/>
    <w:rsid w:val="00C90DB2"/>
    <w:rsid w:val="00C90E81"/>
    <w:rsid w:val="00C910B1"/>
    <w:rsid w:val="00C91282"/>
    <w:rsid w:val="00C92338"/>
    <w:rsid w:val="00C930B4"/>
    <w:rsid w:val="00C93FA6"/>
    <w:rsid w:val="00C94689"/>
    <w:rsid w:val="00C950B4"/>
    <w:rsid w:val="00C9516B"/>
    <w:rsid w:val="00C95E66"/>
    <w:rsid w:val="00C95FBE"/>
    <w:rsid w:val="00C96051"/>
    <w:rsid w:val="00C960FF"/>
    <w:rsid w:val="00C96A00"/>
    <w:rsid w:val="00C9742B"/>
    <w:rsid w:val="00C97B86"/>
    <w:rsid w:val="00CA0030"/>
    <w:rsid w:val="00CA00AF"/>
    <w:rsid w:val="00CA0346"/>
    <w:rsid w:val="00CA037A"/>
    <w:rsid w:val="00CA05DC"/>
    <w:rsid w:val="00CA2876"/>
    <w:rsid w:val="00CA2BFF"/>
    <w:rsid w:val="00CA3FA4"/>
    <w:rsid w:val="00CA5099"/>
    <w:rsid w:val="00CA5269"/>
    <w:rsid w:val="00CA6834"/>
    <w:rsid w:val="00CA6888"/>
    <w:rsid w:val="00CA693B"/>
    <w:rsid w:val="00CA6D58"/>
    <w:rsid w:val="00CA7B47"/>
    <w:rsid w:val="00CA7E14"/>
    <w:rsid w:val="00CB1056"/>
    <w:rsid w:val="00CB11ED"/>
    <w:rsid w:val="00CB1662"/>
    <w:rsid w:val="00CB1B80"/>
    <w:rsid w:val="00CB1DD6"/>
    <w:rsid w:val="00CB25F2"/>
    <w:rsid w:val="00CB31E5"/>
    <w:rsid w:val="00CB334E"/>
    <w:rsid w:val="00CB3976"/>
    <w:rsid w:val="00CB3BBD"/>
    <w:rsid w:val="00CB3E28"/>
    <w:rsid w:val="00CB441A"/>
    <w:rsid w:val="00CB4AFB"/>
    <w:rsid w:val="00CB507C"/>
    <w:rsid w:val="00CB5620"/>
    <w:rsid w:val="00CB5CF5"/>
    <w:rsid w:val="00CB6623"/>
    <w:rsid w:val="00CB6F66"/>
    <w:rsid w:val="00CB7851"/>
    <w:rsid w:val="00CB7EF3"/>
    <w:rsid w:val="00CC13FC"/>
    <w:rsid w:val="00CC2366"/>
    <w:rsid w:val="00CC3779"/>
    <w:rsid w:val="00CC3B51"/>
    <w:rsid w:val="00CC464B"/>
    <w:rsid w:val="00CC4B80"/>
    <w:rsid w:val="00CC4BA5"/>
    <w:rsid w:val="00CC6087"/>
    <w:rsid w:val="00CC6CCD"/>
    <w:rsid w:val="00CC7CD6"/>
    <w:rsid w:val="00CD0307"/>
    <w:rsid w:val="00CD16CA"/>
    <w:rsid w:val="00CD2742"/>
    <w:rsid w:val="00CD3D1B"/>
    <w:rsid w:val="00CD3FF4"/>
    <w:rsid w:val="00CD4B6C"/>
    <w:rsid w:val="00CD51AE"/>
    <w:rsid w:val="00CD5F28"/>
    <w:rsid w:val="00CE022A"/>
    <w:rsid w:val="00CE0514"/>
    <w:rsid w:val="00CE083F"/>
    <w:rsid w:val="00CE222F"/>
    <w:rsid w:val="00CE4866"/>
    <w:rsid w:val="00CE4E5D"/>
    <w:rsid w:val="00CE5182"/>
    <w:rsid w:val="00CE5734"/>
    <w:rsid w:val="00CE61AC"/>
    <w:rsid w:val="00CF0720"/>
    <w:rsid w:val="00CF14AA"/>
    <w:rsid w:val="00CF1C67"/>
    <w:rsid w:val="00CF1FB8"/>
    <w:rsid w:val="00CF21E5"/>
    <w:rsid w:val="00CF2474"/>
    <w:rsid w:val="00CF3B7D"/>
    <w:rsid w:val="00CF438D"/>
    <w:rsid w:val="00CF467B"/>
    <w:rsid w:val="00CF5D1D"/>
    <w:rsid w:val="00CF6239"/>
    <w:rsid w:val="00CF6A76"/>
    <w:rsid w:val="00CF6EC4"/>
    <w:rsid w:val="00CF73AE"/>
    <w:rsid w:val="00CF74CE"/>
    <w:rsid w:val="00D004DD"/>
    <w:rsid w:val="00D01AA3"/>
    <w:rsid w:val="00D01CEB"/>
    <w:rsid w:val="00D0219C"/>
    <w:rsid w:val="00D02663"/>
    <w:rsid w:val="00D026AA"/>
    <w:rsid w:val="00D0633E"/>
    <w:rsid w:val="00D069C7"/>
    <w:rsid w:val="00D06F49"/>
    <w:rsid w:val="00D070D5"/>
    <w:rsid w:val="00D10096"/>
    <w:rsid w:val="00D104C6"/>
    <w:rsid w:val="00D10500"/>
    <w:rsid w:val="00D10F1A"/>
    <w:rsid w:val="00D11A39"/>
    <w:rsid w:val="00D11CC0"/>
    <w:rsid w:val="00D12CC8"/>
    <w:rsid w:val="00D12E74"/>
    <w:rsid w:val="00D12EA0"/>
    <w:rsid w:val="00D13208"/>
    <w:rsid w:val="00D14408"/>
    <w:rsid w:val="00D14A99"/>
    <w:rsid w:val="00D15094"/>
    <w:rsid w:val="00D1544E"/>
    <w:rsid w:val="00D15955"/>
    <w:rsid w:val="00D15E2C"/>
    <w:rsid w:val="00D16916"/>
    <w:rsid w:val="00D17331"/>
    <w:rsid w:val="00D20450"/>
    <w:rsid w:val="00D211B5"/>
    <w:rsid w:val="00D215D9"/>
    <w:rsid w:val="00D2173A"/>
    <w:rsid w:val="00D21A0E"/>
    <w:rsid w:val="00D21D79"/>
    <w:rsid w:val="00D2312F"/>
    <w:rsid w:val="00D23B04"/>
    <w:rsid w:val="00D25595"/>
    <w:rsid w:val="00D266A0"/>
    <w:rsid w:val="00D269C1"/>
    <w:rsid w:val="00D26EB6"/>
    <w:rsid w:val="00D27944"/>
    <w:rsid w:val="00D279DF"/>
    <w:rsid w:val="00D30190"/>
    <w:rsid w:val="00D30CD0"/>
    <w:rsid w:val="00D31189"/>
    <w:rsid w:val="00D31402"/>
    <w:rsid w:val="00D31BA8"/>
    <w:rsid w:val="00D32183"/>
    <w:rsid w:val="00D33546"/>
    <w:rsid w:val="00D33996"/>
    <w:rsid w:val="00D33DF5"/>
    <w:rsid w:val="00D35146"/>
    <w:rsid w:val="00D358AB"/>
    <w:rsid w:val="00D36351"/>
    <w:rsid w:val="00D36E28"/>
    <w:rsid w:val="00D36FEA"/>
    <w:rsid w:val="00D3725A"/>
    <w:rsid w:val="00D40721"/>
    <w:rsid w:val="00D40C1E"/>
    <w:rsid w:val="00D40C9A"/>
    <w:rsid w:val="00D40D8B"/>
    <w:rsid w:val="00D417C2"/>
    <w:rsid w:val="00D41B2F"/>
    <w:rsid w:val="00D41B5B"/>
    <w:rsid w:val="00D41E7F"/>
    <w:rsid w:val="00D42E50"/>
    <w:rsid w:val="00D436CD"/>
    <w:rsid w:val="00D441BB"/>
    <w:rsid w:val="00D44673"/>
    <w:rsid w:val="00D44953"/>
    <w:rsid w:val="00D44E3D"/>
    <w:rsid w:val="00D450C6"/>
    <w:rsid w:val="00D457C9"/>
    <w:rsid w:val="00D47430"/>
    <w:rsid w:val="00D50E0E"/>
    <w:rsid w:val="00D51123"/>
    <w:rsid w:val="00D51301"/>
    <w:rsid w:val="00D51A4B"/>
    <w:rsid w:val="00D528B4"/>
    <w:rsid w:val="00D534F9"/>
    <w:rsid w:val="00D53776"/>
    <w:rsid w:val="00D53777"/>
    <w:rsid w:val="00D5413C"/>
    <w:rsid w:val="00D542F3"/>
    <w:rsid w:val="00D54513"/>
    <w:rsid w:val="00D54668"/>
    <w:rsid w:val="00D54AAE"/>
    <w:rsid w:val="00D55416"/>
    <w:rsid w:val="00D559E4"/>
    <w:rsid w:val="00D55E3E"/>
    <w:rsid w:val="00D55F46"/>
    <w:rsid w:val="00D5644B"/>
    <w:rsid w:val="00D56DC9"/>
    <w:rsid w:val="00D56E25"/>
    <w:rsid w:val="00D57E89"/>
    <w:rsid w:val="00D60288"/>
    <w:rsid w:val="00D605F8"/>
    <w:rsid w:val="00D60E1A"/>
    <w:rsid w:val="00D6102F"/>
    <w:rsid w:val="00D636F5"/>
    <w:rsid w:val="00D63D49"/>
    <w:rsid w:val="00D64345"/>
    <w:rsid w:val="00D6511C"/>
    <w:rsid w:val="00D65270"/>
    <w:rsid w:val="00D6560D"/>
    <w:rsid w:val="00D656C8"/>
    <w:rsid w:val="00D6571B"/>
    <w:rsid w:val="00D65D77"/>
    <w:rsid w:val="00D662E0"/>
    <w:rsid w:val="00D67B29"/>
    <w:rsid w:val="00D67B4F"/>
    <w:rsid w:val="00D67F09"/>
    <w:rsid w:val="00D67F86"/>
    <w:rsid w:val="00D7082B"/>
    <w:rsid w:val="00D70C96"/>
    <w:rsid w:val="00D713E6"/>
    <w:rsid w:val="00D718D7"/>
    <w:rsid w:val="00D71ABB"/>
    <w:rsid w:val="00D71C7D"/>
    <w:rsid w:val="00D72BAB"/>
    <w:rsid w:val="00D735E7"/>
    <w:rsid w:val="00D74925"/>
    <w:rsid w:val="00D75286"/>
    <w:rsid w:val="00D756C9"/>
    <w:rsid w:val="00D75D34"/>
    <w:rsid w:val="00D76BD9"/>
    <w:rsid w:val="00D80448"/>
    <w:rsid w:val="00D80B10"/>
    <w:rsid w:val="00D80B7E"/>
    <w:rsid w:val="00D80DEF"/>
    <w:rsid w:val="00D80FC5"/>
    <w:rsid w:val="00D810CD"/>
    <w:rsid w:val="00D811D9"/>
    <w:rsid w:val="00D814B7"/>
    <w:rsid w:val="00D8196F"/>
    <w:rsid w:val="00D81AC5"/>
    <w:rsid w:val="00D82D26"/>
    <w:rsid w:val="00D82DB1"/>
    <w:rsid w:val="00D835A1"/>
    <w:rsid w:val="00D836ED"/>
    <w:rsid w:val="00D839CD"/>
    <w:rsid w:val="00D840E0"/>
    <w:rsid w:val="00D84A0B"/>
    <w:rsid w:val="00D8509B"/>
    <w:rsid w:val="00D8541E"/>
    <w:rsid w:val="00D8630F"/>
    <w:rsid w:val="00D863EB"/>
    <w:rsid w:val="00D90688"/>
    <w:rsid w:val="00D906B3"/>
    <w:rsid w:val="00D90D19"/>
    <w:rsid w:val="00D912E5"/>
    <w:rsid w:val="00D922C2"/>
    <w:rsid w:val="00D9338F"/>
    <w:rsid w:val="00D93D65"/>
    <w:rsid w:val="00D9435A"/>
    <w:rsid w:val="00D94588"/>
    <w:rsid w:val="00D95353"/>
    <w:rsid w:val="00D9599F"/>
    <w:rsid w:val="00D962CE"/>
    <w:rsid w:val="00D96FA3"/>
    <w:rsid w:val="00D9797F"/>
    <w:rsid w:val="00DA1736"/>
    <w:rsid w:val="00DA1795"/>
    <w:rsid w:val="00DA1CC8"/>
    <w:rsid w:val="00DA1E0C"/>
    <w:rsid w:val="00DA253B"/>
    <w:rsid w:val="00DA2693"/>
    <w:rsid w:val="00DA2860"/>
    <w:rsid w:val="00DA37CA"/>
    <w:rsid w:val="00DA3AAD"/>
    <w:rsid w:val="00DA48D4"/>
    <w:rsid w:val="00DA4DB9"/>
    <w:rsid w:val="00DA548A"/>
    <w:rsid w:val="00DA6565"/>
    <w:rsid w:val="00DA75A4"/>
    <w:rsid w:val="00DA7EFF"/>
    <w:rsid w:val="00DA7FB8"/>
    <w:rsid w:val="00DB0615"/>
    <w:rsid w:val="00DB0796"/>
    <w:rsid w:val="00DB0804"/>
    <w:rsid w:val="00DB0992"/>
    <w:rsid w:val="00DB1596"/>
    <w:rsid w:val="00DB296E"/>
    <w:rsid w:val="00DB29F2"/>
    <w:rsid w:val="00DB2C55"/>
    <w:rsid w:val="00DB312B"/>
    <w:rsid w:val="00DB3921"/>
    <w:rsid w:val="00DB3A0F"/>
    <w:rsid w:val="00DB415F"/>
    <w:rsid w:val="00DB4AB4"/>
    <w:rsid w:val="00DB56B0"/>
    <w:rsid w:val="00DB5C82"/>
    <w:rsid w:val="00DB7112"/>
    <w:rsid w:val="00DB7F31"/>
    <w:rsid w:val="00DC0E88"/>
    <w:rsid w:val="00DC13AA"/>
    <w:rsid w:val="00DC1401"/>
    <w:rsid w:val="00DC2E05"/>
    <w:rsid w:val="00DC41E9"/>
    <w:rsid w:val="00DC4FEC"/>
    <w:rsid w:val="00DC5550"/>
    <w:rsid w:val="00DC5654"/>
    <w:rsid w:val="00DC5CB2"/>
    <w:rsid w:val="00DC6178"/>
    <w:rsid w:val="00DC658F"/>
    <w:rsid w:val="00DC674A"/>
    <w:rsid w:val="00DC704C"/>
    <w:rsid w:val="00DC7322"/>
    <w:rsid w:val="00DC7471"/>
    <w:rsid w:val="00DC8A12"/>
    <w:rsid w:val="00DD0BF6"/>
    <w:rsid w:val="00DD1095"/>
    <w:rsid w:val="00DD12A4"/>
    <w:rsid w:val="00DD1BD4"/>
    <w:rsid w:val="00DD320A"/>
    <w:rsid w:val="00DD3483"/>
    <w:rsid w:val="00DD34D3"/>
    <w:rsid w:val="00DD3A9D"/>
    <w:rsid w:val="00DD3C34"/>
    <w:rsid w:val="00DD40F9"/>
    <w:rsid w:val="00DD57BE"/>
    <w:rsid w:val="00DD6383"/>
    <w:rsid w:val="00DD718D"/>
    <w:rsid w:val="00DD730A"/>
    <w:rsid w:val="00DD7EBA"/>
    <w:rsid w:val="00DD7FAE"/>
    <w:rsid w:val="00DE0999"/>
    <w:rsid w:val="00DE0E4E"/>
    <w:rsid w:val="00DE114B"/>
    <w:rsid w:val="00DE249A"/>
    <w:rsid w:val="00DE2E53"/>
    <w:rsid w:val="00DE38DF"/>
    <w:rsid w:val="00DE38FB"/>
    <w:rsid w:val="00DE60CC"/>
    <w:rsid w:val="00DE636F"/>
    <w:rsid w:val="00DE685B"/>
    <w:rsid w:val="00DE6921"/>
    <w:rsid w:val="00DE791F"/>
    <w:rsid w:val="00DF03F6"/>
    <w:rsid w:val="00DF0F99"/>
    <w:rsid w:val="00DF14A0"/>
    <w:rsid w:val="00DF215A"/>
    <w:rsid w:val="00DF2D57"/>
    <w:rsid w:val="00DF2F6E"/>
    <w:rsid w:val="00DF305E"/>
    <w:rsid w:val="00DF383F"/>
    <w:rsid w:val="00DF3C43"/>
    <w:rsid w:val="00DF40E5"/>
    <w:rsid w:val="00DF52CC"/>
    <w:rsid w:val="00DF5CF1"/>
    <w:rsid w:val="00DF60D9"/>
    <w:rsid w:val="00DF630B"/>
    <w:rsid w:val="00DF732A"/>
    <w:rsid w:val="00DF75C3"/>
    <w:rsid w:val="00E00337"/>
    <w:rsid w:val="00E01E10"/>
    <w:rsid w:val="00E02D2F"/>
    <w:rsid w:val="00E03385"/>
    <w:rsid w:val="00E0377E"/>
    <w:rsid w:val="00E03A39"/>
    <w:rsid w:val="00E03D16"/>
    <w:rsid w:val="00E03F3C"/>
    <w:rsid w:val="00E042FA"/>
    <w:rsid w:val="00E04697"/>
    <w:rsid w:val="00E06416"/>
    <w:rsid w:val="00E070C8"/>
    <w:rsid w:val="00E07816"/>
    <w:rsid w:val="00E079CC"/>
    <w:rsid w:val="00E101B2"/>
    <w:rsid w:val="00E122D5"/>
    <w:rsid w:val="00E1296B"/>
    <w:rsid w:val="00E13A54"/>
    <w:rsid w:val="00E14F37"/>
    <w:rsid w:val="00E158B2"/>
    <w:rsid w:val="00E17363"/>
    <w:rsid w:val="00E17A8A"/>
    <w:rsid w:val="00E200D6"/>
    <w:rsid w:val="00E20476"/>
    <w:rsid w:val="00E2202A"/>
    <w:rsid w:val="00E224B2"/>
    <w:rsid w:val="00E22A20"/>
    <w:rsid w:val="00E22EC8"/>
    <w:rsid w:val="00E23FBC"/>
    <w:rsid w:val="00E24F69"/>
    <w:rsid w:val="00E24F82"/>
    <w:rsid w:val="00E26636"/>
    <w:rsid w:val="00E26B32"/>
    <w:rsid w:val="00E276E2"/>
    <w:rsid w:val="00E27766"/>
    <w:rsid w:val="00E30691"/>
    <w:rsid w:val="00E31882"/>
    <w:rsid w:val="00E31CD4"/>
    <w:rsid w:val="00E31E60"/>
    <w:rsid w:val="00E32A3F"/>
    <w:rsid w:val="00E32D4F"/>
    <w:rsid w:val="00E32F53"/>
    <w:rsid w:val="00E33E08"/>
    <w:rsid w:val="00E3400F"/>
    <w:rsid w:val="00E34851"/>
    <w:rsid w:val="00E37D88"/>
    <w:rsid w:val="00E401DB"/>
    <w:rsid w:val="00E4033C"/>
    <w:rsid w:val="00E40457"/>
    <w:rsid w:val="00E407B6"/>
    <w:rsid w:val="00E41EF1"/>
    <w:rsid w:val="00E42942"/>
    <w:rsid w:val="00E4326A"/>
    <w:rsid w:val="00E432DB"/>
    <w:rsid w:val="00E43A0B"/>
    <w:rsid w:val="00E441E5"/>
    <w:rsid w:val="00E4459C"/>
    <w:rsid w:val="00E45AE6"/>
    <w:rsid w:val="00E45C9C"/>
    <w:rsid w:val="00E47BB1"/>
    <w:rsid w:val="00E501F1"/>
    <w:rsid w:val="00E5029B"/>
    <w:rsid w:val="00E50469"/>
    <w:rsid w:val="00E51E87"/>
    <w:rsid w:val="00E521A4"/>
    <w:rsid w:val="00E52C5D"/>
    <w:rsid w:val="00E536D7"/>
    <w:rsid w:val="00E54370"/>
    <w:rsid w:val="00E543D9"/>
    <w:rsid w:val="00E543F0"/>
    <w:rsid w:val="00E544FE"/>
    <w:rsid w:val="00E54501"/>
    <w:rsid w:val="00E551F8"/>
    <w:rsid w:val="00E558EF"/>
    <w:rsid w:val="00E56097"/>
    <w:rsid w:val="00E57A25"/>
    <w:rsid w:val="00E57AA5"/>
    <w:rsid w:val="00E57C4C"/>
    <w:rsid w:val="00E57DAA"/>
    <w:rsid w:val="00E60D25"/>
    <w:rsid w:val="00E62A52"/>
    <w:rsid w:val="00E62B4D"/>
    <w:rsid w:val="00E631E3"/>
    <w:rsid w:val="00E63A14"/>
    <w:rsid w:val="00E640EA"/>
    <w:rsid w:val="00E641F9"/>
    <w:rsid w:val="00E64F6F"/>
    <w:rsid w:val="00E6511F"/>
    <w:rsid w:val="00E65A0A"/>
    <w:rsid w:val="00E665D0"/>
    <w:rsid w:val="00E67546"/>
    <w:rsid w:val="00E703D3"/>
    <w:rsid w:val="00E70BAD"/>
    <w:rsid w:val="00E71BDF"/>
    <w:rsid w:val="00E71C30"/>
    <w:rsid w:val="00E722EC"/>
    <w:rsid w:val="00E72560"/>
    <w:rsid w:val="00E72595"/>
    <w:rsid w:val="00E72E8A"/>
    <w:rsid w:val="00E7354F"/>
    <w:rsid w:val="00E739E4"/>
    <w:rsid w:val="00E748EF"/>
    <w:rsid w:val="00E74AF6"/>
    <w:rsid w:val="00E75CCB"/>
    <w:rsid w:val="00E779AE"/>
    <w:rsid w:val="00E80190"/>
    <w:rsid w:val="00E81949"/>
    <w:rsid w:val="00E8245B"/>
    <w:rsid w:val="00E82C21"/>
    <w:rsid w:val="00E82CFD"/>
    <w:rsid w:val="00E82EE9"/>
    <w:rsid w:val="00E82F59"/>
    <w:rsid w:val="00E83CA7"/>
    <w:rsid w:val="00E85168"/>
    <w:rsid w:val="00E8586E"/>
    <w:rsid w:val="00E85B90"/>
    <w:rsid w:val="00E86503"/>
    <w:rsid w:val="00E86E00"/>
    <w:rsid w:val="00E8702A"/>
    <w:rsid w:val="00E9133D"/>
    <w:rsid w:val="00E91C2C"/>
    <w:rsid w:val="00E91F63"/>
    <w:rsid w:val="00E92192"/>
    <w:rsid w:val="00E92839"/>
    <w:rsid w:val="00E94310"/>
    <w:rsid w:val="00E945AD"/>
    <w:rsid w:val="00E9465B"/>
    <w:rsid w:val="00E94731"/>
    <w:rsid w:val="00E95A71"/>
    <w:rsid w:val="00E972B5"/>
    <w:rsid w:val="00E972DC"/>
    <w:rsid w:val="00E9730E"/>
    <w:rsid w:val="00E97886"/>
    <w:rsid w:val="00E978C6"/>
    <w:rsid w:val="00EA030C"/>
    <w:rsid w:val="00EA07B1"/>
    <w:rsid w:val="00EA15CB"/>
    <w:rsid w:val="00EA176F"/>
    <w:rsid w:val="00EA1D2B"/>
    <w:rsid w:val="00EA2253"/>
    <w:rsid w:val="00EA22AF"/>
    <w:rsid w:val="00EA2B81"/>
    <w:rsid w:val="00EA3246"/>
    <w:rsid w:val="00EA3B3F"/>
    <w:rsid w:val="00EA3EEF"/>
    <w:rsid w:val="00EA447F"/>
    <w:rsid w:val="00EA516A"/>
    <w:rsid w:val="00EA55AA"/>
    <w:rsid w:val="00EA5761"/>
    <w:rsid w:val="00EA5C35"/>
    <w:rsid w:val="00EA5C97"/>
    <w:rsid w:val="00EA6224"/>
    <w:rsid w:val="00EA6F49"/>
    <w:rsid w:val="00EA7F93"/>
    <w:rsid w:val="00EB199B"/>
    <w:rsid w:val="00EB23C1"/>
    <w:rsid w:val="00EB26E0"/>
    <w:rsid w:val="00EB3044"/>
    <w:rsid w:val="00EB363A"/>
    <w:rsid w:val="00EB3A8C"/>
    <w:rsid w:val="00EB4112"/>
    <w:rsid w:val="00EB4DE0"/>
    <w:rsid w:val="00EB5C56"/>
    <w:rsid w:val="00EB6068"/>
    <w:rsid w:val="00EB6C4D"/>
    <w:rsid w:val="00EB7014"/>
    <w:rsid w:val="00EB704C"/>
    <w:rsid w:val="00EB72C7"/>
    <w:rsid w:val="00EC03F9"/>
    <w:rsid w:val="00EC0E10"/>
    <w:rsid w:val="00EC16C2"/>
    <w:rsid w:val="00EC1ABC"/>
    <w:rsid w:val="00EC2B92"/>
    <w:rsid w:val="00EC2F85"/>
    <w:rsid w:val="00EC32B7"/>
    <w:rsid w:val="00EC58B1"/>
    <w:rsid w:val="00EC5CDE"/>
    <w:rsid w:val="00EC7A54"/>
    <w:rsid w:val="00ED01A5"/>
    <w:rsid w:val="00ED0494"/>
    <w:rsid w:val="00ED0994"/>
    <w:rsid w:val="00ED1AD8"/>
    <w:rsid w:val="00ED1EE9"/>
    <w:rsid w:val="00ED22AB"/>
    <w:rsid w:val="00ED2451"/>
    <w:rsid w:val="00ED25D5"/>
    <w:rsid w:val="00ED3077"/>
    <w:rsid w:val="00ED3A48"/>
    <w:rsid w:val="00ED487E"/>
    <w:rsid w:val="00ED4935"/>
    <w:rsid w:val="00ED4C63"/>
    <w:rsid w:val="00ED4E4C"/>
    <w:rsid w:val="00ED5907"/>
    <w:rsid w:val="00ED5B35"/>
    <w:rsid w:val="00ED601D"/>
    <w:rsid w:val="00ED64F1"/>
    <w:rsid w:val="00ED656C"/>
    <w:rsid w:val="00ED7D3A"/>
    <w:rsid w:val="00EE06D9"/>
    <w:rsid w:val="00EE1CAC"/>
    <w:rsid w:val="00EE2672"/>
    <w:rsid w:val="00EE2EE9"/>
    <w:rsid w:val="00EE325E"/>
    <w:rsid w:val="00EE3279"/>
    <w:rsid w:val="00EE33A1"/>
    <w:rsid w:val="00EE3644"/>
    <w:rsid w:val="00EE39B4"/>
    <w:rsid w:val="00EE48C4"/>
    <w:rsid w:val="00EE4F7F"/>
    <w:rsid w:val="00EE50A9"/>
    <w:rsid w:val="00EE540A"/>
    <w:rsid w:val="00EE6EEF"/>
    <w:rsid w:val="00EE7090"/>
    <w:rsid w:val="00EE7A0D"/>
    <w:rsid w:val="00EF03FE"/>
    <w:rsid w:val="00EF04C2"/>
    <w:rsid w:val="00EF1039"/>
    <w:rsid w:val="00EF22D6"/>
    <w:rsid w:val="00EF295D"/>
    <w:rsid w:val="00EF4090"/>
    <w:rsid w:val="00EF4111"/>
    <w:rsid w:val="00EF41E0"/>
    <w:rsid w:val="00EF4286"/>
    <w:rsid w:val="00EF552F"/>
    <w:rsid w:val="00EF6237"/>
    <w:rsid w:val="00EF6CDF"/>
    <w:rsid w:val="00EF7154"/>
    <w:rsid w:val="00F008D0"/>
    <w:rsid w:val="00F0102D"/>
    <w:rsid w:val="00F01801"/>
    <w:rsid w:val="00F01B11"/>
    <w:rsid w:val="00F01F66"/>
    <w:rsid w:val="00F0222C"/>
    <w:rsid w:val="00F02442"/>
    <w:rsid w:val="00F024D3"/>
    <w:rsid w:val="00F04005"/>
    <w:rsid w:val="00F04888"/>
    <w:rsid w:val="00F04D2E"/>
    <w:rsid w:val="00F0515E"/>
    <w:rsid w:val="00F0563B"/>
    <w:rsid w:val="00F05AFA"/>
    <w:rsid w:val="00F05B16"/>
    <w:rsid w:val="00F07020"/>
    <w:rsid w:val="00F104BE"/>
    <w:rsid w:val="00F11CE9"/>
    <w:rsid w:val="00F12312"/>
    <w:rsid w:val="00F12847"/>
    <w:rsid w:val="00F1294D"/>
    <w:rsid w:val="00F1298A"/>
    <w:rsid w:val="00F12A3A"/>
    <w:rsid w:val="00F1343F"/>
    <w:rsid w:val="00F1414A"/>
    <w:rsid w:val="00F14182"/>
    <w:rsid w:val="00F15D75"/>
    <w:rsid w:val="00F177C7"/>
    <w:rsid w:val="00F17CE1"/>
    <w:rsid w:val="00F201B6"/>
    <w:rsid w:val="00F20922"/>
    <w:rsid w:val="00F20F80"/>
    <w:rsid w:val="00F2115C"/>
    <w:rsid w:val="00F2125B"/>
    <w:rsid w:val="00F215CF"/>
    <w:rsid w:val="00F21919"/>
    <w:rsid w:val="00F22655"/>
    <w:rsid w:val="00F22ABA"/>
    <w:rsid w:val="00F22B82"/>
    <w:rsid w:val="00F2444A"/>
    <w:rsid w:val="00F248F0"/>
    <w:rsid w:val="00F24B28"/>
    <w:rsid w:val="00F2597F"/>
    <w:rsid w:val="00F26955"/>
    <w:rsid w:val="00F26CDA"/>
    <w:rsid w:val="00F3085C"/>
    <w:rsid w:val="00F318D2"/>
    <w:rsid w:val="00F31AA7"/>
    <w:rsid w:val="00F32428"/>
    <w:rsid w:val="00F32E6D"/>
    <w:rsid w:val="00F3408C"/>
    <w:rsid w:val="00F34430"/>
    <w:rsid w:val="00F349C9"/>
    <w:rsid w:val="00F34F6C"/>
    <w:rsid w:val="00F36746"/>
    <w:rsid w:val="00F36B12"/>
    <w:rsid w:val="00F3763E"/>
    <w:rsid w:val="00F37A66"/>
    <w:rsid w:val="00F37D06"/>
    <w:rsid w:val="00F41463"/>
    <w:rsid w:val="00F41599"/>
    <w:rsid w:val="00F41B26"/>
    <w:rsid w:val="00F43022"/>
    <w:rsid w:val="00F43A97"/>
    <w:rsid w:val="00F440AE"/>
    <w:rsid w:val="00F44145"/>
    <w:rsid w:val="00F45F5F"/>
    <w:rsid w:val="00F460F5"/>
    <w:rsid w:val="00F46B4C"/>
    <w:rsid w:val="00F47669"/>
    <w:rsid w:val="00F47C64"/>
    <w:rsid w:val="00F504CA"/>
    <w:rsid w:val="00F50BEE"/>
    <w:rsid w:val="00F51AFA"/>
    <w:rsid w:val="00F51D0B"/>
    <w:rsid w:val="00F52E45"/>
    <w:rsid w:val="00F537D2"/>
    <w:rsid w:val="00F540E3"/>
    <w:rsid w:val="00F5493B"/>
    <w:rsid w:val="00F54C73"/>
    <w:rsid w:val="00F553F7"/>
    <w:rsid w:val="00F55571"/>
    <w:rsid w:val="00F560C7"/>
    <w:rsid w:val="00F562B9"/>
    <w:rsid w:val="00F56993"/>
    <w:rsid w:val="00F601E0"/>
    <w:rsid w:val="00F60609"/>
    <w:rsid w:val="00F60F9F"/>
    <w:rsid w:val="00F61EB8"/>
    <w:rsid w:val="00F62D3C"/>
    <w:rsid w:val="00F635D9"/>
    <w:rsid w:val="00F63C73"/>
    <w:rsid w:val="00F641E7"/>
    <w:rsid w:val="00F642D7"/>
    <w:rsid w:val="00F64CFF"/>
    <w:rsid w:val="00F64F08"/>
    <w:rsid w:val="00F65361"/>
    <w:rsid w:val="00F65E94"/>
    <w:rsid w:val="00F66863"/>
    <w:rsid w:val="00F66AEE"/>
    <w:rsid w:val="00F6781A"/>
    <w:rsid w:val="00F678B3"/>
    <w:rsid w:val="00F67B03"/>
    <w:rsid w:val="00F70055"/>
    <w:rsid w:val="00F71150"/>
    <w:rsid w:val="00F71D46"/>
    <w:rsid w:val="00F72403"/>
    <w:rsid w:val="00F734F5"/>
    <w:rsid w:val="00F73B5B"/>
    <w:rsid w:val="00F7414C"/>
    <w:rsid w:val="00F7492A"/>
    <w:rsid w:val="00F7502B"/>
    <w:rsid w:val="00F75285"/>
    <w:rsid w:val="00F75A60"/>
    <w:rsid w:val="00F80014"/>
    <w:rsid w:val="00F8045C"/>
    <w:rsid w:val="00F80DA5"/>
    <w:rsid w:val="00F80E61"/>
    <w:rsid w:val="00F8114A"/>
    <w:rsid w:val="00F813EA"/>
    <w:rsid w:val="00F8302B"/>
    <w:rsid w:val="00F83587"/>
    <w:rsid w:val="00F83C4E"/>
    <w:rsid w:val="00F84025"/>
    <w:rsid w:val="00F84590"/>
    <w:rsid w:val="00F85429"/>
    <w:rsid w:val="00F8554A"/>
    <w:rsid w:val="00F85648"/>
    <w:rsid w:val="00F90B3E"/>
    <w:rsid w:val="00F90EA5"/>
    <w:rsid w:val="00F91546"/>
    <w:rsid w:val="00F917CB"/>
    <w:rsid w:val="00F91F5A"/>
    <w:rsid w:val="00F92103"/>
    <w:rsid w:val="00F92115"/>
    <w:rsid w:val="00F9226B"/>
    <w:rsid w:val="00F93D5D"/>
    <w:rsid w:val="00F950D2"/>
    <w:rsid w:val="00F966B1"/>
    <w:rsid w:val="00F97736"/>
    <w:rsid w:val="00F978F3"/>
    <w:rsid w:val="00F97D48"/>
    <w:rsid w:val="00FA0311"/>
    <w:rsid w:val="00FA0786"/>
    <w:rsid w:val="00FA1489"/>
    <w:rsid w:val="00FA15BE"/>
    <w:rsid w:val="00FA175D"/>
    <w:rsid w:val="00FA1950"/>
    <w:rsid w:val="00FA1C69"/>
    <w:rsid w:val="00FA23AA"/>
    <w:rsid w:val="00FA39E1"/>
    <w:rsid w:val="00FA431E"/>
    <w:rsid w:val="00FA47E6"/>
    <w:rsid w:val="00FA5534"/>
    <w:rsid w:val="00FA6A5C"/>
    <w:rsid w:val="00FA6D9C"/>
    <w:rsid w:val="00FA7B17"/>
    <w:rsid w:val="00FB0226"/>
    <w:rsid w:val="00FB03E1"/>
    <w:rsid w:val="00FB0DCD"/>
    <w:rsid w:val="00FB256E"/>
    <w:rsid w:val="00FB39A8"/>
    <w:rsid w:val="00FB43E2"/>
    <w:rsid w:val="00FB56AE"/>
    <w:rsid w:val="00FB57A1"/>
    <w:rsid w:val="00FB57B1"/>
    <w:rsid w:val="00FB5AA2"/>
    <w:rsid w:val="00FB5C98"/>
    <w:rsid w:val="00FC0775"/>
    <w:rsid w:val="00FC1AF0"/>
    <w:rsid w:val="00FC22FD"/>
    <w:rsid w:val="00FC2453"/>
    <w:rsid w:val="00FC2674"/>
    <w:rsid w:val="00FC2867"/>
    <w:rsid w:val="00FC487A"/>
    <w:rsid w:val="00FC5557"/>
    <w:rsid w:val="00FC563B"/>
    <w:rsid w:val="00FC5B27"/>
    <w:rsid w:val="00FC6F97"/>
    <w:rsid w:val="00FC77E4"/>
    <w:rsid w:val="00FC7C77"/>
    <w:rsid w:val="00FD07EF"/>
    <w:rsid w:val="00FD0FEB"/>
    <w:rsid w:val="00FD112A"/>
    <w:rsid w:val="00FD4803"/>
    <w:rsid w:val="00FD50F0"/>
    <w:rsid w:val="00FD5BE3"/>
    <w:rsid w:val="00FD640F"/>
    <w:rsid w:val="00FD6527"/>
    <w:rsid w:val="00FD6A9F"/>
    <w:rsid w:val="00FD6B4C"/>
    <w:rsid w:val="00FD6C60"/>
    <w:rsid w:val="00FD6C6A"/>
    <w:rsid w:val="00FD6FB0"/>
    <w:rsid w:val="00FD7069"/>
    <w:rsid w:val="00FD75AA"/>
    <w:rsid w:val="00FD7700"/>
    <w:rsid w:val="00FD7FFE"/>
    <w:rsid w:val="00FE0343"/>
    <w:rsid w:val="00FE0553"/>
    <w:rsid w:val="00FE1CA5"/>
    <w:rsid w:val="00FE22FC"/>
    <w:rsid w:val="00FE25D0"/>
    <w:rsid w:val="00FE31E4"/>
    <w:rsid w:val="00FE3202"/>
    <w:rsid w:val="00FE37AE"/>
    <w:rsid w:val="00FE4F93"/>
    <w:rsid w:val="00FE6215"/>
    <w:rsid w:val="00FE6365"/>
    <w:rsid w:val="00FE6A96"/>
    <w:rsid w:val="00FE6CB3"/>
    <w:rsid w:val="00FE7BF3"/>
    <w:rsid w:val="00FF07F3"/>
    <w:rsid w:val="00FF138F"/>
    <w:rsid w:val="00FF1AFE"/>
    <w:rsid w:val="00FF1C42"/>
    <w:rsid w:val="00FF209C"/>
    <w:rsid w:val="00FF30F4"/>
    <w:rsid w:val="00FF363E"/>
    <w:rsid w:val="00FF394D"/>
    <w:rsid w:val="00FF3AC4"/>
    <w:rsid w:val="00FF411C"/>
    <w:rsid w:val="00FF473E"/>
    <w:rsid w:val="00FF4E99"/>
    <w:rsid w:val="00FF5201"/>
    <w:rsid w:val="00FF5419"/>
    <w:rsid w:val="00FF57EA"/>
    <w:rsid w:val="00FF5A2D"/>
    <w:rsid w:val="00FF6C2B"/>
    <w:rsid w:val="0104EEA7"/>
    <w:rsid w:val="011CD80F"/>
    <w:rsid w:val="0133A43D"/>
    <w:rsid w:val="0164A1EB"/>
    <w:rsid w:val="0180FFB0"/>
    <w:rsid w:val="018D84B8"/>
    <w:rsid w:val="01D97190"/>
    <w:rsid w:val="01F398C7"/>
    <w:rsid w:val="01FA45EE"/>
    <w:rsid w:val="020EA590"/>
    <w:rsid w:val="0232422F"/>
    <w:rsid w:val="024804D2"/>
    <w:rsid w:val="025688A7"/>
    <w:rsid w:val="0290210E"/>
    <w:rsid w:val="02BA1E5B"/>
    <w:rsid w:val="02C0030E"/>
    <w:rsid w:val="02D3BBC7"/>
    <w:rsid w:val="02E6BF89"/>
    <w:rsid w:val="02E6E54C"/>
    <w:rsid w:val="02F4059E"/>
    <w:rsid w:val="033FBD92"/>
    <w:rsid w:val="0359E24B"/>
    <w:rsid w:val="0365134C"/>
    <w:rsid w:val="037B5426"/>
    <w:rsid w:val="038D3E19"/>
    <w:rsid w:val="03997F8F"/>
    <w:rsid w:val="03CC4237"/>
    <w:rsid w:val="03CD976D"/>
    <w:rsid w:val="0416AF10"/>
    <w:rsid w:val="0460495E"/>
    <w:rsid w:val="04697EF3"/>
    <w:rsid w:val="047AAD89"/>
    <w:rsid w:val="049BAE0F"/>
    <w:rsid w:val="050EC926"/>
    <w:rsid w:val="051049A8"/>
    <w:rsid w:val="054461E6"/>
    <w:rsid w:val="05AAB562"/>
    <w:rsid w:val="05B62A02"/>
    <w:rsid w:val="05DD7BF5"/>
    <w:rsid w:val="05FCE147"/>
    <w:rsid w:val="0617FC29"/>
    <w:rsid w:val="061D737D"/>
    <w:rsid w:val="065E1B83"/>
    <w:rsid w:val="067A2F60"/>
    <w:rsid w:val="067C8523"/>
    <w:rsid w:val="068025F4"/>
    <w:rsid w:val="069AFC67"/>
    <w:rsid w:val="06B111CD"/>
    <w:rsid w:val="06B64D5B"/>
    <w:rsid w:val="06E19320"/>
    <w:rsid w:val="071D0B56"/>
    <w:rsid w:val="07232F6D"/>
    <w:rsid w:val="07398BCB"/>
    <w:rsid w:val="0761C99E"/>
    <w:rsid w:val="0767024A"/>
    <w:rsid w:val="07861362"/>
    <w:rsid w:val="078D514E"/>
    <w:rsid w:val="0799CCD9"/>
    <w:rsid w:val="07AA46A7"/>
    <w:rsid w:val="07DADE63"/>
    <w:rsid w:val="07F702FE"/>
    <w:rsid w:val="07FC8EB8"/>
    <w:rsid w:val="081AC3D2"/>
    <w:rsid w:val="08474F2B"/>
    <w:rsid w:val="0848A8F2"/>
    <w:rsid w:val="08910617"/>
    <w:rsid w:val="08BBDCB8"/>
    <w:rsid w:val="08E202F3"/>
    <w:rsid w:val="08EE603A"/>
    <w:rsid w:val="08F6ABDE"/>
    <w:rsid w:val="08F750B3"/>
    <w:rsid w:val="09287B64"/>
    <w:rsid w:val="09387C14"/>
    <w:rsid w:val="0940841D"/>
    <w:rsid w:val="09A29476"/>
    <w:rsid w:val="09B68F93"/>
    <w:rsid w:val="09CA2318"/>
    <w:rsid w:val="09DB80D6"/>
    <w:rsid w:val="09E30030"/>
    <w:rsid w:val="09FEAAAC"/>
    <w:rsid w:val="0A12315E"/>
    <w:rsid w:val="0A13601F"/>
    <w:rsid w:val="0A331BD2"/>
    <w:rsid w:val="0A46A96E"/>
    <w:rsid w:val="0A78BC4B"/>
    <w:rsid w:val="0A9098FB"/>
    <w:rsid w:val="0AEDBCE1"/>
    <w:rsid w:val="0AF9773C"/>
    <w:rsid w:val="0AFA1A45"/>
    <w:rsid w:val="0B134FB6"/>
    <w:rsid w:val="0BA2ACB1"/>
    <w:rsid w:val="0BA37DE0"/>
    <w:rsid w:val="0BACC07E"/>
    <w:rsid w:val="0BB112B9"/>
    <w:rsid w:val="0BF0F613"/>
    <w:rsid w:val="0C1C0735"/>
    <w:rsid w:val="0C40AF92"/>
    <w:rsid w:val="0C68EE27"/>
    <w:rsid w:val="0C8FCF69"/>
    <w:rsid w:val="0C947A4E"/>
    <w:rsid w:val="0CA5336E"/>
    <w:rsid w:val="0CBAB6F5"/>
    <w:rsid w:val="0CC94321"/>
    <w:rsid w:val="0CDDBD79"/>
    <w:rsid w:val="0CE47C2E"/>
    <w:rsid w:val="0D25FDC3"/>
    <w:rsid w:val="0D4CE31A"/>
    <w:rsid w:val="0D51C090"/>
    <w:rsid w:val="0D531DB1"/>
    <w:rsid w:val="0D595329"/>
    <w:rsid w:val="0DA35BDA"/>
    <w:rsid w:val="0DC5D356"/>
    <w:rsid w:val="0DF94F7A"/>
    <w:rsid w:val="0E1F860E"/>
    <w:rsid w:val="0E38BC2B"/>
    <w:rsid w:val="0E4E60E2"/>
    <w:rsid w:val="0E6D252B"/>
    <w:rsid w:val="0EBAB9B0"/>
    <w:rsid w:val="0ED7ADD1"/>
    <w:rsid w:val="0F05E638"/>
    <w:rsid w:val="0F2BFED1"/>
    <w:rsid w:val="0F46289D"/>
    <w:rsid w:val="0F51ECBB"/>
    <w:rsid w:val="0F68EE66"/>
    <w:rsid w:val="0F94CF49"/>
    <w:rsid w:val="0FA7B448"/>
    <w:rsid w:val="0FB12281"/>
    <w:rsid w:val="0FD50219"/>
    <w:rsid w:val="0FE1BE00"/>
    <w:rsid w:val="0FE30269"/>
    <w:rsid w:val="101A3494"/>
    <w:rsid w:val="1048D1D3"/>
    <w:rsid w:val="1052E42B"/>
    <w:rsid w:val="10711CAB"/>
    <w:rsid w:val="10846507"/>
    <w:rsid w:val="10937CA1"/>
    <w:rsid w:val="10A86E7A"/>
    <w:rsid w:val="10AD6FFE"/>
    <w:rsid w:val="10AEEA8E"/>
    <w:rsid w:val="10CE89C3"/>
    <w:rsid w:val="10D3DC31"/>
    <w:rsid w:val="10DC7E87"/>
    <w:rsid w:val="1147C3B3"/>
    <w:rsid w:val="116717A4"/>
    <w:rsid w:val="11860DE0"/>
    <w:rsid w:val="11964006"/>
    <w:rsid w:val="11AE70E8"/>
    <w:rsid w:val="11B7CC67"/>
    <w:rsid w:val="11ED613B"/>
    <w:rsid w:val="120836BF"/>
    <w:rsid w:val="124BB3E9"/>
    <w:rsid w:val="125D8D9F"/>
    <w:rsid w:val="12760D6C"/>
    <w:rsid w:val="12950A02"/>
    <w:rsid w:val="12B1339D"/>
    <w:rsid w:val="12F433F2"/>
    <w:rsid w:val="13207525"/>
    <w:rsid w:val="1325A2FD"/>
    <w:rsid w:val="13330C01"/>
    <w:rsid w:val="13595360"/>
    <w:rsid w:val="1359AA57"/>
    <w:rsid w:val="1374775A"/>
    <w:rsid w:val="1377F39B"/>
    <w:rsid w:val="138EB106"/>
    <w:rsid w:val="13A668B7"/>
    <w:rsid w:val="13BF8C2C"/>
    <w:rsid w:val="13CDB530"/>
    <w:rsid w:val="1429A8CD"/>
    <w:rsid w:val="1445EEC6"/>
    <w:rsid w:val="145CEDB0"/>
    <w:rsid w:val="1474E4B0"/>
    <w:rsid w:val="148C3252"/>
    <w:rsid w:val="14B32543"/>
    <w:rsid w:val="15471FCA"/>
    <w:rsid w:val="156CBDFC"/>
    <w:rsid w:val="1570E958"/>
    <w:rsid w:val="159A22D6"/>
    <w:rsid w:val="15A9C74A"/>
    <w:rsid w:val="15DA569C"/>
    <w:rsid w:val="15EA0FC2"/>
    <w:rsid w:val="15F025EF"/>
    <w:rsid w:val="1607BC68"/>
    <w:rsid w:val="16C0447D"/>
    <w:rsid w:val="16F4AD4B"/>
    <w:rsid w:val="1716CC83"/>
    <w:rsid w:val="173DF5C1"/>
    <w:rsid w:val="1740D712"/>
    <w:rsid w:val="1792847D"/>
    <w:rsid w:val="17B1D3F2"/>
    <w:rsid w:val="17DAAA26"/>
    <w:rsid w:val="1804BAA9"/>
    <w:rsid w:val="18104B7B"/>
    <w:rsid w:val="18200289"/>
    <w:rsid w:val="1822BADE"/>
    <w:rsid w:val="182F4607"/>
    <w:rsid w:val="1840DDA4"/>
    <w:rsid w:val="184B99BE"/>
    <w:rsid w:val="18571A1A"/>
    <w:rsid w:val="1859795E"/>
    <w:rsid w:val="186B7436"/>
    <w:rsid w:val="18AFAD57"/>
    <w:rsid w:val="18C6F57E"/>
    <w:rsid w:val="18F935C0"/>
    <w:rsid w:val="19480E93"/>
    <w:rsid w:val="1960D5FA"/>
    <w:rsid w:val="1965598B"/>
    <w:rsid w:val="1973258F"/>
    <w:rsid w:val="197FF694"/>
    <w:rsid w:val="198DAE13"/>
    <w:rsid w:val="19A114BF"/>
    <w:rsid w:val="19ABF44D"/>
    <w:rsid w:val="19B133BE"/>
    <w:rsid w:val="19D4612E"/>
    <w:rsid w:val="19D5E2CD"/>
    <w:rsid w:val="19EE22BC"/>
    <w:rsid w:val="19F5936E"/>
    <w:rsid w:val="1A220BC5"/>
    <w:rsid w:val="1A41A4BA"/>
    <w:rsid w:val="1A8282F4"/>
    <w:rsid w:val="1A906C56"/>
    <w:rsid w:val="1B0362E7"/>
    <w:rsid w:val="1B0FCC2F"/>
    <w:rsid w:val="1B146738"/>
    <w:rsid w:val="1B38A756"/>
    <w:rsid w:val="1B48E526"/>
    <w:rsid w:val="1B5A3E26"/>
    <w:rsid w:val="1B5CB4F8"/>
    <w:rsid w:val="1B5D20FD"/>
    <w:rsid w:val="1B6A9B8D"/>
    <w:rsid w:val="1B9B722D"/>
    <w:rsid w:val="1B9DA38C"/>
    <w:rsid w:val="1BB21C86"/>
    <w:rsid w:val="1BD32AAD"/>
    <w:rsid w:val="1BDB9DD2"/>
    <w:rsid w:val="1C0D1C4C"/>
    <w:rsid w:val="1C41ADC4"/>
    <w:rsid w:val="1C8989CF"/>
    <w:rsid w:val="1CC364FB"/>
    <w:rsid w:val="1CC5451D"/>
    <w:rsid w:val="1D0E7E64"/>
    <w:rsid w:val="1D1736CC"/>
    <w:rsid w:val="1D5DFABF"/>
    <w:rsid w:val="1D653F2B"/>
    <w:rsid w:val="1D699FDD"/>
    <w:rsid w:val="1DCD1F8F"/>
    <w:rsid w:val="1E1CF1FC"/>
    <w:rsid w:val="1E4ACF1F"/>
    <w:rsid w:val="1E50E65D"/>
    <w:rsid w:val="1E6FA23F"/>
    <w:rsid w:val="1E8722D4"/>
    <w:rsid w:val="1EE3DC9E"/>
    <w:rsid w:val="1EE9BD48"/>
    <w:rsid w:val="1EFCF233"/>
    <w:rsid w:val="1F0D8BAA"/>
    <w:rsid w:val="1F2614C7"/>
    <w:rsid w:val="1F86F2AA"/>
    <w:rsid w:val="1F9D15B9"/>
    <w:rsid w:val="1FAFBC24"/>
    <w:rsid w:val="1FBB1AD3"/>
    <w:rsid w:val="1FC01AF2"/>
    <w:rsid w:val="1FC41B44"/>
    <w:rsid w:val="1FC436FB"/>
    <w:rsid w:val="1FEF4F61"/>
    <w:rsid w:val="2002A4A6"/>
    <w:rsid w:val="20870FEA"/>
    <w:rsid w:val="20C03F6D"/>
    <w:rsid w:val="20CC7549"/>
    <w:rsid w:val="20D3406D"/>
    <w:rsid w:val="20E22E3A"/>
    <w:rsid w:val="2115E930"/>
    <w:rsid w:val="21198D02"/>
    <w:rsid w:val="21465988"/>
    <w:rsid w:val="21645E20"/>
    <w:rsid w:val="21716575"/>
    <w:rsid w:val="2185D102"/>
    <w:rsid w:val="21951DD0"/>
    <w:rsid w:val="21958645"/>
    <w:rsid w:val="219D6C8C"/>
    <w:rsid w:val="21BDD093"/>
    <w:rsid w:val="21EED88E"/>
    <w:rsid w:val="21F8B54E"/>
    <w:rsid w:val="2258F417"/>
    <w:rsid w:val="2264A6F0"/>
    <w:rsid w:val="227CD526"/>
    <w:rsid w:val="228EBAB2"/>
    <w:rsid w:val="22989125"/>
    <w:rsid w:val="22BB7D8E"/>
    <w:rsid w:val="2317E0D8"/>
    <w:rsid w:val="2361B82B"/>
    <w:rsid w:val="23BD2E6B"/>
    <w:rsid w:val="23C3841E"/>
    <w:rsid w:val="23D5DB01"/>
    <w:rsid w:val="23D6A80D"/>
    <w:rsid w:val="23E4E631"/>
    <w:rsid w:val="2400FEC2"/>
    <w:rsid w:val="24200FFB"/>
    <w:rsid w:val="24216255"/>
    <w:rsid w:val="248703F5"/>
    <w:rsid w:val="24B3CC25"/>
    <w:rsid w:val="24BBE3A3"/>
    <w:rsid w:val="24DBC916"/>
    <w:rsid w:val="2521D3AF"/>
    <w:rsid w:val="2561702F"/>
    <w:rsid w:val="256586B5"/>
    <w:rsid w:val="256F608A"/>
    <w:rsid w:val="25860CF1"/>
    <w:rsid w:val="258A6776"/>
    <w:rsid w:val="25B02703"/>
    <w:rsid w:val="2605B37B"/>
    <w:rsid w:val="261E5EB1"/>
    <w:rsid w:val="262B9FA1"/>
    <w:rsid w:val="2640795B"/>
    <w:rsid w:val="26529A3F"/>
    <w:rsid w:val="26B8293D"/>
    <w:rsid w:val="26D5ABDA"/>
    <w:rsid w:val="26F4CF2D"/>
    <w:rsid w:val="2714A851"/>
    <w:rsid w:val="2749019B"/>
    <w:rsid w:val="274E1419"/>
    <w:rsid w:val="275F1D9E"/>
    <w:rsid w:val="277ED8EC"/>
    <w:rsid w:val="27993D73"/>
    <w:rsid w:val="27A33C85"/>
    <w:rsid w:val="27D7303C"/>
    <w:rsid w:val="28061B65"/>
    <w:rsid w:val="280B229B"/>
    <w:rsid w:val="28150A24"/>
    <w:rsid w:val="282CA235"/>
    <w:rsid w:val="2890561F"/>
    <w:rsid w:val="28C49BB7"/>
    <w:rsid w:val="28DBBA64"/>
    <w:rsid w:val="28DE5E65"/>
    <w:rsid w:val="28FAEDFF"/>
    <w:rsid w:val="2914378D"/>
    <w:rsid w:val="291A1AAD"/>
    <w:rsid w:val="29341D73"/>
    <w:rsid w:val="296C7E4B"/>
    <w:rsid w:val="2979F214"/>
    <w:rsid w:val="298E49A8"/>
    <w:rsid w:val="2A02B5BE"/>
    <w:rsid w:val="2A0F4064"/>
    <w:rsid w:val="2A282013"/>
    <w:rsid w:val="2A4637E1"/>
    <w:rsid w:val="2AA5039A"/>
    <w:rsid w:val="2AAAFBE9"/>
    <w:rsid w:val="2AACFEE1"/>
    <w:rsid w:val="2AB08A00"/>
    <w:rsid w:val="2AF77B92"/>
    <w:rsid w:val="2AFACBAB"/>
    <w:rsid w:val="2B0850D9"/>
    <w:rsid w:val="2B20A55A"/>
    <w:rsid w:val="2B280185"/>
    <w:rsid w:val="2B2830B4"/>
    <w:rsid w:val="2B399D59"/>
    <w:rsid w:val="2B926EBD"/>
    <w:rsid w:val="2BB0E2C8"/>
    <w:rsid w:val="2BF48A6C"/>
    <w:rsid w:val="2C33883F"/>
    <w:rsid w:val="2C4C5A61"/>
    <w:rsid w:val="2C6D03BE"/>
    <w:rsid w:val="2C91A7AB"/>
    <w:rsid w:val="2C9D162D"/>
    <w:rsid w:val="2CA4213A"/>
    <w:rsid w:val="2CBFD55D"/>
    <w:rsid w:val="2CC24763"/>
    <w:rsid w:val="2CF75EA3"/>
    <w:rsid w:val="2CFF3737"/>
    <w:rsid w:val="2D1FB84B"/>
    <w:rsid w:val="2D28EE30"/>
    <w:rsid w:val="2D2FF512"/>
    <w:rsid w:val="2D401048"/>
    <w:rsid w:val="2D403142"/>
    <w:rsid w:val="2D45174E"/>
    <w:rsid w:val="2D54F5CE"/>
    <w:rsid w:val="2D817568"/>
    <w:rsid w:val="2D8A3FF8"/>
    <w:rsid w:val="2DA4EB8F"/>
    <w:rsid w:val="2DB2E551"/>
    <w:rsid w:val="2DF51856"/>
    <w:rsid w:val="2DFE50BC"/>
    <w:rsid w:val="2E028114"/>
    <w:rsid w:val="2E480855"/>
    <w:rsid w:val="2E57111B"/>
    <w:rsid w:val="2E5A2836"/>
    <w:rsid w:val="2E72BA61"/>
    <w:rsid w:val="2E834993"/>
    <w:rsid w:val="2E93EE85"/>
    <w:rsid w:val="2EB0BA1B"/>
    <w:rsid w:val="2F1E6A1E"/>
    <w:rsid w:val="2F6F5987"/>
    <w:rsid w:val="2FD35E27"/>
    <w:rsid w:val="2FDFEF04"/>
    <w:rsid w:val="300B7F5F"/>
    <w:rsid w:val="301F878D"/>
    <w:rsid w:val="30259052"/>
    <w:rsid w:val="30345E04"/>
    <w:rsid w:val="30508BFB"/>
    <w:rsid w:val="307146BB"/>
    <w:rsid w:val="307AE6C0"/>
    <w:rsid w:val="30BF7FCF"/>
    <w:rsid w:val="30CA6E43"/>
    <w:rsid w:val="31036D04"/>
    <w:rsid w:val="3106ACE8"/>
    <w:rsid w:val="311DE9D4"/>
    <w:rsid w:val="314A7833"/>
    <w:rsid w:val="314B8BE5"/>
    <w:rsid w:val="31746785"/>
    <w:rsid w:val="3175D0D0"/>
    <w:rsid w:val="3188BDDA"/>
    <w:rsid w:val="31894056"/>
    <w:rsid w:val="319D5D32"/>
    <w:rsid w:val="31A88461"/>
    <w:rsid w:val="31BA85ED"/>
    <w:rsid w:val="31CDB844"/>
    <w:rsid w:val="31D8365D"/>
    <w:rsid w:val="31F49F46"/>
    <w:rsid w:val="31FE1351"/>
    <w:rsid w:val="320F78B2"/>
    <w:rsid w:val="324271CB"/>
    <w:rsid w:val="324C6B77"/>
    <w:rsid w:val="32BCC8A7"/>
    <w:rsid w:val="32D3E5DF"/>
    <w:rsid w:val="32D863BB"/>
    <w:rsid w:val="32FDC096"/>
    <w:rsid w:val="33187F35"/>
    <w:rsid w:val="33475E51"/>
    <w:rsid w:val="3393F004"/>
    <w:rsid w:val="33F825DE"/>
    <w:rsid w:val="33F844A3"/>
    <w:rsid w:val="33FAD214"/>
    <w:rsid w:val="342E590F"/>
    <w:rsid w:val="343C327A"/>
    <w:rsid w:val="34689135"/>
    <w:rsid w:val="3496E462"/>
    <w:rsid w:val="34D09217"/>
    <w:rsid w:val="34D972C7"/>
    <w:rsid w:val="34FCDF36"/>
    <w:rsid w:val="3508F28C"/>
    <w:rsid w:val="354C09D6"/>
    <w:rsid w:val="3564E8FB"/>
    <w:rsid w:val="356A0D4F"/>
    <w:rsid w:val="356B7BBA"/>
    <w:rsid w:val="358286B5"/>
    <w:rsid w:val="3586C66D"/>
    <w:rsid w:val="3591BCF2"/>
    <w:rsid w:val="35C57C63"/>
    <w:rsid w:val="35ED0B22"/>
    <w:rsid w:val="35F342E2"/>
    <w:rsid w:val="35F6337B"/>
    <w:rsid w:val="36015B44"/>
    <w:rsid w:val="3654F260"/>
    <w:rsid w:val="3666810E"/>
    <w:rsid w:val="3666D3EC"/>
    <w:rsid w:val="367F7EBD"/>
    <w:rsid w:val="36A4DA4A"/>
    <w:rsid w:val="36D825CA"/>
    <w:rsid w:val="3709478B"/>
    <w:rsid w:val="377E3184"/>
    <w:rsid w:val="37920032"/>
    <w:rsid w:val="379741DE"/>
    <w:rsid w:val="37AD0470"/>
    <w:rsid w:val="37D4BBD6"/>
    <w:rsid w:val="37EB4421"/>
    <w:rsid w:val="37F9E612"/>
    <w:rsid w:val="37FC39EE"/>
    <w:rsid w:val="381B2E12"/>
    <w:rsid w:val="381BB795"/>
    <w:rsid w:val="3830625D"/>
    <w:rsid w:val="383E7DB7"/>
    <w:rsid w:val="3851A154"/>
    <w:rsid w:val="3858FF90"/>
    <w:rsid w:val="388118D7"/>
    <w:rsid w:val="38B9E517"/>
    <w:rsid w:val="38FE1785"/>
    <w:rsid w:val="391174E5"/>
    <w:rsid w:val="391DCE7D"/>
    <w:rsid w:val="3926E296"/>
    <w:rsid w:val="394F9E11"/>
    <w:rsid w:val="39848E2F"/>
    <w:rsid w:val="3987CDC5"/>
    <w:rsid w:val="3988EA4B"/>
    <w:rsid w:val="39A491A3"/>
    <w:rsid w:val="39AC7489"/>
    <w:rsid w:val="39D79F83"/>
    <w:rsid w:val="39E2D8E5"/>
    <w:rsid w:val="3A0C67C0"/>
    <w:rsid w:val="3A0E1907"/>
    <w:rsid w:val="3A145F06"/>
    <w:rsid w:val="3A35CD52"/>
    <w:rsid w:val="3A429651"/>
    <w:rsid w:val="3A894443"/>
    <w:rsid w:val="3A949B91"/>
    <w:rsid w:val="3A9E7148"/>
    <w:rsid w:val="3ABFC7F6"/>
    <w:rsid w:val="3AC8DED0"/>
    <w:rsid w:val="3AE5CC9F"/>
    <w:rsid w:val="3AE6A856"/>
    <w:rsid w:val="3AF81F3C"/>
    <w:rsid w:val="3B23A1F3"/>
    <w:rsid w:val="3B289D49"/>
    <w:rsid w:val="3B4F3E4D"/>
    <w:rsid w:val="3B888556"/>
    <w:rsid w:val="3BB5A932"/>
    <w:rsid w:val="3BC620BB"/>
    <w:rsid w:val="3BEEAE55"/>
    <w:rsid w:val="3C02BDC2"/>
    <w:rsid w:val="3C08D3AA"/>
    <w:rsid w:val="3C6F6D3F"/>
    <w:rsid w:val="3C701126"/>
    <w:rsid w:val="3CBB8D75"/>
    <w:rsid w:val="3CC2448F"/>
    <w:rsid w:val="3CD24424"/>
    <w:rsid w:val="3CED98CB"/>
    <w:rsid w:val="3D03D965"/>
    <w:rsid w:val="3D06E205"/>
    <w:rsid w:val="3D477C7D"/>
    <w:rsid w:val="3D668D65"/>
    <w:rsid w:val="3D8E5390"/>
    <w:rsid w:val="3DC70DEF"/>
    <w:rsid w:val="3E0AA760"/>
    <w:rsid w:val="3E108A07"/>
    <w:rsid w:val="3E404218"/>
    <w:rsid w:val="3E8D088A"/>
    <w:rsid w:val="3E960161"/>
    <w:rsid w:val="3EDC597C"/>
    <w:rsid w:val="3EEA9EE3"/>
    <w:rsid w:val="3F0D4ACF"/>
    <w:rsid w:val="3F26B457"/>
    <w:rsid w:val="3F30226B"/>
    <w:rsid w:val="3F590488"/>
    <w:rsid w:val="3FA23C1B"/>
    <w:rsid w:val="3FA85F46"/>
    <w:rsid w:val="3FF0B427"/>
    <w:rsid w:val="40104F5B"/>
    <w:rsid w:val="401B6C22"/>
    <w:rsid w:val="4043340D"/>
    <w:rsid w:val="404FBF56"/>
    <w:rsid w:val="40798636"/>
    <w:rsid w:val="4085BC63"/>
    <w:rsid w:val="408B45A7"/>
    <w:rsid w:val="409E32BD"/>
    <w:rsid w:val="40C877B0"/>
    <w:rsid w:val="410253F9"/>
    <w:rsid w:val="411DD2C3"/>
    <w:rsid w:val="412338A8"/>
    <w:rsid w:val="4139F3C9"/>
    <w:rsid w:val="414580A6"/>
    <w:rsid w:val="418A1B37"/>
    <w:rsid w:val="418FFEA5"/>
    <w:rsid w:val="41B455E7"/>
    <w:rsid w:val="41C6EC5E"/>
    <w:rsid w:val="41DE6E4A"/>
    <w:rsid w:val="41F87BDA"/>
    <w:rsid w:val="41F9BF8E"/>
    <w:rsid w:val="420BBA25"/>
    <w:rsid w:val="4218E5B0"/>
    <w:rsid w:val="42289085"/>
    <w:rsid w:val="42673D65"/>
    <w:rsid w:val="42DA53BA"/>
    <w:rsid w:val="42E15107"/>
    <w:rsid w:val="431BE149"/>
    <w:rsid w:val="435B1F1D"/>
    <w:rsid w:val="43676980"/>
    <w:rsid w:val="436B891A"/>
    <w:rsid w:val="436BFE00"/>
    <w:rsid w:val="437C689A"/>
    <w:rsid w:val="4386FF9F"/>
    <w:rsid w:val="43B9F253"/>
    <w:rsid w:val="43BB4D12"/>
    <w:rsid w:val="43E2E79C"/>
    <w:rsid w:val="440955D8"/>
    <w:rsid w:val="440C8C78"/>
    <w:rsid w:val="441662E2"/>
    <w:rsid w:val="44568E65"/>
    <w:rsid w:val="447F2442"/>
    <w:rsid w:val="4488361C"/>
    <w:rsid w:val="44A40A1F"/>
    <w:rsid w:val="44B15553"/>
    <w:rsid w:val="44B8B518"/>
    <w:rsid w:val="44D8AA40"/>
    <w:rsid w:val="44F3C75B"/>
    <w:rsid w:val="4504BC1A"/>
    <w:rsid w:val="4510E827"/>
    <w:rsid w:val="4512F7FC"/>
    <w:rsid w:val="45283BD2"/>
    <w:rsid w:val="453E0DA9"/>
    <w:rsid w:val="45658C46"/>
    <w:rsid w:val="45A21D89"/>
    <w:rsid w:val="45ABC50A"/>
    <w:rsid w:val="45AF6857"/>
    <w:rsid w:val="45DC1403"/>
    <w:rsid w:val="4620ADB3"/>
    <w:rsid w:val="46254B1F"/>
    <w:rsid w:val="46468D74"/>
    <w:rsid w:val="464CCF00"/>
    <w:rsid w:val="465AC5A3"/>
    <w:rsid w:val="465C2454"/>
    <w:rsid w:val="466A24A3"/>
    <w:rsid w:val="46741436"/>
    <w:rsid w:val="467B4C73"/>
    <w:rsid w:val="46C49B18"/>
    <w:rsid w:val="47195FB2"/>
    <w:rsid w:val="472E3B63"/>
    <w:rsid w:val="4765F0F4"/>
    <w:rsid w:val="4772EC4A"/>
    <w:rsid w:val="47760747"/>
    <w:rsid w:val="478AE518"/>
    <w:rsid w:val="4796D988"/>
    <w:rsid w:val="47C57BAB"/>
    <w:rsid w:val="47CBE0AE"/>
    <w:rsid w:val="47D7B0EE"/>
    <w:rsid w:val="47DA5B5F"/>
    <w:rsid w:val="4826DB24"/>
    <w:rsid w:val="48606B79"/>
    <w:rsid w:val="487E4B05"/>
    <w:rsid w:val="48845457"/>
    <w:rsid w:val="490BA853"/>
    <w:rsid w:val="4928FD69"/>
    <w:rsid w:val="494F2A10"/>
    <w:rsid w:val="495613E1"/>
    <w:rsid w:val="496524C6"/>
    <w:rsid w:val="49683B0B"/>
    <w:rsid w:val="496ECC63"/>
    <w:rsid w:val="49856D57"/>
    <w:rsid w:val="49993041"/>
    <w:rsid w:val="49994201"/>
    <w:rsid w:val="49BC8E7A"/>
    <w:rsid w:val="49D83A50"/>
    <w:rsid w:val="49F1C442"/>
    <w:rsid w:val="49F291A9"/>
    <w:rsid w:val="4A100D25"/>
    <w:rsid w:val="4A37AF4B"/>
    <w:rsid w:val="4A4DD785"/>
    <w:rsid w:val="4A523A18"/>
    <w:rsid w:val="4A884AAA"/>
    <w:rsid w:val="4A93D01D"/>
    <w:rsid w:val="4ABCEC74"/>
    <w:rsid w:val="4AD13C32"/>
    <w:rsid w:val="4ADF6CDD"/>
    <w:rsid w:val="4B013878"/>
    <w:rsid w:val="4B07A507"/>
    <w:rsid w:val="4B31D337"/>
    <w:rsid w:val="4B4E10C9"/>
    <w:rsid w:val="4B557CD3"/>
    <w:rsid w:val="4B6223DD"/>
    <w:rsid w:val="4B663292"/>
    <w:rsid w:val="4B70E818"/>
    <w:rsid w:val="4B73BEF8"/>
    <w:rsid w:val="4BD3E133"/>
    <w:rsid w:val="4C0D58BE"/>
    <w:rsid w:val="4C362619"/>
    <w:rsid w:val="4C58B457"/>
    <w:rsid w:val="4C748AA5"/>
    <w:rsid w:val="4C765ADF"/>
    <w:rsid w:val="4C777171"/>
    <w:rsid w:val="4CD5B2C4"/>
    <w:rsid w:val="4CD70F0E"/>
    <w:rsid w:val="4CF54074"/>
    <w:rsid w:val="4D3E8C3A"/>
    <w:rsid w:val="4D706A9E"/>
    <w:rsid w:val="4D79A84E"/>
    <w:rsid w:val="4D7AA60A"/>
    <w:rsid w:val="4D7D7A36"/>
    <w:rsid w:val="4D9FDC3F"/>
    <w:rsid w:val="4DD0DAFA"/>
    <w:rsid w:val="4DE014CB"/>
    <w:rsid w:val="4DF8AFCC"/>
    <w:rsid w:val="4E2AE6B7"/>
    <w:rsid w:val="4E4EC56A"/>
    <w:rsid w:val="4E5445EB"/>
    <w:rsid w:val="4E5AFE58"/>
    <w:rsid w:val="4E6A45A6"/>
    <w:rsid w:val="4E73B1C4"/>
    <w:rsid w:val="4E7A4917"/>
    <w:rsid w:val="4EABDA8E"/>
    <w:rsid w:val="4EFC9053"/>
    <w:rsid w:val="4F0013BF"/>
    <w:rsid w:val="4F060F87"/>
    <w:rsid w:val="4F079BA3"/>
    <w:rsid w:val="4F0A06FF"/>
    <w:rsid w:val="4F14C413"/>
    <w:rsid w:val="4F18E97B"/>
    <w:rsid w:val="4F1959BF"/>
    <w:rsid w:val="4F4E488C"/>
    <w:rsid w:val="4F4E58FA"/>
    <w:rsid w:val="4F565EDB"/>
    <w:rsid w:val="4F8C2307"/>
    <w:rsid w:val="4F8EABE7"/>
    <w:rsid w:val="4FAEB6D0"/>
    <w:rsid w:val="4FCF5CDD"/>
    <w:rsid w:val="4FDE7FFC"/>
    <w:rsid w:val="4FE4F8C0"/>
    <w:rsid w:val="50660F0B"/>
    <w:rsid w:val="507450D8"/>
    <w:rsid w:val="50CCC4E5"/>
    <w:rsid w:val="50F6D89C"/>
    <w:rsid w:val="51466FC1"/>
    <w:rsid w:val="51696A84"/>
    <w:rsid w:val="51953D1B"/>
    <w:rsid w:val="5197C89D"/>
    <w:rsid w:val="51BCB15B"/>
    <w:rsid w:val="51CFA58E"/>
    <w:rsid w:val="51D0F6BA"/>
    <w:rsid w:val="52102139"/>
    <w:rsid w:val="521AE336"/>
    <w:rsid w:val="52449B7A"/>
    <w:rsid w:val="5267FD86"/>
    <w:rsid w:val="527056F9"/>
    <w:rsid w:val="52A65D4E"/>
    <w:rsid w:val="52AED2B6"/>
    <w:rsid w:val="52FC159C"/>
    <w:rsid w:val="5301D2DF"/>
    <w:rsid w:val="531620BE"/>
    <w:rsid w:val="533398FE"/>
    <w:rsid w:val="535468C7"/>
    <w:rsid w:val="53744CD0"/>
    <w:rsid w:val="53A229AC"/>
    <w:rsid w:val="53AE3B6D"/>
    <w:rsid w:val="53C37508"/>
    <w:rsid w:val="54045907"/>
    <w:rsid w:val="54602EF5"/>
    <w:rsid w:val="5475125D"/>
    <w:rsid w:val="54876EC8"/>
    <w:rsid w:val="54BFF1C7"/>
    <w:rsid w:val="55074650"/>
    <w:rsid w:val="55265D26"/>
    <w:rsid w:val="552FB1B0"/>
    <w:rsid w:val="55320142"/>
    <w:rsid w:val="5535E239"/>
    <w:rsid w:val="55430D69"/>
    <w:rsid w:val="5557689C"/>
    <w:rsid w:val="5566603D"/>
    <w:rsid w:val="5585ADD5"/>
    <w:rsid w:val="56392BDC"/>
    <w:rsid w:val="564BD6D4"/>
    <w:rsid w:val="5663E953"/>
    <w:rsid w:val="566B39C0"/>
    <w:rsid w:val="566B9C39"/>
    <w:rsid w:val="5695164F"/>
    <w:rsid w:val="56A4EC3C"/>
    <w:rsid w:val="56B2C3A2"/>
    <w:rsid w:val="56C65FD3"/>
    <w:rsid w:val="56CAD30C"/>
    <w:rsid w:val="56EF66BE"/>
    <w:rsid w:val="5706B6CF"/>
    <w:rsid w:val="57118BBB"/>
    <w:rsid w:val="571BC5DC"/>
    <w:rsid w:val="571EC32C"/>
    <w:rsid w:val="5722EDE7"/>
    <w:rsid w:val="574DC4DD"/>
    <w:rsid w:val="5768003A"/>
    <w:rsid w:val="577EFA8D"/>
    <w:rsid w:val="5793E83C"/>
    <w:rsid w:val="57C6C2DE"/>
    <w:rsid w:val="57CA3060"/>
    <w:rsid w:val="57D5F8E1"/>
    <w:rsid w:val="57EA25BF"/>
    <w:rsid w:val="57FE4ED1"/>
    <w:rsid w:val="57FFA89E"/>
    <w:rsid w:val="580C59EA"/>
    <w:rsid w:val="581DA1CD"/>
    <w:rsid w:val="5829EAB1"/>
    <w:rsid w:val="582AA1F5"/>
    <w:rsid w:val="586260C5"/>
    <w:rsid w:val="58751D2E"/>
    <w:rsid w:val="589554A3"/>
    <w:rsid w:val="58B69217"/>
    <w:rsid w:val="58CC8C48"/>
    <w:rsid w:val="58D7DA99"/>
    <w:rsid w:val="5900F109"/>
    <w:rsid w:val="59320D1B"/>
    <w:rsid w:val="59332712"/>
    <w:rsid w:val="596A1EC3"/>
    <w:rsid w:val="596DF80F"/>
    <w:rsid w:val="599B1D9F"/>
    <w:rsid w:val="599C6AAB"/>
    <w:rsid w:val="59AD5539"/>
    <w:rsid w:val="59E6F140"/>
    <w:rsid w:val="5A0954BB"/>
    <w:rsid w:val="5A22AB6E"/>
    <w:rsid w:val="5A357D06"/>
    <w:rsid w:val="5A3F528E"/>
    <w:rsid w:val="5A45EF63"/>
    <w:rsid w:val="5A735B90"/>
    <w:rsid w:val="5A8429F7"/>
    <w:rsid w:val="5AA12A95"/>
    <w:rsid w:val="5AA49E83"/>
    <w:rsid w:val="5AAF2D2A"/>
    <w:rsid w:val="5AB7E433"/>
    <w:rsid w:val="5ABB56BE"/>
    <w:rsid w:val="5ACB88FE"/>
    <w:rsid w:val="5AE7BA0B"/>
    <w:rsid w:val="5B235777"/>
    <w:rsid w:val="5B30950C"/>
    <w:rsid w:val="5B43DB70"/>
    <w:rsid w:val="5B451EFE"/>
    <w:rsid w:val="5B6C3DAF"/>
    <w:rsid w:val="5BC61522"/>
    <w:rsid w:val="5BD5487B"/>
    <w:rsid w:val="5BD57D7A"/>
    <w:rsid w:val="5BF5F2CF"/>
    <w:rsid w:val="5C06F2DB"/>
    <w:rsid w:val="5C23AD6E"/>
    <w:rsid w:val="5C42AA60"/>
    <w:rsid w:val="5C503403"/>
    <w:rsid w:val="5C6BCEC4"/>
    <w:rsid w:val="5C94227C"/>
    <w:rsid w:val="5C9C0355"/>
    <w:rsid w:val="5C9CFB68"/>
    <w:rsid w:val="5CA674B6"/>
    <w:rsid w:val="5CD6D8E0"/>
    <w:rsid w:val="5CE34F89"/>
    <w:rsid w:val="5CE40DA4"/>
    <w:rsid w:val="5CE68EBE"/>
    <w:rsid w:val="5D21BC8C"/>
    <w:rsid w:val="5D76F350"/>
    <w:rsid w:val="5D87FB05"/>
    <w:rsid w:val="5D9269CD"/>
    <w:rsid w:val="5D943D2D"/>
    <w:rsid w:val="5DB01C27"/>
    <w:rsid w:val="5DC8CABE"/>
    <w:rsid w:val="5DC93B58"/>
    <w:rsid w:val="5DDE80FB"/>
    <w:rsid w:val="5DF326F5"/>
    <w:rsid w:val="5E0329C0"/>
    <w:rsid w:val="5E075CE9"/>
    <w:rsid w:val="5E186F4F"/>
    <w:rsid w:val="5E2213A3"/>
    <w:rsid w:val="5E2784C1"/>
    <w:rsid w:val="5E2B87B8"/>
    <w:rsid w:val="5E5C23C2"/>
    <w:rsid w:val="5E6E29D6"/>
    <w:rsid w:val="5E7DF8BA"/>
    <w:rsid w:val="5E7E49BF"/>
    <w:rsid w:val="5EC502E4"/>
    <w:rsid w:val="5EF8C673"/>
    <w:rsid w:val="5F01312C"/>
    <w:rsid w:val="5F0B18F2"/>
    <w:rsid w:val="5F168FE6"/>
    <w:rsid w:val="5F1A4991"/>
    <w:rsid w:val="5F2E2BE5"/>
    <w:rsid w:val="5F3CD139"/>
    <w:rsid w:val="5F49EFAE"/>
    <w:rsid w:val="5F8D10C2"/>
    <w:rsid w:val="5FC27670"/>
    <w:rsid w:val="5FEB754A"/>
    <w:rsid w:val="5FEDF329"/>
    <w:rsid w:val="6004E991"/>
    <w:rsid w:val="600DBAA9"/>
    <w:rsid w:val="60C94413"/>
    <w:rsid w:val="60E68D50"/>
    <w:rsid w:val="6142B808"/>
    <w:rsid w:val="61548434"/>
    <w:rsid w:val="615671C2"/>
    <w:rsid w:val="6168F34A"/>
    <w:rsid w:val="617511EA"/>
    <w:rsid w:val="617CE623"/>
    <w:rsid w:val="61D58E90"/>
    <w:rsid w:val="62002D88"/>
    <w:rsid w:val="6202AAFD"/>
    <w:rsid w:val="6241CC60"/>
    <w:rsid w:val="626C10B7"/>
    <w:rsid w:val="62A74D5E"/>
    <w:rsid w:val="62EB6247"/>
    <w:rsid w:val="631D9683"/>
    <w:rsid w:val="633CE15E"/>
    <w:rsid w:val="634A7546"/>
    <w:rsid w:val="634DE6D9"/>
    <w:rsid w:val="637C154A"/>
    <w:rsid w:val="63B944F6"/>
    <w:rsid w:val="63B9DE0F"/>
    <w:rsid w:val="63DD441F"/>
    <w:rsid w:val="63EB70AF"/>
    <w:rsid w:val="63EC45F0"/>
    <w:rsid w:val="63F9F550"/>
    <w:rsid w:val="640930E4"/>
    <w:rsid w:val="640B19A2"/>
    <w:rsid w:val="64190160"/>
    <w:rsid w:val="641D562C"/>
    <w:rsid w:val="641E09EE"/>
    <w:rsid w:val="64402B08"/>
    <w:rsid w:val="6447F7DE"/>
    <w:rsid w:val="645AAB80"/>
    <w:rsid w:val="647C8A1A"/>
    <w:rsid w:val="64834C59"/>
    <w:rsid w:val="64ACA036"/>
    <w:rsid w:val="64B36555"/>
    <w:rsid w:val="64BE20C9"/>
    <w:rsid w:val="64C42F46"/>
    <w:rsid w:val="64F3F9C4"/>
    <w:rsid w:val="64F92160"/>
    <w:rsid w:val="65243FF8"/>
    <w:rsid w:val="652E7CE0"/>
    <w:rsid w:val="653481A5"/>
    <w:rsid w:val="654A9B26"/>
    <w:rsid w:val="657D8DB5"/>
    <w:rsid w:val="65A38191"/>
    <w:rsid w:val="65BDFCB0"/>
    <w:rsid w:val="65C55AD3"/>
    <w:rsid w:val="65CBC2F8"/>
    <w:rsid w:val="65F17C54"/>
    <w:rsid w:val="6607A172"/>
    <w:rsid w:val="66296D36"/>
    <w:rsid w:val="663C87A1"/>
    <w:rsid w:val="66D34C1D"/>
    <w:rsid w:val="66DCAC4A"/>
    <w:rsid w:val="66F6A164"/>
    <w:rsid w:val="670F205D"/>
    <w:rsid w:val="6710F948"/>
    <w:rsid w:val="67202C5F"/>
    <w:rsid w:val="6729F0BE"/>
    <w:rsid w:val="6749211C"/>
    <w:rsid w:val="67573095"/>
    <w:rsid w:val="6773033E"/>
    <w:rsid w:val="6798D12F"/>
    <w:rsid w:val="6807163B"/>
    <w:rsid w:val="680A384C"/>
    <w:rsid w:val="6823E5A2"/>
    <w:rsid w:val="683F12D0"/>
    <w:rsid w:val="68ACC7B3"/>
    <w:rsid w:val="68BFEF96"/>
    <w:rsid w:val="68C61FE2"/>
    <w:rsid w:val="68FE1063"/>
    <w:rsid w:val="690C0348"/>
    <w:rsid w:val="6917F369"/>
    <w:rsid w:val="692BE3E8"/>
    <w:rsid w:val="6930AD3E"/>
    <w:rsid w:val="6955079C"/>
    <w:rsid w:val="697CA12F"/>
    <w:rsid w:val="6995A5CE"/>
    <w:rsid w:val="699A6350"/>
    <w:rsid w:val="69D4C021"/>
    <w:rsid w:val="69EF4885"/>
    <w:rsid w:val="6A2076FD"/>
    <w:rsid w:val="6A7EE902"/>
    <w:rsid w:val="6A81BA93"/>
    <w:rsid w:val="6A889425"/>
    <w:rsid w:val="6A9C4D88"/>
    <w:rsid w:val="6A9C6DC2"/>
    <w:rsid w:val="6AB33960"/>
    <w:rsid w:val="6AD3AB56"/>
    <w:rsid w:val="6AE99A4E"/>
    <w:rsid w:val="6B1C3679"/>
    <w:rsid w:val="6B2BBAD0"/>
    <w:rsid w:val="6B5E93E0"/>
    <w:rsid w:val="6B6BF2CE"/>
    <w:rsid w:val="6B791B0F"/>
    <w:rsid w:val="6B9D2ADD"/>
    <w:rsid w:val="6BAA786B"/>
    <w:rsid w:val="6BBFCDDA"/>
    <w:rsid w:val="6C11CF60"/>
    <w:rsid w:val="6C186C94"/>
    <w:rsid w:val="6C836C34"/>
    <w:rsid w:val="6C88FD63"/>
    <w:rsid w:val="6CA7436E"/>
    <w:rsid w:val="6CA96A3B"/>
    <w:rsid w:val="6CAFA3B1"/>
    <w:rsid w:val="6CB632CF"/>
    <w:rsid w:val="6CB819CF"/>
    <w:rsid w:val="6CCCC464"/>
    <w:rsid w:val="6CD4E561"/>
    <w:rsid w:val="6D12A93E"/>
    <w:rsid w:val="6D19D512"/>
    <w:rsid w:val="6D1B3EB0"/>
    <w:rsid w:val="6D1D3587"/>
    <w:rsid w:val="6D1F764C"/>
    <w:rsid w:val="6D3F3F0C"/>
    <w:rsid w:val="6D48BDB3"/>
    <w:rsid w:val="6D4B2F5C"/>
    <w:rsid w:val="6D504CE3"/>
    <w:rsid w:val="6D6AF03A"/>
    <w:rsid w:val="6D96B210"/>
    <w:rsid w:val="6DA854F8"/>
    <w:rsid w:val="6DB0984F"/>
    <w:rsid w:val="6DE46D4F"/>
    <w:rsid w:val="6E0918A4"/>
    <w:rsid w:val="6E35D2E1"/>
    <w:rsid w:val="6E5EB1F3"/>
    <w:rsid w:val="6E8AA6D9"/>
    <w:rsid w:val="6E917A88"/>
    <w:rsid w:val="6E98041A"/>
    <w:rsid w:val="6E99752E"/>
    <w:rsid w:val="6EA2B50B"/>
    <w:rsid w:val="6EAA5AFB"/>
    <w:rsid w:val="6EB70F11"/>
    <w:rsid w:val="6ECFFF8C"/>
    <w:rsid w:val="6EED3028"/>
    <w:rsid w:val="6EFDEA99"/>
    <w:rsid w:val="6F07AC48"/>
    <w:rsid w:val="6F70205A"/>
    <w:rsid w:val="6F8B884C"/>
    <w:rsid w:val="6F92A4BD"/>
    <w:rsid w:val="6F96A230"/>
    <w:rsid w:val="6F9AAE0F"/>
    <w:rsid w:val="6FD9966A"/>
    <w:rsid w:val="7029BD7F"/>
    <w:rsid w:val="70540C34"/>
    <w:rsid w:val="70B15836"/>
    <w:rsid w:val="70B61599"/>
    <w:rsid w:val="70EFEBFE"/>
    <w:rsid w:val="70FA1A31"/>
    <w:rsid w:val="711C2FB1"/>
    <w:rsid w:val="71284A22"/>
    <w:rsid w:val="7159E816"/>
    <w:rsid w:val="7177B5A4"/>
    <w:rsid w:val="718DAFB7"/>
    <w:rsid w:val="71B9CD34"/>
    <w:rsid w:val="72115F6F"/>
    <w:rsid w:val="7235DBAF"/>
    <w:rsid w:val="7240EF51"/>
    <w:rsid w:val="7253934C"/>
    <w:rsid w:val="7263D997"/>
    <w:rsid w:val="72A78842"/>
    <w:rsid w:val="72E91DFE"/>
    <w:rsid w:val="730EA0E8"/>
    <w:rsid w:val="7339BD82"/>
    <w:rsid w:val="7350CEA0"/>
    <w:rsid w:val="738FE989"/>
    <w:rsid w:val="73974089"/>
    <w:rsid w:val="73994C28"/>
    <w:rsid w:val="73A6D681"/>
    <w:rsid w:val="73BB4358"/>
    <w:rsid w:val="74022B82"/>
    <w:rsid w:val="740BDC5C"/>
    <w:rsid w:val="742581A8"/>
    <w:rsid w:val="747D2310"/>
    <w:rsid w:val="74DAEA82"/>
    <w:rsid w:val="74E02B55"/>
    <w:rsid w:val="74F3BBCA"/>
    <w:rsid w:val="750100BC"/>
    <w:rsid w:val="751452AB"/>
    <w:rsid w:val="75347A69"/>
    <w:rsid w:val="755CAC06"/>
    <w:rsid w:val="756E842A"/>
    <w:rsid w:val="7572CD21"/>
    <w:rsid w:val="75A3E989"/>
    <w:rsid w:val="75AAB049"/>
    <w:rsid w:val="75D89DF3"/>
    <w:rsid w:val="75ED088A"/>
    <w:rsid w:val="7632A30F"/>
    <w:rsid w:val="7635598B"/>
    <w:rsid w:val="7677D85D"/>
    <w:rsid w:val="7682C17C"/>
    <w:rsid w:val="76878005"/>
    <w:rsid w:val="768804C1"/>
    <w:rsid w:val="76E30F56"/>
    <w:rsid w:val="77128947"/>
    <w:rsid w:val="771642ED"/>
    <w:rsid w:val="7721A2D9"/>
    <w:rsid w:val="7722CFDD"/>
    <w:rsid w:val="7737CF7C"/>
    <w:rsid w:val="773DBF2A"/>
    <w:rsid w:val="7795EE26"/>
    <w:rsid w:val="77B431E0"/>
    <w:rsid w:val="77B47FEB"/>
    <w:rsid w:val="77B6DDDA"/>
    <w:rsid w:val="77BE894E"/>
    <w:rsid w:val="77C81D56"/>
    <w:rsid w:val="77C91975"/>
    <w:rsid w:val="77C9E174"/>
    <w:rsid w:val="77CDCB41"/>
    <w:rsid w:val="7808EE81"/>
    <w:rsid w:val="7819A1BA"/>
    <w:rsid w:val="78369FC5"/>
    <w:rsid w:val="7845760C"/>
    <w:rsid w:val="7853A482"/>
    <w:rsid w:val="7858615E"/>
    <w:rsid w:val="787A48BF"/>
    <w:rsid w:val="789ACA66"/>
    <w:rsid w:val="789DF4CD"/>
    <w:rsid w:val="78DA1323"/>
    <w:rsid w:val="78E4E085"/>
    <w:rsid w:val="78F4C3EE"/>
    <w:rsid w:val="790D0C76"/>
    <w:rsid w:val="790DEC4B"/>
    <w:rsid w:val="791A618C"/>
    <w:rsid w:val="791EF31E"/>
    <w:rsid w:val="792479F8"/>
    <w:rsid w:val="7963EDB7"/>
    <w:rsid w:val="798E8D59"/>
    <w:rsid w:val="799A2B93"/>
    <w:rsid w:val="79A28F9F"/>
    <w:rsid w:val="79A50009"/>
    <w:rsid w:val="79B390AE"/>
    <w:rsid w:val="79D470C2"/>
    <w:rsid w:val="79E7C8AC"/>
    <w:rsid w:val="79EA7BE5"/>
    <w:rsid w:val="7A056D82"/>
    <w:rsid w:val="7A30D5A1"/>
    <w:rsid w:val="7A329006"/>
    <w:rsid w:val="7A514F36"/>
    <w:rsid w:val="7A942923"/>
    <w:rsid w:val="7AA19ECB"/>
    <w:rsid w:val="7AB97E47"/>
    <w:rsid w:val="7ADAA73E"/>
    <w:rsid w:val="7B292556"/>
    <w:rsid w:val="7B376192"/>
    <w:rsid w:val="7B529235"/>
    <w:rsid w:val="7B73874E"/>
    <w:rsid w:val="7BBAE27F"/>
    <w:rsid w:val="7BDA58AE"/>
    <w:rsid w:val="7BF506A2"/>
    <w:rsid w:val="7BFACC42"/>
    <w:rsid w:val="7BFF1ED1"/>
    <w:rsid w:val="7C42C095"/>
    <w:rsid w:val="7C48C457"/>
    <w:rsid w:val="7C5648F4"/>
    <w:rsid w:val="7C6B007D"/>
    <w:rsid w:val="7C771CF2"/>
    <w:rsid w:val="7C856F01"/>
    <w:rsid w:val="7CB8AE3E"/>
    <w:rsid w:val="7CCC30AF"/>
    <w:rsid w:val="7CE6DAB2"/>
    <w:rsid w:val="7CE7B562"/>
    <w:rsid w:val="7D2B7EAD"/>
    <w:rsid w:val="7D416D2E"/>
    <w:rsid w:val="7D76290F"/>
    <w:rsid w:val="7D98F6B4"/>
    <w:rsid w:val="7D9D41B7"/>
    <w:rsid w:val="7DC1B3CD"/>
    <w:rsid w:val="7DF7C780"/>
    <w:rsid w:val="7E03C618"/>
    <w:rsid w:val="7E07FF88"/>
    <w:rsid w:val="7E1EAB51"/>
    <w:rsid w:val="7E23066F"/>
    <w:rsid w:val="7E2610BC"/>
    <w:rsid w:val="7E2B637C"/>
    <w:rsid w:val="7E57FB35"/>
    <w:rsid w:val="7E5F82DD"/>
    <w:rsid w:val="7E890407"/>
    <w:rsid w:val="7E8ACEFB"/>
    <w:rsid w:val="7EA7E302"/>
    <w:rsid w:val="7EBA4773"/>
    <w:rsid w:val="7EDBC9F3"/>
    <w:rsid w:val="7EF3CFA1"/>
    <w:rsid w:val="7EF97CCD"/>
    <w:rsid w:val="7F1361C7"/>
    <w:rsid w:val="7F19371F"/>
    <w:rsid w:val="7F226882"/>
    <w:rsid w:val="7F3BDC52"/>
    <w:rsid w:val="7F6A2FFA"/>
    <w:rsid w:val="7F994DB3"/>
    <w:rsid w:val="7FA5AD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4E059"/>
  <w15:docId w15:val="{23736988-28A7-4BA3-8EBA-9ACAD37587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semiHidden="1"/>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semiHidden="1" w:qFormat="1"/>
    <w:lsdException w:name="footnote text" w:uiPriority="8" w:semiHidden="1" w:unhideWhenUsed="1"/>
    <w:lsdException w:name="annotation text" w:uiPriority="99"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uiPriority="2"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uiPriority="99"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uiPriority="2" w:semiHidden="1" w:unhideWhenUsed="1"/>
    <w:lsdException w:name="macro" w:semiHidden="1" w:unhideWhenUsed="1"/>
    <w:lsdException w:name="toa heading" w:uiPriority="99"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uiPriority="99" w:semiHidden="1" w:unhideWhenUsed="1"/>
    <w:lsdException w:name="Table Grid" w:uiPriority="39"/>
    <w:lsdException w:name="Table Theme" w:uiPriority="99" w:semiHidden="1" w:unhideWhenUsed="1"/>
    <w:lsdException w:name="Placeholder Text" w:semiHidden="1"/>
    <w:lsdException w:name="No Spacing" w:uiPriority="0"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rsid w:val="0059267A"/>
  </w:style>
  <w:style w:type="paragraph" w:styleId="Heading1">
    <w:name w:val="heading 1"/>
    <w:basedOn w:val="Normal"/>
    <w:next w:val="SCVbody"/>
    <w:link w:val="Heading1Char"/>
    <w:qFormat/>
    <w:rsid w:val="00D64345"/>
    <w:pPr>
      <w:keepNext/>
      <w:keepLines/>
      <w:suppressAutoHyphens/>
      <w:spacing w:before="0" w:after="320" w:line="240" w:lineRule="auto"/>
      <w:outlineLvl w:val="0"/>
    </w:pPr>
    <w:rPr>
      <w:rFonts w:asciiTheme="majorHAnsi" w:hAnsiTheme="majorHAnsi" w:eastAsiaTheme="majorEastAsia"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hAnsiTheme="majorHAnsi" w:eastAsiaTheme="majorEastAsia"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hAnsiTheme="majorHAnsi" w:eastAsiaTheme="majorEastAsia"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hAnsiTheme="majorHAnsi" w:eastAsiaTheme="majorEastAsia"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hAnsiTheme="majorHAnsi" w:eastAsiaTheme="majorEastAsia" w:cstheme="majorBidi"/>
      <w:color w:val="141A1F"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color="80808B" w:sz="2" w:space="0"/>
        <w:bottom w:val="single" w:color="80808B" w:sz="2" w:space="0"/>
        <w:insideH w:val="single" w:color="80808B" w:sz="2" w:space="0"/>
      </w:tblBorders>
    </w:tblPr>
    <w:tblStylePr w:type="firstRow">
      <w:tblPr/>
      <w:tcPr>
        <w:tcBorders>
          <w:top w:val="nil"/>
          <w:left w:val="nil"/>
          <w:bottom w:val="single" w:color="CCCCD0" w:sz="24" w:space="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tcBorders>
      </w:tcPr>
    </w:tblStylePr>
    <w:tblStylePr w:type="firstCol">
      <w:rPr>
        <w:b/>
        <w:bCs/>
      </w:rPr>
    </w:tblStylePr>
    <w:tblStylePr w:type="lastCol">
      <w:rPr>
        <w:b/>
        <w:bCs/>
      </w:r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tcBorders>
      </w:tcPr>
    </w:tblStylePr>
    <w:tblStylePr w:type="firstCol">
      <w:rPr>
        <w:b/>
        <w:bCs/>
      </w:rPr>
    </w:tblStylePr>
    <w:tblStylePr w:type="lastCol">
      <w:rPr>
        <w:b/>
        <w:bCs/>
      </w:r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style>
  <w:style w:type="paragraph" w:styleId="TOC1">
    <w:name w:val="toc 1"/>
    <w:basedOn w:val="Normal"/>
    <w:next w:val="Normal"/>
    <w:uiPriority w:val="39"/>
    <w:rsid w:val="00E24F69"/>
    <w:pPr>
      <w:keepNext/>
      <w:keepLines/>
      <w:pBdr>
        <w:bottom w:val="single" w:color="000016" w:sz="2" w:space="1"/>
        <w:between w:val="single" w:color="000000" w:themeColor="text1" w:sz="2" w:space="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color="000000" w:themeColor="text1" w:sz="2" w:space="1"/>
        <w:between w:val="single" w:color="000000" w:themeColor="text1" w:sz="2" w:space="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styleId="Heading1Char" w:customStyle="1">
    <w:name w:val="Heading 1 Char"/>
    <w:basedOn w:val="DefaultParagraphFont"/>
    <w:link w:val="Heading1"/>
    <w:rsid w:val="00D64345"/>
    <w:rPr>
      <w:rFonts w:asciiTheme="majorHAnsi" w:hAnsiTheme="majorHAnsi" w:eastAsiaTheme="majorEastAsia" w:cstheme="majorBidi"/>
      <w:b/>
      <w:bCs/>
      <w:color w:val="007586" w:themeColor="text2"/>
      <w:sz w:val="48"/>
      <w:szCs w:val="32"/>
    </w:rPr>
  </w:style>
  <w:style w:type="character" w:styleId="Heading2Char" w:customStyle="1">
    <w:name w:val="Heading 2 Char"/>
    <w:basedOn w:val="DefaultParagraphFont"/>
    <w:link w:val="Heading2"/>
    <w:rsid w:val="00E45C9C"/>
    <w:rPr>
      <w:rFonts w:asciiTheme="majorHAnsi" w:hAnsiTheme="majorHAnsi" w:eastAsiaTheme="majorEastAsia" w:cstheme="majorBidi"/>
      <w:b/>
      <w:bCs/>
      <w:sz w:val="26"/>
      <w:szCs w:val="26"/>
    </w:rPr>
  </w:style>
  <w:style w:type="paragraph" w:styleId="SCVbullet1" w:customStyle="1">
    <w:name w:val="SCV bullet 1"/>
    <w:basedOn w:val="SCVbody"/>
    <w:uiPriority w:val="9"/>
    <w:qFormat/>
    <w:rsid w:val="00E45C9C"/>
    <w:pPr>
      <w:numPr>
        <w:numId w:val="1"/>
      </w:numPr>
      <w:spacing w:before="60" w:after="60"/>
    </w:pPr>
  </w:style>
  <w:style w:type="paragraph" w:styleId="SCVbullet2" w:customStyle="1">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styleId="SCVbody" w:customStyle="1">
    <w:name w:val="SCV body"/>
    <w:basedOn w:val="Normal"/>
    <w:link w:val="SCVbodyChar"/>
    <w:qFormat/>
    <w:rsid w:val="00E45C9C"/>
  </w:style>
  <w:style w:type="paragraph" w:styleId="SCVfigurecaption" w:customStyle="1">
    <w:name w:val="SCV figure caption"/>
    <w:basedOn w:val="SCVtablecaption"/>
    <w:uiPriority w:val="14"/>
    <w:qFormat/>
    <w:rsid w:val="00E45C9C"/>
    <w:pPr>
      <w:spacing w:before="300"/>
    </w:pPr>
  </w:style>
  <w:style w:type="paragraph" w:styleId="SCVbodyafterheading" w:customStyle="1">
    <w:name w:val="SCV body after heading"/>
    <w:basedOn w:val="SCVbody"/>
    <w:qFormat/>
    <w:rsid w:val="00E45C9C"/>
    <w:pPr>
      <w:spacing w:before="0"/>
    </w:pPr>
  </w:style>
  <w:style w:type="character" w:styleId="Heading3Char" w:customStyle="1">
    <w:name w:val="Heading 3 Char"/>
    <w:basedOn w:val="DefaultParagraphFont"/>
    <w:link w:val="Heading3"/>
    <w:rsid w:val="00E45C9C"/>
    <w:rPr>
      <w:rFonts w:asciiTheme="majorHAnsi" w:hAnsiTheme="majorHAnsi" w:eastAsiaTheme="majorEastAsia" w:cstheme="majorBidi"/>
      <w:b/>
      <w:bCs/>
      <w:color w:val="007586" w:themeColor="text2"/>
      <w:sz w:val="24"/>
      <w:szCs w:val="22"/>
    </w:rPr>
  </w:style>
  <w:style w:type="numbering" w:styleId="ZZBullets" w:customStyle="1">
    <w:name w:val="ZZ Bullets"/>
    <w:basedOn w:val="NoList"/>
    <w:uiPriority w:val="99"/>
    <w:rsid w:val="00E45C9C"/>
    <w:pPr>
      <w:numPr>
        <w:numId w:val="1"/>
      </w:numPr>
    </w:pPr>
  </w:style>
  <w:style w:type="character" w:styleId="Heading4Char" w:customStyle="1">
    <w:name w:val="Heading 4 Char"/>
    <w:basedOn w:val="DefaultParagraphFont"/>
    <w:link w:val="Heading4"/>
    <w:rsid w:val="00E45C9C"/>
    <w:rPr>
      <w:rFonts w:asciiTheme="majorHAnsi" w:hAnsiTheme="majorHAnsi" w:eastAsiaTheme="majorEastAsia" w:cstheme="majorBidi"/>
      <w:b/>
      <w:bCs/>
      <w:iCs/>
      <w:color w:val="000000" w:themeColor="text1"/>
    </w:rPr>
  </w:style>
  <w:style w:type="paragraph" w:styleId="SCVreporttitle" w:customStyle="1">
    <w:name w:val="SCV report title"/>
    <w:uiPriority w:val="29"/>
    <w:rsid w:val="009905FA"/>
    <w:pPr>
      <w:keepLines/>
      <w:pBdr>
        <w:top w:val="single" w:color="CCCCD0" w:sz="24" w:space="24"/>
      </w:pBdr>
      <w:suppressAutoHyphens/>
      <w:spacing w:before="480" w:line="216" w:lineRule="auto"/>
    </w:pPr>
    <w:rPr>
      <w:rFonts w:eastAsia="Times New Roman" w:asciiTheme="majorHAnsi" w:hAnsiTheme="majorHAnsi" w:cstheme="majorHAnsi"/>
      <w:b/>
      <w:color w:val="007586" w:themeColor="text2"/>
      <w:spacing w:val="-2"/>
      <w:sz w:val="76"/>
      <w:szCs w:val="22"/>
    </w:rPr>
  </w:style>
  <w:style w:type="paragraph" w:styleId="SCVtablefigurenote" w:customStyle="1">
    <w:name w:val="SCV table/figure note"/>
    <w:basedOn w:val="Normal"/>
    <w:uiPriority w:val="29"/>
    <w:rsid w:val="00E45C9C"/>
    <w:pPr>
      <w:spacing w:before="80" w:after="80" w:line="264" w:lineRule="auto"/>
    </w:pPr>
    <w:rPr>
      <w:sz w:val="17"/>
      <w:szCs w:val="17"/>
    </w:rPr>
  </w:style>
  <w:style w:type="paragraph" w:styleId="Spacer" w:customStyle="1">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hAnchor="margin" w:vAnchor="page" w:y="11965"/>
      <w:spacing w:before="0" w:after="0" w:line="240" w:lineRule="auto"/>
      <w:suppressOverlap/>
    </w:pPr>
    <w:rPr>
      <w:rFonts w:eastAsia="Times New Roman" w:asciiTheme="majorHAnsi" w:hAnsiTheme="majorHAnsi" w:cstheme="majorHAnsi"/>
      <w:color w:val="000000" w:themeColor="text1"/>
      <w:spacing w:val="-2"/>
      <w:sz w:val="50"/>
      <w:szCs w:val="24"/>
    </w:rPr>
  </w:style>
  <w:style w:type="character" w:styleId="SubtitleChar" w:customStyle="1">
    <w:name w:val="Subtitle Char"/>
    <w:basedOn w:val="DefaultParagraphFont"/>
    <w:link w:val="Subtitle"/>
    <w:uiPriority w:val="99"/>
    <w:semiHidden/>
    <w:rsid w:val="00E45C9C"/>
    <w:rPr>
      <w:rFonts w:eastAsia="Times New Roman" w:asciiTheme="majorHAnsi"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hAnchor="page" w:vAnchor="page" w:x="455" w:y="12021"/>
      <w:spacing w:before="0" w:after="40" w:line="240" w:lineRule="auto"/>
      <w:ind w:right="284"/>
      <w:contextualSpacing/>
      <w:suppressOverlap/>
    </w:pPr>
    <w:rPr>
      <w:rFonts w:eastAsia="Times New Roman" w:asciiTheme="majorHAnsi" w:hAnsiTheme="majorHAnsi" w:cstheme="majorHAnsi"/>
      <w:b/>
      <w:color w:val="007586" w:themeColor="text2"/>
      <w:spacing w:val="-2"/>
      <w:sz w:val="76"/>
      <w:szCs w:val="22"/>
    </w:rPr>
  </w:style>
  <w:style w:type="character" w:styleId="TitleChar" w:customStyle="1">
    <w:name w:val="Title Char"/>
    <w:basedOn w:val="DefaultParagraphFont"/>
    <w:link w:val="Title"/>
    <w:uiPriority w:val="99"/>
    <w:semiHidden/>
    <w:rsid w:val="00E45C9C"/>
    <w:rPr>
      <w:rFonts w:eastAsia="Times New Roman" w:asciiTheme="majorHAnsi"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1"/>
    <w:semiHidden/>
    <w:rsid w:val="00E45C9C"/>
    <w:rPr>
      <w:rFonts w:ascii="Tahoma" w:hAnsi="Tahoma" w:cs="Tahoma"/>
      <w:sz w:val="16"/>
      <w:szCs w:val="16"/>
    </w:rPr>
  </w:style>
  <w:style w:type="character" w:styleId="QuoteChar" w:customStyle="1">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hAnsiTheme="majorHAnsi" w:eastAsiaTheme="majorEastAsia"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styleId="HeaderChar" w:customStyle="1">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styleId="FooterChar" w:customStyle="1">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39"/>
    <w:qFormat/>
    <w:rsid w:val="00E45C9C"/>
    <w:pPr>
      <w:outlineLvl w:val="9"/>
    </w:pPr>
    <w:rPr>
      <w:spacing w:val="2"/>
    </w:rPr>
  </w:style>
  <w:style w:type="paragraph" w:styleId="NormalTight" w:customStyle="1">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hAnsi="Calibri" w:eastAsia="Times New Roman" w:cs="Calibri"/>
      <w:sz w:val="22"/>
      <w:szCs w:val="22"/>
    </w:rPr>
  </w:style>
  <w:style w:type="character" w:styleId="BodyTextChar" w:customStyle="1">
    <w:name w:val="Body Text Char"/>
    <w:basedOn w:val="DefaultParagraphFont"/>
    <w:link w:val="BodyText"/>
    <w:uiPriority w:val="1"/>
    <w:semiHidden/>
    <w:rsid w:val="00E45C9C"/>
    <w:rPr>
      <w:rFonts w:ascii="Calibri" w:hAnsi="Calibri" w:eastAsia="Times New Roman" w:cs="Calibri"/>
      <w:sz w:val="22"/>
      <w:szCs w:val="22"/>
    </w:rPr>
  </w:style>
  <w:style w:type="paragraph" w:styleId="Insidecoverspacer" w:customStyle="1">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styleId="SCVreportsubtitle" w:customStyle="1">
    <w:name w:val="SCV report subtitle"/>
    <w:uiPriority w:val="29"/>
    <w:rsid w:val="00350441"/>
    <w:pPr>
      <w:keepLines/>
      <w:spacing w:before="0" w:line="240" w:lineRule="auto"/>
    </w:pPr>
    <w:rPr>
      <w:rFonts w:eastAsia="Times New Roman" w:asciiTheme="majorHAnsi" w:hAnsiTheme="majorHAnsi" w:cstheme="majorHAnsi"/>
      <w:color w:val="000000" w:themeColor="text1"/>
      <w:sz w:val="50"/>
      <w:szCs w:val="24"/>
    </w:rPr>
  </w:style>
  <w:style w:type="paragraph" w:styleId="SCVfooterempty" w:customStyle="1">
    <w:name w:val="SCV footer empty"/>
    <w:basedOn w:val="SCVfooter"/>
    <w:uiPriority w:val="98"/>
    <w:rsid w:val="00E45C9C"/>
    <w:pPr>
      <w:pBdr>
        <w:top w:val="none" w:color="auto" w:sz="0" w:space="0"/>
      </w:pBdr>
    </w:pPr>
    <w:rPr>
      <w:noProof w:val="0"/>
    </w:rPr>
  </w:style>
  <w:style w:type="paragraph" w:styleId="SCVheaderempty" w:customStyle="1">
    <w:name w:val="SCV header empty"/>
    <w:basedOn w:val="SCVfooterempty"/>
    <w:uiPriority w:val="1"/>
    <w:rsid w:val="006B337A"/>
  </w:style>
  <w:style w:type="paragraph" w:styleId="ListParagraph">
    <w:name w:val="List Paragraph"/>
    <w:basedOn w:val="Normal"/>
    <w:uiPriority w:val="34"/>
    <w:semiHidden/>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styleId="FootnoteTextChar" w:customStyle="1">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styleId="SCVtablecaption" w:customStyle="1">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styleId="SCVfooterodd" w:customStyle="1">
    <w:name w:val="SCV footer odd"/>
    <w:basedOn w:val="SCVfootereven"/>
    <w:uiPriority w:val="99"/>
    <w:rsid w:val="00972812"/>
    <w:pPr>
      <w:jc w:val="right"/>
    </w:pPr>
  </w:style>
  <w:style w:type="paragraph" w:styleId="SCVfootereven" w:customStyle="1">
    <w:name w:val="SCV footer even"/>
    <w:basedOn w:val="Footer"/>
    <w:uiPriority w:val="99"/>
    <w:rsid w:val="009905FA"/>
    <w:pPr>
      <w:pBdr>
        <w:top w:val="single" w:color="CCCCD0" w:sz="8" w:space="6"/>
      </w:pBdr>
      <w:spacing w:line="240" w:lineRule="auto"/>
    </w:pPr>
    <w:rPr>
      <w:sz w:val="18"/>
    </w:rPr>
  </w:style>
  <w:style w:type="paragraph" w:styleId="SCVintroductorytext" w:customStyle="1">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color="FFFFFF" w:themeColor="background1" w:sz="12" w:space="0"/>
        </w:tcBorders>
        <w:shd w:val="clear" w:color="auto" w:fill="005D6B" w:themeFill="accent2" w:themeFillShade="CC"/>
      </w:tcPr>
    </w:tblStylePr>
    <w:tblStylePr w:type="lastRow">
      <w:rPr>
        <w:b/>
        <w:bCs/>
        <w:color w:val="005D6B"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color="FFFFFF" w:themeColor="background1" w:sz="12" w:space="0"/>
        </w:tcBorders>
        <w:shd w:val="clear" w:color="auto" w:fill="003C78" w:themeFill="accent4" w:themeFillShade="CC"/>
      </w:tcPr>
    </w:tblStylePr>
    <w:tblStylePr w:type="lastRow">
      <w:rPr>
        <w:b/>
        <w:bCs/>
        <w:color w:val="003C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color="FFFFFF" w:themeColor="background1" w:sz="12" w:space="0"/>
        </w:tcBorders>
        <w:shd w:val="clear" w:color="auto" w:fill="20A0E4" w:themeFill="accent3" w:themeFillShade="CC"/>
      </w:tcPr>
    </w:tblStylePr>
    <w:tblStylePr w:type="lastRow">
      <w:rPr>
        <w:b/>
        <w:bCs/>
        <w:color w:val="20A0E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color="FFFFFF" w:themeColor="background1" w:sz="12" w:space="0"/>
        </w:tcBorders>
        <w:shd w:val="clear" w:color="auto" w:fill="CD441A" w:themeFill="accent6" w:themeFillShade="CC"/>
      </w:tcPr>
    </w:tblStylePr>
    <w:tblStylePr w:type="lastRow">
      <w:rPr>
        <w:b/>
        <w:bCs/>
        <w:color w:val="CD441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color="FFFFFF" w:themeColor="background1" w:sz="12" w:space="0"/>
        </w:tcBorders>
        <w:shd w:val="clear" w:color="auto" w:fill="46894E" w:themeFill="accent5" w:themeFillShade="CC"/>
      </w:tcPr>
    </w:tblStylePr>
    <w:tblStylePr w:type="lastRow">
      <w:rPr>
        <w:b/>
        <w:bCs/>
        <w:color w:val="46894E"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color="00758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color="007586" w:themeColor="accent2" w:sz="24" w:space="0"/>
        <w:left w:val="single" w:color="1B242A" w:themeColor="accent1" w:sz="4" w:space="0"/>
        <w:bottom w:val="single" w:color="1B242A" w:themeColor="accent1" w:sz="4" w:space="0"/>
        <w:right w:val="single" w:color="1B242A" w:themeColor="accent1" w:sz="4" w:space="0"/>
        <w:insideH w:val="single" w:color="FFFFFF" w:themeColor="background1" w:sz="4" w:space="0"/>
        <w:insideV w:val="single" w:color="FFFFFF" w:themeColor="background1" w:sz="4" w:space="0"/>
      </w:tblBorders>
    </w:tblPr>
    <w:tcPr>
      <w:shd w:val="clear" w:color="auto" w:fill="E4EAEE" w:themeFill="accent1"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color="101519" w:themeColor="accent1" w:themeShade="99" w:sz="4" w:space="0"/>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color="007586" w:themeColor="accent2" w:sz="24" w:space="0"/>
        <w:left w:val="single" w:color="007586" w:themeColor="accent2" w:sz="4" w:space="0"/>
        <w:bottom w:val="single" w:color="007586" w:themeColor="accent2" w:sz="4" w:space="0"/>
        <w:right w:val="single" w:color="007586" w:themeColor="accent2" w:sz="4" w:space="0"/>
        <w:insideH w:val="single" w:color="FFFFFF" w:themeColor="background1" w:sz="4" w:space="0"/>
        <w:insideV w:val="single" w:color="FFFFFF" w:themeColor="background1" w:sz="4" w:space="0"/>
      </w:tblBorders>
    </w:tblPr>
    <w:tcPr>
      <w:shd w:val="clear" w:color="auto" w:fill="DAFAFF" w:themeFill="accent2" w:themeFillTint="19"/>
    </w:tcPr>
    <w:tblStylePr w:type="firstRow">
      <w:rPr>
        <w:b/>
        <w:bCs/>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color="004550" w:themeColor="accent2" w:themeShade="99" w:sz="4" w:space="0"/>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color="004C97" w:themeColor="accent4" w:sz="24" w:space="0"/>
        <w:left w:val="single" w:color="5AB9EB" w:themeColor="accent3" w:sz="4" w:space="0"/>
        <w:bottom w:val="single" w:color="5AB9EB" w:themeColor="accent3" w:sz="4" w:space="0"/>
        <w:right w:val="single" w:color="5AB9EB" w:themeColor="accent3" w:sz="4" w:space="0"/>
        <w:insideH w:val="single" w:color="FFFFFF" w:themeColor="background1" w:sz="4" w:space="0"/>
        <w:insideV w:val="single" w:color="FFFFFF" w:themeColor="background1" w:sz="4" w:space="0"/>
      </w:tblBorders>
    </w:tblPr>
    <w:tcPr>
      <w:shd w:val="clear" w:color="auto" w:fill="EEF8FD" w:themeFill="accent3" w:themeFillTint="19"/>
    </w:tcPr>
    <w:tblStylePr w:type="firstRow">
      <w:rPr>
        <w:b/>
        <w:bCs/>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color="1579AD" w:themeColor="accent3" w:themeShade="99" w:sz="4" w:space="0"/>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color="5AB9EB" w:themeColor="accent3" w:sz="24" w:space="0"/>
        <w:left w:val="single" w:color="004C97" w:themeColor="accent4" w:sz="4" w:space="0"/>
        <w:bottom w:val="single" w:color="004C97" w:themeColor="accent4" w:sz="4" w:space="0"/>
        <w:right w:val="single" w:color="004C97" w:themeColor="accent4" w:sz="4" w:space="0"/>
        <w:insideH w:val="single" w:color="FFFFFF" w:themeColor="background1" w:sz="4" w:space="0"/>
        <w:insideV w:val="single" w:color="FFFFFF" w:themeColor="background1" w:sz="4" w:space="0"/>
      </w:tblBorders>
    </w:tblPr>
    <w:tcPr>
      <w:shd w:val="clear" w:color="auto" w:fill="DBEDFF" w:themeFill="accent4" w:themeFillTint="19"/>
    </w:tcPr>
    <w:tblStylePr w:type="firstRow">
      <w:rPr>
        <w:b/>
        <w:bCs/>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color="002D5A" w:themeColor="accent4" w:themeShade="99" w:sz="4" w:space="0"/>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color="E6643C" w:themeColor="accent6" w:sz="24" w:space="0"/>
        <w:left w:val="single" w:color="5AAA64" w:themeColor="accent5" w:sz="4" w:space="0"/>
        <w:bottom w:val="single" w:color="5AAA64" w:themeColor="accent5" w:sz="4" w:space="0"/>
        <w:right w:val="single" w:color="5AAA64" w:themeColor="accent5" w:sz="4" w:space="0"/>
        <w:insideH w:val="single" w:color="FFFFFF" w:themeColor="background1" w:sz="4" w:space="0"/>
        <w:insideV w:val="single" w:color="FFFFFF" w:themeColor="background1" w:sz="4" w:space="0"/>
      </w:tblBorders>
    </w:tblPr>
    <w:tcPr>
      <w:shd w:val="clear" w:color="auto" w:fill="EEF6EF" w:themeFill="accent5" w:themeFillTint="19"/>
    </w:tcPr>
    <w:tblStylePr w:type="firstRow">
      <w:rPr>
        <w:b/>
        <w:bCs/>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color="35663B" w:themeColor="accent5" w:themeShade="99" w:sz="4" w:space="0"/>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color="5AAA64" w:themeColor="accent5" w:sz="24" w:space="0"/>
        <w:left w:val="single" w:color="E6643C" w:themeColor="accent6" w:sz="4" w:space="0"/>
        <w:bottom w:val="single" w:color="E6643C" w:themeColor="accent6" w:sz="4" w:space="0"/>
        <w:right w:val="single" w:color="E6643C" w:themeColor="accent6" w:sz="4" w:space="0"/>
        <w:insideH w:val="single" w:color="FFFFFF" w:themeColor="background1" w:sz="4" w:space="0"/>
        <w:insideV w:val="single" w:color="FFFFFF" w:themeColor="background1" w:sz="4" w:space="0"/>
      </w:tblBorders>
    </w:tblPr>
    <w:tcPr>
      <w:shd w:val="clear" w:color="auto" w:fill="FCEFEB" w:themeFill="accent6" w:themeFillTint="19"/>
    </w:tcPr>
    <w:tblStylePr w:type="firstRow">
      <w:rPr>
        <w:b/>
        <w:bCs/>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color="9A3313" w:themeColor="accent6" w:themeShade="99" w:sz="4" w:space="0"/>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41A1F"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576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1A97D9"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3871"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28049"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C04018"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color="93AABA" w:themeColor="accent1" w:themeTint="66" w:sz="4" w:space="0"/>
        <w:left w:val="single" w:color="93AABA" w:themeColor="accent1" w:themeTint="66" w:sz="4" w:space="0"/>
        <w:bottom w:val="single" w:color="93AABA" w:themeColor="accent1" w:themeTint="66" w:sz="4" w:space="0"/>
        <w:right w:val="single" w:color="93AABA" w:themeColor="accent1" w:themeTint="66" w:sz="4" w:space="0"/>
        <w:insideH w:val="single" w:color="93AABA" w:themeColor="accent1" w:themeTint="66" w:sz="4" w:space="0"/>
        <w:insideV w:val="single" w:color="93AABA" w:themeColor="accent1" w:themeTint="66"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color="68EBFF" w:themeColor="accent2" w:themeTint="66" w:sz="4" w:space="0"/>
        <w:left w:val="single" w:color="68EBFF" w:themeColor="accent2" w:themeTint="66" w:sz="4" w:space="0"/>
        <w:bottom w:val="single" w:color="68EBFF" w:themeColor="accent2" w:themeTint="66" w:sz="4" w:space="0"/>
        <w:right w:val="single" w:color="68EBFF" w:themeColor="accent2" w:themeTint="66" w:sz="4" w:space="0"/>
        <w:insideH w:val="single" w:color="68EBFF" w:themeColor="accent2" w:themeTint="66" w:sz="4" w:space="0"/>
        <w:insideV w:val="single" w:color="68EBFF" w:themeColor="accent2" w:themeTint="66"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color="BDE2F7" w:themeColor="accent3" w:themeTint="66" w:sz="4" w:space="0"/>
        <w:left w:val="single" w:color="BDE2F7" w:themeColor="accent3" w:themeTint="66" w:sz="4" w:space="0"/>
        <w:bottom w:val="single" w:color="BDE2F7" w:themeColor="accent3" w:themeTint="66" w:sz="4" w:space="0"/>
        <w:right w:val="single" w:color="BDE2F7" w:themeColor="accent3" w:themeTint="66" w:sz="4" w:space="0"/>
        <w:insideH w:val="single" w:color="BDE2F7" w:themeColor="accent3" w:themeTint="66" w:sz="4" w:space="0"/>
        <w:insideV w:val="single" w:color="BDE2F7" w:themeColor="accent3" w:themeTint="66"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color="6FB7FF" w:themeColor="accent4" w:themeTint="66" w:sz="4" w:space="0"/>
        <w:left w:val="single" w:color="6FB7FF" w:themeColor="accent4" w:themeTint="66" w:sz="4" w:space="0"/>
        <w:bottom w:val="single" w:color="6FB7FF" w:themeColor="accent4" w:themeTint="66" w:sz="4" w:space="0"/>
        <w:right w:val="single" w:color="6FB7FF" w:themeColor="accent4" w:themeTint="66" w:sz="4" w:space="0"/>
        <w:insideH w:val="single" w:color="6FB7FF" w:themeColor="accent4" w:themeTint="66" w:sz="4" w:space="0"/>
        <w:insideV w:val="single" w:color="6FB7FF" w:themeColor="accent4" w:themeTint="66"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color="BDDDC0" w:themeColor="accent5" w:themeTint="66" w:sz="4" w:space="0"/>
        <w:left w:val="single" w:color="BDDDC0" w:themeColor="accent5" w:themeTint="66" w:sz="4" w:space="0"/>
        <w:bottom w:val="single" w:color="BDDDC0" w:themeColor="accent5" w:themeTint="66" w:sz="4" w:space="0"/>
        <w:right w:val="single" w:color="BDDDC0" w:themeColor="accent5" w:themeTint="66" w:sz="4" w:space="0"/>
        <w:insideH w:val="single" w:color="BDDDC0" w:themeColor="accent5" w:themeTint="66" w:sz="4" w:space="0"/>
        <w:insideV w:val="single" w:color="BDDDC0" w:themeColor="accent5" w:themeTint="66"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color="F5C1B1" w:themeColor="accent6" w:themeTint="66" w:sz="4" w:space="0"/>
        <w:left w:val="single" w:color="F5C1B1" w:themeColor="accent6" w:themeTint="66" w:sz="4" w:space="0"/>
        <w:bottom w:val="single" w:color="F5C1B1" w:themeColor="accent6" w:themeTint="66" w:sz="4" w:space="0"/>
        <w:right w:val="single" w:color="F5C1B1" w:themeColor="accent6" w:themeTint="66" w:sz="4" w:space="0"/>
        <w:insideH w:val="single" w:color="F5C1B1" w:themeColor="accent6" w:themeTint="66" w:sz="4" w:space="0"/>
        <w:insideV w:val="single" w:color="F5C1B1" w:themeColor="accent6" w:themeTint="66"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color="607F95" w:themeColor="accent1" w:themeTint="99" w:sz="2" w:space="0"/>
        <w:bottom w:val="single" w:color="607F95" w:themeColor="accent1" w:themeTint="99" w:sz="2" w:space="0"/>
        <w:insideH w:val="single" w:color="607F95" w:themeColor="accent1" w:themeTint="99" w:sz="2" w:space="0"/>
        <w:insideV w:val="single" w:color="607F95" w:themeColor="accent1" w:themeTint="99" w:sz="2" w:space="0"/>
      </w:tblBorders>
    </w:tblPr>
    <w:tblStylePr w:type="firstRow">
      <w:rPr>
        <w:b/>
        <w:bCs/>
      </w:rPr>
      <w:tblPr/>
      <w:tcPr>
        <w:tcBorders>
          <w:top w:val="nil"/>
          <w:bottom w:val="single" w:color="607F95" w:themeColor="accent1" w:themeTint="99" w:sz="12" w:space="0"/>
          <w:insideH w:val="nil"/>
          <w:insideV w:val="nil"/>
        </w:tcBorders>
        <w:shd w:val="clear" w:color="auto" w:fill="FFFFFF" w:themeFill="background1"/>
      </w:tcPr>
    </w:tblStylePr>
    <w:tblStylePr w:type="lastRow">
      <w:rPr>
        <w:b/>
        <w:bCs/>
      </w:rPr>
      <w:tblPr/>
      <w:tcPr>
        <w:tcBorders>
          <w:top w:val="double" w:color="607F9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color="1DE1FF" w:themeColor="accent2" w:themeTint="99" w:sz="2" w:space="0"/>
        <w:bottom w:val="single" w:color="1DE1FF" w:themeColor="accent2" w:themeTint="99" w:sz="2" w:space="0"/>
        <w:insideH w:val="single" w:color="1DE1FF" w:themeColor="accent2" w:themeTint="99" w:sz="2" w:space="0"/>
        <w:insideV w:val="single" w:color="1DE1FF" w:themeColor="accent2" w:themeTint="99" w:sz="2" w:space="0"/>
      </w:tblBorders>
    </w:tblPr>
    <w:tblStylePr w:type="firstRow">
      <w:rPr>
        <w:b/>
        <w:bCs/>
      </w:rPr>
      <w:tblPr/>
      <w:tcPr>
        <w:tcBorders>
          <w:top w:val="nil"/>
          <w:bottom w:val="single" w:color="1DE1FF" w:themeColor="accent2" w:themeTint="99" w:sz="12" w:space="0"/>
          <w:insideH w:val="nil"/>
          <w:insideV w:val="nil"/>
        </w:tcBorders>
        <w:shd w:val="clear" w:color="auto" w:fill="FFFFFF" w:themeFill="background1"/>
      </w:tcPr>
    </w:tblStylePr>
    <w:tblStylePr w:type="lastRow">
      <w:rPr>
        <w:b/>
        <w:bCs/>
      </w:rPr>
      <w:tblPr/>
      <w:tcPr>
        <w:tcBorders>
          <w:top w:val="double" w:color="1DE1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color="9CD4F3" w:themeColor="accent3" w:themeTint="99" w:sz="2" w:space="0"/>
        <w:bottom w:val="single" w:color="9CD4F3" w:themeColor="accent3" w:themeTint="99" w:sz="2" w:space="0"/>
        <w:insideH w:val="single" w:color="9CD4F3" w:themeColor="accent3" w:themeTint="99" w:sz="2" w:space="0"/>
        <w:insideV w:val="single" w:color="9CD4F3" w:themeColor="accent3" w:themeTint="99" w:sz="2" w:space="0"/>
      </w:tblBorders>
    </w:tblPr>
    <w:tblStylePr w:type="firstRow">
      <w:rPr>
        <w:b/>
        <w:bCs/>
      </w:rPr>
      <w:tblPr/>
      <w:tcPr>
        <w:tcBorders>
          <w:top w:val="nil"/>
          <w:bottom w:val="single" w:color="9CD4F3" w:themeColor="accent3" w:themeTint="99" w:sz="12" w:space="0"/>
          <w:insideH w:val="nil"/>
          <w:insideV w:val="nil"/>
        </w:tcBorders>
        <w:shd w:val="clear" w:color="auto" w:fill="FFFFFF" w:themeFill="background1"/>
      </w:tcPr>
    </w:tblStylePr>
    <w:tblStylePr w:type="lastRow">
      <w:rPr>
        <w:b/>
        <w:bCs/>
      </w:rPr>
      <w:tblPr/>
      <w:tcPr>
        <w:tcBorders>
          <w:top w:val="double" w:color="9CD4F3"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color="2793FF" w:themeColor="accent4" w:themeTint="99" w:sz="2" w:space="0"/>
        <w:bottom w:val="single" w:color="2793FF" w:themeColor="accent4" w:themeTint="99" w:sz="2" w:space="0"/>
        <w:insideH w:val="single" w:color="2793FF" w:themeColor="accent4" w:themeTint="99" w:sz="2" w:space="0"/>
        <w:insideV w:val="single" w:color="2793FF" w:themeColor="accent4" w:themeTint="99" w:sz="2" w:space="0"/>
      </w:tblBorders>
    </w:tblPr>
    <w:tblStylePr w:type="firstRow">
      <w:rPr>
        <w:b/>
        <w:bCs/>
      </w:rPr>
      <w:tblPr/>
      <w:tcPr>
        <w:tcBorders>
          <w:top w:val="nil"/>
          <w:bottom w:val="single" w:color="2793FF" w:themeColor="accent4" w:themeTint="99" w:sz="12" w:space="0"/>
          <w:insideH w:val="nil"/>
          <w:insideV w:val="nil"/>
        </w:tcBorders>
        <w:shd w:val="clear" w:color="auto" w:fill="FFFFFF" w:themeFill="background1"/>
      </w:tcPr>
    </w:tblStylePr>
    <w:tblStylePr w:type="lastRow">
      <w:rPr>
        <w:b/>
        <w:bCs/>
      </w:rPr>
      <w:tblPr/>
      <w:tcPr>
        <w:tcBorders>
          <w:top w:val="double" w:color="2793FF"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color="9CCCA1" w:themeColor="accent5" w:themeTint="99" w:sz="2" w:space="0"/>
        <w:bottom w:val="single" w:color="9CCCA1" w:themeColor="accent5" w:themeTint="99" w:sz="2" w:space="0"/>
        <w:insideH w:val="single" w:color="9CCCA1" w:themeColor="accent5" w:themeTint="99" w:sz="2" w:space="0"/>
        <w:insideV w:val="single" w:color="9CCCA1" w:themeColor="accent5" w:themeTint="99" w:sz="2" w:space="0"/>
      </w:tblBorders>
    </w:tblPr>
    <w:tblStylePr w:type="firstRow">
      <w:rPr>
        <w:b/>
        <w:bCs/>
      </w:rPr>
      <w:tblPr/>
      <w:tcPr>
        <w:tcBorders>
          <w:top w:val="nil"/>
          <w:bottom w:val="single" w:color="9CCCA1" w:themeColor="accent5" w:themeTint="99" w:sz="12" w:space="0"/>
          <w:insideH w:val="nil"/>
          <w:insideV w:val="nil"/>
        </w:tcBorders>
        <w:shd w:val="clear" w:color="auto" w:fill="FFFFFF" w:themeFill="background1"/>
      </w:tcPr>
    </w:tblStylePr>
    <w:tblStylePr w:type="lastRow">
      <w:rPr>
        <w:b/>
        <w:bCs/>
      </w:rPr>
      <w:tblPr/>
      <w:tcPr>
        <w:tcBorders>
          <w:top w:val="double" w:color="9CCCA1"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color="F0A28A" w:themeColor="accent6" w:themeTint="99" w:sz="2" w:space="0"/>
        <w:bottom w:val="single" w:color="F0A28A" w:themeColor="accent6" w:themeTint="99" w:sz="2" w:space="0"/>
        <w:insideH w:val="single" w:color="F0A28A" w:themeColor="accent6" w:themeTint="99" w:sz="2" w:space="0"/>
        <w:insideV w:val="single" w:color="F0A28A" w:themeColor="accent6" w:themeTint="99" w:sz="2" w:space="0"/>
      </w:tblBorders>
    </w:tblPr>
    <w:tblStylePr w:type="firstRow">
      <w:rPr>
        <w:b/>
        <w:bCs/>
      </w:rPr>
      <w:tblPr/>
      <w:tcPr>
        <w:tcBorders>
          <w:top w:val="nil"/>
          <w:bottom w:val="single" w:color="F0A28A" w:themeColor="accent6" w:themeTint="99" w:sz="12" w:space="0"/>
          <w:insideH w:val="nil"/>
          <w:insideV w:val="nil"/>
        </w:tcBorders>
        <w:shd w:val="clear" w:color="auto" w:fill="FFFFFF" w:themeFill="background1"/>
      </w:tcPr>
    </w:tblStylePr>
    <w:tblStylePr w:type="lastRow">
      <w:rPr>
        <w:b/>
        <w:bCs/>
      </w:rPr>
      <w:tblPr/>
      <w:tcPr>
        <w:tcBorders>
          <w:top w:val="double" w:color="F0A28A"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insideV w:val="nil"/>
        </w:tcBorders>
        <w:shd w:val="clear" w:color="auto" w:fill="1B242A" w:themeFill="accent1"/>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insideV w:val="nil"/>
        </w:tcBorders>
        <w:shd w:val="clear" w:color="auto" w:fill="007586" w:themeFill="accent2"/>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insideV w:val="nil"/>
        </w:tcBorders>
        <w:shd w:val="clear" w:color="auto" w:fill="5AB9EB" w:themeFill="accent3"/>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insideV w:val="nil"/>
        </w:tcBorders>
        <w:shd w:val="clear" w:color="auto" w:fill="004C97" w:themeFill="accent4"/>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insideV w:val="nil"/>
        </w:tcBorders>
        <w:shd w:val="clear" w:color="auto" w:fill="5AAA64" w:themeFill="accent5"/>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insideV w:val="nil"/>
        </w:tcBorders>
        <w:shd w:val="clear" w:color="auto" w:fill="E6643C" w:themeFill="accent6"/>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9D4DC"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B242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B242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B242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5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758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758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758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F0FB"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B9EB"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B9EB"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B9EB"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7DBFF"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4C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4C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4C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EDF"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AAA6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AAA6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AAA6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E0D8"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6643C"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6643C"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6643C"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bottom w:val="single" w:color="607F95" w:themeColor="accent1" w:themeTint="99" w:sz="12" w:space="0"/>
        </w:tcBorders>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bottom w:val="single" w:color="1DE1FF" w:themeColor="accent2" w:themeTint="99" w:sz="12" w:space="0"/>
        </w:tcBorders>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bottom w:val="single" w:color="9CD4F3" w:themeColor="accent3" w:themeTint="99" w:sz="12" w:space="0"/>
        </w:tcBorders>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bottom w:val="single" w:color="2793FF" w:themeColor="accent4" w:themeTint="99" w:sz="12" w:space="0"/>
        </w:tcBorders>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bottom w:val="single" w:color="9CCCA1" w:themeColor="accent5" w:themeTint="99" w:sz="12" w:space="0"/>
        </w:tcBorders>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bottom w:val="single" w:color="F0A28A" w:themeColor="accent6" w:themeTint="99" w:sz="12" w:space="0"/>
        </w:tcBorders>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insideV w:val="single" w:color="607F9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color="607F95" w:themeColor="accent1" w:themeTint="99" w:sz="4" w:space="0"/>
        </w:tcBorders>
      </w:tcPr>
    </w:tblStylePr>
    <w:tblStylePr w:type="nwCell">
      <w:tblPr/>
      <w:tcPr>
        <w:tcBorders>
          <w:bottom w:val="single" w:color="607F95" w:themeColor="accent1" w:themeTint="99" w:sz="4" w:space="0"/>
        </w:tcBorders>
      </w:tcPr>
    </w:tblStylePr>
    <w:tblStylePr w:type="seCell">
      <w:tblPr/>
      <w:tcPr>
        <w:tcBorders>
          <w:top w:val="single" w:color="607F95" w:themeColor="accent1" w:themeTint="99" w:sz="4" w:space="0"/>
        </w:tcBorders>
      </w:tcPr>
    </w:tblStylePr>
    <w:tblStylePr w:type="swCell">
      <w:tblPr/>
      <w:tcPr>
        <w:tcBorders>
          <w:top w:val="single" w:color="607F95" w:themeColor="accent1" w:themeTint="99" w:sz="4" w:space="0"/>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insideV w:val="single" w:color="1DE1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color="1DE1FF" w:themeColor="accent2" w:themeTint="99" w:sz="4" w:space="0"/>
        </w:tcBorders>
      </w:tcPr>
    </w:tblStylePr>
    <w:tblStylePr w:type="nwCell">
      <w:tblPr/>
      <w:tcPr>
        <w:tcBorders>
          <w:bottom w:val="single" w:color="1DE1FF" w:themeColor="accent2" w:themeTint="99" w:sz="4" w:space="0"/>
        </w:tcBorders>
      </w:tcPr>
    </w:tblStylePr>
    <w:tblStylePr w:type="seCell">
      <w:tblPr/>
      <w:tcPr>
        <w:tcBorders>
          <w:top w:val="single" w:color="1DE1FF" w:themeColor="accent2" w:themeTint="99" w:sz="4" w:space="0"/>
        </w:tcBorders>
      </w:tcPr>
    </w:tblStylePr>
    <w:tblStylePr w:type="swCell">
      <w:tblPr/>
      <w:tcPr>
        <w:tcBorders>
          <w:top w:val="single" w:color="1DE1FF" w:themeColor="accent2" w:themeTint="99" w:sz="4" w:space="0"/>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insideV w:val="single" w:color="9CD4F3"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color="9CD4F3" w:themeColor="accent3" w:themeTint="99" w:sz="4" w:space="0"/>
        </w:tcBorders>
      </w:tcPr>
    </w:tblStylePr>
    <w:tblStylePr w:type="nwCell">
      <w:tblPr/>
      <w:tcPr>
        <w:tcBorders>
          <w:bottom w:val="single" w:color="9CD4F3" w:themeColor="accent3" w:themeTint="99" w:sz="4" w:space="0"/>
        </w:tcBorders>
      </w:tcPr>
    </w:tblStylePr>
    <w:tblStylePr w:type="seCell">
      <w:tblPr/>
      <w:tcPr>
        <w:tcBorders>
          <w:top w:val="single" w:color="9CD4F3" w:themeColor="accent3" w:themeTint="99" w:sz="4" w:space="0"/>
        </w:tcBorders>
      </w:tcPr>
    </w:tblStylePr>
    <w:tblStylePr w:type="swCell">
      <w:tblPr/>
      <w:tcPr>
        <w:tcBorders>
          <w:top w:val="single" w:color="9CD4F3" w:themeColor="accent3" w:themeTint="99" w:sz="4" w:space="0"/>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insideV w:val="single" w:color="2793FF"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color="2793FF" w:themeColor="accent4" w:themeTint="99" w:sz="4" w:space="0"/>
        </w:tcBorders>
      </w:tcPr>
    </w:tblStylePr>
    <w:tblStylePr w:type="nwCell">
      <w:tblPr/>
      <w:tcPr>
        <w:tcBorders>
          <w:bottom w:val="single" w:color="2793FF" w:themeColor="accent4" w:themeTint="99" w:sz="4" w:space="0"/>
        </w:tcBorders>
      </w:tcPr>
    </w:tblStylePr>
    <w:tblStylePr w:type="seCell">
      <w:tblPr/>
      <w:tcPr>
        <w:tcBorders>
          <w:top w:val="single" w:color="2793FF" w:themeColor="accent4" w:themeTint="99" w:sz="4" w:space="0"/>
        </w:tcBorders>
      </w:tcPr>
    </w:tblStylePr>
    <w:tblStylePr w:type="swCell">
      <w:tblPr/>
      <w:tcPr>
        <w:tcBorders>
          <w:top w:val="single" w:color="2793FF" w:themeColor="accent4" w:themeTint="99" w:sz="4" w:space="0"/>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insideV w:val="single" w:color="9CCCA1"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color="9CCCA1" w:themeColor="accent5" w:themeTint="99" w:sz="4" w:space="0"/>
        </w:tcBorders>
      </w:tcPr>
    </w:tblStylePr>
    <w:tblStylePr w:type="nwCell">
      <w:tblPr/>
      <w:tcPr>
        <w:tcBorders>
          <w:bottom w:val="single" w:color="9CCCA1" w:themeColor="accent5" w:themeTint="99" w:sz="4" w:space="0"/>
        </w:tcBorders>
      </w:tcPr>
    </w:tblStylePr>
    <w:tblStylePr w:type="seCell">
      <w:tblPr/>
      <w:tcPr>
        <w:tcBorders>
          <w:top w:val="single" w:color="9CCCA1" w:themeColor="accent5" w:themeTint="99" w:sz="4" w:space="0"/>
        </w:tcBorders>
      </w:tcPr>
    </w:tblStylePr>
    <w:tblStylePr w:type="swCell">
      <w:tblPr/>
      <w:tcPr>
        <w:tcBorders>
          <w:top w:val="single" w:color="9CCCA1" w:themeColor="accent5" w:themeTint="99" w:sz="4" w:space="0"/>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insideV w:val="single" w:color="F0A28A"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color="F0A28A" w:themeColor="accent6" w:themeTint="99" w:sz="4" w:space="0"/>
        </w:tcBorders>
      </w:tcPr>
    </w:tblStylePr>
    <w:tblStylePr w:type="nwCell">
      <w:tblPr/>
      <w:tcPr>
        <w:tcBorders>
          <w:bottom w:val="single" w:color="F0A28A" w:themeColor="accent6" w:themeTint="99" w:sz="4" w:space="0"/>
        </w:tcBorders>
      </w:tcPr>
    </w:tblStylePr>
    <w:tblStylePr w:type="seCell">
      <w:tblPr/>
      <w:tcPr>
        <w:tcBorders>
          <w:top w:val="single" w:color="F0A28A" w:themeColor="accent6" w:themeTint="99" w:sz="4" w:space="0"/>
        </w:tcBorders>
      </w:tcPr>
    </w:tblStylePr>
    <w:tblStylePr w:type="swCell">
      <w:tblPr/>
      <w:tcPr>
        <w:tcBorders>
          <w:top w:val="single" w:color="F0A28A" w:themeColor="accent6" w:themeTint="99" w:sz="4" w:space="0"/>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18" w:space="0"/>
          <w:right w:val="single" w:color="1B242A" w:themeColor="accent1" w:sz="8" w:space="0"/>
          <w:insideH w:val="nil"/>
          <w:insideV w:val="single" w:color="1B242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B242A" w:themeColor="accent1" w:sz="6" w:space="0"/>
          <w:left w:val="single" w:color="1B242A" w:themeColor="accent1" w:sz="8" w:space="0"/>
          <w:bottom w:val="single" w:color="1B242A" w:themeColor="accent1" w:sz="8" w:space="0"/>
          <w:right w:val="single" w:color="1B242A" w:themeColor="accent1" w:sz="8" w:space="0"/>
          <w:insideH w:val="nil"/>
          <w:insideV w:val="single" w:color="1B242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tcPr>
    </w:tblStylePr>
    <w:tblStylePr w:type="band1Vert">
      <w:tblPr/>
      <w:tcPr>
        <w:tcBorders>
          <w:top w:val="single" w:color="1B242A" w:themeColor="accent1" w:sz="8" w:space="0"/>
          <w:left w:val="single" w:color="1B242A" w:themeColor="accent1" w:sz="8" w:space="0"/>
          <w:bottom w:val="single" w:color="1B242A" w:themeColor="accent1" w:sz="8" w:space="0"/>
          <w:right w:val="single" w:color="1B242A" w:themeColor="accent1" w:sz="8" w:space="0"/>
        </w:tcBorders>
        <w:shd w:val="clear" w:color="auto" w:fill="BCCAD4" w:themeFill="accent1" w:themeFillTint="3F"/>
      </w:tcPr>
    </w:tblStylePr>
    <w:tblStylePr w:type="band1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shd w:val="clear" w:color="auto" w:fill="BCCAD4" w:themeFill="accent1" w:themeFillTint="3F"/>
      </w:tcPr>
    </w:tblStylePr>
    <w:tblStylePr w:type="band2Horz">
      <w:tblPr/>
      <w:tcPr>
        <w:tcBorders>
          <w:top w:val="single" w:color="1B242A" w:themeColor="accent1" w:sz="8" w:space="0"/>
          <w:left w:val="single" w:color="1B242A" w:themeColor="accent1" w:sz="8" w:space="0"/>
          <w:bottom w:val="single" w:color="1B242A" w:themeColor="accent1" w:sz="8" w:space="0"/>
          <w:right w:val="single" w:color="1B242A" w:themeColor="accent1" w:sz="8" w:space="0"/>
          <w:insideV w:val="single" w:color="1B242A" w:themeColor="accent1" w:sz="8" w:space="0"/>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18" w:space="0"/>
          <w:right w:val="single" w:color="007586" w:themeColor="accent2" w:sz="8" w:space="0"/>
          <w:insideH w:val="nil"/>
          <w:insideV w:val="single" w:color="00758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insideH w:val="nil"/>
          <w:insideV w:val="single" w:color="00758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shd w:val="clear" w:color="auto" w:fill="A2F2FF" w:themeFill="accent2" w:themeFillTint="3F"/>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shd w:val="clear" w:color="auto" w:fill="A2F2FF" w:themeFill="accent2" w:themeFillTint="3F"/>
      </w:tcPr>
    </w:tblStylePr>
    <w:tblStylePr w:type="band2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insideV w:val="single" w:color="007586" w:themeColor="accent2" w:sz="8" w:space="0"/>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18" w:space="0"/>
          <w:right w:val="single" w:color="5AB9EB" w:themeColor="accent3" w:sz="8" w:space="0"/>
          <w:insideH w:val="nil"/>
          <w:insideV w:val="single" w:color="5AB9EB"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insideH w:val="nil"/>
          <w:insideV w:val="single" w:color="5AB9EB"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shd w:val="clear" w:color="auto" w:fill="D5EDFA" w:themeFill="accent3" w:themeFillTint="3F"/>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shd w:val="clear" w:color="auto" w:fill="D5EDFA" w:themeFill="accent3" w:themeFillTint="3F"/>
      </w:tcPr>
    </w:tblStylePr>
    <w:tblStylePr w:type="band2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insideV w:val="single" w:color="5AB9EB" w:themeColor="accent3" w:sz="8" w:space="0"/>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18" w:space="0"/>
          <w:right w:val="single" w:color="004C97" w:themeColor="accent4" w:sz="8" w:space="0"/>
          <w:insideH w:val="nil"/>
          <w:insideV w:val="single" w:color="004C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C97" w:themeColor="accent4" w:sz="6" w:space="0"/>
          <w:left w:val="single" w:color="004C97" w:themeColor="accent4" w:sz="8" w:space="0"/>
          <w:bottom w:val="single" w:color="004C97" w:themeColor="accent4" w:sz="8" w:space="0"/>
          <w:right w:val="single" w:color="004C97" w:themeColor="accent4" w:sz="8" w:space="0"/>
          <w:insideH w:val="nil"/>
          <w:insideV w:val="single" w:color="004C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tcPr>
    </w:tblStylePr>
    <w:tblStylePr w:type="band1Vert">
      <w:tblPr/>
      <w:tcPr>
        <w:tcBorders>
          <w:top w:val="single" w:color="004C97" w:themeColor="accent4" w:sz="8" w:space="0"/>
          <w:left w:val="single" w:color="004C97" w:themeColor="accent4" w:sz="8" w:space="0"/>
          <w:bottom w:val="single" w:color="004C97" w:themeColor="accent4" w:sz="8" w:space="0"/>
          <w:right w:val="single" w:color="004C97" w:themeColor="accent4" w:sz="8" w:space="0"/>
        </w:tcBorders>
        <w:shd w:val="clear" w:color="auto" w:fill="A6D2FF" w:themeFill="accent4" w:themeFillTint="3F"/>
      </w:tcPr>
    </w:tblStylePr>
    <w:tblStylePr w:type="band1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shd w:val="clear" w:color="auto" w:fill="A6D2FF" w:themeFill="accent4" w:themeFillTint="3F"/>
      </w:tcPr>
    </w:tblStylePr>
    <w:tblStylePr w:type="band2Horz">
      <w:tblPr/>
      <w:tcPr>
        <w:tcBorders>
          <w:top w:val="single" w:color="004C97" w:themeColor="accent4" w:sz="8" w:space="0"/>
          <w:left w:val="single" w:color="004C97" w:themeColor="accent4" w:sz="8" w:space="0"/>
          <w:bottom w:val="single" w:color="004C97" w:themeColor="accent4" w:sz="8" w:space="0"/>
          <w:right w:val="single" w:color="004C97" w:themeColor="accent4" w:sz="8" w:space="0"/>
          <w:insideV w:val="single" w:color="004C97" w:themeColor="accent4" w:sz="8" w:space="0"/>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18" w:space="0"/>
          <w:right w:val="single" w:color="5AAA64" w:themeColor="accent5" w:sz="8" w:space="0"/>
          <w:insideH w:val="nil"/>
          <w:insideV w:val="single" w:color="5AAA6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insideH w:val="nil"/>
          <w:insideV w:val="single" w:color="5AAA6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shd w:val="clear" w:color="auto" w:fill="D6EAD8" w:themeFill="accent5" w:themeFillTint="3F"/>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shd w:val="clear" w:color="auto" w:fill="D6EAD8" w:themeFill="accent5" w:themeFillTint="3F"/>
      </w:tcPr>
    </w:tblStylePr>
    <w:tblStylePr w:type="band2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insideV w:val="single" w:color="5AAA64" w:themeColor="accent5" w:sz="8" w:space="0"/>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18" w:space="0"/>
          <w:right w:val="single" w:color="E6643C" w:themeColor="accent6" w:sz="8" w:space="0"/>
          <w:insideH w:val="nil"/>
          <w:insideV w:val="single" w:color="E6643C"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insideH w:val="nil"/>
          <w:insideV w:val="single" w:color="E6643C"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shd w:val="clear" w:color="auto" w:fill="F8D8CE" w:themeFill="accent6" w:themeFillTint="3F"/>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shd w:val="clear" w:color="auto" w:fill="F8D8CE" w:themeFill="accent6" w:themeFillTint="3F"/>
      </w:tcPr>
    </w:tblStylePr>
    <w:tblStylePr w:type="band2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insideV w:val="single" w:color="E6643C" w:themeColor="accent6" w:sz="8" w:space="0"/>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color="007586" w:themeColor="accent2" w:sz="6" w:space="0"/>
          <w:left w:val="single" w:color="007586" w:themeColor="accent2" w:sz="8" w:space="0"/>
          <w:bottom w:val="single" w:color="007586" w:themeColor="accent2" w:sz="8" w:space="0"/>
          <w:right w:val="single" w:color="007586" w:themeColor="accent2" w:sz="8" w:space="0"/>
        </w:tcBorders>
      </w:tcPr>
    </w:tblStylePr>
    <w:tblStylePr w:type="firstCol">
      <w:rPr>
        <w:b/>
        <w:bCs/>
      </w:rPr>
    </w:tblStylePr>
    <w:tblStylePr w:type="lastCol">
      <w:rPr>
        <w:b/>
        <w:bCs/>
      </w:rPr>
    </w:tblStylePr>
    <w:tblStylePr w:type="band1Vert">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tblStylePr w:type="band1Horz">
      <w:tblPr/>
      <w:tcPr>
        <w:tcBorders>
          <w:top w:val="single" w:color="007586" w:themeColor="accent2" w:sz="8" w:space="0"/>
          <w:left w:val="single" w:color="007586" w:themeColor="accent2" w:sz="8" w:space="0"/>
          <w:bottom w:val="single" w:color="007586" w:themeColor="accent2" w:sz="8" w:space="0"/>
          <w:right w:val="single" w:color="007586" w:themeColor="accent2" w:sz="8" w:space="0"/>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color="5AB9EB" w:themeColor="accent3" w:sz="6" w:space="0"/>
          <w:left w:val="single" w:color="5AB9EB" w:themeColor="accent3" w:sz="8" w:space="0"/>
          <w:bottom w:val="single" w:color="5AB9EB" w:themeColor="accent3" w:sz="8" w:space="0"/>
          <w:right w:val="single" w:color="5AB9EB" w:themeColor="accent3" w:sz="8" w:space="0"/>
        </w:tcBorders>
      </w:tcPr>
    </w:tblStylePr>
    <w:tblStylePr w:type="firstCol">
      <w:rPr>
        <w:b/>
        <w:bCs/>
      </w:rPr>
    </w:tblStylePr>
    <w:tblStylePr w:type="lastCol">
      <w:rPr>
        <w:b/>
        <w:bCs/>
      </w:rPr>
    </w:tblStylePr>
    <w:tblStylePr w:type="band1Vert">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tblStylePr w:type="band1Horz">
      <w:tblPr/>
      <w:tcPr>
        <w:tcBorders>
          <w:top w:val="single" w:color="5AB9EB" w:themeColor="accent3" w:sz="8" w:space="0"/>
          <w:left w:val="single" w:color="5AB9EB" w:themeColor="accent3" w:sz="8" w:space="0"/>
          <w:bottom w:val="single" w:color="5AB9EB" w:themeColor="accent3" w:sz="8" w:space="0"/>
          <w:right w:val="single" w:color="5AB9EB" w:themeColor="accent3" w:sz="8" w:space="0"/>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color="5AAA64" w:themeColor="accent5" w:sz="6" w:space="0"/>
          <w:left w:val="single" w:color="5AAA64" w:themeColor="accent5" w:sz="8" w:space="0"/>
          <w:bottom w:val="single" w:color="5AAA64" w:themeColor="accent5" w:sz="8" w:space="0"/>
          <w:right w:val="single" w:color="5AAA64" w:themeColor="accent5" w:sz="8" w:space="0"/>
        </w:tcBorders>
      </w:tcPr>
    </w:tblStylePr>
    <w:tblStylePr w:type="firstCol">
      <w:rPr>
        <w:b/>
        <w:bCs/>
      </w:rPr>
    </w:tblStylePr>
    <w:tblStylePr w:type="lastCol">
      <w:rPr>
        <w:b/>
        <w:bCs/>
      </w:rPr>
    </w:tblStylePr>
    <w:tblStylePr w:type="band1Vert">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tblStylePr w:type="band1Horz">
      <w:tblPr/>
      <w:tcPr>
        <w:tcBorders>
          <w:top w:val="single" w:color="5AAA64" w:themeColor="accent5" w:sz="8" w:space="0"/>
          <w:left w:val="single" w:color="5AAA64" w:themeColor="accent5" w:sz="8" w:space="0"/>
          <w:bottom w:val="single" w:color="5AAA64" w:themeColor="accent5" w:sz="8" w:space="0"/>
          <w:right w:val="single" w:color="5AAA64" w:themeColor="accent5" w:sz="8" w:space="0"/>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color="E6643C" w:themeColor="accent6" w:sz="6" w:space="0"/>
          <w:left w:val="single" w:color="E6643C" w:themeColor="accent6" w:sz="8" w:space="0"/>
          <w:bottom w:val="single" w:color="E6643C" w:themeColor="accent6" w:sz="8" w:space="0"/>
          <w:right w:val="single" w:color="E6643C" w:themeColor="accent6" w:sz="8" w:space="0"/>
        </w:tcBorders>
      </w:tcPr>
    </w:tblStylePr>
    <w:tblStylePr w:type="firstCol">
      <w:rPr>
        <w:b/>
        <w:bCs/>
      </w:rPr>
    </w:tblStylePr>
    <w:tblStylePr w:type="lastCol">
      <w:rPr>
        <w:b/>
        <w:bCs/>
      </w:rPr>
    </w:tblStylePr>
    <w:tblStylePr w:type="band1Vert">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tblStylePr w:type="band1Horz">
      <w:tblPr/>
      <w:tcPr>
        <w:tcBorders>
          <w:top w:val="single" w:color="E6643C" w:themeColor="accent6" w:sz="8" w:space="0"/>
          <w:left w:val="single" w:color="E6643C" w:themeColor="accent6" w:sz="8" w:space="0"/>
          <w:bottom w:val="single" w:color="E6643C" w:themeColor="accent6" w:sz="8" w:space="0"/>
          <w:right w:val="single" w:color="E6643C" w:themeColor="accent6" w:sz="8" w:space="0"/>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color="1B242A" w:themeColor="accent1" w:sz="8" w:space="0"/>
        <w:bottom w:val="single" w:color="1B242A" w:themeColor="accent1" w:sz="8" w:space="0"/>
      </w:tblBorders>
    </w:tblPr>
    <w:tblStylePr w:type="fir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lastRow">
      <w:pPr>
        <w:spacing w:before="0" w:after="0" w:line="240" w:lineRule="auto"/>
      </w:pPr>
      <w:rPr>
        <w:b/>
        <w:bCs/>
      </w:rPr>
      <w:tblPr/>
      <w:tcPr>
        <w:tcBorders>
          <w:top w:val="single" w:color="1B242A" w:themeColor="accent1" w:sz="8" w:space="0"/>
          <w:left w:val="nil"/>
          <w:bottom w:val="single" w:color="1B242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color="007586" w:themeColor="accent2" w:sz="8" w:space="0"/>
        <w:bottom w:val="single" w:color="007586" w:themeColor="accent2" w:sz="8" w:space="0"/>
      </w:tblBorders>
    </w:tblPr>
    <w:tblStylePr w:type="fir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lastRow">
      <w:pPr>
        <w:spacing w:before="0" w:after="0" w:line="240" w:lineRule="auto"/>
      </w:pPr>
      <w:rPr>
        <w:b/>
        <w:bCs/>
      </w:rPr>
      <w:tblPr/>
      <w:tcPr>
        <w:tcBorders>
          <w:top w:val="single" w:color="007586" w:themeColor="accent2" w:sz="8" w:space="0"/>
          <w:left w:val="nil"/>
          <w:bottom w:val="single" w:color="00758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color="5AB9EB" w:themeColor="accent3" w:sz="8" w:space="0"/>
        <w:bottom w:val="single" w:color="5AB9EB" w:themeColor="accent3" w:sz="8" w:space="0"/>
      </w:tblBorders>
    </w:tblPr>
    <w:tblStylePr w:type="fir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lastRow">
      <w:pPr>
        <w:spacing w:before="0" w:after="0" w:line="240" w:lineRule="auto"/>
      </w:pPr>
      <w:rPr>
        <w:b/>
        <w:bCs/>
      </w:rPr>
      <w:tblPr/>
      <w:tcPr>
        <w:tcBorders>
          <w:top w:val="single" w:color="5AB9EB" w:themeColor="accent3" w:sz="8" w:space="0"/>
          <w:left w:val="nil"/>
          <w:bottom w:val="single" w:color="5AB9EB"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color="004C97" w:themeColor="accent4" w:sz="8" w:space="0"/>
        <w:bottom w:val="single" w:color="004C97" w:themeColor="accent4" w:sz="8" w:space="0"/>
      </w:tblBorders>
    </w:tblPr>
    <w:tblStylePr w:type="fir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lastRow">
      <w:pPr>
        <w:spacing w:before="0" w:after="0" w:line="240" w:lineRule="auto"/>
      </w:pPr>
      <w:rPr>
        <w:b/>
        <w:bCs/>
      </w:rPr>
      <w:tblPr/>
      <w:tcPr>
        <w:tcBorders>
          <w:top w:val="single" w:color="004C97" w:themeColor="accent4" w:sz="8" w:space="0"/>
          <w:left w:val="nil"/>
          <w:bottom w:val="single" w:color="004C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color="5AAA64" w:themeColor="accent5" w:sz="8" w:space="0"/>
        <w:bottom w:val="single" w:color="5AAA64" w:themeColor="accent5" w:sz="8" w:space="0"/>
      </w:tblBorders>
    </w:tblPr>
    <w:tblStylePr w:type="fir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lastRow">
      <w:pPr>
        <w:spacing w:before="0" w:after="0" w:line="240" w:lineRule="auto"/>
      </w:pPr>
      <w:rPr>
        <w:b/>
        <w:bCs/>
      </w:rPr>
      <w:tblPr/>
      <w:tcPr>
        <w:tcBorders>
          <w:top w:val="single" w:color="5AAA64" w:themeColor="accent5" w:sz="8" w:space="0"/>
          <w:left w:val="nil"/>
          <w:bottom w:val="single" w:color="5AAA6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color="E6643C" w:themeColor="accent6" w:sz="8" w:space="0"/>
        <w:bottom w:val="single" w:color="E6643C" w:themeColor="accent6" w:sz="8" w:space="0"/>
      </w:tblBorders>
    </w:tblPr>
    <w:tblStylePr w:type="fir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lastRow">
      <w:pPr>
        <w:spacing w:before="0" w:after="0" w:line="240" w:lineRule="auto"/>
      </w:pPr>
      <w:rPr>
        <w:b/>
        <w:bCs/>
      </w:rPr>
      <w:tblPr/>
      <w:tcPr>
        <w:tcBorders>
          <w:top w:val="single" w:color="E6643C" w:themeColor="accent6" w:sz="8" w:space="0"/>
          <w:left w:val="nil"/>
          <w:bottom w:val="single" w:color="E6643C"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607F95" w:themeColor="accent1" w:themeTint="99" w:sz="4" w:space="0"/>
        </w:tcBorders>
      </w:tcPr>
    </w:tblStylePr>
    <w:tblStylePr w:type="lastRow">
      <w:rPr>
        <w:b/>
        <w:bCs/>
      </w:rPr>
      <w:tblPr/>
      <w:tcPr>
        <w:tcBorders>
          <w:top w:val="sing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1DE1FF" w:themeColor="accent2" w:themeTint="99" w:sz="4" w:space="0"/>
        </w:tcBorders>
      </w:tcPr>
    </w:tblStylePr>
    <w:tblStylePr w:type="lastRow">
      <w:rPr>
        <w:b/>
        <w:bCs/>
      </w:rPr>
      <w:tblPr/>
      <w:tcPr>
        <w:tcBorders>
          <w:top w:val="sing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9CD4F3" w:themeColor="accent3" w:themeTint="99" w:sz="4" w:space="0"/>
        </w:tcBorders>
      </w:tcPr>
    </w:tblStylePr>
    <w:tblStylePr w:type="lastRow">
      <w:rPr>
        <w:b/>
        <w:bCs/>
      </w:rPr>
      <w:tblPr/>
      <w:tcPr>
        <w:tcBorders>
          <w:top w:val="sing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2793FF" w:themeColor="accent4" w:themeTint="99" w:sz="4" w:space="0"/>
        </w:tcBorders>
      </w:tcPr>
    </w:tblStylePr>
    <w:tblStylePr w:type="lastRow">
      <w:rPr>
        <w:b/>
        <w:bCs/>
      </w:rPr>
      <w:tblPr/>
      <w:tcPr>
        <w:tcBorders>
          <w:top w:val="sing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9CCCA1" w:themeColor="accent5" w:themeTint="99" w:sz="4" w:space="0"/>
        </w:tcBorders>
      </w:tcPr>
    </w:tblStylePr>
    <w:tblStylePr w:type="lastRow">
      <w:rPr>
        <w:b/>
        <w:bCs/>
      </w:rPr>
      <w:tblPr/>
      <w:tcPr>
        <w:tcBorders>
          <w:top w:val="sing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color="F0A28A" w:themeColor="accent6" w:themeTint="99" w:sz="4" w:space="0"/>
        </w:tcBorders>
      </w:tcPr>
    </w:tblStylePr>
    <w:tblStylePr w:type="lastRow">
      <w:rPr>
        <w:b/>
        <w:bCs/>
      </w:rPr>
      <w:tblPr/>
      <w:tcPr>
        <w:tcBorders>
          <w:top w:val="sing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color="607F95" w:themeColor="accent1" w:themeTint="99" w:sz="4" w:space="0"/>
        <w:bottom w:val="single" w:color="607F95" w:themeColor="accent1" w:themeTint="99" w:sz="4" w:space="0"/>
        <w:insideH w:val="single" w:color="607F9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color="1DE1FF" w:themeColor="accent2" w:themeTint="99" w:sz="4" w:space="0"/>
        <w:bottom w:val="single" w:color="1DE1FF" w:themeColor="accent2" w:themeTint="99" w:sz="4" w:space="0"/>
        <w:insideH w:val="single" w:color="1DE1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color="9CD4F3" w:themeColor="accent3" w:themeTint="99" w:sz="4" w:space="0"/>
        <w:bottom w:val="single" w:color="9CD4F3" w:themeColor="accent3" w:themeTint="99" w:sz="4" w:space="0"/>
        <w:insideH w:val="single" w:color="9CD4F3"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color="2793FF" w:themeColor="accent4" w:themeTint="99" w:sz="4" w:space="0"/>
        <w:bottom w:val="single" w:color="2793FF" w:themeColor="accent4" w:themeTint="99" w:sz="4" w:space="0"/>
        <w:insideH w:val="single" w:color="2793FF"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color="9CCCA1" w:themeColor="accent5" w:themeTint="99" w:sz="4" w:space="0"/>
        <w:bottom w:val="single" w:color="9CCCA1" w:themeColor="accent5" w:themeTint="99" w:sz="4" w:space="0"/>
        <w:insideH w:val="single" w:color="9CCCA1"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color="F0A28A" w:themeColor="accent6" w:themeTint="99" w:sz="4" w:space="0"/>
        <w:bottom w:val="single" w:color="F0A28A" w:themeColor="accent6" w:themeTint="99" w:sz="4" w:space="0"/>
        <w:insideH w:val="single" w:color="F0A28A"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color="1B242A" w:themeColor="accent1" w:sz="4" w:space="0"/>
        <w:left w:val="single" w:color="1B242A" w:themeColor="accent1" w:sz="4" w:space="0"/>
        <w:bottom w:val="single" w:color="1B242A" w:themeColor="accent1" w:sz="4" w:space="0"/>
        <w:right w:val="single" w:color="1B242A" w:themeColor="accent1" w:sz="4" w:space="0"/>
      </w:tblBorders>
    </w:tblPr>
    <w:tblStylePr w:type="firstRow">
      <w:rPr>
        <w:b/>
        <w:bCs/>
        <w:color w:val="FFFFFF" w:themeColor="background1"/>
      </w:rPr>
      <w:tblPr/>
      <w:tcPr>
        <w:shd w:val="clear" w:color="auto" w:fill="1B242A" w:themeFill="accent1"/>
      </w:tcPr>
    </w:tblStylePr>
    <w:tblStylePr w:type="lastRow">
      <w:rPr>
        <w:b/>
        <w:bCs/>
      </w:rPr>
      <w:tblPr/>
      <w:tcPr>
        <w:tcBorders>
          <w:top w:val="double" w:color="1B242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B242A" w:themeColor="accent1" w:sz="4" w:space="0"/>
          <w:right w:val="single" w:color="1B242A" w:themeColor="accent1" w:sz="4" w:space="0"/>
        </w:tcBorders>
      </w:tcPr>
    </w:tblStylePr>
    <w:tblStylePr w:type="band1Horz">
      <w:tblPr/>
      <w:tcPr>
        <w:tcBorders>
          <w:top w:val="single" w:color="1B242A" w:themeColor="accent1" w:sz="4" w:space="0"/>
          <w:bottom w:val="single" w:color="1B242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242A" w:themeColor="accent1" w:sz="4" w:space="0"/>
          <w:left w:val="nil"/>
        </w:tcBorders>
      </w:tcPr>
    </w:tblStylePr>
    <w:tblStylePr w:type="swCell">
      <w:tblPr/>
      <w:tcPr>
        <w:tcBorders>
          <w:top w:val="double" w:color="1B242A" w:themeColor="accent1" w:sz="4" w:space="0"/>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color="007586" w:themeColor="accent2" w:sz="4" w:space="0"/>
        <w:left w:val="single" w:color="007586" w:themeColor="accent2" w:sz="4" w:space="0"/>
        <w:bottom w:val="single" w:color="007586" w:themeColor="accent2" w:sz="4" w:space="0"/>
        <w:right w:val="single" w:color="007586" w:themeColor="accent2" w:sz="4" w:space="0"/>
      </w:tblBorders>
    </w:tblPr>
    <w:tblStylePr w:type="firstRow">
      <w:rPr>
        <w:b/>
        <w:bCs/>
        <w:color w:val="FFFFFF" w:themeColor="background1"/>
      </w:rPr>
      <w:tblPr/>
      <w:tcPr>
        <w:shd w:val="clear" w:color="auto" w:fill="007586" w:themeFill="accent2"/>
      </w:tcPr>
    </w:tblStylePr>
    <w:tblStylePr w:type="lastRow">
      <w:rPr>
        <w:b/>
        <w:bCs/>
      </w:rPr>
      <w:tblPr/>
      <w:tcPr>
        <w:tcBorders>
          <w:top w:val="double" w:color="00758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586" w:themeColor="accent2" w:sz="4" w:space="0"/>
          <w:right w:val="single" w:color="007586" w:themeColor="accent2" w:sz="4" w:space="0"/>
        </w:tcBorders>
      </w:tcPr>
    </w:tblStylePr>
    <w:tblStylePr w:type="band1Horz">
      <w:tblPr/>
      <w:tcPr>
        <w:tcBorders>
          <w:top w:val="single" w:color="007586" w:themeColor="accent2" w:sz="4" w:space="0"/>
          <w:bottom w:val="single" w:color="00758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586" w:themeColor="accent2" w:sz="4" w:space="0"/>
          <w:left w:val="nil"/>
        </w:tcBorders>
      </w:tcPr>
    </w:tblStylePr>
    <w:tblStylePr w:type="swCell">
      <w:tblPr/>
      <w:tcPr>
        <w:tcBorders>
          <w:top w:val="double" w:color="007586" w:themeColor="accent2" w:sz="4" w:space="0"/>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color="5AB9EB" w:themeColor="accent3" w:sz="4" w:space="0"/>
        <w:left w:val="single" w:color="5AB9EB" w:themeColor="accent3" w:sz="4" w:space="0"/>
        <w:bottom w:val="single" w:color="5AB9EB" w:themeColor="accent3" w:sz="4" w:space="0"/>
        <w:right w:val="single" w:color="5AB9EB" w:themeColor="accent3" w:sz="4" w:space="0"/>
      </w:tblBorders>
    </w:tblPr>
    <w:tblStylePr w:type="firstRow">
      <w:rPr>
        <w:b/>
        <w:bCs/>
        <w:color w:val="FFFFFF" w:themeColor="background1"/>
      </w:rPr>
      <w:tblPr/>
      <w:tcPr>
        <w:shd w:val="clear" w:color="auto" w:fill="5AB9EB" w:themeFill="accent3"/>
      </w:tcPr>
    </w:tblStylePr>
    <w:tblStylePr w:type="lastRow">
      <w:rPr>
        <w:b/>
        <w:bCs/>
      </w:rPr>
      <w:tblPr/>
      <w:tcPr>
        <w:tcBorders>
          <w:top w:val="double" w:color="5AB9EB"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B9EB" w:themeColor="accent3" w:sz="4" w:space="0"/>
          <w:right w:val="single" w:color="5AB9EB" w:themeColor="accent3" w:sz="4" w:space="0"/>
        </w:tcBorders>
      </w:tcPr>
    </w:tblStylePr>
    <w:tblStylePr w:type="band1Horz">
      <w:tblPr/>
      <w:tcPr>
        <w:tcBorders>
          <w:top w:val="single" w:color="5AB9EB" w:themeColor="accent3" w:sz="4" w:space="0"/>
          <w:bottom w:val="single" w:color="5AB9EB"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B9EB" w:themeColor="accent3" w:sz="4" w:space="0"/>
          <w:left w:val="nil"/>
        </w:tcBorders>
      </w:tcPr>
    </w:tblStylePr>
    <w:tblStylePr w:type="swCell">
      <w:tblPr/>
      <w:tcPr>
        <w:tcBorders>
          <w:top w:val="double" w:color="5AB9EB" w:themeColor="accent3" w:sz="4" w:space="0"/>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color="004C97" w:themeColor="accent4" w:sz="4" w:space="0"/>
        <w:left w:val="single" w:color="004C97" w:themeColor="accent4" w:sz="4" w:space="0"/>
        <w:bottom w:val="single" w:color="004C97" w:themeColor="accent4" w:sz="4" w:space="0"/>
        <w:right w:val="single" w:color="004C97" w:themeColor="accent4" w:sz="4" w:space="0"/>
      </w:tblBorders>
    </w:tblPr>
    <w:tblStylePr w:type="firstRow">
      <w:rPr>
        <w:b/>
        <w:bCs/>
        <w:color w:val="FFFFFF" w:themeColor="background1"/>
      </w:rPr>
      <w:tblPr/>
      <w:tcPr>
        <w:shd w:val="clear" w:color="auto" w:fill="004C97" w:themeFill="accent4"/>
      </w:tcPr>
    </w:tblStylePr>
    <w:tblStylePr w:type="lastRow">
      <w:rPr>
        <w:b/>
        <w:bCs/>
      </w:rPr>
      <w:tblPr/>
      <w:tcPr>
        <w:tcBorders>
          <w:top w:val="double" w:color="004C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C97" w:themeColor="accent4" w:sz="4" w:space="0"/>
          <w:right w:val="single" w:color="004C97" w:themeColor="accent4" w:sz="4" w:space="0"/>
        </w:tcBorders>
      </w:tcPr>
    </w:tblStylePr>
    <w:tblStylePr w:type="band1Horz">
      <w:tblPr/>
      <w:tcPr>
        <w:tcBorders>
          <w:top w:val="single" w:color="004C97" w:themeColor="accent4" w:sz="4" w:space="0"/>
          <w:bottom w:val="single" w:color="004C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C97" w:themeColor="accent4" w:sz="4" w:space="0"/>
          <w:left w:val="nil"/>
        </w:tcBorders>
      </w:tcPr>
    </w:tblStylePr>
    <w:tblStylePr w:type="swCell">
      <w:tblPr/>
      <w:tcPr>
        <w:tcBorders>
          <w:top w:val="double" w:color="004C97" w:themeColor="accent4" w:sz="4" w:space="0"/>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color="5AAA64" w:themeColor="accent5" w:sz="4" w:space="0"/>
        <w:left w:val="single" w:color="5AAA64" w:themeColor="accent5" w:sz="4" w:space="0"/>
        <w:bottom w:val="single" w:color="5AAA64" w:themeColor="accent5" w:sz="4" w:space="0"/>
        <w:right w:val="single" w:color="5AAA64" w:themeColor="accent5" w:sz="4" w:space="0"/>
      </w:tblBorders>
    </w:tblPr>
    <w:tblStylePr w:type="firstRow">
      <w:rPr>
        <w:b/>
        <w:bCs/>
        <w:color w:val="FFFFFF" w:themeColor="background1"/>
      </w:rPr>
      <w:tblPr/>
      <w:tcPr>
        <w:shd w:val="clear" w:color="auto" w:fill="5AAA64" w:themeFill="accent5"/>
      </w:tcPr>
    </w:tblStylePr>
    <w:tblStylePr w:type="lastRow">
      <w:rPr>
        <w:b/>
        <w:bCs/>
      </w:rPr>
      <w:tblPr/>
      <w:tcPr>
        <w:tcBorders>
          <w:top w:val="double" w:color="5AAA6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AAA64" w:themeColor="accent5" w:sz="4" w:space="0"/>
          <w:right w:val="single" w:color="5AAA64" w:themeColor="accent5" w:sz="4" w:space="0"/>
        </w:tcBorders>
      </w:tcPr>
    </w:tblStylePr>
    <w:tblStylePr w:type="band1Horz">
      <w:tblPr/>
      <w:tcPr>
        <w:tcBorders>
          <w:top w:val="single" w:color="5AAA64" w:themeColor="accent5" w:sz="4" w:space="0"/>
          <w:bottom w:val="single" w:color="5AAA6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AAA64" w:themeColor="accent5" w:sz="4" w:space="0"/>
          <w:left w:val="nil"/>
        </w:tcBorders>
      </w:tcPr>
    </w:tblStylePr>
    <w:tblStylePr w:type="swCell">
      <w:tblPr/>
      <w:tcPr>
        <w:tcBorders>
          <w:top w:val="double" w:color="5AAA64" w:themeColor="accent5" w:sz="4" w:space="0"/>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color="E6643C" w:themeColor="accent6" w:sz="4" w:space="0"/>
        <w:left w:val="single" w:color="E6643C" w:themeColor="accent6" w:sz="4" w:space="0"/>
        <w:bottom w:val="single" w:color="E6643C" w:themeColor="accent6" w:sz="4" w:space="0"/>
        <w:right w:val="single" w:color="E6643C" w:themeColor="accent6" w:sz="4" w:space="0"/>
      </w:tblBorders>
    </w:tblPr>
    <w:tblStylePr w:type="firstRow">
      <w:rPr>
        <w:b/>
        <w:bCs/>
        <w:color w:val="FFFFFF" w:themeColor="background1"/>
      </w:rPr>
      <w:tblPr/>
      <w:tcPr>
        <w:shd w:val="clear" w:color="auto" w:fill="E6643C" w:themeFill="accent6"/>
      </w:tcPr>
    </w:tblStylePr>
    <w:tblStylePr w:type="lastRow">
      <w:rPr>
        <w:b/>
        <w:bCs/>
      </w:rPr>
      <w:tblPr/>
      <w:tcPr>
        <w:tcBorders>
          <w:top w:val="double" w:color="E6643C"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6643C" w:themeColor="accent6" w:sz="4" w:space="0"/>
          <w:right w:val="single" w:color="E6643C" w:themeColor="accent6" w:sz="4" w:space="0"/>
        </w:tcBorders>
      </w:tcPr>
    </w:tblStylePr>
    <w:tblStylePr w:type="band1Horz">
      <w:tblPr/>
      <w:tcPr>
        <w:tcBorders>
          <w:top w:val="single" w:color="E6643C" w:themeColor="accent6" w:sz="4" w:space="0"/>
          <w:bottom w:val="single" w:color="E6643C"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6643C" w:themeColor="accent6" w:sz="4" w:space="0"/>
          <w:left w:val="nil"/>
        </w:tcBorders>
      </w:tcPr>
    </w:tblStylePr>
    <w:tblStylePr w:type="swCell">
      <w:tblPr/>
      <w:tcPr>
        <w:tcBorders>
          <w:top w:val="double" w:color="E6643C" w:themeColor="accent6" w:sz="4" w:space="0"/>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color="607F95" w:themeColor="accent1" w:themeTint="99" w:sz="4" w:space="0"/>
        <w:left w:val="single" w:color="607F95" w:themeColor="accent1" w:themeTint="99" w:sz="4" w:space="0"/>
        <w:bottom w:val="single" w:color="607F95" w:themeColor="accent1" w:themeTint="99" w:sz="4" w:space="0"/>
        <w:right w:val="single" w:color="607F95" w:themeColor="accent1" w:themeTint="99" w:sz="4" w:space="0"/>
        <w:insideH w:val="single" w:color="607F95" w:themeColor="accent1" w:themeTint="99" w:sz="4" w:space="0"/>
      </w:tblBorders>
    </w:tblPr>
    <w:tblStylePr w:type="firstRow">
      <w:rPr>
        <w:b/>
        <w:bCs/>
        <w:color w:val="FFFFFF" w:themeColor="background1"/>
      </w:rPr>
      <w:tblPr/>
      <w:tcPr>
        <w:tcBorders>
          <w:top w:val="single" w:color="1B242A" w:themeColor="accent1" w:sz="4" w:space="0"/>
          <w:left w:val="single" w:color="1B242A" w:themeColor="accent1" w:sz="4" w:space="0"/>
          <w:bottom w:val="single" w:color="1B242A" w:themeColor="accent1" w:sz="4" w:space="0"/>
          <w:right w:val="single" w:color="1B242A" w:themeColor="accent1" w:sz="4" w:space="0"/>
          <w:insideH w:val="nil"/>
        </w:tcBorders>
        <w:shd w:val="clear" w:color="auto" w:fill="1B242A" w:themeFill="accent1"/>
      </w:tcPr>
    </w:tblStylePr>
    <w:tblStylePr w:type="lastRow">
      <w:rPr>
        <w:b/>
        <w:bCs/>
      </w:rPr>
      <w:tblPr/>
      <w:tcPr>
        <w:tcBorders>
          <w:top w:val="double" w:color="607F95" w:themeColor="accent1" w:themeTint="99"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color="1DE1FF" w:themeColor="accent2" w:themeTint="99" w:sz="4" w:space="0"/>
        <w:left w:val="single" w:color="1DE1FF" w:themeColor="accent2" w:themeTint="99" w:sz="4" w:space="0"/>
        <w:bottom w:val="single" w:color="1DE1FF" w:themeColor="accent2" w:themeTint="99" w:sz="4" w:space="0"/>
        <w:right w:val="single" w:color="1DE1FF" w:themeColor="accent2" w:themeTint="99" w:sz="4" w:space="0"/>
        <w:insideH w:val="single" w:color="1DE1FF" w:themeColor="accent2" w:themeTint="99" w:sz="4" w:space="0"/>
      </w:tblBorders>
    </w:tblPr>
    <w:tblStylePr w:type="firstRow">
      <w:rPr>
        <w:b/>
        <w:bCs/>
        <w:color w:val="FFFFFF" w:themeColor="background1"/>
      </w:rPr>
      <w:tblPr/>
      <w:tcPr>
        <w:tcBorders>
          <w:top w:val="single" w:color="007586" w:themeColor="accent2" w:sz="4" w:space="0"/>
          <w:left w:val="single" w:color="007586" w:themeColor="accent2" w:sz="4" w:space="0"/>
          <w:bottom w:val="single" w:color="007586" w:themeColor="accent2" w:sz="4" w:space="0"/>
          <w:right w:val="single" w:color="007586" w:themeColor="accent2" w:sz="4" w:space="0"/>
          <w:insideH w:val="nil"/>
        </w:tcBorders>
        <w:shd w:val="clear" w:color="auto" w:fill="007586" w:themeFill="accent2"/>
      </w:tcPr>
    </w:tblStylePr>
    <w:tblStylePr w:type="lastRow">
      <w:rPr>
        <w:b/>
        <w:bCs/>
      </w:rPr>
      <w:tblPr/>
      <w:tcPr>
        <w:tcBorders>
          <w:top w:val="double" w:color="1DE1FF" w:themeColor="accent2" w:themeTint="99"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color="9CD4F3" w:themeColor="accent3" w:themeTint="99" w:sz="4" w:space="0"/>
        <w:left w:val="single" w:color="9CD4F3" w:themeColor="accent3" w:themeTint="99" w:sz="4" w:space="0"/>
        <w:bottom w:val="single" w:color="9CD4F3" w:themeColor="accent3" w:themeTint="99" w:sz="4" w:space="0"/>
        <w:right w:val="single" w:color="9CD4F3" w:themeColor="accent3" w:themeTint="99" w:sz="4" w:space="0"/>
        <w:insideH w:val="single" w:color="9CD4F3" w:themeColor="accent3" w:themeTint="99" w:sz="4" w:space="0"/>
      </w:tblBorders>
    </w:tblPr>
    <w:tblStylePr w:type="firstRow">
      <w:rPr>
        <w:b/>
        <w:bCs/>
        <w:color w:val="FFFFFF" w:themeColor="background1"/>
      </w:rPr>
      <w:tblPr/>
      <w:tcPr>
        <w:tcBorders>
          <w:top w:val="single" w:color="5AB9EB" w:themeColor="accent3" w:sz="4" w:space="0"/>
          <w:left w:val="single" w:color="5AB9EB" w:themeColor="accent3" w:sz="4" w:space="0"/>
          <w:bottom w:val="single" w:color="5AB9EB" w:themeColor="accent3" w:sz="4" w:space="0"/>
          <w:right w:val="single" w:color="5AB9EB" w:themeColor="accent3" w:sz="4" w:space="0"/>
          <w:insideH w:val="nil"/>
        </w:tcBorders>
        <w:shd w:val="clear" w:color="auto" w:fill="5AB9EB" w:themeFill="accent3"/>
      </w:tcPr>
    </w:tblStylePr>
    <w:tblStylePr w:type="lastRow">
      <w:rPr>
        <w:b/>
        <w:bCs/>
      </w:rPr>
      <w:tblPr/>
      <w:tcPr>
        <w:tcBorders>
          <w:top w:val="double" w:color="9CD4F3" w:themeColor="accent3" w:themeTint="99"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color="2793FF" w:themeColor="accent4" w:themeTint="99" w:sz="4" w:space="0"/>
        <w:left w:val="single" w:color="2793FF" w:themeColor="accent4" w:themeTint="99" w:sz="4" w:space="0"/>
        <w:bottom w:val="single" w:color="2793FF" w:themeColor="accent4" w:themeTint="99" w:sz="4" w:space="0"/>
        <w:right w:val="single" w:color="2793FF" w:themeColor="accent4" w:themeTint="99" w:sz="4" w:space="0"/>
        <w:insideH w:val="single" w:color="2793FF" w:themeColor="accent4" w:themeTint="99" w:sz="4" w:space="0"/>
      </w:tblBorders>
    </w:tblPr>
    <w:tblStylePr w:type="firstRow">
      <w:rPr>
        <w:b/>
        <w:bCs/>
        <w:color w:val="FFFFFF" w:themeColor="background1"/>
      </w:rPr>
      <w:tblPr/>
      <w:tcPr>
        <w:tcBorders>
          <w:top w:val="single" w:color="004C97" w:themeColor="accent4" w:sz="4" w:space="0"/>
          <w:left w:val="single" w:color="004C97" w:themeColor="accent4" w:sz="4" w:space="0"/>
          <w:bottom w:val="single" w:color="004C97" w:themeColor="accent4" w:sz="4" w:space="0"/>
          <w:right w:val="single" w:color="004C97" w:themeColor="accent4" w:sz="4" w:space="0"/>
          <w:insideH w:val="nil"/>
        </w:tcBorders>
        <w:shd w:val="clear" w:color="auto" w:fill="004C97" w:themeFill="accent4"/>
      </w:tcPr>
    </w:tblStylePr>
    <w:tblStylePr w:type="lastRow">
      <w:rPr>
        <w:b/>
        <w:bCs/>
      </w:rPr>
      <w:tblPr/>
      <w:tcPr>
        <w:tcBorders>
          <w:top w:val="double" w:color="2793FF" w:themeColor="accent4" w:themeTint="99"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color="9CCCA1" w:themeColor="accent5" w:themeTint="99" w:sz="4" w:space="0"/>
        <w:left w:val="single" w:color="9CCCA1" w:themeColor="accent5" w:themeTint="99" w:sz="4" w:space="0"/>
        <w:bottom w:val="single" w:color="9CCCA1" w:themeColor="accent5" w:themeTint="99" w:sz="4" w:space="0"/>
        <w:right w:val="single" w:color="9CCCA1" w:themeColor="accent5" w:themeTint="99" w:sz="4" w:space="0"/>
        <w:insideH w:val="single" w:color="9CCCA1" w:themeColor="accent5" w:themeTint="99" w:sz="4" w:space="0"/>
      </w:tblBorders>
    </w:tblPr>
    <w:tblStylePr w:type="firstRow">
      <w:rPr>
        <w:b/>
        <w:bCs/>
        <w:color w:val="FFFFFF" w:themeColor="background1"/>
      </w:rPr>
      <w:tblPr/>
      <w:tcPr>
        <w:tcBorders>
          <w:top w:val="single" w:color="5AAA64" w:themeColor="accent5" w:sz="4" w:space="0"/>
          <w:left w:val="single" w:color="5AAA64" w:themeColor="accent5" w:sz="4" w:space="0"/>
          <w:bottom w:val="single" w:color="5AAA64" w:themeColor="accent5" w:sz="4" w:space="0"/>
          <w:right w:val="single" w:color="5AAA64" w:themeColor="accent5" w:sz="4" w:space="0"/>
          <w:insideH w:val="nil"/>
        </w:tcBorders>
        <w:shd w:val="clear" w:color="auto" w:fill="5AAA64" w:themeFill="accent5"/>
      </w:tcPr>
    </w:tblStylePr>
    <w:tblStylePr w:type="lastRow">
      <w:rPr>
        <w:b/>
        <w:bCs/>
      </w:rPr>
      <w:tblPr/>
      <w:tcPr>
        <w:tcBorders>
          <w:top w:val="double" w:color="9CCCA1" w:themeColor="accent5" w:themeTint="99"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color="F0A28A" w:themeColor="accent6" w:themeTint="99" w:sz="4" w:space="0"/>
        <w:left w:val="single" w:color="F0A28A" w:themeColor="accent6" w:themeTint="99" w:sz="4" w:space="0"/>
        <w:bottom w:val="single" w:color="F0A28A" w:themeColor="accent6" w:themeTint="99" w:sz="4" w:space="0"/>
        <w:right w:val="single" w:color="F0A28A" w:themeColor="accent6" w:themeTint="99" w:sz="4" w:space="0"/>
        <w:insideH w:val="single" w:color="F0A28A" w:themeColor="accent6" w:themeTint="99" w:sz="4" w:space="0"/>
      </w:tblBorders>
    </w:tblPr>
    <w:tblStylePr w:type="firstRow">
      <w:rPr>
        <w:b/>
        <w:bCs/>
        <w:color w:val="FFFFFF" w:themeColor="background1"/>
      </w:rPr>
      <w:tblPr/>
      <w:tcPr>
        <w:tcBorders>
          <w:top w:val="single" w:color="E6643C" w:themeColor="accent6" w:sz="4" w:space="0"/>
          <w:left w:val="single" w:color="E6643C" w:themeColor="accent6" w:sz="4" w:space="0"/>
          <w:bottom w:val="single" w:color="E6643C" w:themeColor="accent6" w:sz="4" w:space="0"/>
          <w:right w:val="single" w:color="E6643C" w:themeColor="accent6" w:sz="4" w:space="0"/>
          <w:insideH w:val="nil"/>
        </w:tcBorders>
        <w:shd w:val="clear" w:color="auto" w:fill="E6643C" w:themeFill="accent6"/>
      </w:tcPr>
    </w:tblStylePr>
    <w:tblStylePr w:type="lastRow">
      <w:rPr>
        <w:b/>
        <w:bCs/>
      </w:rPr>
      <w:tblPr/>
      <w:tcPr>
        <w:tcBorders>
          <w:top w:val="double" w:color="F0A28A" w:themeColor="accent6" w:themeTint="99"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color="1B242A" w:themeColor="accent1" w:sz="24" w:space="0"/>
        <w:left w:val="single" w:color="1B242A" w:themeColor="accent1" w:sz="24" w:space="0"/>
        <w:bottom w:val="single" w:color="1B242A" w:themeColor="accent1" w:sz="24" w:space="0"/>
        <w:right w:val="single" w:color="1B242A" w:themeColor="accent1" w:sz="24" w:space="0"/>
      </w:tblBorders>
    </w:tblPr>
    <w:tcPr>
      <w:shd w:val="clear" w:color="auto" w:fill="1B242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color="007586" w:themeColor="accent2" w:sz="24" w:space="0"/>
        <w:left w:val="single" w:color="007586" w:themeColor="accent2" w:sz="24" w:space="0"/>
        <w:bottom w:val="single" w:color="007586" w:themeColor="accent2" w:sz="24" w:space="0"/>
        <w:right w:val="single" w:color="007586" w:themeColor="accent2" w:sz="24" w:space="0"/>
      </w:tblBorders>
    </w:tblPr>
    <w:tcPr>
      <w:shd w:val="clear" w:color="auto" w:fill="00758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color="5AB9EB" w:themeColor="accent3" w:sz="24" w:space="0"/>
        <w:left w:val="single" w:color="5AB9EB" w:themeColor="accent3" w:sz="24" w:space="0"/>
        <w:bottom w:val="single" w:color="5AB9EB" w:themeColor="accent3" w:sz="24" w:space="0"/>
        <w:right w:val="single" w:color="5AB9EB" w:themeColor="accent3" w:sz="24" w:space="0"/>
      </w:tblBorders>
    </w:tblPr>
    <w:tcPr>
      <w:shd w:val="clear" w:color="auto" w:fill="5AB9EB"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color="004C97" w:themeColor="accent4" w:sz="24" w:space="0"/>
        <w:left w:val="single" w:color="004C97" w:themeColor="accent4" w:sz="24" w:space="0"/>
        <w:bottom w:val="single" w:color="004C97" w:themeColor="accent4" w:sz="24" w:space="0"/>
        <w:right w:val="single" w:color="004C97" w:themeColor="accent4" w:sz="24" w:space="0"/>
      </w:tblBorders>
    </w:tblPr>
    <w:tcPr>
      <w:shd w:val="clear" w:color="auto" w:fill="004C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color="5AAA64" w:themeColor="accent5" w:sz="24" w:space="0"/>
        <w:left w:val="single" w:color="5AAA64" w:themeColor="accent5" w:sz="24" w:space="0"/>
        <w:bottom w:val="single" w:color="5AAA64" w:themeColor="accent5" w:sz="24" w:space="0"/>
        <w:right w:val="single" w:color="5AAA64" w:themeColor="accent5" w:sz="24" w:space="0"/>
      </w:tblBorders>
    </w:tblPr>
    <w:tcPr>
      <w:shd w:val="clear" w:color="auto" w:fill="5AAA6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color="E6643C" w:themeColor="accent6" w:sz="24" w:space="0"/>
        <w:left w:val="single" w:color="E6643C" w:themeColor="accent6" w:sz="24" w:space="0"/>
        <w:bottom w:val="single" w:color="E6643C" w:themeColor="accent6" w:sz="24" w:space="0"/>
        <w:right w:val="single" w:color="E6643C" w:themeColor="accent6" w:sz="24" w:space="0"/>
      </w:tblBorders>
    </w:tblPr>
    <w:tcPr>
      <w:shd w:val="clear" w:color="auto" w:fill="E6643C"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color="1B242A" w:themeColor="accent1" w:sz="4" w:space="0"/>
        <w:bottom w:val="single" w:color="1B242A" w:themeColor="accent1" w:sz="4" w:space="0"/>
      </w:tblBorders>
    </w:tblPr>
    <w:tblStylePr w:type="firstRow">
      <w:rPr>
        <w:b/>
        <w:bCs/>
      </w:rPr>
      <w:tblPr/>
      <w:tcPr>
        <w:tcBorders>
          <w:bottom w:val="single" w:color="1B242A" w:themeColor="accent1" w:sz="4" w:space="0"/>
        </w:tcBorders>
      </w:tcPr>
    </w:tblStylePr>
    <w:tblStylePr w:type="lastRow">
      <w:rPr>
        <w:b/>
        <w:bCs/>
      </w:rPr>
      <w:tblPr/>
      <w:tcPr>
        <w:tcBorders>
          <w:top w:val="double" w:color="1B242A" w:themeColor="accent1" w:sz="4" w:space="0"/>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color="007586" w:themeColor="accent2" w:sz="4" w:space="0"/>
        <w:bottom w:val="single" w:color="007586" w:themeColor="accent2" w:sz="4" w:space="0"/>
      </w:tblBorders>
    </w:tblPr>
    <w:tblStylePr w:type="firstRow">
      <w:rPr>
        <w:b/>
        <w:bCs/>
      </w:rPr>
      <w:tblPr/>
      <w:tcPr>
        <w:tcBorders>
          <w:bottom w:val="single" w:color="007586" w:themeColor="accent2" w:sz="4" w:space="0"/>
        </w:tcBorders>
      </w:tcPr>
    </w:tblStylePr>
    <w:tblStylePr w:type="lastRow">
      <w:rPr>
        <w:b/>
        <w:bCs/>
      </w:rPr>
      <w:tblPr/>
      <w:tcPr>
        <w:tcBorders>
          <w:top w:val="double" w:color="007586" w:themeColor="accent2" w:sz="4" w:space="0"/>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color="5AB9EB" w:themeColor="accent3" w:sz="4" w:space="0"/>
        <w:bottom w:val="single" w:color="5AB9EB" w:themeColor="accent3" w:sz="4" w:space="0"/>
      </w:tblBorders>
    </w:tblPr>
    <w:tblStylePr w:type="firstRow">
      <w:rPr>
        <w:b/>
        <w:bCs/>
      </w:rPr>
      <w:tblPr/>
      <w:tcPr>
        <w:tcBorders>
          <w:bottom w:val="single" w:color="5AB9EB" w:themeColor="accent3" w:sz="4" w:space="0"/>
        </w:tcBorders>
      </w:tcPr>
    </w:tblStylePr>
    <w:tblStylePr w:type="lastRow">
      <w:rPr>
        <w:b/>
        <w:bCs/>
      </w:rPr>
      <w:tblPr/>
      <w:tcPr>
        <w:tcBorders>
          <w:top w:val="double" w:color="5AB9EB" w:themeColor="accent3" w:sz="4" w:space="0"/>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color="004C97" w:themeColor="accent4" w:sz="4" w:space="0"/>
        <w:bottom w:val="single" w:color="004C97" w:themeColor="accent4" w:sz="4" w:space="0"/>
      </w:tblBorders>
    </w:tblPr>
    <w:tblStylePr w:type="firstRow">
      <w:rPr>
        <w:b/>
        <w:bCs/>
      </w:rPr>
      <w:tblPr/>
      <w:tcPr>
        <w:tcBorders>
          <w:bottom w:val="single" w:color="004C97" w:themeColor="accent4" w:sz="4" w:space="0"/>
        </w:tcBorders>
      </w:tcPr>
    </w:tblStylePr>
    <w:tblStylePr w:type="lastRow">
      <w:rPr>
        <w:b/>
        <w:bCs/>
      </w:rPr>
      <w:tblPr/>
      <w:tcPr>
        <w:tcBorders>
          <w:top w:val="double" w:color="004C97" w:themeColor="accent4" w:sz="4" w:space="0"/>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color="5AAA64" w:themeColor="accent5" w:sz="4" w:space="0"/>
        <w:bottom w:val="single" w:color="5AAA64" w:themeColor="accent5" w:sz="4" w:space="0"/>
      </w:tblBorders>
    </w:tblPr>
    <w:tblStylePr w:type="firstRow">
      <w:rPr>
        <w:b/>
        <w:bCs/>
      </w:rPr>
      <w:tblPr/>
      <w:tcPr>
        <w:tcBorders>
          <w:bottom w:val="single" w:color="5AAA64" w:themeColor="accent5" w:sz="4" w:space="0"/>
        </w:tcBorders>
      </w:tcPr>
    </w:tblStylePr>
    <w:tblStylePr w:type="lastRow">
      <w:rPr>
        <w:b/>
        <w:bCs/>
      </w:rPr>
      <w:tblPr/>
      <w:tcPr>
        <w:tcBorders>
          <w:top w:val="double" w:color="5AAA64" w:themeColor="accent5" w:sz="4" w:space="0"/>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color="E6643C" w:themeColor="accent6" w:sz="4" w:space="0"/>
        <w:bottom w:val="single" w:color="E6643C" w:themeColor="accent6" w:sz="4" w:space="0"/>
      </w:tblBorders>
    </w:tblPr>
    <w:tblStylePr w:type="firstRow">
      <w:rPr>
        <w:b/>
        <w:bCs/>
      </w:rPr>
      <w:tblPr/>
      <w:tcPr>
        <w:tcBorders>
          <w:bottom w:val="single" w:color="E6643C" w:themeColor="accent6" w:sz="4" w:space="0"/>
        </w:tcBorders>
      </w:tcPr>
    </w:tblStylePr>
    <w:tblStylePr w:type="lastRow">
      <w:rPr>
        <w:b/>
        <w:bCs/>
      </w:rPr>
      <w:tblPr/>
      <w:tcPr>
        <w:tcBorders>
          <w:top w:val="double" w:color="E6643C" w:themeColor="accent6" w:sz="4" w:space="0"/>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B242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B242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B242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B242A" w:themeColor="accent1" w:sz="4" w:space="0"/>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758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758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758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7586" w:themeColor="accent2" w:sz="4" w:space="0"/>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B9EB"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B9EB"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B9EB"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B9EB" w:themeColor="accent3" w:sz="4" w:space="0"/>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4C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4C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4C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4C97" w:themeColor="accent4" w:sz="4" w:space="0"/>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AAA6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AAA6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AAA6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AAA64" w:themeColor="accent5" w:sz="4" w:space="0"/>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6643C"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6643C"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6643C"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6643C" w:themeColor="accent6" w:sz="4" w:space="0"/>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insideV w:val="single" w:color="465D6D" w:themeColor="accent1" w:themeTint="BF" w:sz="8" w:space="0"/>
      </w:tblBorders>
    </w:tblPr>
    <w:tcPr>
      <w:shd w:val="clear" w:color="auto" w:fill="BCCAD4" w:themeFill="accent1" w:themeFillTint="3F"/>
    </w:tcPr>
    <w:tblStylePr w:type="firstRow">
      <w:rPr>
        <w:b/>
        <w:bCs/>
      </w:rPr>
    </w:tblStylePr>
    <w:tblStylePr w:type="lastRow">
      <w:rPr>
        <w:b/>
        <w:bCs/>
      </w:rPr>
      <w:tblPr/>
      <w:tcPr>
        <w:tcBorders>
          <w:top w:val="single" w:color="465D6D" w:themeColor="accent1" w:themeTint="BF" w:sz="18" w:space="0"/>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insideV w:val="single" w:color="00C6E4" w:themeColor="accent2" w:themeTint="BF" w:sz="8" w:space="0"/>
      </w:tblBorders>
    </w:tblPr>
    <w:tcPr>
      <w:shd w:val="clear" w:color="auto" w:fill="A2F2FF" w:themeFill="accent2" w:themeFillTint="3F"/>
    </w:tcPr>
    <w:tblStylePr w:type="firstRow">
      <w:rPr>
        <w:b/>
        <w:bCs/>
      </w:rPr>
    </w:tblStylePr>
    <w:tblStylePr w:type="lastRow">
      <w:rPr>
        <w:b/>
        <w:bCs/>
      </w:rPr>
      <w:tblPr/>
      <w:tcPr>
        <w:tcBorders>
          <w:top w:val="single" w:color="00C6E4" w:themeColor="accent2" w:themeTint="BF" w:sz="18" w:space="0"/>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insideV w:val="single" w:color="83CAF0" w:themeColor="accent3" w:themeTint="BF" w:sz="8" w:space="0"/>
      </w:tblBorders>
    </w:tblPr>
    <w:tcPr>
      <w:shd w:val="clear" w:color="auto" w:fill="D5EDFA" w:themeFill="accent3" w:themeFillTint="3F"/>
    </w:tcPr>
    <w:tblStylePr w:type="firstRow">
      <w:rPr>
        <w:b/>
        <w:bCs/>
      </w:rPr>
    </w:tblStylePr>
    <w:tblStylePr w:type="lastRow">
      <w:rPr>
        <w:b/>
        <w:bCs/>
      </w:rPr>
      <w:tblPr/>
      <w:tcPr>
        <w:tcBorders>
          <w:top w:val="single" w:color="83CAF0" w:themeColor="accent3" w:themeTint="BF" w:sz="18" w:space="0"/>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insideV w:val="single" w:color="0078F1" w:themeColor="accent4" w:themeTint="BF" w:sz="8" w:space="0"/>
      </w:tblBorders>
    </w:tblPr>
    <w:tcPr>
      <w:shd w:val="clear" w:color="auto" w:fill="A6D2FF" w:themeFill="accent4" w:themeFillTint="3F"/>
    </w:tcPr>
    <w:tblStylePr w:type="firstRow">
      <w:rPr>
        <w:b/>
        <w:bCs/>
      </w:rPr>
    </w:tblStylePr>
    <w:tblStylePr w:type="lastRow">
      <w:rPr>
        <w:b/>
        <w:bCs/>
      </w:rPr>
      <w:tblPr/>
      <w:tcPr>
        <w:tcBorders>
          <w:top w:val="single" w:color="0078F1" w:themeColor="accent4" w:themeTint="BF" w:sz="18" w:space="0"/>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insideV w:val="single" w:color="83BF8A" w:themeColor="accent5" w:themeTint="BF" w:sz="8" w:space="0"/>
      </w:tblBorders>
    </w:tblPr>
    <w:tcPr>
      <w:shd w:val="clear" w:color="auto" w:fill="D6EAD8" w:themeFill="accent5" w:themeFillTint="3F"/>
    </w:tcPr>
    <w:tblStylePr w:type="firstRow">
      <w:rPr>
        <w:b/>
        <w:bCs/>
      </w:rPr>
    </w:tblStylePr>
    <w:tblStylePr w:type="lastRow">
      <w:rPr>
        <w:b/>
        <w:bCs/>
      </w:rPr>
      <w:tblPr/>
      <w:tcPr>
        <w:tcBorders>
          <w:top w:val="single" w:color="83BF8A" w:themeColor="accent5" w:themeTint="BF" w:sz="18" w:space="0"/>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insideV w:val="single" w:color="EC8A6C" w:themeColor="accent6" w:themeTint="BF" w:sz="8" w:space="0"/>
      </w:tblBorders>
    </w:tblPr>
    <w:tcPr>
      <w:shd w:val="clear" w:color="auto" w:fill="F8D8CE" w:themeFill="accent6" w:themeFillTint="3F"/>
    </w:tcPr>
    <w:tblStylePr w:type="firstRow">
      <w:rPr>
        <w:b/>
        <w:bCs/>
      </w:rPr>
    </w:tblStylePr>
    <w:tblStylePr w:type="lastRow">
      <w:rPr>
        <w:b/>
        <w:bCs/>
      </w:rPr>
      <w:tblPr/>
      <w:tcPr>
        <w:tcBorders>
          <w:top w:val="single" w:color="EC8A6C" w:themeColor="accent6" w:themeTint="BF" w:sz="18" w:space="0"/>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insideH w:val="single" w:color="1B242A" w:themeColor="accent1" w:sz="8" w:space="0"/>
        <w:insideV w:val="single" w:color="1B242A" w:themeColor="accent1" w:sz="8" w:space="0"/>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color="1B242A" w:themeColor="accent1" w:sz="6" w:space="0"/>
          <w:insideV w:val="single" w:color="1B242A" w:themeColor="accent1" w:sz="6" w:space="0"/>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insideH w:val="single" w:color="007586" w:themeColor="accent2" w:sz="8" w:space="0"/>
        <w:insideV w:val="single" w:color="007586" w:themeColor="accent2" w:sz="8" w:space="0"/>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color="007586" w:themeColor="accent2" w:sz="6" w:space="0"/>
          <w:insideV w:val="single" w:color="007586" w:themeColor="accent2" w:sz="6" w:space="0"/>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insideH w:val="single" w:color="5AB9EB" w:themeColor="accent3" w:sz="8" w:space="0"/>
        <w:insideV w:val="single" w:color="5AB9EB" w:themeColor="accent3" w:sz="8" w:space="0"/>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color="5AB9EB" w:themeColor="accent3" w:sz="6" w:space="0"/>
          <w:insideV w:val="single" w:color="5AB9EB" w:themeColor="accent3" w:sz="6" w:space="0"/>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insideH w:val="single" w:color="004C97" w:themeColor="accent4" w:sz="8" w:space="0"/>
        <w:insideV w:val="single" w:color="004C97" w:themeColor="accent4" w:sz="8" w:space="0"/>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color="004C97" w:themeColor="accent4" w:sz="6" w:space="0"/>
          <w:insideV w:val="single" w:color="004C97" w:themeColor="accent4" w:sz="6" w:space="0"/>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insideH w:val="single" w:color="5AAA64" w:themeColor="accent5" w:sz="8" w:space="0"/>
        <w:insideV w:val="single" w:color="5AAA64" w:themeColor="accent5" w:sz="8" w:space="0"/>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color="5AAA64" w:themeColor="accent5" w:sz="6" w:space="0"/>
          <w:insideV w:val="single" w:color="5AAA64" w:themeColor="accent5" w:sz="6" w:space="0"/>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insideH w:val="single" w:color="E6643C" w:themeColor="accent6" w:sz="8" w:space="0"/>
        <w:insideV w:val="single" w:color="E6643C" w:themeColor="accent6" w:sz="8" w:space="0"/>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color="E6643C" w:themeColor="accent6" w:sz="6" w:space="0"/>
          <w:insideV w:val="single" w:color="E6643C" w:themeColor="accent6" w:sz="6" w:space="0"/>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CCAD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B242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B242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B242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B242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995A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F2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758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758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758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758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6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F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B9EB"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B9EB"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B9EB"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B9EB"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CF5"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6D2FF"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4C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4C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4C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4C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CA5F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AD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AAA6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AAA6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AAA6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AAA6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CD4B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D8C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6643C"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6643C"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6643C"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6643C"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B19D"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758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color="1B242A" w:themeColor="accent1" w:sz="8" w:space="0"/>
        <w:bottom w:val="single" w:color="1B242A" w:themeColor="accent1" w:sz="8" w:space="0"/>
      </w:tblBorders>
    </w:tblPr>
    <w:tblStylePr w:type="firstRow">
      <w:rPr>
        <w:rFonts w:asciiTheme="majorHAnsi" w:hAnsiTheme="majorHAnsi" w:eastAsiaTheme="majorEastAsia" w:cstheme="majorBidi"/>
      </w:rPr>
      <w:tblPr/>
      <w:tcPr>
        <w:tcBorders>
          <w:top w:val="nil"/>
          <w:bottom w:val="single" w:color="1B242A" w:themeColor="accent1" w:sz="8" w:space="0"/>
        </w:tcBorders>
      </w:tcPr>
    </w:tblStylePr>
    <w:tblStylePr w:type="lastRow">
      <w:rPr>
        <w:b/>
        <w:bCs/>
        <w:color w:val="007586" w:themeColor="text2"/>
      </w:rPr>
      <w:tblPr/>
      <w:tcPr>
        <w:tcBorders>
          <w:top w:val="single" w:color="1B242A" w:themeColor="accent1" w:sz="8" w:space="0"/>
          <w:bottom w:val="single" w:color="1B242A" w:themeColor="accent1" w:sz="8" w:space="0"/>
        </w:tcBorders>
      </w:tcPr>
    </w:tblStylePr>
    <w:tblStylePr w:type="firstCol">
      <w:rPr>
        <w:b/>
        <w:bCs/>
      </w:rPr>
    </w:tblStylePr>
    <w:tblStylePr w:type="lastCol">
      <w:rPr>
        <w:b/>
        <w:bCs/>
      </w:rPr>
      <w:tblPr/>
      <w:tcPr>
        <w:tcBorders>
          <w:top w:val="single" w:color="1B242A" w:themeColor="accent1" w:sz="8" w:space="0"/>
          <w:bottom w:val="single" w:color="1B242A" w:themeColor="accent1" w:sz="8" w:space="0"/>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color="007586" w:themeColor="accent2" w:sz="8" w:space="0"/>
        <w:bottom w:val="single" w:color="007586" w:themeColor="accent2" w:sz="8" w:space="0"/>
      </w:tblBorders>
    </w:tblPr>
    <w:tblStylePr w:type="firstRow">
      <w:rPr>
        <w:rFonts w:asciiTheme="majorHAnsi" w:hAnsiTheme="majorHAnsi" w:eastAsiaTheme="majorEastAsia" w:cstheme="majorBidi"/>
      </w:rPr>
      <w:tblPr/>
      <w:tcPr>
        <w:tcBorders>
          <w:top w:val="nil"/>
          <w:bottom w:val="single" w:color="007586" w:themeColor="accent2" w:sz="8" w:space="0"/>
        </w:tcBorders>
      </w:tcPr>
    </w:tblStylePr>
    <w:tblStylePr w:type="lastRow">
      <w:rPr>
        <w:b/>
        <w:bCs/>
        <w:color w:val="007586" w:themeColor="text2"/>
      </w:rPr>
      <w:tblPr/>
      <w:tcPr>
        <w:tcBorders>
          <w:top w:val="single" w:color="007586" w:themeColor="accent2" w:sz="8" w:space="0"/>
          <w:bottom w:val="single" w:color="007586" w:themeColor="accent2" w:sz="8" w:space="0"/>
        </w:tcBorders>
      </w:tcPr>
    </w:tblStylePr>
    <w:tblStylePr w:type="firstCol">
      <w:rPr>
        <w:b/>
        <w:bCs/>
      </w:rPr>
    </w:tblStylePr>
    <w:tblStylePr w:type="lastCol">
      <w:rPr>
        <w:b/>
        <w:bCs/>
      </w:rPr>
      <w:tblPr/>
      <w:tcPr>
        <w:tcBorders>
          <w:top w:val="single" w:color="007586" w:themeColor="accent2" w:sz="8" w:space="0"/>
          <w:bottom w:val="single" w:color="007586" w:themeColor="accent2" w:sz="8" w:space="0"/>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color="5AB9EB" w:themeColor="accent3" w:sz="8" w:space="0"/>
        <w:bottom w:val="single" w:color="5AB9EB" w:themeColor="accent3" w:sz="8" w:space="0"/>
      </w:tblBorders>
    </w:tblPr>
    <w:tblStylePr w:type="firstRow">
      <w:rPr>
        <w:rFonts w:asciiTheme="majorHAnsi" w:hAnsiTheme="majorHAnsi" w:eastAsiaTheme="majorEastAsia" w:cstheme="majorBidi"/>
      </w:rPr>
      <w:tblPr/>
      <w:tcPr>
        <w:tcBorders>
          <w:top w:val="nil"/>
          <w:bottom w:val="single" w:color="5AB9EB" w:themeColor="accent3" w:sz="8" w:space="0"/>
        </w:tcBorders>
      </w:tcPr>
    </w:tblStylePr>
    <w:tblStylePr w:type="lastRow">
      <w:rPr>
        <w:b/>
        <w:bCs/>
        <w:color w:val="007586" w:themeColor="text2"/>
      </w:rPr>
      <w:tblPr/>
      <w:tcPr>
        <w:tcBorders>
          <w:top w:val="single" w:color="5AB9EB" w:themeColor="accent3" w:sz="8" w:space="0"/>
          <w:bottom w:val="single" w:color="5AB9EB" w:themeColor="accent3" w:sz="8" w:space="0"/>
        </w:tcBorders>
      </w:tcPr>
    </w:tblStylePr>
    <w:tblStylePr w:type="firstCol">
      <w:rPr>
        <w:b/>
        <w:bCs/>
      </w:rPr>
    </w:tblStylePr>
    <w:tblStylePr w:type="lastCol">
      <w:rPr>
        <w:b/>
        <w:bCs/>
      </w:rPr>
      <w:tblPr/>
      <w:tcPr>
        <w:tcBorders>
          <w:top w:val="single" w:color="5AB9EB" w:themeColor="accent3" w:sz="8" w:space="0"/>
          <w:bottom w:val="single" w:color="5AB9EB" w:themeColor="accent3" w:sz="8" w:space="0"/>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color="004C97" w:themeColor="accent4" w:sz="8" w:space="0"/>
        <w:bottom w:val="single" w:color="004C97" w:themeColor="accent4" w:sz="8" w:space="0"/>
      </w:tblBorders>
    </w:tblPr>
    <w:tblStylePr w:type="firstRow">
      <w:rPr>
        <w:rFonts w:asciiTheme="majorHAnsi" w:hAnsiTheme="majorHAnsi" w:eastAsiaTheme="majorEastAsia" w:cstheme="majorBidi"/>
      </w:rPr>
      <w:tblPr/>
      <w:tcPr>
        <w:tcBorders>
          <w:top w:val="nil"/>
          <w:bottom w:val="single" w:color="004C97" w:themeColor="accent4" w:sz="8" w:space="0"/>
        </w:tcBorders>
      </w:tcPr>
    </w:tblStylePr>
    <w:tblStylePr w:type="lastRow">
      <w:rPr>
        <w:b/>
        <w:bCs/>
        <w:color w:val="007586" w:themeColor="text2"/>
      </w:rPr>
      <w:tblPr/>
      <w:tcPr>
        <w:tcBorders>
          <w:top w:val="single" w:color="004C97" w:themeColor="accent4" w:sz="8" w:space="0"/>
          <w:bottom w:val="single" w:color="004C97" w:themeColor="accent4" w:sz="8" w:space="0"/>
        </w:tcBorders>
      </w:tcPr>
    </w:tblStylePr>
    <w:tblStylePr w:type="firstCol">
      <w:rPr>
        <w:b/>
        <w:bCs/>
      </w:rPr>
    </w:tblStylePr>
    <w:tblStylePr w:type="lastCol">
      <w:rPr>
        <w:b/>
        <w:bCs/>
      </w:rPr>
      <w:tblPr/>
      <w:tcPr>
        <w:tcBorders>
          <w:top w:val="single" w:color="004C97" w:themeColor="accent4" w:sz="8" w:space="0"/>
          <w:bottom w:val="single" w:color="004C97" w:themeColor="accent4" w:sz="8" w:space="0"/>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color="5AAA64" w:themeColor="accent5" w:sz="8" w:space="0"/>
        <w:bottom w:val="single" w:color="5AAA64" w:themeColor="accent5" w:sz="8" w:space="0"/>
      </w:tblBorders>
    </w:tblPr>
    <w:tblStylePr w:type="firstRow">
      <w:rPr>
        <w:rFonts w:asciiTheme="majorHAnsi" w:hAnsiTheme="majorHAnsi" w:eastAsiaTheme="majorEastAsia" w:cstheme="majorBidi"/>
      </w:rPr>
      <w:tblPr/>
      <w:tcPr>
        <w:tcBorders>
          <w:top w:val="nil"/>
          <w:bottom w:val="single" w:color="5AAA64" w:themeColor="accent5" w:sz="8" w:space="0"/>
        </w:tcBorders>
      </w:tcPr>
    </w:tblStylePr>
    <w:tblStylePr w:type="lastRow">
      <w:rPr>
        <w:b/>
        <w:bCs/>
        <w:color w:val="007586" w:themeColor="text2"/>
      </w:rPr>
      <w:tblPr/>
      <w:tcPr>
        <w:tcBorders>
          <w:top w:val="single" w:color="5AAA64" w:themeColor="accent5" w:sz="8" w:space="0"/>
          <w:bottom w:val="single" w:color="5AAA64" w:themeColor="accent5" w:sz="8" w:space="0"/>
        </w:tcBorders>
      </w:tcPr>
    </w:tblStylePr>
    <w:tblStylePr w:type="firstCol">
      <w:rPr>
        <w:b/>
        <w:bCs/>
      </w:rPr>
    </w:tblStylePr>
    <w:tblStylePr w:type="lastCol">
      <w:rPr>
        <w:b/>
        <w:bCs/>
      </w:rPr>
      <w:tblPr/>
      <w:tcPr>
        <w:tcBorders>
          <w:top w:val="single" w:color="5AAA64" w:themeColor="accent5" w:sz="8" w:space="0"/>
          <w:bottom w:val="single" w:color="5AAA64" w:themeColor="accent5" w:sz="8" w:space="0"/>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color="E6643C" w:themeColor="accent6" w:sz="8" w:space="0"/>
        <w:bottom w:val="single" w:color="E6643C" w:themeColor="accent6" w:sz="8" w:space="0"/>
      </w:tblBorders>
    </w:tblPr>
    <w:tblStylePr w:type="firstRow">
      <w:rPr>
        <w:rFonts w:asciiTheme="majorHAnsi" w:hAnsiTheme="majorHAnsi" w:eastAsiaTheme="majorEastAsia" w:cstheme="majorBidi"/>
      </w:rPr>
      <w:tblPr/>
      <w:tcPr>
        <w:tcBorders>
          <w:top w:val="nil"/>
          <w:bottom w:val="single" w:color="E6643C" w:themeColor="accent6" w:sz="8" w:space="0"/>
        </w:tcBorders>
      </w:tcPr>
    </w:tblStylePr>
    <w:tblStylePr w:type="lastRow">
      <w:rPr>
        <w:b/>
        <w:bCs/>
        <w:color w:val="007586" w:themeColor="text2"/>
      </w:rPr>
      <w:tblPr/>
      <w:tcPr>
        <w:tcBorders>
          <w:top w:val="single" w:color="E6643C" w:themeColor="accent6" w:sz="8" w:space="0"/>
          <w:bottom w:val="single" w:color="E6643C" w:themeColor="accent6" w:sz="8" w:space="0"/>
        </w:tcBorders>
      </w:tcPr>
    </w:tblStylePr>
    <w:tblStylePr w:type="firstCol">
      <w:rPr>
        <w:b/>
        <w:bCs/>
      </w:rPr>
    </w:tblStylePr>
    <w:tblStylePr w:type="lastCol">
      <w:rPr>
        <w:b/>
        <w:bCs/>
      </w:rPr>
      <w:tblPr/>
      <w:tcPr>
        <w:tcBorders>
          <w:top w:val="single" w:color="E6643C" w:themeColor="accent6" w:sz="8" w:space="0"/>
          <w:bottom w:val="single" w:color="E6643C" w:themeColor="accent6" w:sz="8" w:space="0"/>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1B242A" w:themeColor="accent1" w:sz="8" w:space="0"/>
        <w:left w:val="single" w:color="1B242A" w:themeColor="accent1" w:sz="8" w:space="0"/>
        <w:bottom w:val="single" w:color="1B242A" w:themeColor="accent1" w:sz="8" w:space="0"/>
        <w:right w:val="single" w:color="1B242A" w:themeColor="accent1" w:sz="8" w:space="0"/>
      </w:tblBorders>
    </w:tblPr>
    <w:tblStylePr w:type="firstRow">
      <w:rPr>
        <w:sz w:val="24"/>
        <w:szCs w:val="24"/>
      </w:rPr>
      <w:tblPr/>
      <w:tcPr>
        <w:tcBorders>
          <w:top w:val="nil"/>
          <w:left w:val="nil"/>
          <w:bottom w:val="single" w:color="1B242A" w:themeColor="accent1" w:sz="24" w:space="0"/>
          <w:right w:val="nil"/>
          <w:insideH w:val="nil"/>
          <w:insideV w:val="nil"/>
        </w:tcBorders>
        <w:shd w:val="clear" w:color="auto" w:fill="FFFFFF" w:themeFill="background1"/>
      </w:tcPr>
    </w:tblStylePr>
    <w:tblStylePr w:type="lastRow">
      <w:tblPr/>
      <w:tcPr>
        <w:tcBorders>
          <w:top w:val="single" w:color="1B242A"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B242A" w:themeColor="accent1" w:sz="8" w:space="0"/>
          <w:insideH w:val="nil"/>
          <w:insideV w:val="nil"/>
        </w:tcBorders>
        <w:shd w:val="clear" w:color="auto" w:fill="FFFFFF" w:themeFill="background1"/>
      </w:tcPr>
    </w:tblStylePr>
    <w:tblStylePr w:type="lastCol">
      <w:tblPr/>
      <w:tcPr>
        <w:tcBorders>
          <w:top w:val="nil"/>
          <w:left w:val="single" w:color="1B242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7586" w:themeColor="accent2" w:sz="8" w:space="0"/>
        <w:left w:val="single" w:color="007586" w:themeColor="accent2" w:sz="8" w:space="0"/>
        <w:bottom w:val="single" w:color="007586" w:themeColor="accent2" w:sz="8" w:space="0"/>
        <w:right w:val="single" w:color="007586" w:themeColor="accent2" w:sz="8" w:space="0"/>
      </w:tblBorders>
    </w:tblPr>
    <w:tblStylePr w:type="firstRow">
      <w:rPr>
        <w:sz w:val="24"/>
        <w:szCs w:val="24"/>
      </w:rPr>
      <w:tblPr/>
      <w:tcPr>
        <w:tcBorders>
          <w:top w:val="nil"/>
          <w:left w:val="nil"/>
          <w:bottom w:val="single" w:color="007586" w:themeColor="accent2" w:sz="24" w:space="0"/>
          <w:right w:val="nil"/>
          <w:insideH w:val="nil"/>
          <w:insideV w:val="nil"/>
        </w:tcBorders>
        <w:shd w:val="clear" w:color="auto" w:fill="FFFFFF" w:themeFill="background1"/>
      </w:tcPr>
    </w:tblStylePr>
    <w:tblStylePr w:type="lastRow">
      <w:tblPr/>
      <w:tcPr>
        <w:tcBorders>
          <w:top w:val="single" w:color="007586"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7586" w:themeColor="accent2" w:sz="8" w:space="0"/>
          <w:insideH w:val="nil"/>
          <w:insideV w:val="nil"/>
        </w:tcBorders>
        <w:shd w:val="clear" w:color="auto" w:fill="FFFFFF" w:themeFill="background1"/>
      </w:tcPr>
    </w:tblStylePr>
    <w:tblStylePr w:type="lastCol">
      <w:tblPr/>
      <w:tcPr>
        <w:tcBorders>
          <w:top w:val="nil"/>
          <w:left w:val="single" w:color="00758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B9EB" w:themeColor="accent3" w:sz="8" w:space="0"/>
        <w:left w:val="single" w:color="5AB9EB" w:themeColor="accent3" w:sz="8" w:space="0"/>
        <w:bottom w:val="single" w:color="5AB9EB" w:themeColor="accent3" w:sz="8" w:space="0"/>
        <w:right w:val="single" w:color="5AB9EB" w:themeColor="accent3" w:sz="8" w:space="0"/>
      </w:tblBorders>
    </w:tblPr>
    <w:tblStylePr w:type="firstRow">
      <w:rPr>
        <w:sz w:val="24"/>
        <w:szCs w:val="24"/>
      </w:rPr>
      <w:tblPr/>
      <w:tcPr>
        <w:tcBorders>
          <w:top w:val="nil"/>
          <w:left w:val="nil"/>
          <w:bottom w:val="single" w:color="5AB9EB" w:themeColor="accent3" w:sz="24" w:space="0"/>
          <w:right w:val="nil"/>
          <w:insideH w:val="nil"/>
          <w:insideV w:val="nil"/>
        </w:tcBorders>
        <w:shd w:val="clear" w:color="auto" w:fill="FFFFFF" w:themeFill="background1"/>
      </w:tcPr>
    </w:tblStylePr>
    <w:tblStylePr w:type="lastRow">
      <w:tblPr/>
      <w:tcPr>
        <w:tcBorders>
          <w:top w:val="single" w:color="5AB9EB"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B9EB" w:themeColor="accent3" w:sz="8" w:space="0"/>
          <w:insideH w:val="nil"/>
          <w:insideV w:val="nil"/>
        </w:tcBorders>
        <w:shd w:val="clear" w:color="auto" w:fill="FFFFFF" w:themeFill="background1"/>
      </w:tcPr>
    </w:tblStylePr>
    <w:tblStylePr w:type="lastCol">
      <w:tblPr/>
      <w:tcPr>
        <w:tcBorders>
          <w:top w:val="nil"/>
          <w:left w:val="single" w:color="5AB9EB"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004C97" w:themeColor="accent4" w:sz="8" w:space="0"/>
        <w:left w:val="single" w:color="004C97" w:themeColor="accent4" w:sz="8" w:space="0"/>
        <w:bottom w:val="single" w:color="004C97" w:themeColor="accent4" w:sz="8" w:space="0"/>
        <w:right w:val="single" w:color="004C97" w:themeColor="accent4" w:sz="8" w:space="0"/>
      </w:tblBorders>
    </w:tblPr>
    <w:tblStylePr w:type="firstRow">
      <w:rPr>
        <w:sz w:val="24"/>
        <w:szCs w:val="24"/>
      </w:rPr>
      <w:tblPr/>
      <w:tcPr>
        <w:tcBorders>
          <w:top w:val="nil"/>
          <w:left w:val="nil"/>
          <w:bottom w:val="single" w:color="004C97" w:themeColor="accent4" w:sz="24" w:space="0"/>
          <w:right w:val="nil"/>
          <w:insideH w:val="nil"/>
          <w:insideV w:val="nil"/>
        </w:tcBorders>
        <w:shd w:val="clear" w:color="auto" w:fill="FFFFFF" w:themeFill="background1"/>
      </w:tcPr>
    </w:tblStylePr>
    <w:tblStylePr w:type="lastRow">
      <w:tblPr/>
      <w:tcPr>
        <w:tcBorders>
          <w:top w:val="single" w:color="004C97"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4C97" w:themeColor="accent4" w:sz="8" w:space="0"/>
          <w:insideH w:val="nil"/>
          <w:insideV w:val="nil"/>
        </w:tcBorders>
        <w:shd w:val="clear" w:color="auto" w:fill="FFFFFF" w:themeFill="background1"/>
      </w:tcPr>
    </w:tblStylePr>
    <w:tblStylePr w:type="lastCol">
      <w:tblPr/>
      <w:tcPr>
        <w:tcBorders>
          <w:top w:val="nil"/>
          <w:left w:val="single" w:color="004C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5AAA64" w:themeColor="accent5" w:sz="8" w:space="0"/>
        <w:left w:val="single" w:color="5AAA64" w:themeColor="accent5" w:sz="8" w:space="0"/>
        <w:bottom w:val="single" w:color="5AAA64" w:themeColor="accent5" w:sz="8" w:space="0"/>
        <w:right w:val="single" w:color="5AAA64" w:themeColor="accent5" w:sz="8" w:space="0"/>
      </w:tblBorders>
    </w:tblPr>
    <w:tblStylePr w:type="firstRow">
      <w:rPr>
        <w:sz w:val="24"/>
        <w:szCs w:val="24"/>
      </w:rPr>
      <w:tblPr/>
      <w:tcPr>
        <w:tcBorders>
          <w:top w:val="nil"/>
          <w:left w:val="nil"/>
          <w:bottom w:val="single" w:color="5AAA64" w:themeColor="accent5" w:sz="24" w:space="0"/>
          <w:right w:val="nil"/>
          <w:insideH w:val="nil"/>
          <w:insideV w:val="nil"/>
        </w:tcBorders>
        <w:shd w:val="clear" w:color="auto" w:fill="FFFFFF" w:themeFill="background1"/>
      </w:tcPr>
    </w:tblStylePr>
    <w:tblStylePr w:type="lastRow">
      <w:tblPr/>
      <w:tcPr>
        <w:tcBorders>
          <w:top w:val="single" w:color="5AAA6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AAA64" w:themeColor="accent5" w:sz="8" w:space="0"/>
          <w:insideH w:val="nil"/>
          <w:insideV w:val="nil"/>
        </w:tcBorders>
        <w:shd w:val="clear" w:color="auto" w:fill="FFFFFF" w:themeFill="background1"/>
      </w:tcPr>
    </w:tblStylePr>
    <w:tblStylePr w:type="lastCol">
      <w:tblPr/>
      <w:tcPr>
        <w:tcBorders>
          <w:top w:val="nil"/>
          <w:left w:val="single" w:color="5AAA6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hAnsiTheme="majorHAnsi" w:eastAsiaTheme="majorEastAsia" w:cstheme="majorBidi"/>
      <w:color w:val="000000" w:themeColor="text1"/>
    </w:rPr>
    <w:tblPr>
      <w:tblStyleRowBandSize w:val="1"/>
      <w:tblStyleColBandSize w:val="1"/>
      <w:tblBorders>
        <w:top w:val="single" w:color="E6643C" w:themeColor="accent6" w:sz="8" w:space="0"/>
        <w:left w:val="single" w:color="E6643C" w:themeColor="accent6" w:sz="8" w:space="0"/>
        <w:bottom w:val="single" w:color="E6643C" w:themeColor="accent6" w:sz="8" w:space="0"/>
        <w:right w:val="single" w:color="E6643C" w:themeColor="accent6" w:sz="8" w:space="0"/>
      </w:tblBorders>
    </w:tblPr>
    <w:tblStylePr w:type="firstRow">
      <w:rPr>
        <w:sz w:val="24"/>
        <w:szCs w:val="24"/>
      </w:rPr>
      <w:tblPr/>
      <w:tcPr>
        <w:tcBorders>
          <w:top w:val="nil"/>
          <w:left w:val="nil"/>
          <w:bottom w:val="single" w:color="E6643C" w:themeColor="accent6" w:sz="24" w:space="0"/>
          <w:right w:val="nil"/>
          <w:insideH w:val="nil"/>
          <w:insideV w:val="nil"/>
        </w:tcBorders>
        <w:shd w:val="clear" w:color="auto" w:fill="FFFFFF" w:themeFill="background1"/>
      </w:tcPr>
    </w:tblStylePr>
    <w:tblStylePr w:type="lastRow">
      <w:tblPr/>
      <w:tcPr>
        <w:tcBorders>
          <w:top w:val="single" w:color="E6643C"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6643C" w:themeColor="accent6" w:sz="8" w:space="0"/>
          <w:insideH w:val="nil"/>
          <w:insideV w:val="nil"/>
        </w:tcBorders>
        <w:shd w:val="clear" w:color="auto" w:fill="FFFFFF" w:themeFill="background1"/>
      </w:tcPr>
    </w:tblStylePr>
    <w:tblStylePr w:type="lastCol">
      <w:tblPr/>
      <w:tcPr>
        <w:tcBorders>
          <w:top w:val="nil"/>
          <w:left w:val="single" w:color="E6643C"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single" w:color="465D6D" w:themeColor="accent1" w:themeTint="BF" w:sz="8" w:space="0"/>
      </w:tblBorders>
    </w:tblPr>
    <w:tblStylePr w:type="firstRow">
      <w:pPr>
        <w:spacing w:before="0" w:after="0" w:line="240" w:lineRule="auto"/>
      </w:pPr>
      <w:rPr>
        <w:b/>
        <w:bCs/>
        <w:color w:val="FFFFFF" w:themeColor="background1"/>
      </w:rPr>
      <w:tblPr/>
      <w:tcPr>
        <w:tcBorders>
          <w:top w:val="single" w:color="465D6D" w:themeColor="accent1" w:themeTint="BF" w:sz="8"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shd w:val="clear" w:color="auto" w:fill="1B242A" w:themeFill="accent1"/>
      </w:tcPr>
    </w:tblStylePr>
    <w:tblStylePr w:type="lastRow">
      <w:pPr>
        <w:spacing w:before="0" w:after="0" w:line="240" w:lineRule="auto"/>
      </w:pPr>
      <w:rPr>
        <w:b/>
        <w:bCs/>
      </w:rPr>
      <w:tblPr/>
      <w:tcPr>
        <w:tcBorders>
          <w:top w:val="double" w:color="465D6D" w:themeColor="accent1" w:themeTint="BF" w:sz="6" w:space="0"/>
          <w:left w:val="single" w:color="465D6D" w:themeColor="accent1" w:themeTint="BF" w:sz="8" w:space="0"/>
          <w:bottom w:val="single" w:color="465D6D" w:themeColor="accent1" w:themeTint="BF" w:sz="8" w:space="0"/>
          <w:right w:val="single" w:color="465D6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single" w:color="00C6E4" w:themeColor="accent2" w:themeTint="BF" w:sz="8" w:space="0"/>
      </w:tblBorders>
    </w:tblPr>
    <w:tblStylePr w:type="firstRow">
      <w:pPr>
        <w:spacing w:before="0" w:after="0" w:line="240" w:lineRule="auto"/>
      </w:pPr>
      <w:rPr>
        <w:b/>
        <w:bCs/>
        <w:color w:val="FFFFFF" w:themeColor="background1"/>
      </w:rPr>
      <w:tblPr/>
      <w:tcPr>
        <w:tcBorders>
          <w:top w:val="single" w:color="00C6E4" w:themeColor="accent2" w:themeTint="BF" w:sz="8"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shd w:val="clear" w:color="auto" w:fill="007586" w:themeFill="accent2"/>
      </w:tcPr>
    </w:tblStylePr>
    <w:tblStylePr w:type="lastRow">
      <w:pPr>
        <w:spacing w:before="0" w:after="0" w:line="240" w:lineRule="auto"/>
      </w:pPr>
      <w:rPr>
        <w:b/>
        <w:bCs/>
      </w:rPr>
      <w:tblPr/>
      <w:tcPr>
        <w:tcBorders>
          <w:top w:val="double" w:color="00C6E4" w:themeColor="accent2" w:themeTint="BF" w:sz="6" w:space="0"/>
          <w:left w:val="single" w:color="00C6E4" w:themeColor="accent2" w:themeTint="BF" w:sz="8" w:space="0"/>
          <w:bottom w:val="single" w:color="00C6E4" w:themeColor="accent2" w:themeTint="BF" w:sz="8" w:space="0"/>
          <w:right w:val="single" w:color="00C6E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single" w:color="83CAF0" w:themeColor="accent3" w:themeTint="BF" w:sz="8" w:space="0"/>
      </w:tblBorders>
    </w:tblPr>
    <w:tblStylePr w:type="firstRow">
      <w:pPr>
        <w:spacing w:before="0" w:after="0" w:line="240" w:lineRule="auto"/>
      </w:pPr>
      <w:rPr>
        <w:b/>
        <w:bCs/>
        <w:color w:val="FFFFFF" w:themeColor="background1"/>
      </w:rPr>
      <w:tblPr/>
      <w:tcPr>
        <w:tcBorders>
          <w:top w:val="single" w:color="83CAF0" w:themeColor="accent3" w:themeTint="BF" w:sz="8"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shd w:val="clear" w:color="auto" w:fill="5AB9EB" w:themeFill="accent3"/>
      </w:tcPr>
    </w:tblStylePr>
    <w:tblStylePr w:type="lastRow">
      <w:pPr>
        <w:spacing w:before="0" w:after="0" w:line="240" w:lineRule="auto"/>
      </w:pPr>
      <w:rPr>
        <w:b/>
        <w:bCs/>
      </w:rPr>
      <w:tblPr/>
      <w:tcPr>
        <w:tcBorders>
          <w:top w:val="double" w:color="83CAF0" w:themeColor="accent3" w:themeTint="BF" w:sz="6" w:space="0"/>
          <w:left w:val="single" w:color="83CAF0" w:themeColor="accent3" w:themeTint="BF" w:sz="8" w:space="0"/>
          <w:bottom w:val="single" w:color="83CAF0" w:themeColor="accent3" w:themeTint="BF" w:sz="8" w:space="0"/>
          <w:right w:val="single" w:color="83CAF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single" w:color="0078F1" w:themeColor="accent4" w:themeTint="BF" w:sz="8" w:space="0"/>
      </w:tblBorders>
    </w:tblPr>
    <w:tblStylePr w:type="firstRow">
      <w:pPr>
        <w:spacing w:before="0" w:after="0" w:line="240" w:lineRule="auto"/>
      </w:pPr>
      <w:rPr>
        <w:b/>
        <w:bCs/>
        <w:color w:val="FFFFFF" w:themeColor="background1"/>
      </w:rPr>
      <w:tblPr/>
      <w:tcPr>
        <w:tcBorders>
          <w:top w:val="single" w:color="0078F1" w:themeColor="accent4" w:themeTint="BF" w:sz="8"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shd w:val="clear" w:color="auto" w:fill="004C97" w:themeFill="accent4"/>
      </w:tcPr>
    </w:tblStylePr>
    <w:tblStylePr w:type="lastRow">
      <w:pPr>
        <w:spacing w:before="0" w:after="0" w:line="240" w:lineRule="auto"/>
      </w:pPr>
      <w:rPr>
        <w:b/>
        <w:bCs/>
      </w:rPr>
      <w:tblPr/>
      <w:tcPr>
        <w:tcBorders>
          <w:top w:val="double" w:color="0078F1" w:themeColor="accent4" w:themeTint="BF" w:sz="6" w:space="0"/>
          <w:left w:val="single" w:color="0078F1" w:themeColor="accent4" w:themeTint="BF" w:sz="8" w:space="0"/>
          <w:bottom w:val="single" w:color="0078F1" w:themeColor="accent4" w:themeTint="BF" w:sz="8" w:space="0"/>
          <w:right w:val="single" w:color="0078F1"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single" w:color="83BF8A" w:themeColor="accent5" w:themeTint="BF" w:sz="8" w:space="0"/>
      </w:tblBorders>
    </w:tblPr>
    <w:tblStylePr w:type="firstRow">
      <w:pPr>
        <w:spacing w:before="0" w:after="0" w:line="240" w:lineRule="auto"/>
      </w:pPr>
      <w:rPr>
        <w:b/>
        <w:bCs/>
        <w:color w:val="FFFFFF" w:themeColor="background1"/>
      </w:rPr>
      <w:tblPr/>
      <w:tcPr>
        <w:tcBorders>
          <w:top w:val="single" w:color="83BF8A" w:themeColor="accent5" w:themeTint="BF" w:sz="8"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shd w:val="clear" w:color="auto" w:fill="5AAA64" w:themeFill="accent5"/>
      </w:tcPr>
    </w:tblStylePr>
    <w:tblStylePr w:type="lastRow">
      <w:pPr>
        <w:spacing w:before="0" w:after="0" w:line="240" w:lineRule="auto"/>
      </w:pPr>
      <w:rPr>
        <w:b/>
        <w:bCs/>
      </w:rPr>
      <w:tblPr/>
      <w:tcPr>
        <w:tcBorders>
          <w:top w:val="double" w:color="83BF8A" w:themeColor="accent5" w:themeTint="BF" w:sz="6" w:space="0"/>
          <w:left w:val="single" w:color="83BF8A" w:themeColor="accent5" w:themeTint="BF" w:sz="8" w:space="0"/>
          <w:bottom w:val="single" w:color="83BF8A" w:themeColor="accent5" w:themeTint="BF" w:sz="8" w:space="0"/>
          <w:right w:val="single" w:color="83BF8A"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single" w:color="EC8A6C" w:themeColor="accent6" w:themeTint="BF" w:sz="8" w:space="0"/>
      </w:tblBorders>
    </w:tblPr>
    <w:tblStylePr w:type="firstRow">
      <w:pPr>
        <w:spacing w:before="0" w:after="0" w:line="240" w:lineRule="auto"/>
      </w:pPr>
      <w:rPr>
        <w:b/>
        <w:bCs/>
        <w:color w:val="FFFFFF" w:themeColor="background1"/>
      </w:rPr>
      <w:tblPr/>
      <w:tcPr>
        <w:tcBorders>
          <w:top w:val="single" w:color="EC8A6C" w:themeColor="accent6" w:themeTint="BF" w:sz="8"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shd w:val="clear" w:color="auto" w:fill="E6643C" w:themeFill="accent6"/>
      </w:tcPr>
    </w:tblStylePr>
    <w:tblStylePr w:type="lastRow">
      <w:pPr>
        <w:spacing w:before="0" w:after="0" w:line="240" w:lineRule="auto"/>
      </w:pPr>
      <w:rPr>
        <w:b/>
        <w:bCs/>
      </w:rPr>
      <w:tblPr/>
      <w:tcPr>
        <w:tcBorders>
          <w:top w:val="double" w:color="EC8A6C" w:themeColor="accent6" w:themeTint="BF" w:sz="6" w:space="0"/>
          <w:left w:val="single" w:color="EC8A6C" w:themeColor="accent6" w:themeTint="BF" w:sz="8" w:space="0"/>
          <w:bottom w:val="single" w:color="EC8A6C" w:themeColor="accent6" w:themeTint="BF" w:sz="8" w:space="0"/>
          <w:right w:val="single" w:color="EC8A6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SCVpullouttext" w:customStyle="1">
    <w:name w:val="SCV pullout text"/>
    <w:basedOn w:val="SCVbody"/>
    <w:uiPriority w:val="13"/>
    <w:qFormat/>
    <w:rsid w:val="00E45C9C"/>
    <w:pPr>
      <w:spacing w:after="120"/>
    </w:pPr>
    <w:rPr>
      <w:color w:val="007586" w:themeColor="text2"/>
    </w:rPr>
  </w:style>
  <w:style w:type="paragraph" w:styleId="SCVpulloutheading" w:customStyle="1">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styleId="SCVInformationTable" w:customStyle="1">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styleId="Heading5Char" w:customStyle="1">
    <w:name w:val="Heading 5 Char"/>
    <w:basedOn w:val="DefaultParagraphFont"/>
    <w:link w:val="Heading5"/>
    <w:uiPriority w:val="1"/>
    <w:semiHidden/>
    <w:rsid w:val="00E45C9C"/>
    <w:rPr>
      <w:rFonts w:asciiTheme="majorHAnsi" w:hAnsiTheme="majorHAnsi" w:eastAsiaTheme="majorEastAsia" w:cstheme="majorBidi"/>
      <w:color w:val="141A1F" w:themeColor="accent1" w:themeShade="BF"/>
    </w:rPr>
  </w:style>
  <w:style w:type="paragraph" w:styleId="SCVnumberloweralphaindent" w:customStyle="1">
    <w:name w:val="SCV number lower alpha indent"/>
    <w:basedOn w:val="SCVbody"/>
    <w:uiPriority w:val="29"/>
    <w:rsid w:val="00E45C9C"/>
    <w:pPr>
      <w:numPr>
        <w:ilvl w:val="1"/>
        <w:numId w:val="3"/>
      </w:numPr>
      <w:spacing w:before="60" w:after="60"/>
    </w:pPr>
    <w:rPr>
      <w:rFonts w:eastAsia="Times New Roman" w:cstheme="minorHAnsi"/>
      <w:lang w:eastAsia="en-US"/>
    </w:rPr>
  </w:style>
  <w:style w:type="paragraph" w:styleId="SCVtablebody" w:customStyle="1">
    <w:name w:val="SCV table body"/>
    <w:uiPriority w:val="22"/>
    <w:qFormat/>
    <w:rsid w:val="00E45C9C"/>
    <w:pPr>
      <w:spacing w:before="80" w:after="60" w:line="240" w:lineRule="atLeast"/>
    </w:pPr>
    <w:rPr>
      <w:rFonts w:eastAsia="Times New Roman" w:cstheme="minorHAnsi"/>
      <w:sz w:val="18"/>
      <w:szCs w:val="21"/>
      <w:lang w:eastAsia="en-US"/>
    </w:rPr>
  </w:style>
  <w:style w:type="paragraph" w:styleId="SCVnumberdigit" w:customStyle="1">
    <w:name w:val="SCV number digit"/>
    <w:basedOn w:val="SCVbody"/>
    <w:uiPriority w:val="29"/>
    <w:rsid w:val="005C07D3"/>
    <w:pPr>
      <w:numPr>
        <w:numId w:val="3"/>
      </w:numPr>
      <w:spacing w:before="60" w:after="60"/>
    </w:pPr>
    <w:rPr>
      <w:rFonts w:eastAsia="Times New Roman" w:cstheme="minorHAnsi"/>
      <w:lang w:eastAsia="en-US"/>
    </w:rPr>
  </w:style>
  <w:style w:type="paragraph" w:styleId="SCVtablecolhead" w:customStyle="1">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styleId="SCVbodyaftertablefigure" w:customStyle="1">
    <w:name w:val="SCV body after table/figure"/>
    <w:basedOn w:val="SCVbody"/>
    <w:next w:val="SCVbody"/>
    <w:uiPriority w:val="24"/>
    <w:rsid w:val="00E45C9C"/>
    <w:pPr>
      <w:spacing w:before="240"/>
    </w:pPr>
    <w:rPr>
      <w:rFonts w:eastAsia="Times New Roman" w:cstheme="minorHAnsi"/>
      <w:lang w:eastAsia="en-US"/>
    </w:rPr>
  </w:style>
  <w:style w:type="paragraph" w:styleId="SCVquote" w:customStyle="1">
    <w:name w:val="SCV quote"/>
    <w:basedOn w:val="SCVbody"/>
    <w:uiPriority w:val="29"/>
    <w:rsid w:val="00E45C9C"/>
    <w:pPr>
      <w:ind w:left="397"/>
    </w:pPr>
    <w:rPr>
      <w:rFonts w:eastAsia="Times New Roman" w:cstheme="minorHAnsi"/>
      <w:color w:val="007586" w:themeColor="text2"/>
      <w:szCs w:val="18"/>
      <w:lang w:eastAsia="en-US"/>
    </w:rPr>
  </w:style>
  <w:style w:type="numbering" w:styleId="ZZBulletsafternumbers" w:customStyle="1">
    <w:name w:val="ZZ Bullets after numbers"/>
    <w:basedOn w:val="NoList"/>
    <w:uiPriority w:val="99"/>
    <w:rsid w:val="00E45C9C"/>
    <w:pPr>
      <w:numPr>
        <w:numId w:val="2"/>
      </w:numPr>
    </w:pPr>
  </w:style>
  <w:style w:type="paragraph" w:styleId="SCVbulletafternumbers" w:customStyle="1">
    <w:name w:val="SCV bullet after numbers"/>
    <w:basedOn w:val="SCVbody"/>
    <w:uiPriority w:val="24"/>
    <w:rsid w:val="00E45C9C"/>
    <w:pPr>
      <w:numPr>
        <w:ilvl w:val="1"/>
        <w:numId w:val="2"/>
      </w:numPr>
      <w:spacing w:before="60" w:after="60"/>
    </w:pPr>
  </w:style>
  <w:style w:type="paragraph" w:styleId="SCVquotebullet1" w:customStyle="1">
    <w:name w:val="SCV quote bullet 1"/>
    <w:basedOn w:val="SCVquote"/>
    <w:uiPriority w:val="29"/>
    <w:rsid w:val="000B7B42"/>
    <w:pPr>
      <w:numPr>
        <w:numId w:val="5"/>
      </w:numPr>
      <w:spacing w:before="60" w:after="60"/>
    </w:pPr>
  </w:style>
  <w:style w:type="paragraph" w:styleId="SCVquotebullet2" w:customStyle="1">
    <w:name w:val="SCV quote bullet 2"/>
    <w:basedOn w:val="SCVquote"/>
    <w:uiPriority w:val="29"/>
    <w:rsid w:val="000B7B42"/>
    <w:pPr>
      <w:numPr>
        <w:ilvl w:val="1"/>
        <w:numId w:val="5"/>
      </w:numPr>
      <w:spacing w:before="60" w:after="60"/>
    </w:pPr>
  </w:style>
  <w:style w:type="paragraph" w:styleId="SCVtablebullet1" w:customStyle="1">
    <w:name w:val="SCV table bullet 1"/>
    <w:basedOn w:val="SCVtablebody"/>
    <w:uiPriority w:val="23"/>
    <w:qFormat/>
    <w:rsid w:val="00E45C9C"/>
    <w:pPr>
      <w:numPr>
        <w:numId w:val="6"/>
      </w:numPr>
    </w:pPr>
    <w:rPr>
      <w:szCs w:val="18"/>
    </w:rPr>
  </w:style>
  <w:style w:type="paragraph" w:styleId="SCVtablebullet2" w:customStyle="1">
    <w:name w:val="SCV table bullet 2"/>
    <w:basedOn w:val="SCVtablebody"/>
    <w:uiPriority w:val="23"/>
    <w:rsid w:val="00E45C9C"/>
    <w:pPr>
      <w:numPr>
        <w:ilvl w:val="1"/>
        <w:numId w:val="6"/>
      </w:numPr>
    </w:pPr>
    <w:rPr>
      <w:szCs w:val="18"/>
    </w:rPr>
  </w:style>
  <w:style w:type="character" w:styleId="SCVbodyChar" w:customStyle="1">
    <w:name w:val="SCV body Char"/>
    <w:basedOn w:val="DefaultParagraphFont"/>
    <w:link w:val="SCVbody"/>
    <w:locked/>
    <w:rsid w:val="00E45C9C"/>
  </w:style>
  <w:style w:type="numbering" w:styleId="ZZNumbersdigit" w:customStyle="1">
    <w:name w:val="ZZ Numbers digit"/>
    <w:rsid w:val="00E45C9C"/>
    <w:pPr>
      <w:numPr>
        <w:numId w:val="3"/>
      </w:numPr>
    </w:pPr>
  </w:style>
  <w:style w:type="numbering" w:styleId="ZZTablebullets" w:customStyle="1">
    <w:name w:val="ZZ Table bullets"/>
    <w:rsid w:val="00E45C9C"/>
    <w:pPr>
      <w:numPr>
        <w:numId w:val="6"/>
      </w:numPr>
    </w:pPr>
  </w:style>
  <w:style w:type="numbering" w:styleId="ZZQuotebullets" w:customStyle="1">
    <w:name w:val="ZZ Quote bullets"/>
    <w:rsid w:val="000B7B42"/>
    <w:pPr>
      <w:numPr>
        <w:numId w:val="5"/>
      </w:numPr>
    </w:pPr>
  </w:style>
  <w:style w:type="paragraph" w:styleId="SCVheader" w:customStyle="1">
    <w:name w:val="SCV header"/>
    <w:basedOn w:val="Header"/>
    <w:uiPriority w:val="1"/>
    <w:rsid w:val="00E45C9C"/>
    <w:pPr>
      <w:pBdr>
        <w:bottom w:val="single" w:color="CCCCD0" w:sz="24" w:space="1"/>
      </w:pBdr>
    </w:pPr>
  </w:style>
  <w:style w:type="paragraph" w:styleId="SCVtablerowhead" w:customStyle="1">
    <w:name w:val="SCV table row head"/>
    <w:basedOn w:val="SCVtablecolhead"/>
    <w:uiPriority w:val="21"/>
    <w:qFormat/>
    <w:rsid w:val="00E45C9C"/>
    <w:rPr>
      <w:rFonts w:cs="Times New Roman"/>
    </w:rPr>
  </w:style>
  <w:style w:type="paragraph" w:styleId="SCVaccessibilitypara" w:customStyle="1">
    <w:name w:val="SCV accessibility para"/>
    <w:basedOn w:val="SCVbody"/>
    <w:uiPriority w:val="29"/>
    <w:rsid w:val="00E45C9C"/>
    <w:rPr>
      <w:sz w:val="24"/>
    </w:rPr>
  </w:style>
  <w:style w:type="character" w:styleId="UnresolvedMention">
    <w:name w:val="Unresolved Mention"/>
    <w:basedOn w:val="DefaultParagraphFont"/>
    <w:uiPriority w:val="99"/>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styleId="SCVpulloutbox" w:customStyle="1">
    <w:name w:val="SCV pullout box"/>
    <w:basedOn w:val="PlainTable1"/>
    <w:uiPriority w:val="99"/>
    <w:rsid w:val="00E45C9C"/>
    <w:pPr>
      <w:spacing w:before="0" w:after="120" w:line="300" w:lineRule="auto"/>
    </w:pPr>
    <w:tblP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ZZTablenumbers" w:customStyle="1">
    <w:name w:val="ZZ Table numbers"/>
    <w:basedOn w:val="NoList"/>
    <w:uiPriority w:val="99"/>
    <w:rsid w:val="00E45C9C"/>
    <w:pPr>
      <w:numPr>
        <w:numId w:val="7"/>
      </w:numPr>
    </w:pPr>
  </w:style>
  <w:style w:type="paragraph" w:styleId="SCVtablenumber1" w:customStyle="1">
    <w:name w:val="SCV table number 1"/>
    <w:basedOn w:val="SCVtablebody"/>
    <w:uiPriority w:val="29"/>
    <w:rsid w:val="00E45C9C"/>
    <w:pPr>
      <w:numPr>
        <w:numId w:val="7"/>
      </w:numPr>
    </w:pPr>
  </w:style>
  <w:style w:type="paragraph" w:styleId="SCVtablenumber2" w:customStyle="1">
    <w:name w:val="SCV table number 2"/>
    <w:basedOn w:val="SCVtablebody"/>
    <w:uiPriority w:val="29"/>
    <w:rsid w:val="00E45C9C"/>
    <w:pPr>
      <w:numPr>
        <w:ilvl w:val="1"/>
        <w:numId w:val="7"/>
      </w:numPr>
      <w:spacing w:before="60" w:line="192" w:lineRule="atLeast"/>
    </w:pPr>
    <w:rPr>
      <w:rFonts w:eastAsiaTheme="minorHAnsi"/>
    </w:rPr>
  </w:style>
  <w:style w:type="paragraph" w:styleId="SCVTOCheading" w:customStyle="1">
    <w:name w:val="SCV TOC heading"/>
    <w:basedOn w:val="Heading1"/>
    <w:uiPriority w:val="29"/>
    <w:rsid w:val="00E45C9C"/>
  </w:style>
  <w:style w:type="paragraph" w:styleId="SCVprotectivemarkingbelowsubtitle" w:customStyle="1">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99"/>
    <w:semiHidden/>
    <w:unhideWhenUsed/>
    <w:rsid w:val="00E45C9C"/>
    <w:rPr>
      <w:sz w:val="16"/>
      <w:szCs w:val="16"/>
    </w:rPr>
  </w:style>
  <w:style w:type="paragraph" w:styleId="CommentText">
    <w:name w:val="annotation text"/>
    <w:basedOn w:val="Normal"/>
    <w:link w:val="CommentTextChar"/>
    <w:uiPriority w:val="99"/>
    <w:unhideWhenUsed/>
    <w:rsid w:val="00E45C9C"/>
    <w:pPr>
      <w:spacing w:line="240" w:lineRule="auto"/>
    </w:pPr>
  </w:style>
  <w:style w:type="character" w:styleId="CommentTextChar" w:customStyle="1">
    <w:name w:val="Comment Text Char"/>
    <w:basedOn w:val="DefaultParagraphFont"/>
    <w:link w:val="CommentText"/>
    <w:uiPriority w:val="99"/>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styleId="CommentSubjectChar" w:customStyle="1">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styleId="SCVimprint" w:customStyle="1">
    <w:name w:val="SCV imprint"/>
    <w:basedOn w:val="SCVbody"/>
    <w:uiPriority w:val="1"/>
    <w:rsid w:val="00E45C9C"/>
    <w:pPr>
      <w:spacing w:before="0" w:after="120"/>
    </w:pPr>
    <w:rPr>
      <w:sz w:val="18"/>
      <w:szCs w:val="18"/>
    </w:rPr>
  </w:style>
  <w:style w:type="paragraph" w:styleId="SCVpulloutbullet" w:customStyle="1">
    <w:name w:val="SCV pullout bullet"/>
    <w:basedOn w:val="SCVpullouttext"/>
    <w:uiPriority w:val="1"/>
    <w:rsid w:val="00E45C9C"/>
    <w:pPr>
      <w:numPr>
        <w:numId w:val="4"/>
      </w:numPr>
      <w:spacing w:before="0"/>
    </w:pPr>
  </w:style>
  <w:style w:type="numbering" w:styleId="ZZPulloutbullets" w:customStyle="1">
    <w:name w:val="ZZ Pullout bullets"/>
    <w:basedOn w:val="NoList"/>
    <w:uiPriority w:val="99"/>
    <w:rsid w:val="00E45C9C"/>
    <w:pPr>
      <w:numPr>
        <w:numId w:val="4"/>
      </w:numPr>
    </w:pPr>
  </w:style>
  <w:style w:type="paragraph" w:styleId="SCVdate" w:customStyle="1">
    <w:name w:val="SCV date"/>
    <w:basedOn w:val="SCVbody"/>
    <w:uiPriority w:val="1"/>
    <w:rsid w:val="00E45C9C"/>
    <w:pPr>
      <w:spacing w:before="0" w:after="0"/>
    </w:pPr>
    <w:rPr>
      <w:b/>
      <w:bCs/>
      <w:sz w:val="28"/>
      <w:szCs w:val="28"/>
    </w:rPr>
  </w:style>
  <w:style w:type="paragraph" w:styleId="SCVborderabovetitle" w:customStyle="1">
    <w:name w:val="SCV border above title"/>
    <w:basedOn w:val="SCVbody"/>
    <w:uiPriority w:val="1"/>
    <w:rsid w:val="00E45C9C"/>
    <w:pPr>
      <w:pBdr>
        <w:top w:val="single" w:color="D9D9D9" w:themeColor="background1" w:themeShade="D9" w:sz="24" w:space="1"/>
      </w:pBdr>
      <w:spacing w:before="0" w:after="0"/>
    </w:pPr>
    <w:rPr>
      <w:sz w:val="12"/>
    </w:rPr>
  </w:style>
  <w:style w:type="paragraph" w:styleId="SCVfooter" w:customStyle="1">
    <w:name w:val="SCV footer"/>
    <w:basedOn w:val="Footer"/>
    <w:uiPriority w:val="99"/>
    <w:rsid w:val="00E45C9C"/>
    <w:pPr>
      <w:pBdr>
        <w:top w:val="single" w:color="CCCCD0" w:sz="8" w:space="6"/>
      </w:pBdr>
      <w:spacing w:line="240" w:lineRule="auto"/>
    </w:pPr>
    <w:rPr>
      <w:sz w:val="18"/>
    </w:rPr>
  </w:style>
  <w:style w:type="paragraph" w:styleId="DHHSbody" w:customStyle="1">
    <w:name w:val="DHHS body"/>
    <w:link w:val="DHHSbodyChar"/>
    <w:qFormat/>
    <w:rsid w:val="00841973"/>
    <w:pPr>
      <w:spacing w:before="0" w:after="120" w:line="270" w:lineRule="atLeast"/>
    </w:pPr>
    <w:rPr>
      <w:rFonts w:ascii="Arial" w:hAnsi="Arial" w:eastAsia="Times" w:cs="Times New Roman"/>
      <w:lang w:eastAsia="en-US"/>
    </w:rPr>
  </w:style>
  <w:style w:type="character" w:styleId="DHHSbodyChar" w:customStyle="1">
    <w:name w:val="DHHS body Char"/>
    <w:link w:val="DHHSbody"/>
    <w:locked/>
    <w:rsid w:val="00841973"/>
    <w:rPr>
      <w:rFonts w:ascii="Arial" w:hAnsi="Arial" w:eastAsia="Times" w:cs="Times New Roman"/>
      <w:lang w:eastAsia="en-US"/>
    </w:rPr>
  </w:style>
  <w:style w:type="character" w:styleId="normaltextrun1" w:customStyle="1">
    <w:name w:val="normaltextrun1"/>
    <w:basedOn w:val="DefaultParagraphFont"/>
    <w:rsid w:val="00841973"/>
  </w:style>
  <w:style w:type="character" w:styleId="Emphasis">
    <w:name w:val="Emphasis"/>
    <w:basedOn w:val="DefaultParagraphFont"/>
    <w:uiPriority w:val="20"/>
    <w:qFormat/>
    <w:rsid w:val="00E00337"/>
    <w:rPr>
      <w:i/>
      <w:iCs/>
    </w:rPr>
  </w:style>
  <w:style w:type="character" w:styleId="normaltextrun" w:customStyle="1">
    <w:name w:val="normaltextrun"/>
    <w:basedOn w:val="DefaultParagraphFont"/>
    <w:rsid w:val="00E00337"/>
  </w:style>
  <w:style w:type="character" w:styleId="eop" w:customStyle="1">
    <w:name w:val="eop"/>
    <w:basedOn w:val="DefaultParagraphFont"/>
    <w:rsid w:val="00E00337"/>
  </w:style>
  <w:style w:type="character" w:styleId="Mention">
    <w:name w:val="Mention"/>
    <w:basedOn w:val="DefaultParagraphFont"/>
    <w:uiPriority w:val="99"/>
    <w:unhideWhenUsed/>
    <w:rsid w:val="00954A31"/>
    <w:rPr>
      <w:color w:val="2B579A"/>
      <w:shd w:val="clear" w:color="auto" w:fill="E1DFDD"/>
    </w:rPr>
  </w:style>
  <w:style w:type="paragraph" w:styleId="xmsonormal" w:customStyle="1">
    <w:name w:val="xmsonormal"/>
    <w:basedOn w:val="Normal"/>
    <w:rsid w:val="00B04B0D"/>
    <w:pPr>
      <w:spacing w:before="100" w:beforeAutospacing="1" w:after="100" w:afterAutospacing="1" w:line="240" w:lineRule="auto"/>
    </w:pPr>
    <w:rPr>
      <w:rFonts w:ascii="Times New Roman" w:hAnsi="Times New Roman" w:eastAsia="Times New Roman" w:cs="Times New Roman"/>
      <w:sz w:val="24"/>
      <w:szCs w:val="24"/>
    </w:rPr>
  </w:style>
  <w:style w:type="paragraph" w:styleId="Default" w:customStyle="1">
    <w:name w:val="Default"/>
    <w:rsid w:val="00AE251E"/>
    <w:pPr>
      <w:autoSpaceDE w:val="0"/>
      <w:autoSpaceDN w:val="0"/>
      <w:adjustRightInd w:val="0"/>
      <w:spacing w:before="0"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48068337">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00697003">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 w:id="19186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mailto:safercarevictoria@dhhs.vic" TargetMode="External" Id="rId18" /><Relationship Type="http://schemas.openxmlformats.org/officeDocument/2006/relationships/header" Target="header6.xml" Id="rId26" /><Relationship Type="http://schemas.openxmlformats.org/officeDocument/2006/relationships/hyperlink" Target="https://www.safercare.vic.gov.au/sites/default/files/2022-10/Protections%20for%20serious%20adverse%20patient%20safety%20event%20%28SAPSE%29%20reviews%20-%20FINAL.docx" TargetMode="External" Id="rId39" /><Relationship Type="http://schemas.openxmlformats.org/officeDocument/2006/relationships/customXml" Target="../customXml/item3.xml" Id="rId3" /><Relationship Type="http://schemas.openxmlformats.org/officeDocument/2006/relationships/image" Target="media/image2.png" Id="rId21" /><Relationship Type="http://schemas.openxmlformats.org/officeDocument/2006/relationships/hyperlink" Target="https://www.legislation.vic.gov.au/in-force/acts/health-services-act-1988/175" TargetMode="External" Id="rId34" /><Relationship Type="http://schemas.openxmlformats.org/officeDocument/2006/relationships/hyperlink" Target="https://www.safetyandquality.gov.au/our-work/open-disclosure/the-open-disclosure-framework" TargetMode="External" Id="rId42" /><Relationship Type="http://schemas.openxmlformats.org/officeDocument/2006/relationships/footer" Target="footer7.xml" Id="rId47" /><Relationship Type="http://schemas.openxmlformats.org/officeDocument/2006/relationships/glossaryDocument" Target="glossary/document.xml" Id="rId50"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info@safercarevictoria.vic.gov.au" TargetMode="External" Id="rId17" /><Relationship Type="http://schemas.openxmlformats.org/officeDocument/2006/relationships/footer" Target="footer5.xml" Id="rId25" /><Relationship Type="http://schemas.openxmlformats.org/officeDocument/2006/relationships/hyperlink" Target="https://www.legislation.vic.gov.au/as-made/acts/health-legislation-amendment-quality-and-safety-act-2022" TargetMode="External" Id="rId33" /><Relationship Type="http://schemas.openxmlformats.org/officeDocument/2006/relationships/hyperlink" Target="https://www.safercare.vic.gov.au/publications/policy-adverse-patient-safety-events" TargetMode="External" Id="rId38" /><Relationship Type="http://schemas.openxmlformats.org/officeDocument/2006/relationships/header" Target="header10.xml" Id="rId46"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www.safercare.vic" TargetMode="External" Id="rId20" /><Relationship Type="http://schemas.openxmlformats.org/officeDocument/2006/relationships/header" Target="header8.xml" Id="rId29" /><Relationship Type="http://schemas.openxmlformats.org/officeDocument/2006/relationships/hyperlink" Target="https://www.dhhs.vic.gov.au/publications/targeting-zero-review-hospital-safety-and-quality-assurance-victoria"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4.xml" Id="rId24" /><Relationship Type="http://schemas.openxmlformats.org/officeDocument/2006/relationships/hyperlink" Target="https://www.safercare.vic.gov.au/sites/default/files/2022-03/expert-working-group-report-on-statutory-duty-of-candour.docx" TargetMode="External" Id="rId32" /><Relationship Type="http://schemas.openxmlformats.org/officeDocument/2006/relationships/hyperlink" Target="https://www.legislation.vic.gov.au/in-force/acts/mental-health-act-2014/022" TargetMode="External" Id="rId37" /><Relationship Type="http://schemas.openxmlformats.org/officeDocument/2006/relationships/hyperlink" Target="https://www.safercare.vic.gov.au/support-training/adverse-event-review-and-response/duty-of-candour" TargetMode="External" Id="rId40" /><Relationship Type="http://schemas.openxmlformats.org/officeDocument/2006/relationships/header" Target="header9.xm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5.xml" Id="rId23" /><Relationship Type="http://schemas.openxmlformats.org/officeDocument/2006/relationships/header" Target="header7.xml" Id="rId28" /><Relationship Type="http://schemas.openxmlformats.org/officeDocument/2006/relationships/hyperlink" Target="https://www.safercare.vic.gov.au/e-learning" TargetMode="External" Id="rId36"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www.safercare.vic.gov.au" TargetMode="External" Id="rId19" /><Relationship Type="http://schemas.openxmlformats.org/officeDocument/2006/relationships/hyperlink" Target="https://www.legislation.vic.gov.au/in-force/acts/ambulance-services-act-1986/047" TargetMode="External" Id="rId31" /><Relationship Type="http://schemas.openxmlformats.org/officeDocument/2006/relationships/hyperlink" Target="https://www.safercare.vic.gov.au/publications/sentinel-events-guide" TargetMode="External" Id="rId44" /><Relationship Type="http://schemas.microsoft.com/office/2020/10/relationships/intelligence" Target="intelligence2.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4.xml" Id="rId22" /><Relationship Type="http://schemas.openxmlformats.org/officeDocument/2006/relationships/footer" Target="footer6.xml" Id="rId27" /><Relationship Type="http://schemas.openxmlformats.org/officeDocument/2006/relationships/hyperlink" Target="https://www.safercare.vic.gov.au/support-training/adverse-event-review-and-response/duty-of-candour" TargetMode="External" Id="rId30" /><Relationship Type="http://schemas.openxmlformats.org/officeDocument/2006/relationships/hyperlink" Target="https://www.legislation.vic.gov.au/as-made/statutory-rules/health-services-quality-and-safety-regulations-2020" TargetMode="External" Id="rId35" /><Relationship Type="http://schemas.openxmlformats.org/officeDocument/2006/relationships/hyperlink" Target="https://www.safercare.vic.gov.au/sites/default/files/2022-10/Victorian%20Duty%20of%20Candour%20Framework%20-%20FINAL.docx" TargetMode="External" Id="rId43" /><Relationship Type="http://schemas.openxmlformats.org/officeDocument/2006/relationships/footer" Target="footer8.xml" Id="rId48" /><Relationship Type="http://schemas.openxmlformats.org/officeDocument/2006/relationships/webSettings" Target="webSettings.xml" Id="rId8" /><Relationship Type="http://schemas.openxmlformats.org/officeDocument/2006/relationships/theme" Target="theme/theme1.xml" Id="rId51" /></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2F25561A345B8AAE2984745D27F7B"/>
        <w:category>
          <w:name w:val="General"/>
          <w:gallery w:val="placeholder"/>
        </w:category>
        <w:types>
          <w:type w:val="bbPlcHdr"/>
        </w:types>
        <w:behaviors>
          <w:behavior w:val="content"/>
        </w:behaviors>
        <w:guid w:val="{EEA5CF80-59C8-48E9-B1BB-7B2E617FB715}"/>
      </w:docPartPr>
      <w:docPartBody>
        <w:p w:rsidR="00120B5D" w:rsidRDefault="00341546">
          <w:r w:rsidRPr="004A7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2">
    <w:altName w:val="Webdings"/>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46"/>
    <w:rsid w:val="00036AC1"/>
    <w:rsid w:val="000B450D"/>
    <w:rsid w:val="000C0EC4"/>
    <w:rsid w:val="000E672B"/>
    <w:rsid w:val="0010697A"/>
    <w:rsid w:val="00120B5D"/>
    <w:rsid w:val="00146BA8"/>
    <w:rsid w:val="001A4993"/>
    <w:rsid w:val="00211693"/>
    <w:rsid w:val="002345C2"/>
    <w:rsid w:val="002B179B"/>
    <w:rsid w:val="002B5567"/>
    <w:rsid w:val="002E241D"/>
    <w:rsid w:val="003051FA"/>
    <w:rsid w:val="003070FD"/>
    <w:rsid w:val="00341546"/>
    <w:rsid w:val="003500EC"/>
    <w:rsid w:val="003A0852"/>
    <w:rsid w:val="004463A4"/>
    <w:rsid w:val="004F14B7"/>
    <w:rsid w:val="005221FC"/>
    <w:rsid w:val="005560EF"/>
    <w:rsid w:val="0056236C"/>
    <w:rsid w:val="005A56B3"/>
    <w:rsid w:val="005F3A63"/>
    <w:rsid w:val="00640723"/>
    <w:rsid w:val="00670648"/>
    <w:rsid w:val="006D7FCC"/>
    <w:rsid w:val="007134B4"/>
    <w:rsid w:val="0072541D"/>
    <w:rsid w:val="00730DC5"/>
    <w:rsid w:val="00733B62"/>
    <w:rsid w:val="007F6C42"/>
    <w:rsid w:val="00827C3A"/>
    <w:rsid w:val="00887E7C"/>
    <w:rsid w:val="00937DF4"/>
    <w:rsid w:val="00951127"/>
    <w:rsid w:val="00956869"/>
    <w:rsid w:val="009916B2"/>
    <w:rsid w:val="00A446C8"/>
    <w:rsid w:val="00A925AF"/>
    <w:rsid w:val="00AA55D6"/>
    <w:rsid w:val="00AB5963"/>
    <w:rsid w:val="00B13EC7"/>
    <w:rsid w:val="00B62680"/>
    <w:rsid w:val="00B927AF"/>
    <w:rsid w:val="00B96A92"/>
    <w:rsid w:val="00BD01AE"/>
    <w:rsid w:val="00BD12E8"/>
    <w:rsid w:val="00C608D6"/>
    <w:rsid w:val="00C8713F"/>
    <w:rsid w:val="00CC6818"/>
    <w:rsid w:val="00CF5C68"/>
    <w:rsid w:val="00DA6045"/>
    <w:rsid w:val="00DD7234"/>
    <w:rsid w:val="00DE3432"/>
    <w:rsid w:val="00FC06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4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3415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19afca8-9d5b-4e5f-a02d-e8160e861dbb">
      <UserInfo>
        <DisplayName>Matthew Teran (Health)</DisplayName>
        <AccountId>69</AccountId>
        <AccountType/>
      </UserInfo>
      <UserInfo>
        <DisplayName>Nicole Youngs (DHHS)</DisplayName>
        <AccountId>94</AccountId>
        <AccountType/>
      </UserInfo>
      <UserInfo>
        <DisplayName>Joanna Green (Health)</DisplayName>
        <AccountId>229</AccountId>
        <AccountType/>
      </UserInfo>
      <UserInfo>
        <DisplayName>Melanie K Burns (DHHS)</DisplayName>
        <AccountId>261</AccountId>
        <AccountType/>
      </UserInfo>
      <UserInfo>
        <DisplayName>Kate De Clercq (DHHS)</DisplayName>
        <AccountId>64</AccountId>
        <AccountType/>
      </UserInfo>
      <UserInfo>
        <DisplayName>Communications Safercare (DHHS)</DisplayName>
        <AccountId>202</AccountId>
        <AccountType/>
      </UserInfo>
      <UserInfo>
        <DisplayName>Mike Roberts (DHHS)</DisplayName>
        <AccountId>47</AccountId>
        <AccountType/>
      </UserInfo>
    </SharedWithUsers>
    <TaxCatchAll xmlns="5ce0f2b5-5be5-4508-bce9-d7011ece0659" xsi:nil="true"/>
    <lcf76f155ced4ddcb4097134ff3c332f xmlns="d57d50af-0511-4abc-8473-7b8c08a937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B187E-0473-41FB-8F34-FE2F5BD2E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4B017-67B2-4273-A892-DF143D2215B1}">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819afca8-9d5b-4e5f-a02d-e8160e861dbb"/>
    <ds:schemaRef ds:uri="http://purl.org/dc/terms/"/>
    <ds:schemaRef ds:uri="http://schemas.openxmlformats.org/package/2006/metadata/core-properties"/>
    <ds:schemaRef ds:uri="d57d50af-0511-4abc-8473-7b8c08a937c3"/>
    <ds:schemaRef ds:uri="http://www.w3.org/XML/1998/namespace"/>
    <ds:schemaRef ds:uri="http://purl.org/dc/dcmitype/"/>
  </ds:schemaRefs>
</ds:datastoreItem>
</file>

<file path=customXml/itemProps3.xml><?xml version="1.0" encoding="utf-8"?>
<ds:datastoreItem xmlns:ds="http://schemas.openxmlformats.org/officeDocument/2006/customXml" ds:itemID="{F996772A-5698-4341-8FFB-C749A8464858}">
  <ds:schemaRefs>
    <ds:schemaRef ds:uri="http://schemas.microsoft.com/sharepoint/v3/contenttype/forms"/>
  </ds:schemaRefs>
</ds:datastoreItem>
</file>

<file path=customXml/itemProps4.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20</Pages>
  <Words>5175</Words>
  <Characters>29502</Characters>
  <Application>Microsoft Office Word</Application>
  <DocSecurity>0</DocSecurity>
  <Lines>245</Lines>
  <Paragraphs>69</Paragraphs>
  <ScaleCrop>false</ScaleCrop>
  <Manager/>
  <Company>Safer Care Victoria</Company>
  <LinksUpToDate>false</LinksUpToDate>
  <CharactersWithSpaces>34608</CharactersWithSpaces>
  <SharedDoc>false</SharedDoc>
  <HLinks>
    <vt:vector size="222" baseType="variant">
      <vt:variant>
        <vt:i4>393306</vt:i4>
      </vt:variant>
      <vt:variant>
        <vt:i4>168</vt:i4>
      </vt:variant>
      <vt:variant>
        <vt:i4>0</vt:i4>
      </vt:variant>
      <vt:variant>
        <vt:i4>5</vt:i4>
      </vt:variant>
      <vt:variant>
        <vt:lpwstr>https://www.dhhs.vic.gov.au/publications/targeting-zero-review-hospital-safety-and-quality-assurance-victoria</vt:lpwstr>
      </vt:variant>
      <vt:variant>
        <vt:lpwstr/>
      </vt:variant>
      <vt:variant>
        <vt:i4>6881314</vt:i4>
      </vt:variant>
      <vt:variant>
        <vt:i4>165</vt:i4>
      </vt:variant>
      <vt:variant>
        <vt:i4>0</vt:i4>
      </vt:variant>
      <vt:variant>
        <vt:i4>5</vt:i4>
      </vt:variant>
      <vt:variant>
        <vt:lpwstr>https://www.safercare.vic.gov.au/publications/sentinel-events-guide</vt:lpwstr>
      </vt:variant>
      <vt:variant>
        <vt:lpwstr/>
      </vt:variant>
      <vt:variant>
        <vt:i4>3080249</vt:i4>
      </vt:variant>
      <vt:variant>
        <vt:i4>162</vt:i4>
      </vt:variant>
      <vt:variant>
        <vt:i4>0</vt:i4>
      </vt:variant>
      <vt:variant>
        <vt:i4>5</vt:i4>
      </vt:variant>
      <vt:variant>
        <vt:lpwstr>https://www.safetyandquality.gov.au/our-work/open-disclosure/the-open-disclosure-framework</vt:lpwstr>
      </vt:variant>
      <vt:variant>
        <vt:lpwstr/>
      </vt:variant>
      <vt:variant>
        <vt:i4>393306</vt:i4>
      </vt:variant>
      <vt:variant>
        <vt:i4>159</vt:i4>
      </vt:variant>
      <vt:variant>
        <vt:i4>0</vt:i4>
      </vt:variant>
      <vt:variant>
        <vt:i4>5</vt:i4>
      </vt:variant>
      <vt:variant>
        <vt:lpwstr>https://www.dhhs.vic.gov.au/publications/targeting-zero-review-hospital-safety-and-quality-assurance-victoria</vt:lpwstr>
      </vt:variant>
      <vt:variant>
        <vt:lpwstr/>
      </vt:variant>
      <vt:variant>
        <vt:i4>3801210</vt:i4>
      </vt:variant>
      <vt:variant>
        <vt:i4>156</vt:i4>
      </vt:variant>
      <vt:variant>
        <vt:i4>0</vt:i4>
      </vt:variant>
      <vt:variant>
        <vt:i4>5</vt:i4>
      </vt:variant>
      <vt:variant>
        <vt:lpwstr>https://www.safercare.vic.gov.au/support-training/adverse-event-review-and-response/duty-of-candour</vt:lpwstr>
      </vt:variant>
      <vt:variant>
        <vt:lpwstr/>
      </vt:variant>
      <vt:variant>
        <vt:i4>6815868</vt:i4>
      </vt:variant>
      <vt:variant>
        <vt:i4>153</vt:i4>
      </vt:variant>
      <vt:variant>
        <vt:i4>0</vt:i4>
      </vt:variant>
      <vt:variant>
        <vt:i4>5</vt:i4>
      </vt:variant>
      <vt:variant>
        <vt:lpwstr>https://www.safercare.vic.gov.au/sites/default/files/2022-08/Protections for serious adverse patient safety event %28SAPSE%29 reviews.docx</vt:lpwstr>
      </vt:variant>
      <vt:variant>
        <vt:lpwstr/>
      </vt:variant>
      <vt:variant>
        <vt:i4>8323124</vt:i4>
      </vt:variant>
      <vt:variant>
        <vt:i4>150</vt:i4>
      </vt:variant>
      <vt:variant>
        <vt:i4>0</vt:i4>
      </vt:variant>
      <vt:variant>
        <vt:i4>5</vt:i4>
      </vt:variant>
      <vt:variant>
        <vt:lpwstr>https://www.safercare.vic.gov.au/publications/policy-adverse-patient-safety-events</vt:lpwstr>
      </vt:variant>
      <vt:variant>
        <vt:lpwstr/>
      </vt:variant>
      <vt:variant>
        <vt:i4>3932262</vt:i4>
      </vt:variant>
      <vt:variant>
        <vt:i4>147</vt:i4>
      </vt:variant>
      <vt:variant>
        <vt:i4>0</vt:i4>
      </vt:variant>
      <vt:variant>
        <vt:i4>5</vt:i4>
      </vt:variant>
      <vt:variant>
        <vt:lpwstr>https://www.legislation.vic.gov.au/in-force/acts/mental-health-act-2014/022</vt:lpwstr>
      </vt:variant>
      <vt:variant>
        <vt:lpwstr/>
      </vt:variant>
      <vt:variant>
        <vt:i4>6815802</vt:i4>
      </vt:variant>
      <vt:variant>
        <vt:i4>144</vt:i4>
      </vt:variant>
      <vt:variant>
        <vt:i4>0</vt:i4>
      </vt:variant>
      <vt:variant>
        <vt:i4>5</vt:i4>
      </vt:variant>
      <vt:variant>
        <vt:lpwstr>https://www.safercare.vic.gov.au/e-learning</vt:lpwstr>
      </vt:variant>
      <vt:variant>
        <vt:lpwstr/>
      </vt:variant>
      <vt:variant>
        <vt:i4>8061051</vt:i4>
      </vt:variant>
      <vt:variant>
        <vt:i4>141</vt:i4>
      </vt:variant>
      <vt:variant>
        <vt:i4>0</vt:i4>
      </vt:variant>
      <vt:variant>
        <vt:i4>5</vt:i4>
      </vt:variant>
      <vt:variant>
        <vt:lpwstr>https://www.legislation.vic.gov.au/as-made/statutory-rules/health-services-quality-and-safety-regulations-2020</vt:lpwstr>
      </vt:variant>
      <vt:variant>
        <vt:lpwstr/>
      </vt:variant>
      <vt:variant>
        <vt:i4>5111822</vt:i4>
      </vt:variant>
      <vt:variant>
        <vt:i4>138</vt:i4>
      </vt:variant>
      <vt:variant>
        <vt:i4>0</vt:i4>
      </vt:variant>
      <vt:variant>
        <vt:i4>5</vt:i4>
      </vt:variant>
      <vt:variant>
        <vt:lpwstr>https://www.legislation.vic.gov.au/in-force/acts/health-services-act-1988/175</vt:lpwstr>
      </vt:variant>
      <vt:variant>
        <vt:lpwstr/>
      </vt:variant>
      <vt:variant>
        <vt:i4>1507345</vt:i4>
      </vt:variant>
      <vt:variant>
        <vt:i4>135</vt:i4>
      </vt:variant>
      <vt:variant>
        <vt:i4>0</vt:i4>
      </vt:variant>
      <vt:variant>
        <vt:i4>5</vt:i4>
      </vt:variant>
      <vt:variant>
        <vt:lpwstr>https://www.legislation.vic.gov.au/as-made/acts/health-legislation-amendment-quality-and-safety-act-2022</vt:lpwstr>
      </vt:variant>
      <vt:variant>
        <vt:lpwstr/>
      </vt:variant>
      <vt:variant>
        <vt:i4>2555943</vt:i4>
      </vt:variant>
      <vt:variant>
        <vt:i4>132</vt:i4>
      </vt:variant>
      <vt:variant>
        <vt:i4>0</vt:i4>
      </vt:variant>
      <vt:variant>
        <vt:i4>5</vt:i4>
      </vt:variant>
      <vt:variant>
        <vt:lpwstr>https://www.safercare.vic.gov.au/sites/default/files/2022-03/expert-working-group-report-on-statutory-duty-of-candour.docx</vt:lpwstr>
      </vt:variant>
      <vt:variant>
        <vt:lpwstr/>
      </vt:variant>
      <vt:variant>
        <vt:i4>1769474</vt:i4>
      </vt:variant>
      <vt:variant>
        <vt:i4>129</vt:i4>
      </vt:variant>
      <vt:variant>
        <vt:i4>0</vt:i4>
      </vt:variant>
      <vt:variant>
        <vt:i4>5</vt:i4>
      </vt:variant>
      <vt:variant>
        <vt:lpwstr>https://www.legislation.vic.gov.au/in-force/acts/ambulance-services-act-1986/047</vt:lpwstr>
      </vt:variant>
      <vt:variant>
        <vt:lpwstr/>
      </vt:variant>
      <vt:variant>
        <vt:i4>5242965</vt:i4>
      </vt:variant>
      <vt:variant>
        <vt:i4>126</vt:i4>
      </vt:variant>
      <vt:variant>
        <vt:i4>0</vt:i4>
      </vt:variant>
      <vt:variant>
        <vt:i4>5</vt:i4>
      </vt:variant>
      <vt:variant>
        <vt:lpwstr>https://www.safercare.vic.gov.au/support-training/adverse-event-review-and-response/duty-of-candour</vt:lpwstr>
      </vt:variant>
      <vt:variant>
        <vt:lpwstr>:~:text=around%20adverse%20events.-,Statutory%20duty%20of%20candour,and%20improvements%20put%20in%20place.</vt:lpwstr>
      </vt:variant>
      <vt:variant>
        <vt:i4>1507383</vt:i4>
      </vt:variant>
      <vt:variant>
        <vt:i4>119</vt:i4>
      </vt:variant>
      <vt:variant>
        <vt:i4>0</vt:i4>
      </vt:variant>
      <vt:variant>
        <vt:i4>5</vt:i4>
      </vt:variant>
      <vt:variant>
        <vt:lpwstr/>
      </vt:variant>
      <vt:variant>
        <vt:lpwstr>_Toc117524305</vt:lpwstr>
      </vt:variant>
      <vt:variant>
        <vt:i4>1507383</vt:i4>
      </vt:variant>
      <vt:variant>
        <vt:i4>113</vt:i4>
      </vt:variant>
      <vt:variant>
        <vt:i4>0</vt:i4>
      </vt:variant>
      <vt:variant>
        <vt:i4>5</vt:i4>
      </vt:variant>
      <vt:variant>
        <vt:lpwstr/>
      </vt:variant>
      <vt:variant>
        <vt:lpwstr>_Toc117524304</vt:lpwstr>
      </vt:variant>
      <vt:variant>
        <vt:i4>1507383</vt:i4>
      </vt:variant>
      <vt:variant>
        <vt:i4>107</vt:i4>
      </vt:variant>
      <vt:variant>
        <vt:i4>0</vt:i4>
      </vt:variant>
      <vt:variant>
        <vt:i4>5</vt:i4>
      </vt:variant>
      <vt:variant>
        <vt:lpwstr/>
      </vt:variant>
      <vt:variant>
        <vt:lpwstr>_Toc117524303</vt:lpwstr>
      </vt:variant>
      <vt:variant>
        <vt:i4>1507383</vt:i4>
      </vt:variant>
      <vt:variant>
        <vt:i4>101</vt:i4>
      </vt:variant>
      <vt:variant>
        <vt:i4>0</vt:i4>
      </vt:variant>
      <vt:variant>
        <vt:i4>5</vt:i4>
      </vt:variant>
      <vt:variant>
        <vt:lpwstr/>
      </vt:variant>
      <vt:variant>
        <vt:lpwstr>_Toc117524302</vt:lpwstr>
      </vt:variant>
      <vt:variant>
        <vt:i4>1507383</vt:i4>
      </vt:variant>
      <vt:variant>
        <vt:i4>95</vt:i4>
      </vt:variant>
      <vt:variant>
        <vt:i4>0</vt:i4>
      </vt:variant>
      <vt:variant>
        <vt:i4>5</vt:i4>
      </vt:variant>
      <vt:variant>
        <vt:lpwstr/>
      </vt:variant>
      <vt:variant>
        <vt:lpwstr>_Toc117524301</vt:lpwstr>
      </vt:variant>
      <vt:variant>
        <vt:i4>1507383</vt:i4>
      </vt:variant>
      <vt:variant>
        <vt:i4>89</vt:i4>
      </vt:variant>
      <vt:variant>
        <vt:i4>0</vt:i4>
      </vt:variant>
      <vt:variant>
        <vt:i4>5</vt:i4>
      </vt:variant>
      <vt:variant>
        <vt:lpwstr/>
      </vt:variant>
      <vt:variant>
        <vt:lpwstr>_Toc117524300</vt:lpwstr>
      </vt:variant>
      <vt:variant>
        <vt:i4>1966134</vt:i4>
      </vt:variant>
      <vt:variant>
        <vt:i4>83</vt:i4>
      </vt:variant>
      <vt:variant>
        <vt:i4>0</vt:i4>
      </vt:variant>
      <vt:variant>
        <vt:i4>5</vt:i4>
      </vt:variant>
      <vt:variant>
        <vt:lpwstr/>
      </vt:variant>
      <vt:variant>
        <vt:lpwstr>_Toc117524299</vt:lpwstr>
      </vt:variant>
      <vt:variant>
        <vt:i4>1966134</vt:i4>
      </vt:variant>
      <vt:variant>
        <vt:i4>77</vt:i4>
      </vt:variant>
      <vt:variant>
        <vt:i4>0</vt:i4>
      </vt:variant>
      <vt:variant>
        <vt:i4>5</vt:i4>
      </vt:variant>
      <vt:variant>
        <vt:lpwstr/>
      </vt:variant>
      <vt:variant>
        <vt:lpwstr>_Toc117524298</vt:lpwstr>
      </vt:variant>
      <vt:variant>
        <vt:i4>1966134</vt:i4>
      </vt:variant>
      <vt:variant>
        <vt:i4>71</vt:i4>
      </vt:variant>
      <vt:variant>
        <vt:i4>0</vt:i4>
      </vt:variant>
      <vt:variant>
        <vt:i4>5</vt:i4>
      </vt:variant>
      <vt:variant>
        <vt:lpwstr/>
      </vt:variant>
      <vt:variant>
        <vt:lpwstr>_Toc117524297</vt:lpwstr>
      </vt:variant>
      <vt:variant>
        <vt:i4>1966134</vt:i4>
      </vt:variant>
      <vt:variant>
        <vt:i4>65</vt:i4>
      </vt:variant>
      <vt:variant>
        <vt:i4>0</vt:i4>
      </vt:variant>
      <vt:variant>
        <vt:i4>5</vt:i4>
      </vt:variant>
      <vt:variant>
        <vt:lpwstr/>
      </vt:variant>
      <vt:variant>
        <vt:lpwstr>_Toc117524296</vt:lpwstr>
      </vt:variant>
      <vt:variant>
        <vt:i4>1966134</vt:i4>
      </vt:variant>
      <vt:variant>
        <vt:i4>59</vt:i4>
      </vt:variant>
      <vt:variant>
        <vt:i4>0</vt:i4>
      </vt:variant>
      <vt:variant>
        <vt:i4>5</vt:i4>
      </vt:variant>
      <vt:variant>
        <vt:lpwstr/>
      </vt:variant>
      <vt:variant>
        <vt:lpwstr>_Toc117524295</vt:lpwstr>
      </vt:variant>
      <vt:variant>
        <vt:i4>1966134</vt:i4>
      </vt:variant>
      <vt:variant>
        <vt:i4>53</vt:i4>
      </vt:variant>
      <vt:variant>
        <vt:i4>0</vt:i4>
      </vt:variant>
      <vt:variant>
        <vt:i4>5</vt:i4>
      </vt:variant>
      <vt:variant>
        <vt:lpwstr/>
      </vt:variant>
      <vt:variant>
        <vt:lpwstr>_Toc117524294</vt:lpwstr>
      </vt:variant>
      <vt:variant>
        <vt:i4>1966134</vt:i4>
      </vt:variant>
      <vt:variant>
        <vt:i4>47</vt:i4>
      </vt:variant>
      <vt:variant>
        <vt:i4>0</vt:i4>
      </vt:variant>
      <vt:variant>
        <vt:i4>5</vt:i4>
      </vt:variant>
      <vt:variant>
        <vt:lpwstr/>
      </vt:variant>
      <vt:variant>
        <vt:lpwstr>_Toc117524293</vt:lpwstr>
      </vt:variant>
      <vt:variant>
        <vt:i4>1966134</vt:i4>
      </vt:variant>
      <vt:variant>
        <vt:i4>41</vt:i4>
      </vt:variant>
      <vt:variant>
        <vt:i4>0</vt:i4>
      </vt:variant>
      <vt:variant>
        <vt:i4>5</vt:i4>
      </vt:variant>
      <vt:variant>
        <vt:lpwstr/>
      </vt:variant>
      <vt:variant>
        <vt:lpwstr>_Toc117524292</vt:lpwstr>
      </vt:variant>
      <vt:variant>
        <vt:i4>1966134</vt:i4>
      </vt:variant>
      <vt:variant>
        <vt:i4>35</vt:i4>
      </vt:variant>
      <vt:variant>
        <vt:i4>0</vt:i4>
      </vt:variant>
      <vt:variant>
        <vt:i4>5</vt:i4>
      </vt:variant>
      <vt:variant>
        <vt:lpwstr/>
      </vt:variant>
      <vt:variant>
        <vt:lpwstr>_Toc117524291</vt:lpwstr>
      </vt:variant>
      <vt:variant>
        <vt:i4>1966134</vt:i4>
      </vt:variant>
      <vt:variant>
        <vt:i4>29</vt:i4>
      </vt:variant>
      <vt:variant>
        <vt:i4>0</vt:i4>
      </vt:variant>
      <vt:variant>
        <vt:i4>5</vt:i4>
      </vt:variant>
      <vt:variant>
        <vt:lpwstr/>
      </vt:variant>
      <vt:variant>
        <vt:lpwstr>_Toc117524290</vt:lpwstr>
      </vt:variant>
      <vt:variant>
        <vt:i4>2031670</vt:i4>
      </vt:variant>
      <vt:variant>
        <vt:i4>23</vt:i4>
      </vt:variant>
      <vt:variant>
        <vt:i4>0</vt:i4>
      </vt:variant>
      <vt:variant>
        <vt:i4>5</vt:i4>
      </vt:variant>
      <vt:variant>
        <vt:lpwstr/>
      </vt:variant>
      <vt:variant>
        <vt:lpwstr>_Toc117524289</vt:lpwstr>
      </vt:variant>
      <vt:variant>
        <vt:i4>2031670</vt:i4>
      </vt:variant>
      <vt:variant>
        <vt:i4>17</vt:i4>
      </vt:variant>
      <vt:variant>
        <vt:i4>0</vt:i4>
      </vt:variant>
      <vt:variant>
        <vt:i4>5</vt:i4>
      </vt:variant>
      <vt:variant>
        <vt:lpwstr/>
      </vt:variant>
      <vt:variant>
        <vt:lpwstr>_Toc117524288</vt:lpwstr>
      </vt:variant>
      <vt:variant>
        <vt:i4>6094850</vt:i4>
      </vt:variant>
      <vt:variant>
        <vt:i4>12</vt:i4>
      </vt:variant>
      <vt:variant>
        <vt:i4>0</vt:i4>
      </vt:variant>
      <vt:variant>
        <vt:i4>5</vt:i4>
      </vt:variant>
      <vt:variant>
        <vt:lpwstr>http://www.safercare.vic/</vt:lpwstr>
      </vt:variant>
      <vt:variant>
        <vt:lpwstr/>
      </vt:variant>
      <vt:variant>
        <vt:i4>70</vt:i4>
      </vt:variant>
      <vt:variant>
        <vt:i4>9</vt:i4>
      </vt:variant>
      <vt:variant>
        <vt:i4>0</vt:i4>
      </vt:variant>
      <vt:variant>
        <vt:i4>5</vt:i4>
      </vt:variant>
      <vt:variant>
        <vt:lpwstr>https://www.safercare.vic.gov.au/</vt:lpwstr>
      </vt:variant>
      <vt:variant>
        <vt:lpwstr/>
      </vt:variant>
      <vt:variant>
        <vt:i4>4456545</vt:i4>
      </vt:variant>
      <vt:variant>
        <vt:i4>6</vt:i4>
      </vt:variant>
      <vt:variant>
        <vt:i4>0</vt:i4>
      </vt:variant>
      <vt:variant>
        <vt:i4>5</vt:i4>
      </vt:variant>
      <vt:variant>
        <vt:lpwstr>mailto:safercarevictoria@dhhs.vic</vt:lpwstr>
      </vt:variant>
      <vt:variant>
        <vt:lpwstr/>
      </vt:variant>
      <vt:variant>
        <vt:i4>7733315</vt:i4>
      </vt:variant>
      <vt:variant>
        <vt:i4>3</vt:i4>
      </vt:variant>
      <vt:variant>
        <vt:i4>0</vt:i4>
      </vt:variant>
      <vt:variant>
        <vt:i4>5</vt:i4>
      </vt:variant>
      <vt:variant>
        <vt:lpwstr>mailto:info@safercarevictoria.vic.gov.au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Duty of Candour Guidelines</dc:title>
  <dc:subject/>
  <dc:creator>Emma Gumbleton (DHHS)</dc:creator>
  <cp:keywords/>
  <cp:lastModifiedBy>Nicole Youngs (DHHS)</cp:lastModifiedBy>
  <cp:revision>1593</cp:revision>
  <cp:lastPrinted>2020-08-16T00:56:00Z</cp:lastPrinted>
  <dcterms:created xsi:type="dcterms:W3CDTF">2022-05-22T05:53:00Z</dcterms:created>
  <dcterms:modified xsi:type="dcterms:W3CDTF">2022-10-27T05:59:00Z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2022-07-20T23:50:19Z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9addbb23-5278-4155-8eb6-c9414de39186</vt:lpwstr>
  </property>
  <property fmtid="{D5CDD505-2E9C-101B-9397-08002B2CF9AE}" pid="11" name="MSIP_Label_43e64453-338c-4f93-8a4d-0039a0a41f2a_ContentBits">
    <vt:lpwstr>2</vt:lpwstr>
  </property>
</Properties>
</file>