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86D9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635DE2C9" w14:textId="77777777" w:rsidR="00521CA5" w:rsidRPr="00876171" w:rsidRDefault="00521CA5" w:rsidP="00521CA5">
      <w:pPr>
        <w:pStyle w:val="SCVborderabovetitle"/>
        <w:sectPr w:rsidR="00521CA5" w:rsidRPr="00876171" w:rsidSect="00A209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23D21C74" w14:textId="207EF5AA" w:rsidR="00C50A2B" w:rsidRPr="007C5F9E" w:rsidRDefault="00975999" w:rsidP="007C5F9E">
      <w:pPr>
        <w:pStyle w:val="SCVfactsheettitle"/>
      </w:pPr>
      <w:r>
        <w:t>Statutory Duty of Candour: Patient Resources</w:t>
      </w:r>
    </w:p>
    <w:p w14:paraId="4E9A430A" w14:textId="6E187F4A" w:rsidR="00C50A2B" w:rsidRPr="007C5F9E" w:rsidRDefault="003F3DAF" w:rsidP="007C5F9E">
      <w:pPr>
        <w:pStyle w:val="SCVfactsheetsubtitle"/>
      </w:pPr>
      <w:r>
        <w:t>Usage instructions for health service staff</w:t>
      </w:r>
    </w:p>
    <w:p w14:paraId="0F0AB99E" w14:textId="77777777" w:rsidR="00C50A2B" w:rsidRPr="00876171" w:rsidRDefault="00ED4045" w:rsidP="00521CA5">
      <w:pPr>
        <w:pStyle w:val="SCVprotectivemarkingbelowsubtitle"/>
      </w:pPr>
      <w:r w:rsidRPr="003F3DAF">
        <w:rPr>
          <w:b/>
          <w:bCs/>
        </w:rPr>
        <w:fldChar w:fldCharType="begin"/>
      </w:r>
      <w:r w:rsidRPr="003F3DAF">
        <w:rPr>
          <w:b/>
          <w:bCs/>
        </w:rPr>
        <w:instrText xml:space="preserve"> FILLIN  "Type the protective marking" \d OFFICIAL \o  \* MERGEFORMAT </w:instrText>
      </w:r>
      <w:r w:rsidRPr="003F3DAF">
        <w:rPr>
          <w:b/>
          <w:bCs/>
        </w:rPr>
        <w:fldChar w:fldCharType="separate"/>
      </w:r>
      <w:r w:rsidR="00975999" w:rsidRPr="003F3DAF">
        <w:rPr>
          <w:b/>
          <w:bCs/>
        </w:rPr>
        <w:t>OFFICIAL</w:t>
      </w:r>
      <w:r w:rsidRPr="003F3DAF">
        <w:rPr>
          <w:b/>
          <w:bCs/>
        </w:rPr>
        <w:fldChar w:fldCharType="end"/>
      </w:r>
    </w:p>
    <w:p w14:paraId="3697058E" w14:textId="52D97C7D" w:rsidR="003331EA" w:rsidRDefault="00631F8E" w:rsidP="00747C87">
      <w:pPr>
        <w:pStyle w:val="SCVintroductorytext"/>
      </w:pPr>
      <w:bookmarkStart w:id="0" w:name="_Toc52978537"/>
      <w:bookmarkStart w:id="1" w:name="_Toc43470670"/>
      <w:r>
        <w:t xml:space="preserve">The Statutory Duty of Candour (SDC) is a legal requirement under the </w:t>
      </w:r>
      <w:r w:rsidRPr="00631F8E">
        <w:rPr>
          <w:i/>
          <w:iCs/>
        </w:rPr>
        <w:t>Health Services Act 1988</w:t>
      </w:r>
      <w:r>
        <w:t xml:space="preserve">, the </w:t>
      </w:r>
      <w:r w:rsidRPr="00631F8E">
        <w:rPr>
          <w:i/>
          <w:iCs/>
        </w:rPr>
        <w:t>Ambulance Services Act 1986</w:t>
      </w:r>
      <w:r>
        <w:t xml:space="preserve">, and the </w:t>
      </w:r>
      <w:r w:rsidRPr="00631F8E">
        <w:rPr>
          <w:i/>
          <w:iCs/>
        </w:rPr>
        <w:t>Mental Health Act 2014</w:t>
      </w:r>
      <w:r w:rsidR="00BE5334">
        <w:t>, and ensures that patients or their family</w:t>
      </w:r>
      <w:r w:rsidR="003B5CC6">
        <w:t xml:space="preserve">/carers </w:t>
      </w:r>
      <w:r w:rsidR="00423D30">
        <w:t>receive an</w:t>
      </w:r>
      <w:r w:rsidR="003B5CC6">
        <w:t xml:space="preserve"> apolog</w:t>
      </w:r>
      <w:r w:rsidR="00423D30">
        <w:t>y</w:t>
      </w:r>
      <w:r w:rsidR="00AC622A">
        <w:t xml:space="preserve"> and</w:t>
      </w:r>
      <w:r w:rsidR="003B5CC6">
        <w:t xml:space="preserve"> open</w:t>
      </w:r>
      <w:r w:rsidR="00A24EB6">
        <w:t>,</w:t>
      </w:r>
      <w:r w:rsidR="003B5CC6">
        <w:t xml:space="preserve"> honest</w:t>
      </w:r>
      <w:r w:rsidR="00A24EB6">
        <w:t xml:space="preserve"> communication</w:t>
      </w:r>
      <w:r w:rsidR="003B5CC6">
        <w:t xml:space="preserve"> when they suffer a serious adverse patient safety event (SAPSE)</w:t>
      </w:r>
      <w:r>
        <w:t xml:space="preserve">. </w:t>
      </w:r>
      <w:r w:rsidR="00521CA5" w:rsidRPr="00876171">
        <w:t>S</w:t>
      </w:r>
      <w:r w:rsidR="003331EA">
        <w:t>afer Care Victoria</w:t>
      </w:r>
      <w:r w:rsidR="0C1CAB5A">
        <w:t xml:space="preserve"> </w:t>
      </w:r>
      <w:r w:rsidR="028109A4">
        <w:t>(SCV)</w:t>
      </w:r>
      <w:r w:rsidR="003331EA">
        <w:t xml:space="preserve"> partnered with the Health Issues Centre to create 3 patient resources: a poster, a </w:t>
      </w:r>
      <w:r w:rsidR="2F1522AD">
        <w:t>flyer</w:t>
      </w:r>
      <w:r w:rsidR="00CB62C2">
        <w:t xml:space="preserve">, and a Frequently Asked Questions (FAQ) document. </w:t>
      </w:r>
      <w:r w:rsidR="7A314CAA">
        <w:t>Each</w:t>
      </w:r>
      <w:r w:rsidR="00CB62C2">
        <w:t xml:space="preserve"> of these resources </w:t>
      </w:r>
      <w:r w:rsidR="00C32F7C">
        <w:t>were</w:t>
      </w:r>
      <w:r w:rsidR="00CB62C2">
        <w:t xml:space="preserve"> co-designed with a consumer advisory group consisting of lived experience members</w:t>
      </w:r>
      <w:r w:rsidR="00AC622A">
        <w:t>,</w:t>
      </w:r>
      <w:r w:rsidR="000408B5">
        <w:t xml:space="preserve"> </w:t>
      </w:r>
      <w:r w:rsidR="00CB62C2">
        <w:t>family members and carers</w:t>
      </w:r>
      <w:r>
        <w:t>.</w:t>
      </w:r>
    </w:p>
    <w:bookmarkEnd w:id="0"/>
    <w:p w14:paraId="2D5A6EB4" w14:textId="246922AD" w:rsidR="00C97B86" w:rsidRDefault="000408B5" w:rsidP="007C5F9E">
      <w:pPr>
        <w:pStyle w:val="Heading1"/>
      </w:pPr>
      <w:r>
        <w:t>About the resources</w:t>
      </w:r>
    </w:p>
    <w:p w14:paraId="5ECBBB5F" w14:textId="23B91AB2" w:rsidR="00D73F07" w:rsidRDefault="171F79A4" w:rsidP="00D73F07">
      <w:pPr>
        <w:pStyle w:val="SCVbody"/>
      </w:pPr>
      <w:r>
        <w:t xml:space="preserve">The </w:t>
      </w:r>
      <w:r w:rsidR="0746890C">
        <w:t xml:space="preserve">poster and </w:t>
      </w:r>
      <w:r w:rsidR="26755870">
        <w:t xml:space="preserve">flyer </w:t>
      </w:r>
      <w:r w:rsidR="2A564471">
        <w:t>can be</w:t>
      </w:r>
      <w:r w:rsidR="2A564471" w:rsidRPr="22A7B8B9">
        <w:rPr>
          <w:color w:val="FF0000"/>
        </w:rPr>
        <w:t xml:space="preserve"> </w:t>
      </w:r>
      <w:r w:rsidR="2A564471" w:rsidRPr="22A7B8B9">
        <w:rPr>
          <w:b/>
          <w:color w:val="FF0000"/>
        </w:rPr>
        <w:t>co-branded</w:t>
      </w:r>
      <w:r w:rsidR="2A564471" w:rsidRPr="22A7B8B9">
        <w:rPr>
          <w:b/>
        </w:rPr>
        <w:t xml:space="preserve"> </w:t>
      </w:r>
      <w:r w:rsidR="2A564471">
        <w:t>by adding a logo</w:t>
      </w:r>
      <w:r w:rsidR="005809C0">
        <w:t xml:space="preserve"> to the</w:t>
      </w:r>
      <w:r w:rsidR="2A564471">
        <w:t xml:space="preserve"> </w:t>
      </w:r>
      <w:r w:rsidR="2FA9840B">
        <w:t>left of</w:t>
      </w:r>
      <w:r w:rsidR="2A564471">
        <w:t xml:space="preserve"> the SCV logo</w:t>
      </w:r>
      <w:r w:rsidR="00E2582C">
        <w:t>. The files</w:t>
      </w:r>
      <w:r w:rsidR="2A564471">
        <w:t xml:space="preserve"> are not available in an editable format due to the legislative nature of requirements. </w:t>
      </w:r>
      <w:r w:rsidR="00CF5008">
        <w:t>R</w:t>
      </w:r>
      <w:r w:rsidR="04D4D03D">
        <w:t xml:space="preserve">esources can be printed in colour </w:t>
      </w:r>
      <w:r w:rsidR="002677E1">
        <w:t>or black and white</w:t>
      </w:r>
      <w:r w:rsidR="04D4D03D">
        <w:t>.</w:t>
      </w:r>
      <w:r>
        <w:t xml:space="preserve"> </w:t>
      </w:r>
    </w:p>
    <w:p w14:paraId="7C4B451F" w14:textId="28D55696" w:rsidR="000B2212" w:rsidRPr="00D73F07" w:rsidRDefault="000B2212" w:rsidP="00D73F07">
      <w:pPr>
        <w:pStyle w:val="SCVbody"/>
      </w:pPr>
      <w:r>
        <w:t xml:space="preserve">We have listed areas where resources </w:t>
      </w:r>
      <w:r w:rsidR="003463C4">
        <w:t>can be</w:t>
      </w:r>
      <w:r w:rsidR="00DF5D53">
        <w:t xml:space="preserve"> best</w:t>
      </w:r>
      <w:r>
        <w:t xml:space="preserve"> displayed</w:t>
      </w:r>
      <w:r w:rsidR="003117D2">
        <w:t xml:space="preserve"> to empower</w:t>
      </w:r>
      <w:r w:rsidR="00EF05D3">
        <w:t xml:space="preserve"> consumers </w:t>
      </w:r>
      <w:r w:rsidR="005768A8">
        <w:t>seeking</w:t>
      </w:r>
      <w:r w:rsidR="002B4273">
        <w:t xml:space="preserve"> further information </w:t>
      </w:r>
      <w:r w:rsidR="00EA001C">
        <w:t>about</w:t>
      </w:r>
      <w:r w:rsidR="002B4273">
        <w:t xml:space="preserve"> their rights </w:t>
      </w:r>
      <w:r w:rsidR="00915D23">
        <w:t>in relation</w:t>
      </w:r>
      <w:r w:rsidR="002B4273">
        <w:t xml:space="preserve"> to the SDC.</w:t>
      </w:r>
    </w:p>
    <w:p w14:paraId="211AD894" w14:textId="7C51BB80" w:rsidR="00D73F07" w:rsidRPr="00D73F07" w:rsidRDefault="2A564471" w:rsidP="00D73F07">
      <w:pPr>
        <w:pStyle w:val="SCVbody"/>
      </w:pPr>
      <w:r>
        <w:t xml:space="preserve">If you </w:t>
      </w:r>
      <w:r w:rsidR="00ED51A4">
        <w:t>would like to</w:t>
      </w:r>
      <w:r>
        <w:t xml:space="preserve"> make modifications</w:t>
      </w:r>
      <w:r w:rsidR="149B548C">
        <w:t xml:space="preserve"> to the text</w:t>
      </w:r>
      <w:r>
        <w:t xml:space="preserve">, please contact </w:t>
      </w:r>
      <w:hyperlink r:id="rId17">
        <w:r w:rsidRPr="71322648">
          <w:rPr>
            <w:rStyle w:val="Hyperlink"/>
          </w:rPr>
          <w:t>dutyofcandour@health.vic.gov.au</w:t>
        </w:r>
      </w:hyperlink>
      <w:r>
        <w:t xml:space="preserve"> for advice</w:t>
      </w:r>
      <w:r w:rsidR="77A7620D">
        <w:t>.</w:t>
      </w:r>
    </w:p>
    <w:p w14:paraId="4FD4139C" w14:textId="3C2565B5" w:rsidR="00C97B86" w:rsidRDefault="1DC75F87" w:rsidP="00AD5C3C">
      <w:pPr>
        <w:pStyle w:val="Heading2"/>
        <w:numPr>
          <w:ilvl w:val="0"/>
          <w:numId w:val="1"/>
        </w:numPr>
        <w:ind w:left="426" w:hanging="426"/>
      </w:pPr>
      <w:r>
        <w:t>Poster</w:t>
      </w:r>
    </w:p>
    <w:p w14:paraId="702185E8" w14:textId="0D02FFF2" w:rsidR="000408B5" w:rsidRPr="00A835D7" w:rsidRDefault="000408B5" w:rsidP="22A7B8B9">
      <w:pPr>
        <w:pStyle w:val="SCVbullet1"/>
      </w:pPr>
      <w:r>
        <w:t>The</w:t>
      </w:r>
      <w:r w:rsidR="00BE5334">
        <w:t xml:space="preserve"> poster is</w:t>
      </w:r>
      <w:r w:rsidR="578CDF1F">
        <w:t xml:space="preserve"> A3 size and</w:t>
      </w:r>
      <w:r w:rsidR="00BE5334">
        <w:t xml:space="preserve"> </w:t>
      </w:r>
      <w:r w:rsidR="001622FD">
        <w:t>in PDF format</w:t>
      </w:r>
      <w:r w:rsidR="00AD5C3C">
        <w:t>. It</w:t>
      </w:r>
      <w:r w:rsidR="001622FD">
        <w:t xml:space="preserve"> i</w:t>
      </w:r>
      <w:r w:rsidR="0D5B8DD5">
        <w:t>ncludes</w:t>
      </w:r>
      <w:r w:rsidR="001622FD">
        <w:t xml:space="preserve"> </w:t>
      </w:r>
      <w:r w:rsidR="00BE5334">
        <w:t>a brief introduction to the SDC</w:t>
      </w:r>
      <w:r w:rsidR="00AC622A">
        <w:t xml:space="preserve"> and </w:t>
      </w:r>
      <w:r w:rsidR="00796F92">
        <w:t xml:space="preserve">gives a general </w:t>
      </w:r>
      <w:r w:rsidR="00796F92" w:rsidRPr="00A835D7">
        <w:t xml:space="preserve">overview of </w:t>
      </w:r>
      <w:r w:rsidR="00B5490C" w:rsidRPr="00A835D7">
        <w:t xml:space="preserve">a SAPSE </w:t>
      </w:r>
      <w:r w:rsidR="00CB6726" w:rsidRPr="00A835D7">
        <w:t xml:space="preserve">and </w:t>
      </w:r>
      <w:r w:rsidR="003E11F4" w:rsidRPr="00A835D7">
        <w:t xml:space="preserve">the </w:t>
      </w:r>
      <w:r w:rsidR="008F7D57">
        <w:t xml:space="preserve">SDC </w:t>
      </w:r>
      <w:r w:rsidR="003E11F4" w:rsidRPr="00A835D7">
        <w:t>requirements</w:t>
      </w:r>
      <w:r w:rsidR="008F7D57">
        <w:t>.</w:t>
      </w:r>
      <w:r w:rsidR="003E11F4" w:rsidRPr="00A835D7">
        <w:t xml:space="preserve"> </w:t>
      </w:r>
    </w:p>
    <w:p w14:paraId="550059EC" w14:textId="213D8187" w:rsidR="000408B5" w:rsidRPr="00A835D7" w:rsidRDefault="008C32CE" w:rsidP="22A7B8B9">
      <w:pPr>
        <w:pStyle w:val="SCVbullet1"/>
      </w:pPr>
      <w:r w:rsidRPr="00A835D7">
        <w:t>If a patient or resident believes they have suffered a SAPSE</w:t>
      </w:r>
      <w:r w:rsidR="00DE1D2A" w:rsidRPr="00A835D7">
        <w:t xml:space="preserve"> after reading the poster</w:t>
      </w:r>
      <w:r w:rsidR="3F00B283" w:rsidRPr="00A835D7">
        <w:t>:</w:t>
      </w:r>
    </w:p>
    <w:p w14:paraId="226E51BF" w14:textId="6998DA61" w:rsidR="000408B5" w:rsidRPr="00A835D7" w:rsidRDefault="298FD261" w:rsidP="22A7B8B9">
      <w:pPr>
        <w:pStyle w:val="SCVbullet1"/>
        <w:numPr>
          <w:ilvl w:val="0"/>
          <w:numId w:val="34"/>
        </w:numPr>
      </w:pPr>
      <w:r w:rsidRPr="00A835D7">
        <w:t>the resourc</w:t>
      </w:r>
      <w:r w:rsidR="6D1E8907" w:rsidRPr="00A835D7">
        <w:t>e</w:t>
      </w:r>
      <w:r w:rsidRPr="00A835D7">
        <w:t xml:space="preserve"> ha</w:t>
      </w:r>
      <w:r w:rsidR="0D7909CB" w:rsidRPr="00A835D7">
        <w:t>s</w:t>
      </w:r>
      <w:r w:rsidRPr="00A835D7">
        <w:t xml:space="preserve"> a dedicated space for Consumer Liaison Officer (or similar) </w:t>
      </w:r>
      <w:r w:rsidR="009B5C66">
        <w:t xml:space="preserve">contact </w:t>
      </w:r>
      <w:r w:rsidRPr="00A835D7">
        <w:t xml:space="preserve">details </w:t>
      </w:r>
    </w:p>
    <w:p w14:paraId="6F2B5E67" w14:textId="3EB3961E" w:rsidR="000408B5" w:rsidRDefault="00256BB6" w:rsidP="22A7B8B9">
      <w:pPr>
        <w:pStyle w:val="SCVbullet1"/>
        <w:numPr>
          <w:ilvl w:val="0"/>
          <w:numId w:val="34"/>
        </w:numPr>
      </w:pPr>
      <w:r>
        <w:t xml:space="preserve">the FAQ document contains </w:t>
      </w:r>
      <w:r w:rsidR="008C32CE" w:rsidRPr="00A835D7">
        <w:t>further</w:t>
      </w:r>
      <w:r w:rsidR="008C32CE">
        <w:t xml:space="preserve"> information</w:t>
      </w:r>
      <w:r w:rsidR="00414274">
        <w:t>,</w:t>
      </w:r>
      <w:r w:rsidR="008C32CE">
        <w:t xml:space="preserve"> </w:t>
      </w:r>
      <w:r w:rsidR="007A2CB5">
        <w:t xml:space="preserve">(including the </w:t>
      </w:r>
      <w:r w:rsidR="0076054E">
        <w:t xml:space="preserve">full </w:t>
      </w:r>
      <w:r w:rsidR="007A2CB5">
        <w:t xml:space="preserve">definition of a SAPSE) </w:t>
      </w:r>
      <w:r w:rsidR="008C32CE">
        <w:t>which the health service can provide</w:t>
      </w:r>
      <w:r w:rsidR="00675A89">
        <w:t>.</w:t>
      </w:r>
    </w:p>
    <w:p w14:paraId="115B4CF6" w14:textId="00787F09" w:rsidR="00CB6726" w:rsidRDefault="00675A89" w:rsidP="00412D92">
      <w:pPr>
        <w:pStyle w:val="SCVbullet1"/>
      </w:pPr>
      <w:r>
        <w:t>Please</w:t>
      </w:r>
      <w:r w:rsidR="321EC585">
        <w:t xml:space="preserve"> </w:t>
      </w:r>
      <w:r w:rsidR="41BC8D2F">
        <w:t xml:space="preserve">display </w:t>
      </w:r>
      <w:r w:rsidR="0DA2E2DD">
        <w:t xml:space="preserve">the poster </w:t>
      </w:r>
      <w:r w:rsidR="41BC8D2F">
        <w:t xml:space="preserve">in </w:t>
      </w:r>
      <w:r w:rsidR="052D0A28">
        <w:t>inpatient</w:t>
      </w:r>
      <w:r w:rsidR="068A84AC">
        <w:t xml:space="preserve"> or resident</w:t>
      </w:r>
      <w:r w:rsidR="321EC585">
        <w:t xml:space="preserve">, </w:t>
      </w:r>
      <w:r w:rsidR="193962FE">
        <w:t>public</w:t>
      </w:r>
      <w:r w:rsidR="007B59CC">
        <w:t xml:space="preserve"> and</w:t>
      </w:r>
      <w:r w:rsidR="6EF79883">
        <w:t xml:space="preserve"> </w:t>
      </w:r>
      <w:r w:rsidR="321EC585">
        <w:t>waiting areas</w:t>
      </w:r>
      <w:r w:rsidR="48E309AB">
        <w:t>, consulting rooms</w:t>
      </w:r>
      <w:r w:rsidR="68F8252D">
        <w:t>, and anywhere else appropriate</w:t>
      </w:r>
      <w:r w:rsidR="00801EA6">
        <w:t>.</w:t>
      </w:r>
      <w:r w:rsidR="68F8252D">
        <w:t xml:space="preserve"> </w:t>
      </w:r>
    </w:p>
    <w:p w14:paraId="57634378" w14:textId="29A88A64" w:rsidR="00350A5E" w:rsidRDefault="13F5DD4C" w:rsidP="00412D92">
      <w:pPr>
        <w:pStyle w:val="SCVbullet1"/>
      </w:pPr>
      <w:r>
        <w:t>The poster</w:t>
      </w:r>
      <w:r w:rsidR="00E15345">
        <w:t xml:space="preserve"> has a QR code and a link to access the SCV webpage for further resources and information</w:t>
      </w:r>
      <w:r w:rsidR="00412D92">
        <w:t>.</w:t>
      </w:r>
    </w:p>
    <w:p w14:paraId="1B74E13E" w14:textId="709F1821" w:rsidR="00116790" w:rsidRPr="00AD7213" w:rsidRDefault="460366EE" w:rsidP="005C4B62">
      <w:pPr>
        <w:pStyle w:val="Heading2"/>
        <w:numPr>
          <w:ilvl w:val="0"/>
          <w:numId w:val="1"/>
        </w:numPr>
        <w:spacing w:before="220"/>
        <w:ind w:left="426" w:hanging="426"/>
      </w:pPr>
      <w:bookmarkStart w:id="2" w:name="_Toc52978539"/>
      <w:r>
        <w:t>Flyer</w:t>
      </w:r>
    </w:p>
    <w:p w14:paraId="73171A4E" w14:textId="21BF5006" w:rsidR="00116790" w:rsidRDefault="00F63943" w:rsidP="00412D92">
      <w:pPr>
        <w:pStyle w:val="SCVbullet1"/>
      </w:pPr>
      <w:r>
        <w:t xml:space="preserve">The </w:t>
      </w:r>
      <w:r w:rsidR="29471D04">
        <w:t>flyer</w:t>
      </w:r>
      <w:r>
        <w:t xml:space="preserve"> </w:t>
      </w:r>
      <w:r w:rsidR="001622FD">
        <w:t xml:space="preserve">is </w:t>
      </w:r>
      <w:r w:rsidR="32FDEC41">
        <w:t>A4 size and in</w:t>
      </w:r>
      <w:r w:rsidR="001622FD">
        <w:t xml:space="preserve"> PDF format</w:t>
      </w:r>
      <w:r w:rsidR="00A03ACE">
        <w:t>. I</w:t>
      </w:r>
      <w:r w:rsidR="31ACCE98">
        <w:t xml:space="preserve">t </w:t>
      </w:r>
      <w:r w:rsidR="007B74AD">
        <w:t>outlines the 3 stages of the SDC process</w:t>
      </w:r>
      <w:r w:rsidR="0079318B">
        <w:t xml:space="preserve"> and the </w:t>
      </w:r>
      <w:r w:rsidR="00623EAA">
        <w:t xml:space="preserve">SDC </w:t>
      </w:r>
      <w:r w:rsidR="0079318B">
        <w:t>rights of the patient</w:t>
      </w:r>
      <w:r w:rsidR="00623EAA">
        <w:t>.</w:t>
      </w:r>
    </w:p>
    <w:p w14:paraId="00B182C4" w14:textId="09EF118E" w:rsidR="00BC47F1" w:rsidRDefault="0079318B" w:rsidP="003B4426">
      <w:pPr>
        <w:pStyle w:val="SCVbullet1"/>
      </w:pPr>
      <w:r>
        <w:lastRenderedPageBreak/>
        <w:t>Th</w:t>
      </w:r>
      <w:r w:rsidR="00623EAA">
        <w:t xml:space="preserve">e patient </w:t>
      </w:r>
      <w:r w:rsidR="00385049" w:rsidRPr="00BC47F1">
        <w:t>(</w:t>
      </w:r>
      <w:r w:rsidR="007B74AD" w:rsidRPr="00BC47F1">
        <w:t>or their family/carer</w:t>
      </w:r>
      <w:r w:rsidR="6A40F0FC" w:rsidRPr="00BC47F1">
        <w:t>/nominated person</w:t>
      </w:r>
      <w:r w:rsidR="007B74AD" w:rsidRPr="00BC47F1">
        <w:t xml:space="preserve"> </w:t>
      </w:r>
      <w:r w:rsidRPr="00BC47F1">
        <w:t>if they cannot participate</w:t>
      </w:r>
      <w:r w:rsidR="00385049" w:rsidRPr="00BC47F1">
        <w:t>)</w:t>
      </w:r>
      <w:r w:rsidRPr="00BC47F1">
        <w:t xml:space="preserve"> </w:t>
      </w:r>
      <w:r w:rsidR="00623EAA">
        <w:t xml:space="preserve">should be given the flyer </w:t>
      </w:r>
      <w:r w:rsidRPr="00BC47F1">
        <w:t>when they have suffered a SAPSE</w:t>
      </w:r>
      <w:r w:rsidR="001F2A53" w:rsidRPr="00BC47F1">
        <w:t>,</w:t>
      </w:r>
      <w:r w:rsidR="00385049" w:rsidRPr="00BC47F1">
        <w:t xml:space="preserve"> as outline</w:t>
      </w:r>
      <w:r w:rsidR="0056155A">
        <w:t xml:space="preserve">d in </w:t>
      </w:r>
      <w:r w:rsidR="00385049" w:rsidRPr="00BC47F1">
        <w:t>the</w:t>
      </w:r>
      <w:r w:rsidR="001F2A53" w:rsidRPr="00BC47F1">
        <w:t xml:space="preserve"> SDC </w:t>
      </w:r>
      <w:r w:rsidR="00385049" w:rsidRPr="00BC47F1">
        <w:t>process</w:t>
      </w:r>
      <w:r w:rsidR="00A05D03" w:rsidRPr="00BC47F1">
        <w:t>. It should be provided prior to the initial SDC meeting</w:t>
      </w:r>
      <w:r w:rsidR="003B4426">
        <w:t xml:space="preserve"> and can </w:t>
      </w:r>
      <w:r w:rsidRPr="00BC47F1">
        <w:t xml:space="preserve">also be </w:t>
      </w:r>
      <w:r w:rsidR="0E679546" w:rsidRPr="00BC47F1">
        <w:t>displayed</w:t>
      </w:r>
      <w:r w:rsidRPr="00BC47F1">
        <w:t xml:space="preserve"> in inpatient or resident areas as appropriate</w:t>
      </w:r>
      <w:r w:rsidR="003B4426">
        <w:t>.</w:t>
      </w:r>
      <w:r w:rsidRPr="00BC47F1">
        <w:t xml:space="preserve"> </w:t>
      </w:r>
    </w:p>
    <w:p w14:paraId="04A5EF7E" w14:textId="43286D10" w:rsidR="00870E99" w:rsidRPr="00BC47F1" w:rsidRDefault="003B4426" w:rsidP="00BC47F1">
      <w:pPr>
        <w:pStyle w:val="SCVbullet1"/>
      </w:pPr>
      <w:r>
        <w:t>S</w:t>
      </w:r>
      <w:r w:rsidR="71961DE2" w:rsidRPr="00BC47F1">
        <w:t xml:space="preserve">pace </w:t>
      </w:r>
      <w:r>
        <w:t xml:space="preserve">is available </w:t>
      </w:r>
      <w:r w:rsidR="71961DE2" w:rsidRPr="00BC47F1">
        <w:t>for a Point of Contact or Consumer Liaison Officer details for the patient to seek</w:t>
      </w:r>
      <w:r w:rsidR="71961DE2">
        <w:t xml:space="preserve"> more information</w:t>
      </w:r>
      <w:r w:rsidR="009F0C1E">
        <w:t>.</w:t>
      </w:r>
      <w:r w:rsidR="71961DE2">
        <w:t xml:space="preserve"> </w:t>
      </w:r>
    </w:p>
    <w:p w14:paraId="2EE1F475" w14:textId="78E62935" w:rsidR="00350A5E" w:rsidRDefault="0680B44E" w:rsidP="00412D92">
      <w:pPr>
        <w:pStyle w:val="SCVbullet1"/>
      </w:pPr>
      <w:r>
        <w:t>The flyer</w:t>
      </w:r>
      <w:r w:rsidR="00350A5E">
        <w:t xml:space="preserve"> has a QR code and a link to access the SCV webpage for further resources and information</w:t>
      </w:r>
      <w:r w:rsidR="00412D92">
        <w:t>.</w:t>
      </w:r>
    </w:p>
    <w:bookmarkEnd w:id="2"/>
    <w:p w14:paraId="58590697" w14:textId="780EEC34" w:rsidR="00C97B86" w:rsidRDefault="1474BA9E" w:rsidP="009F0C1E">
      <w:pPr>
        <w:pStyle w:val="Heading2"/>
        <w:numPr>
          <w:ilvl w:val="0"/>
          <w:numId w:val="1"/>
        </w:numPr>
        <w:ind w:left="426" w:hanging="426"/>
      </w:pPr>
      <w:r>
        <w:t>Frequently Asked Questions (FAQ) document</w:t>
      </w:r>
    </w:p>
    <w:p w14:paraId="6122D87E" w14:textId="0A8F5479" w:rsidR="00BD78CE" w:rsidRDefault="00850496" w:rsidP="00412D92">
      <w:pPr>
        <w:pStyle w:val="SCVbullet1"/>
      </w:pPr>
      <w:r>
        <w:t>The FAQ</w:t>
      </w:r>
      <w:r w:rsidR="0DDE5FB7">
        <w:t xml:space="preserve"> document is</w:t>
      </w:r>
      <w:r w:rsidR="001622FD">
        <w:t xml:space="preserve"> in PDF forma</w:t>
      </w:r>
      <w:r w:rsidR="00CF1796">
        <w:t>t</w:t>
      </w:r>
      <w:r w:rsidR="001622FD">
        <w:t xml:space="preserve"> and </w:t>
      </w:r>
      <w:r w:rsidR="00CE7233">
        <w:t>w</w:t>
      </w:r>
      <w:r>
        <w:t>a</w:t>
      </w:r>
      <w:r w:rsidR="565F0477">
        <w:t>s</w:t>
      </w:r>
      <w:r>
        <w:t xml:space="preserve"> developed </w:t>
      </w:r>
      <w:r w:rsidR="00CE7233">
        <w:t>in response to</w:t>
      </w:r>
      <w:r>
        <w:t xml:space="preserve"> questions arising from the consumer advisory group</w:t>
      </w:r>
      <w:r w:rsidR="00611A96">
        <w:t>.</w:t>
      </w:r>
    </w:p>
    <w:p w14:paraId="35438BBC" w14:textId="0D177815" w:rsidR="00262B8D" w:rsidRDefault="00262B8D" w:rsidP="00CF1796">
      <w:pPr>
        <w:pStyle w:val="SCVbullet1"/>
      </w:pPr>
      <w:r>
        <w:t>This resource should be given to a patient (or their family/carer if they cannot participate) wh</w:t>
      </w:r>
      <w:r w:rsidR="00700D44">
        <w:t>o has</w:t>
      </w:r>
      <w:r>
        <w:t xml:space="preserve"> suffered a SAPSE to assist with </w:t>
      </w:r>
      <w:r w:rsidR="00060D52">
        <w:t xml:space="preserve">any </w:t>
      </w:r>
      <w:r>
        <w:t>questions they may have</w:t>
      </w:r>
      <w:r w:rsidR="00CF1796">
        <w:t xml:space="preserve">. </w:t>
      </w:r>
      <w:r>
        <w:t>It c</w:t>
      </w:r>
      <w:r w:rsidR="00CF1796">
        <w:t>an</w:t>
      </w:r>
      <w:r>
        <w:t xml:space="preserve"> also be available in inpatient or resident areas as appropriate</w:t>
      </w:r>
      <w:r w:rsidR="00173F02">
        <w:t>.</w:t>
      </w:r>
      <w:r>
        <w:t xml:space="preserve"> </w:t>
      </w:r>
    </w:p>
    <w:p w14:paraId="3EE208FF" w14:textId="1AAF8DE0" w:rsidR="00F9105F" w:rsidRDefault="00173F02" w:rsidP="00252057">
      <w:pPr>
        <w:pStyle w:val="SCVbullet1"/>
      </w:pPr>
      <w:r>
        <w:t>The FAQs</w:t>
      </w:r>
      <w:r w:rsidR="00C27FFA">
        <w:t xml:space="preserve"> include</w:t>
      </w:r>
      <w:r>
        <w:t xml:space="preserve"> a</w:t>
      </w:r>
      <w:r w:rsidR="00C27FFA">
        <w:t xml:space="preserve"> full definition of a SAPSE as outlined in the </w:t>
      </w:r>
      <w:r w:rsidR="00F9105F" w:rsidRPr="006F7199">
        <w:rPr>
          <w:i/>
          <w:iCs/>
        </w:rPr>
        <w:t>Health Services (Quality and Safety) Regulations 2020</w:t>
      </w:r>
      <w:r w:rsidR="006F7199" w:rsidRPr="006F7199">
        <w:rPr>
          <w:i/>
          <w:iCs/>
        </w:rPr>
        <w:t xml:space="preserve">. </w:t>
      </w:r>
      <w:r w:rsidR="006F7199" w:rsidRPr="006F7199">
        <w:t>They</w:t>
      </w:r>
      <w:r w:rsidR="00E26383" w:rsidRPr="006F7199">
        <w:t xml:space="preserve"> </w:t>
      </w:r>
      <w:r w:rsidR="00E26383">
        <w:t>explain:</w:t>
      </w:r>
    </w:p>
    <w:p w14:paraId="1686F79F" w14:textId="4C1012D4" w:rsidR="002D1635" w:rsidRDefault="00F84BEE" w:rsidP="00412D92">
      <w:pPr>
        <w:pStyle w:val="SCVbullet1"/>
        <w:numPr>
          <w:ilvl w:val="0"/>
          <w:numId w:val="26"/>
        </w:numPr>
      </w:pPr>
      <w:r>
        <w:t>w</w:t>
      </w:r>
      <w:r w:rsidR="002D1635">
        <w:t>ho will be involved in the SDC meeting and review</w:t>
      </w:r>
    </w:p>
    <w:p w14:paraId="27A18E69" w14:textId="067E5627" w:rsidR="00E26383" w:rsidRDefault="00C4615C" w:rsidP="00412D92">
      <w:pPr>
        <w:pStyle w:val="SCVbullet1"/>
        <w:numPr>
          <w:ilvl w:val="0"/>
          <w:numId w:val="26"/>
        </w:numPr>
      </w:pPr>
      <w:r>
        <w:t>h</w:t>
      </w:r>
      <w:r w:rsidR="00E26383">
        <w:t>ow the patient/family/carer c</w:t>
      </w:r>
      <w:r w:rsidR="00680FCA">
        <w:t>an</w:t>
      </w:r>
      <w:r w:rsidR="00E26383">
        <w:t xml:space="preserve"> contribute to the </w:t>
      </w:r>
      <w:r w:rsidR="00680FCA">
        <w:t xml:space="preserve">SAPSE </w:t>
      </w:r>
      <w:r w:rsidR="00E26383">
        <w:t>review</w:t>
      </w:r>
    </w:p>
    <w:p w14:paraId="75302EC9" w14:textId="20FDC6CC" w:rsidR="002D1635" w:rsidRDefault="004C239A" w:rsidP="00412D92">
      <w:pPr>
        <w:pStyle w:val="SCVbullet1"/>
        <w:numPr>
          <w:ilvl w:val="0"/>
          <w:numId w:val="26"/>
        </w:numPr>
      </w:pPr>
      <w:r>
        <w:t>the</w:t>
      </w:r>
      <w:r w:rsidR="002D1635">
        <w:t xml:space="preserve"> support they c</w:t>
      </w:r>
      <w:r>
        <w:t>an</w:t>
      </w:r>
      <w:r w:rsidR="002D1635">
        <w:t xml:space="preserve"> access</w:t>
      </w:r>
    </w:p>
    <w:p w14:paraId="5184E205" w14:textId="7652C69A" w:rsidR="002D1635" w:rsidRDefault="00680FCA" w:rsidP="00412D92">
      <w:pPr>
        <w:pStyle w:val="SCVbullet1"/>
        <w:numPr>
          <w:ilvl w:val="0"/>
          <w:numId w:val="26"/>
        </w:numPr>
      </w:pPr>
      <w:r>
        <w:t>h</w:t>
      </w:r>
      <w:r w:rsidR="005F6504">
        <w:t>ow to opt-out or delay the process</w:t>
      </w:r>
    </w:p>
    <w:p w14:paraId="3C9A959B" w14:textId="34ECA30B" w:rsidR="005F6504" w:rsidRDefault="003A0967" w:rsidP="00412D92">
      <w:pPr>
        <w:pStyle w:val="SCVbullet1"/>
        <w:numPr>
          <w:ilvl w:val="0"/>
          <w:numId w:val="26"/>
        </w:numPr>
      </w:pPr>
      <w:r>
        <w:t>what to do</w:t>
      </w:r>
      <w:r w:rsidR="00262B8D">
        <w:t xml:space="preserve"> if they disagree with the review findings</w:t>
      </w:r>
      <w:r>
        <w:t>.</w:t>
      </w:r>
    </w:p>
    <w:p w14:paraId="00AD2698" w14:textId="42785C7F" w:rsidR="00850496" w:rsidRPr="000408B5" w:rsidRDefault="28213C81" w:rsidP="00850496">
      <w:pPr>
        <w:pStyle w:val="SCVbullet1"/>
      </w:pPr>
      <w:r>
        <w:t>The FAQ document</w:t>
      </w:r>
      <w:r w:rsidR="00E23F79">
        <w:t xml:space="preserve"> has a QR code and a link to access the SCV webpage for further resources and information</w:t>
      </w:r>
      <w:r w:rsidR="00412D92">
        <w:t>.</w:t>
      </w:r>
    </w:p>
    <w:p w14:paraId="64A97054" w14:textId="386B5FB6" w:rsidR="323AD4E2" w:rsidRDefault="323AD4E2" w:rsidP="722E19AA">
      <w:pPr>
        <w:pStyle w:val="Heading2"/>
      </w:pPr>
      <w:r>
        <w:t>Further information</w:t>
      </w:r>
    </w:p>
    <w:p w14:paraId="4A9CF955" w14:textId="1E86B449" w:rsidR="00805C6A" w:rsidRDefault="00805C6A" w:rsidP="00C14DF8">
      <w:pPr>
        <w:pStyle w:val="Heading3"/>
      </w:pPr>
      <w:bookmarkStart w:id="3" w:name="_Toc48232530"/>
      <w:bookmarkStart w:id="4" w:name="_Toc52978548"/>
      <w:bookmarkEnd w:id="1"/>
      <w:r>
        <w:t xml:space="preserve">Consumer Liaison Officer </w:t>
      </w:r>
      <w:r w:rsidR="00060D52">
        <w:t>(CLO)</w:t>
      </w:r>
    </w:p>
    <w:p w14:paraId="305BB09E" w14:textId="776D9013" w:rsidR="00060D52" w:rsidRDefault="00A45BED" w:rsidP="004C6262">
      <w:pPr>
        <w:pStyle w:val="SCVbullet1"/>
      </w:pPr>
      <w:r>
        <w:t xml:space="preserve">When a </w:t>
      </w:r>
      <w:r w:rsidR="00060D52">
        <w:t>CLO</w:t>
      </w:r>
      <w:r w:rsidR="024CE4C6">
        <w:t xml:space="preserve"> (or </w:t>
      </w:r>
      <w:r w:rsidR="760D4D62">
        <w:t>equivalent</w:t>
      </w:r>
      <w:r w:rsidR="024CE4C6">
        <w:t xml:space="preserve">) </w:t>
      </w:r>
      <w:r w:rsidR="00060D52">
        <w:t>is contacted</w:t>
      </w:r>
      <w:r>
        <w:t>,</w:t>
      </w:r>
      <w:r w:rsidR="00060D52">
        <w:t xml:space="preserve"> i</w:t>
      </w:r>
      <w:r w:rsidR="00805C6A">
        <w:t>t is recommended that</w:t>
      </w:r>
      <w:r w:rsidR="009E2087">
        <w:t xml:space="preserve"> they</w:t>
      </w:r>
      <w:r w:rsidR="711AEDA6">
        <w:t>:</w:t>
      </w:r>
    </w:p>
    <w:p w14:paraId="08DA2831" w14:textId="4DA7CB2A" w:rsidR="00805C6A" w:rsidRDefault="00805C6A" w:rsidP="22A7B8B9">
      <w:pPr>
        <w:pStyle w:val="SCVbullet1"/>
        <w:numPr>
          <w:ilvl w:val="0"/>
          <w:numId w:val="33"/>
        </w:numPr>
      </w:pPr>
      <w:r>
        <w:t>listen to the patient’s recollection of the harm event</w:t>
      </w:r>
    </w:p>
    <w:p w14:paraId="45DD90B9" w14:textId="7DFC0F64" w:rsidR="72231AFE" w:rsidRDefault="72231AFE" w:rsidP="22A7B8B9">
      <w:pPr>
        <w:pStyle w:val="SCVbullet1"/>
        <w:numPr>
          <w:ilvl w:val="0"/>
          <w:numId w:val="33"/>
        </w:numPr>
      </w:pPr>
      <w:r>
        <w:t xml:space="preserve">ask questions to </w:t>
      </w:r>
      <w:r w:rsidR="00722766">
        <w:t xml:space="preserve">gain an </w:t>
      </w:r>
      <w:r>
        <w:t>understand</w:t>
      </w:r>
      <w:r w:rsidR="00722766">
        <w:t>ing of</w:t>
      </w:r>
      <w:r>
        <w:t xml:space="preserve"> the situation </w:t>
      </w:r>
    </w:p>
    <w:p w14:paraId="0649F267" w14:textId="45D88291" w:rsidR="3A7FC89E" w:rsidRDefault="3A7FC89E" w:rsidP="22A7B8B9">
      <w:pPr>
        <w:pStyle w:val="SCVbullet1"/>
        <w:numPr>
          <w:ilvl w:val="0"/>
          <w:numId w:val="33"/>
        </w:numPr>
      </w:pPr>
      <w:r>
        <w:t>acknowledge that the</w:t>
      </w:r>
      <w:r w:rsidR="00D24245">
        <w:t xml:space="preserve"> event</w:t>
      </w:r>
      <w:r>
        <w:t xml:space="preserve"> will </w:t>
      </w:r>
      <w:r w:rsidR="00D24245">
        <w:t xml:space="preserve">be </w:t>
      </w:r>
      <w:r>
        <w:t>review</w:t>
      </w:r>
      <w:r w:rsidR="00D24245">
        <w:t>ed</w:t>
      </w:r>
      <w:r>
        <w:t xml:space="preserve"> and contact them with further information</w:t>
      </w:r>
    </w:p>
    <w:p w14:paraId="592D26D6" w14:textId="6BAF983C" w:rsidR="3A7FC89E" w:rsidRDefault="3A7FC89E" w:rsidP="22A7B8B9">
      <w:pPr>
        <w:pStyle w:val="SCVbullet1"/>
        <w:numPr>
          <w:ilvl w:val="0"/>
          <w:numId w:val="33"/>
        </w:numPr>
      </w:pPr>
      <w:r>
        <w:t xml:space="preserve">ensure that the clinical incident management system (or similar) is </w:t>
      </w:r>
      <w:r w:rsidR="009B112E">
        <w:t>reviewed</w:t>
      </w:r>
      <w:r>
        <w:t xml:space="preserve"> to ascertain if an event has been entered</w:t>
      </w:r>
      <w:r w:rsidR="000F7704">
        <w:t>.</w:t>
      </w:r>
    </w:p>
    <w:p w14:paraId="5F360928" w14:textId="6F2AF986" w:rsidR="00805C6A" w:rsidRPr="002A1384" w:rsidRDefault="00805C6A" w:rsidP="002A1384">
      <w:pPr>
        <w:pStyle w:val="SCVbullet1"/>
      </w:pPr>
      <w:r w:rsidRPr="002A1384">
        <w:t xml:space="preserve">If </w:t>
      </w:r>
      <w:r w:rsidR="57F2EE46">
        <w:t>the event</w:t>
      </w:r>
      <w:r w:rsidRPr="002A1384">
        <w:t xml:space="preserve"> has not been entered, </w:t>
      </w:r>
      <w:r w:rsidR="0092354D">
        <w:t>a</w:t>
      </w:r>
      <w:r w:rsidRPr="002A1384">
        <w:t xml:space="preserve"> </w:t>
      </w:r>
      <w:r w:rsidR="00D644E4" w:rsidRPr="002A1384">
        <w:t>registered health practitioner should</w:t>
      </w:r>
      <w:r w:rsidR="17586EE2">
        <w:t>:</w:t>
      </w:r>
    </w:p>
    <w:p w14:paraId="7DC7A4F6" w14:textId="2D549F9E" w:rsidR="00805C6A" w:rsidRDefault="009B112E" w:rsidP="22A7B8B9">
      <w:pPr>
        <w:pStyle w:val="SCVbullet1"/>
        <w:numPr>
          <w:ilvl w:val="0"/>
          <w:numId w:val="32"/>
        </w:numPr>
      </w:pPr>
      <w:r>
        <w:t>examine</w:t>
      </w:r>
      <w:r w:rsidR="00D644E4" w:rsidRPr="002A1384">
        <w:t xml:space="preserve"> the patient’s medical record</w:t>
      </w:r>
      <w:r w:rsidR="718B7B78">
        <w:t xml:space="preserve"> and evaluate</w:t>
      </w:r>
      <w:r w:rsidR="002B4856" w:rsidRPr="002A1384">
        <w:t xml:space="preserve"> if the harm event </w:t>
      </w:r>
      <w:r w:rsidR="003879FE">
        <w:t>w</w:t>
      </w:r>
      <w:r w:rsidR="002B4856" w:rsidRPr="002A1384">
        <w:t xml:space="preserve">as identified </w:t>
      </w:r>
      <w:r w:rsidR="003879FE">
        <w:t>but</w:t>
      </w:r>
      <w:r w:rsidR="002B4856" w:rsidRPr="002A1384">
        <w:t xml:space="preserve"> not recorded</w:t>
      </w:r>
    </w:p>
    <w:p w14:paraId="09B3CA4D" w14:textId="526D896A" w:rsidR="007B001C" w:rsidRPr="002A1384" w:rsidRDefault="007B001C" w:rsidP="22A7B8B9">
      <w:pPr>
        <w:pStyle w:val="SCVbullet1"/>
        <w:numPr>
          <w:ilvl w:val="0"/>
          <w:numId w:val="32"/>
        </w:numPr>
      </w:pPr>
      <w:r>
        <w:t>speak to relevant staff involved in the unit or area</w:t>
      </w:r>
    </w:p>
    <w:p w14:paraId="07377DB0" w14:textId="0DBEFB21" w:rsidR="00805C6A" w:rsidRPr="002A1384" w:rsidRDefault="7EA5644B" w:rsidP="22A7B8B9">
      <w:pPr>
        <w:pStyle w:val="SCVbullet1"/>
        <w:numPr>
          <w:ilvl w:val="0"/>
          <w:numId w:val="32"/>
        </w:numPr>
      </w:pPr>
      <w:r>
        <w:t xml:space="preserve">ascertain if </w:t>
      </w:r>
      <w:r w:rsidR="003C507C">
        <w:t xml:space="preserve">the event </w:t>
      </w:r>
      <w:r>
        <w:t>meets the criteria of a SAPSE</w:t>
      </w:r>
      <w:r w:rsidR="57D0048C">
        <w:t xml:space="preserve"> </w:t>
      </w:r>
      <w:r w:rsidR="13D0EF52">
        <w:t xml:space="preserve">and </w:t>
      </w:r>
      <w:r w:rsidR="2A0FE714">
        <w:t xml:space="preserve">enter it into the system </w:t>
      </w:r>
    </w:p>
    <w:p w14:paraId="4D49FBEE" w14:textId="41DBD0C9" w:rsidR="00805C6A" w:rsidRPr="002A1384" w:rsidRDefault="6A725191" w:rsidP="22A7B8B9">
      <w:pPr>
        <w:pStyle w:val="SCVbullet1"/>
        <w:numPr>
          <w:ilvl w:val="0"/>
          <w:numId w:val="32"/>
        </w:numPr>
      </w:pPr>
      <w:r>
        <w:t>if</w:t>
      </w:r>
      <w:r w:rsidR="5F2BAE41">
        <w:t xml:space="preserve"> </w:t>
      </w:r>
      <w:r>
        <w:t xml:space="preserve">the event meets criteria of a sentinel event, notify </w:t>
      </w:r>
      <w:r w:rsidR="210536D3">
        <w:t>SCV via the sentinel event portal</w:t>
      </w:r>
      <w:r w:rsidR="191CE641">
        <w:t xml:space="preserve">. </w:t>
      </w:r>
      <w:r w:rsidR="003A0032">
        <w:t>(</w:t>
      </w:r>
      <w:hyperlink r:id="rId18" w:anchor=":~:text=Adverse%20patient%20safety%20events%20that,received%20a%20shortened%20life%20expectancy" w:history="1">
        <w:r w:rsidR="003A0032" w:rsidRPr="003A0032">
          <w:rPr>
            <w:rStyle w:val="Hyperlink"/>
          </w:rPr>
          <w:t xml:space="preserve">View more </w:t>
        </w:r>
        <w:r w:rsidR="191CE641" w:rsidRPr="003A0032">
          <w:rPr>
            <w:rStyle w:val="Hyperlink"/>
          </w:rPr>
          <w:t xml:space="preserve">information </w:t>
        </w:r>
        <w:r w:rsidR="003A0032" w:rsidRPr="003A0032">
          <w:rPr>
            <w:rStyle w:val="Hyperlink"/>
          </w:rPr>
          <w:t>on how to do this</w:t>
        </w:r>
      </w:hyperlink>
      <w:r w:rsidR="003A0032">
        <w:t>).</w:t>
      </w:r>
    </w:p>
    <w:p w14:paraId="348E950C" w14:textId="1AD9DFA8" w:rsidR="002B4856" w:rsidRPr="002A1384" w:rsidRDefault="77077857" w:rsidP="004C6262">
      <w:pPr>
        <w:pStyle w:val="SCVbullet1"/>
      </w:pPr>
      <w:r>
        <w:t>T</w:t>
      </w:r>
      <w:r w:rsidR="2347906A">
        <w:t>he</w:t>
      </w:r>
      <w:r w:rsidR="002B4856" w:rsidRPr="002A1384">
        <w:t xml:space="preserve"> </w:t>
      </w:r>
      <w:r w:rsidR="00D43281">
        <w:t>health service</w:t>
      </w:r>
      <w:r w:rsidR="002B4856" w:rsidRPr="002A1384">
        <w:t xml:space="preserve"> should follow </w:t>
      </w:r>
      <w:r w:rsidR="00D43281">
        <w:t>internal</w:t>
      </w:r>
      <w:r w:rsidR="002B4856" w:rsidRPr="002A1384">
        <w:t xml:space="preserve"> SAPSE</w:t>
      </w:r>
      <w:r w:rsidR="00D43281">
        <w:t xml:space="preserve"> and </w:t>
      </w:r>
      <w:r w:rsidR="755C95C3">
        <w:t xml:space="preserve">Open Disclosure (OD) or </w:t>
      </w:r>
      <w:r w:rsidR="00D43281">
        <w:t>SDC</w:t>
      </w:r>
      <w:r w:rsidR="00EA5AA3">
        <w:t xml:space="preserve"> policies</w:t>
      </w:r>
      <w:r w:rsidR="002B4856" w:rsidRPr="002A1384">
        <w:t xml:space="preserve">, and </w:t>
      </w:r>
      <w:r w:rsidR="00B3389E" w:rsidRPr="002A1384">
        <w:t xml:space="preserve">commence the SDC </w:t>
      </w:r>
      <w:r w:rsidR="4EB85E88">
        <w:t xml:space="preserve">process </w:t>
      </w:r>
      <w:r w:rsidR="43D0BBD8">
        <w:t>or O</w:t>
      </w:r>
      <w:r w:rsidR="21428E2A">
        <w:t>D</w:t>
      </w:r>
      <w:r w:rsidR="43D0BBD8">
        <w:t xml:space="preserve"> </w:t>
      </w:r>
      <w:r w:rsidR="00B3389E" w:rsidRPr="002A1384">
        <w:t xml:space="preserve">as per the </w:t>
      </w:r>
      <w:hyperlink r:id="rId19">
        <w:r w:rsidR="43D0BBD8" w:rsidRPr="22A7B8B9">
          <w:rPr>
            <w:rStyle w:val="Hyperlink"/>
          </w:rPr>
          <w:t xml:space="preserve">Australian Open Disclosure </w:t>
        </w:r>
        <w:r w:rsidR="03C70945" w:rsidRPr="22A7B8B9">
          <w:rPr>
            <w:rStyle w:val="Hyperlink"/>
          </w:rPr>
          <w:t>Framework</w:t>
        </w:r>
      </w:hyperlink>
      <w:r w:rsidR="00744036" w:rsidRPr="002A1384">
        <w:t xml:space="preserve"> </w:t>
      </w:r>
      <w:r w:rsidR="00B3389E" w:rsidRPr="002A1384">
        <w:t>as appropriate (depending on the level of harm</w:t>
      </w:r>
      <w:r w:rsidR="43D0BBD8">
        <w:t>)</w:t>
      </w:r>
      <w:r w:rsidR="00F639A7">
        <w:t>.</w:t>
      </w:r>
    </w:p>
    <w:p w14:paraId="4DED1168" w14:textId="12924144" w:rsidR="002B4856" w:rsidRPr="002A1384" w:rsidRDefault="4DEC19C7" w:rsidP="002A1384">
      <w:pPr>
        <w:pStyle w:val="SCVbullet1"/>
      </w:pPr>
      <w:r>
        <w:lastRenderedPageBreak/>
        <w:t xml:space="preserve">The CLO can also contact the </w:t>
      </w:r>
      <w:r w:rsidR="00F639A7">
        <w:t xml:space="preserve">SCV </w:t>
      </w:r>
      <w:r>
        <w:t>team for further information</w:t>
      </w:r>
      <w:r w:rsidR="4B67BD4A">
        <w:t xml:space="preserve"> or advice</w:t>
      </w:r>
      <w:r>
        <w:t xml:space="preserve"> </w:t>
      </w:r>
      <w:r w:rsidR="00F639A7">
        <w:t>by emailing</w:t>
      </w:r>
      <w:r>
        <w:t xml:space="preserve"> </w:t>
      </w:r>
      <w:hyperlink r:id="rId20">
        <w:r w:rsidRPr="22A7B8B9">
          <w:rPr>
            <w:rStyle w:val="Hyperlink"/>
          </w:rPr>
          <w:t>dutyofcandour@health.vic.gov.au</w:t>
        </w:r>
      </w:hyperlink>
      <w:r w:rsidR="00F639A7" w:rsidRPr="00F639A7">
        <w:rPr>
          <w:rStyle w:val="Hyperlink"/>
          <w:u w:val="none"/>
        </w:rPr>
        <w:t>.</w:t>
      </w:r>
      <w:r w:rsidR="5950738A">
        <w:t xml:space="preserve"> </w:t>
      </w:r>
    </w:p>
    <w:p w14:paraId="2FD83E38" w14:textId="68F084BF" w:rsidR="5950738A" w:rsidRDefault="5950738A" w:rsidP="004C6262">
      <w:pPr>
        <w:pStyle w:val="SCVbullet1"/>
      </w:pPr>
      <w:r w:rsidRPr="22A7B8B9">
        <w:rPr>
          <w:b/>
          <w:bCs/>
        </w:rPr>
        <w:t>Note</w:t>
      </w:r>
      <w:r>
        <w:t xml:space="preserve">: A registered health practitioner is someone registered under the </w:t>
      </w:r>
      <w:r w:rsidR="04B12322">
        <w:t xml:space="preserve">Health Practitioner Regulation National Law. This is listed on the </w:t>
      </w:r>
      <w:hyperlink r:id="rId21">
        <w:r w:rsidR="04B12322" w:rsidRPr="22A7B8B9">
          <w:rPr>
            <w:rStyle w:val="Hyperlink"/>
          </w:rPr>
          <w:t>Ahpra website</w:t>
        </w:r>
      </w:hyperlink>
      <w:r w:rsidR="04B12322">
        <w:t xml:space="preserve">. </w:t>
      </w:r>
    </w:p>
    <w:p w14:paraId="6ABBB677" w14:textId="57DE971F" w:rsidR="00511A18" w:rsidRDefault="00511A18" w:rsidP="00C14DF8">
      <w:pPr>
        <w:pStyle w:val="Heading3"/>
      </w:pPr>
      <w:r>
        <w:t>Complaints</w:t>
      </w:r>
    </w:p>
    <w:p w14:paraId="29684545" w14:textId="71F93230" w:rsidR="51034E59" w:rsidRPr="00247017" w:rsidRDefault="51034E59" w:rsidP="00247017">
      <w:pPr>
        <w:pStyle w:val="SCVbullet1"/>
      </w:pPr>
      <w:r w:rsidRPr="00247017">
        <w:t>It is important to note that t</w:t>
      </w:r>
      <w:r w:rsidR="00511A18" w:rsidRPr="00247017">
        <w:t xml:space="preserve">he complaints process is </w:t>
      </w:r>
      <w:r w:rsidR="58C517DD" w:rsidRPr="00247017">
        <w:t xml:space="preserve">separate </w:t>
      </w:r>
      <w:r w:rsidR="00511A18" w:rsidRPr="00247017">
        <w:t>to the SDC process</w:t>
      </w:r>
      <w:r w:rsidR="2B13CBC7" w:rsidRPr="00247017">
        <w:t xml:space="preserve">. </w:t>
      </w:r>
      <w:r w:rsidR="2E358943" w:rsidRPr="00247017">
        <w:t xml:space="preserve">Health services should follow usual </w:t>
      </w:r>
      <w:r w:rsidR="28E639B2" w:rsidRPr="00247017">
        <w:t xml:space="preserve">policy and </w:t>
      </w:r>
      <w:r w:rsidR="2E358943" w:rsidRPr="00247017">
        <w:t xml:space="preserve">processes </w:t>
      </w:r>
      <w:r w:rsidR="68C03D46" w:rsidRPr="00247017">
        <w:t>relating</w:t>
      </w:r>
      <w:r w:rsidR="2E358943" w:rsidRPr="00247017">
        <w:t xml:space="preserve"> to complaints</w:t>
      </w:r>
      <w:r w:rsidR="00AA79C3">
        <w:t>.</w:t>
      </w:r>
    </w:p>
    <w:p w14:paraId="44B7958C" w14:textId="00BD28B0" w:rsidR="736550DF" w:rsidRPr="00247017" w:rsidRDefault="736550DF" w:rsidP="00247017">
      <w:pPr>
        <w:pStyle w:val="SCVbullet1"/>
      </w:pPr>
      <w:r w:rsidRPr="00247017">
        <w:t xml:space="preserve">Throughout </w:t>
      </w:r>
      <w:r w:rsidR="2E358943" w:rsidRPr="00247017">
        <w:t>the SDC process, if the patient or their family/carer request details for the CLO (or equivalent)</w:t>
      </w:r>
      <w:r w:rsidR="76D0AF70" w:rsidRPr="00247017">
        <w:t xml:space="preserve"> and they </w:t>
      </w:r>
      <w:r w:rsidR="5EA6A237" w:rsidRPr="00247017">
        <w:t>haven't</w:t>
      </w:r>
      <w:r w:rsidR="76D0AF70" w:rsidRPr="00247017">
        <w:t xml:space="preserve"> </w:t>
      </w:r>
      <w:r w:rsidR="5AF402B3" w:rsidRPr="00247017">
        <w:t>already</w:t>
      </w:r>
      <w:r w:rsidR="76D0AF70" w:rsidRPr="00247017">
        <w:t xml:space="preserve"> been </w:t>
      </w:r>
      <w:r w:rsidR="212D8792" w:rsidRPr="00247017">
        <w:t>supplied</w:t>
      </w:r>
      <w:r w:rsidR="76D0AF70" w:rsidRPr="00247017">
        <w:t>, then</w:t>
      </w:r>
      <w:r w:rsidR="2E358943" w:rsidRPr="00247017">
        <w:t xml:space="preserve"> these must be </w:t>
      </w:r>
      <w:r w:rsidR="3061E0C6" w:rsidRPr="00247017">
        <w:t>provided</w:t>
      </w:r>
      <w:r w:rsidR="00655276">
        <w:t>.</w:t>
      </w:r>
    </w:p>
    <w:p w14:paraId="3213AEA8" w14:textId="604941D7" w:rsidR="520F454F" w:rsidRDefault="520F454F" w:rsidP="00247017">
      <w:pPr>
        <w:pStyle w:val="SCVbullet1"/>
      </w:pPr>
      <w:r w:rsidRPr="00247017">
        <w:t xml:space="preserve">If </w:t>
      </w:r>
      <w:r w:rsidR="002F2E49">
        <w:t>the patient or their</w:t>
      </w:r>
      <w:r w:rsidRPr="00247017">
        <w:t xml:space="preserve"> family</w:t>
      </w:r>
      <w:r w:rsidR="320A3611" w:rsidRPr="00247017">
        <w:t xml:space="preserve"> member</w:t>
      </w:r>
      <w:r w:rsidRPr="00247017">
        <w:t>/carer</w:t>
      </w:r>
      <w:r>
        <w:t xml:space="preserve"> </w:t>
      </w:r>
      <w:r w:rsidR="00683175">
        <w:t>uses</w:t>
      </w:r>
      <w:r>
        <w:t xml:space="preserve"> a</w:t>
      </w:r>
      <w:r w:rsidR="002F2E49">
        <w:t xml:space="preserve">n </w:t>
      </w:r>
      <w:r>
        <w:t xml:space="preserve">escalation of care </w:t>
      </w:r>
      <w:r w:rsidR="002F2E49">
        <w:t xml:space="preserve">pathway </w:t>
      </w:r>
      <w:r>
        <w:t>within a service</w:t>
      </w:r>
      <w:r w:rsidR="77BB6292">
        <w:t>,</w:t>
      </w:r>
      <w:r>
        <w:t xml:space="preserve"> this</w:t>
      </w:r>
      <w:r w:rsidR="00E21A2C">
        <w:t xml:space="preserve"> process </w:t>
      </w:r>
      <w:r w:rsidR="00F73B39">
        <w:t>sh</w:t>
      </w:r>
      <w:r w:rsidR="00E21A2C">
        <w:t>ould occur as usual</w:t>
      </w:r>
      <w:r w:rsidR="008C6003">
        <w:t xml:space="preserve"> and may provide further information into the OD or SDC process</w:t>
      </w:r>
      <w:r w:rsidR="00F73B39">
        <w:t>.</w:t>
      </w:r>
    </w:p>
    <w:p w14:paraId="56A2DA85" w14:textId="68FDCB82" w:rsidR="602BDE30" w:rsidRDefault="00511A18" w:rsidP="00322573">
      <w:pPr>
        <w:pStyle w:val="SCVbullet1"/>
      </w:pPr>
      <w:r w:rsidRPr="002A1384">
        <w:t xml:space="preserve">Although </w:t>
      </w:r>
      <w:r w:rsidR="00F73B39">
        <w:t>a</w:t>
      </w:r>
      <w:r w:rsidRPr="002A1384">
        <w:t xml:space="preserve"> SAPSE may be identified first through a patient complaint, </w:t>
      </w:r>
      <w:r w:rsidR="0034035D" w:rsidRPr="002A1384">
        <w:t xml:space="preserve">the requirements of the </w:t>
      </w:r>
      <w:hyperlink r:id="rId22">
        <w:r w:rsidR="0034035D" w:rsidRPr="22A7B8B9">
          <w:rPr>
            <w:rStyle w:val="Hyperlink"/>
          </w:rPr>
          <w:t>Victorian Duty of Candour Guidelines</w:t>
        </w:r>
      </w:hyperlink>
      <w:r w:rsidR="0034035D" w:rsidRPr="002A1384">
        <w:t>, including timelines, must</w:t>
      </w:r>
      <w:r w:rsidR="00C14DF8">
        <w:t xml:space="preserve"> still</w:t>
      </w:r>
      <w:r w:rsidR="0034035D" w:rsidRPr="002A1384">
        <w:t xml:space="preserve"> be followed</w:t>
      </w:r>
      <w:r w:rsidR="00602BF5">
        <w:t xml:space="preserve">. </w:t>
      </w:r>
      <w:r w:rsidR="602BDE30">
        <w:t xml:space="preserve">A patient complaint can occur through </w:t>
      </w:r>
      <w:r w:rsidR="59E1D6AA">
        <w:t xml:space="preserve">multiple avenues, including </w:t>
      </w:r>
      <w:r w:rsidR="602BDE30">
        <w:t>the health service</w:t>
      </w:r>
      <w:r w:rsidR="320B31CD">
        <w:t>’s complaints process</w:t>
      </w:r>
      <w:r w:rsidR="602BDE30">
        <w:t>, Health Complaints Commissioner, Mental Health Complaints Commissioner, or via the Secretary for Health</w:t>
      </w:r>
      <w:r w:rsidR="67750BF6">
        <w:t xml:space="preserve"> or Minister for Health</w:t>
      </w:r>
      <w:r w:rsidR="00322573">
        <w:t>.</w:t>
      </w:r>
    </w:p>
    <w:p w14:paraId="7BE24051" w14:textId="228E7DF1" w:rsidR="1DA5A350" w:rsidRDefault="1DA5A350" w:rsidP="00490652">
      <w:pPr>
        <w:pStyle w:val="SCVbullet1"/>
      </w:pPr>
      <w:r>
        <w:t xml:space="preserve">If the complaint is directly related to a clinician, the patient or their family/carer should be directed to </w:t>
      </w:r>
      <w:hyperlink r:id="rId23" w:history="1">
        <w:r w:rsidRPr="00732548">
          <w:rPr>
            <w:rStyle w:val="Hyperlink"/>
          </w:rPr>
          <w:t>Ahpra</w:t>
        </w:r>
      </w:hyperlink>
      <w:r w:rsidR="00732548">
        <w:t>.</w:t>
      </w:r>
    </w:p>
    <w:p w14:paraId="0348576A" w14:textId="48F34DFF" w:rsidR="7AC5AB94" w:rsidRDefault="7AC5AB94" w:rsidP="1943E948">
      <w:pPr>
        <w:pStyle w:val="Heading3"/>
      </w:pPr>
      <w:r>
        <w:t>Next Steps pamphlet</w:t>
      </w:r>
    </w:p>
    <w:p w14:paraId="62445EEF" w14:textId="7AA4FE7F" w:rsidR="7AC5AB94" w:rsidRDefault="7AC5AB94" w:rsidP="1943E948">
      <w:pPr>
        <w:pStyle w:val="SCVbullet1"/>
      </w:pPr>
      <w:r>
        <w:t xml:space="preserve">SCV </w:t>
      </w:r>
      <w:r w:rsidR="00732548">
        <w:t>has</w:t>
      </w:r>
      <w:r>
        <w:t xml:space="preserve"> developed a </w:t>
      </w:r>
      <w:hyperlink r:id="rId24" w:history="1">
        <w:r w:rsidRPr="00252057">
          <w:rPr>
            <w:rStyle w:val="Hyperlink"/>
          </w:rPr>
          <w:t>Next Steps pamphlet</w:t>
        </w:r>
      </w:hyperlink>
      <w:r>
        <w:t xml:space="preserve"> </w:t>
      </w:r>
      <w:r w:rsidR="00732548">
        <w:t xml:space="preserve">that </w:t>
      </w:r>
      <w:r>
        <w:t>outlin</w:t>
      </w:r>
      <w:r w:rsidR="00732548">
        <w:t>es</w:t>
      </w:r>
      <w:r>
        <w:t xml:space="preserve"> the review process following an adverse event. This can be </w:t>
      </w:r>
      <w:r w:rsidR="006252C8">
        <w:t>given</w:t>
      </w:r>
      <w:r>
        <w:t xml:space="preserve"> to patients and their families/carers to assist </w:t>
      </w:r>
      <w:r w:rsidR="00137BA7">
        <w:t>with</w:t>
      </w:r>
      <w:r>
        <w:t xml:space="preserve"> any questions they may have</w:t>
      </w:r>
      <w:r w:rsidR="009264EC">
        <w:t xml:space="preserve"> and </w:t>
      </w:r>
      <w:r w:rsidR="00252057">
        <w:t xml:space="preserve">help them </w:t>
      </w:r>
      <w:r w:rsidR="009264EC">
        <w:t>to understand</w:t>
      </w:r>
      <w:r w:rsidR="00252057">
        <w:t xml:space="preserve"> the process</w:t>
      </w:r>
      <w:r>
        <w:t>.</w:t>
      </w:r>
    </w:p>
    <w:p w14:paraId="04D6FFE6" w14:textId="77777777" w:rsidR="00C14DF8" w:rsidRPr="002A1384" w:rsidRDefault="00C14DF8" w:rsidP="00C14DF8">
      <w:pPr>
        <w:pStyle w:val="SCVbullet1"/>
        <w:numPr>
          <w:ilvl w:val="0"/>
          <w:numId w:val="0"/>
        </w:numPr>
        <w:ind w:left="284" w:hanging="284"/>
      </w:pPr>
    </w:p>
    <w:bookmarkEnd w:id="3"/>
    <w:bookmarkEnd w:id="4"/>
    <w:p w14:paraId="79C37852" w14:textId="6E9D6E07" w:rsidR="00C15DBE" w:rsidRDefault="00C15DBE" w:rsidP="00805C6A">
      <w:pPr>
        <w:pStyle w:val="SCVbody"/>
      </w:pPr>
    </w:p>
    <w:p w14:paraId="6AAC7320" w14:textId="77777777" w:rsidR="00252057" w:rsidRDefault="00252057" w:rsidP="00805C6A">
      <w:pPr>
        <w:pStyle w:val="SCVbody"/>
      </w:pPr>
    </w:p>
    <w:p w14:paraId="787A4556" w14:textId="77777777" w:rsidR="00252057" w:rsidRDefault="00252057" w:rsidP="00805C6A">
      <w:pPr>
        <w:pStyle w:val="SCVbody"/>
      </w:pPr>
    </w:p>
    <w:p w14:paraId="255DD2C3" w14:textId="77777777" w:rsidR="00252057" w:rsidRPr="00876171" w:rsidRDefault="00252057" w:rsidP="00805C6A">
      <w:pPr>
        <w:pStyle w:val="SCVbody"/>
      </w:pPr>
    </w:p>
    <w:tbl>
      <w:tblPr>
        <w:tblStyle w:val="SCVInformationTable"/>
        <w:tblW w:w="10206" w:type="dxa"/>
        <w:tblLook w:val="0600" w:firstRow="0" w:lastRow="0" w:firstColumn="0" w:lastColumn="0" w:noHBand="1" w:noVBand="1"/>
      </w:tblPr>
      <w:tblGrid>
        <w:gridCol w:w="10206"/>
      </w:tblGrid>
      <w:tr w:rsidR="00B1051C" w:rsidRPr="00876171" w14:paraId="1E9D97E1" w14:textId="77777777" w:rsidTr="00C15DBE">
        <w:trPr>
          <w:cantSplit/>
        </w:trPr>
        <w:tc>
          <w:tcPr>
            <w:tcW w:w="10206" w:type="dxa"/>
          </w:tcPr>
          <w:p w14:paraId="5AEBE1EA" w14:textId="77777777" w:rsidR="00B1051C" w:rsidRPr="00876171" w:rsidRDefault="00B1051C" w:rsidP="00777ABD">
            <w:pPr>
              <w:pStyle w:val="SCVaccessibilitypara"/>
            </w:pPr>
            <w:r w:rsidRPr="00876171">
              <w:t xml:space="preserve">To receive this publication in an accessible format phone 03 9096 1384, </w:t>
            </w:r>
            <w:r w:rsidRPr="00876171">
              <w:br/>
              <w:t xml:space="preserve">using the National Relay Service 13 36 </w:t>
            </w:r>
            <w:r w:rsidRPr="00876171">
              <w:rPr>
                <w:spacing w:val="-2"/>
              </w:rPr>
              <w:t xml:space="preserve">77 if required, or </w:t>
            </w:r>
            <w:hyperlink r:id="rId25" w:history="1">
              <w:r w:rsidRPr="00876171">
                <w:rPr>
                  <w:rStyle w:val="Hyperlink"/>
                </w:rPr>
                <w:t>email Safer Care Victoria</w:t>
              </w:r>
            </w:hyperlink>
            <w:r w:rsidRPr="00876171">
              <w:t xml:space="preserve"> &lt;info@</w:t>
            </w:r>
            <w:hyperlink r:id="rId26" w:history="1">
              <w:r w:rsidRPr="00876171">
                <w:t>safercare.vic</w:t>
              </w:r>
            </w:hyperlink>
            <w:r w:rsidRPr="00876171">
              <w:t>.gov.au&gt;</w:t>
            </w:r>
          </w:p>
          <w:p w14:paraId="2646BF3A" w14:textId="77777777" w:rsidR="00B1051C" w:rsidRPr="00876171" w:rsidRDefault="00B1051C" w:rsidP="00777ABD">
            <w:pPr>
              <w:pStyle w:val="SCVimprint"/>
            </w:pPr>
            <w:r w:rsidRPr="00876171">
              <w:t xml:space="preserve">Authorised and </w:t>
            </w:r>
            <w:r w:rsidRPr="00876171">
              <w:rPr>
                <w:spacing w:val="-2"/>
              </w:rPr>
              <w:t>published by the Victorian</w:t>
            </w:r>
            <w:r w:rsidRPr="00876171">
              <w:t xml:space="preserve"> Government, 1 Treasury Place, Melbourne.</w:t>
            </w:r>
          </w:p>
          <w:p w14:paraId="0322D929" w14:textId="0FAD62FB" w:rsidR="00B1051C" w:rsidRPr="00876171" w:rsidRDefault="00B1051C" w:rsidP="00777ABD">
            <w:pPr>
              <w:pStyle w:val="SCVimprint"/>
            </w:pPr>
            <w:r w:rsidRPr="00876171">
              <w:t xml:space="preserve">© State of Victoria, Australia, Safer Care Victoria, </w:t>
            </w:r>
            <w:r w:rsidR="04D55DA1">
              <w:t>February</w:t>
            </w:r>
            <w:r w:rsidR="002C62A9" w:rsidRPr="002C62A9">
              <w:t xml:space="preserve"> 2023</w:t>
            </w:r>
          </w:p>
          <w:p w14:paraId="518CCA1A" w14:textId="77777777" w:rsidR="00B1051C" w:rsidRPr="00876171" w:rsidRDefault="00B1051C" w:rsidP="00777ABD">
            <w:pPr>
              <w:pStyle w:val="SCVimprint"/>
            </w:pPr>
            <w:r w:rsidRPr="00876171">
              <w:t xml:space="preserve">Available at the </w:t>
            </w:r>
            <w:hyperlink r:id="rId27" w:history="1">
              <w:r w:rsidRPr="00876171">
                <w:rPr>
                  <w:rStyle w:val="Hyperlink"/>
                </w:rPr>
                <w:t>Safer Care Victoria website</w:t>
              </w:r>
            </w:hyperlink>
            <w:r w:rsidRPr="00876171">
              <w:t xml:space="preserve"> &lt;https://</w:t>
            </w:r>
            <w:hyperlink r:id="rId28" w:history="1">
              <w:r w:rsidRPr="00876171">
                <w:t>www.safercare.vic</w:t>
              </w:r>
            </w:hyperlink>
            <w:r w:rsidRPr="00876171">
              <w:t>.gov.au&gt;</w:t>
            </w:r>
          </w:p>
          <w:p w14:paraId="21323811" w14:textId="77777777" w:rsidR="00B1051C" w:rsidRPr="00876171" w:rsidRDefault="00B1051C" w:rsidP="00777ABD">
            <w:pPr>
              <w:pStyle w:val="SCVbody"/>
              <w:jc w:val="right"/>
            </w:pPr>
            <w:r w:rsidRPr="00876171">
              <w:rPr>
                <w:noProof/>
              </w:rPr>
              <w:drawing>
                <wp:inline distT="0" distB="0" distL="0" distR="0" wp14:anchorId="71B631E8" wp14:editId="75A57E13">
                  <wp:extent cx="795600" cy="453600"/>
                  <wp:effectExtent l="0" t="0" r="5080" b="3810"/>
                  <wp:docPr id="16" name="Picture 16" descr="Victoria State Gover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Victoria State Government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852F4" w14:textId="77777777" w:rsidR="00B1051C" w:rsidRPr="00876171" w:rsidRDefault="00B1051C" w:rsidP="00994B72">
      <w:pPr>
        <w:pStyle w:val="SCVimprint"/>
      </w:pPr>
    </w:p>
    <w:sectPr w:rsidR="00B1051C" w:rsidRPr="00876171" w:rsidSect="00EB2D0F">
      <w:headerReference w:type="even" r:id="rId30"/>
      <w:headerReference w:type="default" r:id="rId31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D5F8" w14:textId="77777777" w:rsidR="0007163C" w:rsidRDefault="0007163C" w:rsidP="002D711A">
      <w:pPr>
        <w:spacing w:after="0" w:line="240" w:lineRule="auto"/>
      </w:pPr>
      <w:r>
        <w:separator/>
      </w:r>
    </w:p>
  </w:endnote>
  <w:endnote w:type="continuationSeparator" w:id="0">
    <w:p w14:paraId="3A6A0D34" w14:textId="77777777" w:rsidR="0007163C" w:rsidRDefault="0007163C" w:rsidP="002D711A">
      <w:pPr>
        <w:spacing w:after="0" w:line="240" w:lineRule="auto"/>
      </w:pPr>
      <w:r>
        <w:continuationSeparator/>
      </w:r>
    </w:p>
  </w:endnote>
  <w:endnote w:type="continuationNotice" w:id="1">
    <w:p w14:paraId="5A96465E" w14:textId="77777777" w:rsidR="0007163C" w:rsidRDefault="0007163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07AC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55168" behindDoc="0" locked="0" layoutInCell="0" allowOverlap="1" wp14:anchorId="0FBC5125" wp14:editId="4681AB7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438A05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C5125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E438A05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7B6" w14:textId="7069ED18" w:rsidR="00385D03" w:rsidRPr="006B337A" w:rsidRDefault="005D123F" w:rsidP="00A43251">
    <w:pPr>
      <w:pStyle w:val="SCVfooter"/>
      <w:tabs>
        <w:tab w:val="clear" w:pos="1304"/>
        <w:tab w:val="left" w:pos="0"/>
        <w:tab w:val="center" w:pos="5245"/>
        <w:tab w:val="right" w:pos="10348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779BE8D1" wp14:editId="333F8C0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12449c48b65d7037b6ee30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639684" w14:textId="77777777" w:rsidR="005D123F" w:rsidRPr="005D123F" w:rsidRDefault="005D123F" w:rsidP="005D123F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D123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BE8D1" id="_x0000_t202" coordsize="21600,21600" o:spt="202" path="m,l,21600r21600,l21600,xe">
              <v:stroke joinstyle="miter"/>
              <v:path gradientshapeok="t" o:connecttype="rect"/>
            </v:shapetype>
            <v:shape id="MSIPCM212449c48b65d7037b6ee308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3639684" w14:textId="77777777" w:rsidR="005D123F" w:rsidRPr="005D123F" w:rsidRDefault="005D123F" w:rsidP="005D123F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D123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STYLEREF  &quot;SCV factsheet title&quot;  \* MERGEFORMAT">
      <w:r w:rsidR="00EB2D0F">
        <w:t>Statutory Duty of Candour: Patient Resources</w:t>
      </w:r>
    </w:fldSimple>
    <w:r w:rsidR="00A43251">
      <w:tab/>
    </w:r>
    <w:r w:rsidR="00385D03">
      <w:rPr>
        <w:b/>
      </w:rPr>
      <w:t>Safer Care Victoria</w:t>
    </w:r>
    <w:r w:rsidR="00A43251">
      <w:rPr>
        <w:b/>
      </w:rPr>
      <w:tab/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4E69" w14:textId="77777777" w:rsidR="00EB2D0F" w:rsidRDefault="00EB2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BC80" w14:textId="77777777" w:rsidR="0007163C" w:rsidRDefault="0007163C" w:rsidP="00E33E08">
      <w:pPr>
        <w:spacing w:before="0" w:after="0" w:line="240" w:lineRule="auto"/>
      </w:pPr>
    </w:p>
  </w:footnote>
  <w:footnote w:type="continuationSeparator" w:id="0">
    <w:p w14:paraId="73694C98" w14:textId="77777777" w:rsidR="0007163C" w:rsidRDefault="0007163C" w:rsidP="00E33E08">
      <w:pPr>
        <w:spacing w:before="0" w:after="0" w:line="240" w:lineRule="auto"/>
      </w:pPr>
    </w:p>
  </w:footnote>
  <w:footnote w:type="continuationNotice" w:id="1">
    <w:p w14:paraId="55BC9490" w14:textId="77777777" w:rsidR="0007163C" w:rsidRDefault="0007163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CF85" w14:textId="77777777" w:rsidR="00EB2D0F" w:rsidRDefault="00EB2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0153" w14:textId="77777777" w:rsidR="00385D03" w:rsidRDefault="00385D03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453C9F6" wp14:editId="1D7795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8F5B" w14:textId="77777777" w:rsidR="00EB2D0F" w:rsidRDefault="00EB2D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E31A" w14:textId="77777777" w:rsidR="00385D03" w:rsidRDefault="00385D03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D122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965"/>
    <w:multiLevelType w:val="hybridMultilevel"/>
    <w:tmpl w:val="53B4BBD6"/>
    <w:lvl w:ilvl="0" w:tplc="657CA5E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555F9"/>
    <w:multiLevelType w:val="hybridMultilevel"/>
    <w:tmpl w:val="10E0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4094"/>
    <w:multiLevelType w:val="hybridMultilevel"/>
    <w:tmpl w:val="77461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6941"/>
    <w:multiLevelType w:val="multilevel"/>
    <w:tmpl w:val="39C6BC1C"/>
    <w:lvl w:ilvl="0">
      <w:numFmt w:val="bullet"/>
      <w:lvlText w:val="-"/>
      <w:lvlJc w:val="left"/>
      <w:pPr>
        <w:ind w:left="568" w:hanging="284"/>
      </w:pPr>
      <w:rPr>
        <w:rFonts w:ascii="VIC" w:eastAsiaTheme="minorEastAsia" w:hAnsi="VIC" w:cstheme="minorBidi" w:hint="default"/>
        <w:color w:val="004C97" w:themeColor="accent4"/>
        <w:position w:val="2"/>
        <w:sz w:val="16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851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E150DE"/>
    <w:multiLevelType w:val="hybridMultilevel"/>
    <w:tmpl w:val="F4982534"/>
    <w:lvl w:ilvl="0" w:tplc="D74C3912">
      <w:numFmt w:val="bullet"/>
      <w:lvlText w:val="-"/>
      <w:lvlJc w:val="left"/>
      <w:pPr>
        <w:ind w:left="720" w:hanging="360"/>
      </w:pPr>
      <w:rPr>
        <w:rFonts w:ascii="VIC" w:eastAsiaTheme="minorEastAsia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39F60"/>
    <w:multiLevelType w:val="hybridMultilevel"/>
    <w:tmpl w:val="15C21C58"/>
    <w:lvl w:ilvl="0" w:tplc="A7F296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6565712">
      <w:start w:val="1"/>
      <w:numFmt w:val="lowerLetter"/>
      <w:lvlText w:val="%2."/>
      <w:lvlJc w:val="left"/>
      <w:pPr>
        <w:ind w:left="1440" w:hanging="360"/>
      </w:pPr>
    </w:lvl>
    <w:lvl w:ilvl="2" w:tplc="C25CBE70">
      <w:start w:val="1"/>
      <w:numFmt w:val="lowerRoman"/>
      <w:lvlText w:val="%3."/>
      <w:lvlJc w:val="right"/>
      <w:pPr>
        <w:ind w:left="2160" w:hanging="180"/>
      </w:pPr>
    </w:lvl>
    <w:lvl w:ilvl="3" w:tplc="5A18DC0A">
      <w:start w:val="1"/>
      <w:numFmt w:val="decimal"/>
      <w:lvlText w:val="%4."/>
      <w:lvlJc w:val="left"/>
      <w:pPr>
        <w:ind w:left="2880" w:hanging="360"/>
      </w:pPr>
    </w:lvl>
    <w:lvl w:ilvl="4" w:tplc="181AF846">
      <w:start w:val="1"/>
      <w:numFmt w:val="lowerLetter"/>
      <w:lvlText w:val="%5."/>
      <w:lvlJc w:val="left"/>
      <w:pPr>
        <w:ind w:left="3600" w:hanging="360"/>
      </w:pPr>
    </w:lvl>
    <w:lvl w:ilvl="5" w:tplc="206C42A4">
      <w:start w:val="1"/>
      <w:numFmt w:val="lowerRoman"/>
      <w:lvlText w:val="%6."/>
      <w:lvlJc w:val="right"/>
      <w:pPr>
        <w:ind w:left="4320" w:hanging="180"/>
      </w:pPr>
    </w:lvl>
    <w:lvl w:ilvl="6" w:tplc="1F4CE97C">
      <w:start w:val="1"/>
      <w:numFmt w:val="decimal"/>
      <w:lvlText w:val="%7."/>
      <w:lvlJc w:val="left"/>
      <w:pPr>
        <w:ind w:left="5040" w:hanging="360"/>
      </w:pPr>
    </w:lvl>
    <w:lvl w:ilvl="7" w:tplc="F2D0DF0A">
      <w:start w:val="1"/>
      <w:numFmt w:val="lowerLetter"/>
      <w:lvlText w:val="%8."/>
      <w:lvlJc w:val="left"/>
      <w:pPr>
        <w:ind w:left="5760" w:hanging="360"/>
      </w:pPr>
    </w:lvl>
    <w:lvl w:ilvl="8" w:tplc="FDD6C1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A7248"/>
    <w:multiLevelType w:val="hybridMultilevel"/>
    <w:tmpl w:val="21AE5DF8"/>
    <w:lvl w:ilvl="0" w:tplc="414C7DAE">
      <w:numFmt w:val="bullet"/>
      <w:lvlText w:val="-"/>
      <w:lvlJc w:val="left"/>
      <w:pPr>
        <w:ind w:left="720" w:hanging="360"/>
      </w:pPr>
      <w:rPr>
        <w:rFonts w:ascii="VIC" w:eastAsiaTheme="minorEastAsia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6851"/>
    <w:multiLevelType w:val="hybridMultilevel"/>
    <w:tmpl w:val="4F304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B407C"/>
    <w:multiLevelType w:val="hybridMultilevel"/>
    <w:tmpl w:val="26C49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3EF54047"/>
    <w:multiLevelType w:val="hybridMultilevel"/>
    <w:tmpl w:val="43EC4084"/>
    <w:lvl w:ilvl="0" w:tplc="698A4D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9C0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8C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C6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E4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08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00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8D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02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96C98"/>
    <w:multiLevelType w:val="hybridMultilevel"/>
    <w:tmpl w:val="DBB43D04"/>
    <w:lvl w:ilvl="0" w:tplc="3BFED6BE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850284"/>
    <w:multiLevelType w:val="hybridMultilevel"/>
    <w:tmpl w:val="5B38E94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92A0CC2"/>
    <w:multiLevelType w:val="hybridMultilevel"/>
    <w:tmpl w:val="32B6DC20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FAF2BA9"/>
    <w:multiLevelType w:val="hybridMultilevel"/>
    <w:tmpl w:val="3B8025E0"/>
    <w:lvl w:ilvl="0" w:tplc="414C7DAE">
      <w:numFmt w:val="bullet"/>
      <w:lvlText w:val="-"/>
      <w:lvlJc w:val="left"/>
      <w:pPr>
        <w:ind w:left="720" w:hanging="360"/>
      </w:pPr>
      <w:rPr>
        <w:rFonts w:ascii="VIC" w:eastAsiaTheme="minorEastAsia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4052A"/>
    <w:multiLevelType w:val="hybridMultilevel"/>
    <w:tmpl w:val="B4524374"/>
    <w:lvl w:ilvl="0" w:tplc="414C7DAE">
      <w:numFmt w:val="bullet"/>
      <w:lvlText w:val="-"/>
      <w:lvlJc w:val="left"/>
      <w:pPr>
        <w:ind w:left="1080" w:hanging="360"/>
      </w:pPr>
      <w:rPr>
        <w:rFonts w:ascii="VIC" w:eastAsiaTheme="minorEastAsia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0" w15:restartNumberingAfterBreak="0">
    <w:nsid w:val="58EE6E71"/>
    <w:multiLevelType w:val="hybridMultilevel"/>
    <w:tmpl w:val="46C0A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172684E6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66A35442"/>
    <w:multiLevelType w:val="hybridMultilevel"/>
    <w:tmpl w:val="695C47A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35B4260"/>
    <w:multiLevelType w:val="hybridMultilevel"/>
    <w:tmpl w:val="62FA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6771B"/>
    <w:multiLevelType w:val="hybridMultilevel"/>
    <w:tmpl w:val="10B2D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B0BF982"/>
    <w:multiLevelType w:val="hybridMultilevel"/>
    <w:tmpl w:val="D92CF7BE"/>
    <w:lvl w:ilvl="0" w:tplc="FB9E95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D25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8C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AE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82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2B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2B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E5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C3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053E6"/>
    <w:multiLevelType w:val="hybridMultilevel"/>
    <w:tmpl w:val="E8DCC39E"/>
    <w:lvl w:ilvl="0" w:tplc="323C9D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960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E3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63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09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A0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68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60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CD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475728206">
    <w:abstractNumId w:val="6"/>
  </w:num>
  <w:num w:numId="2" w16cid:durableId="710686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81920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16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4839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99997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10662">
    <w:abstractNumId w:val="21"/>
  </w:num>
  <w:num w:numId="8" w16cid:durableId="27878213">
    <w:abstractNumId w:val="26"/>
  </w:num>
  <w:num w:numId="9" w16cid:durableId="1196581493">
    <w:abstractNumId w:val="11"/>
  </w:num>
  <w:num w:numId="10" w16cid:durableId="1789928758">
    <w:abstractNumId w:val="4"/>
  </w:num>
  <w:num w:numId="11" w16cid:durableId="562520260">
    <w:abstractNumId w:val="22"/>
  </w:num>
  <w:num w:numId="12" w16cid:durableId="1219634817">
    <w:abstractNumId w:val="19"/>
  </w:num>
  <w:num w:numId="13" w16cid:durableId="1913739692">
    <w:abstractNumId w:val="16"/>
  </w:num>
  <w:num w:numId="14" w16cid:durableId="19538538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5242707">
    <w:abstractNumId w:val="24"/>
  </w:num>
  <w:num w:numId="16" w16cid:durableId="317349875">
    <w:abstractNumId w:val="15"/>
  </w:num>
  <w:num w:numId="17" w16cid:durableId="1348293986">
    <w:abstractNumId w:val="23"/>
  </w:num>
  <w:num w:numId="18" w16cid:durableId="769930077">
    <w:abstractNumId w:val="14"/>
  </w:num>
  <w:num w:numId="19" w16cid:durableId="933049850">
    <w:abstractNumId w:val="1"/>
  </w:num>
  <w:num w:numId="20" w16cid:durableId="1614441586">
    <w:abstractNumId w:val="18"/>
  </w:num>
  <w:num w:numId="21" w16cid:durableId="776485769">
    <w:abstractNumId w:val="0"/>
  </w:num>
  <w:num w:numId="22" w16cid:durableId="870800224">
    <w:abstractNumId w:val="8"/>
  </w:num>
  <w:num w:numId="23" w16cid:durableId="477691907">
    <w:abstractNumId w:val="2"/>
  </w:num>
  <w:num w:numId="24" w16cid:durableId="854727362">
    <w:abstractNumId w:val="9"/>
  </w:num>
  <w:num w:numId="25" w16cid:durableId="555900164">
    <w:abstractNumId w:val="3"/>
  </w:num>
  <w:num w:numId="26" w16cid:durableId="2052000328">
    <w:abstractNumId w:val="7"/>
  </w:num>
  <w:num w:numId="27" w16cid:durableId="1524516880">
    <w:abstractNumId w:val="17"/>
  </w:num>
  <w:num w:numId="28" w16cid:durableId="1904172700">
    <w:abstractNumId w:val="20"/>
  </w:num>
  <w:num w:numId="29" w16cid:durableId="1289048225">
    <w:abstractNumId w:val="25"/>
  </w:num>
  <w:num w:numId="30" w16cid:durableId="1525169496">
    <w:abstractNumId w:val="13"/>
  </w:num>
  <w:num w:numId="31" w16cid:durableId="1981885642">
    <w:abstractNumId w:val="5"/>
  </w:num>
  <w:num w:numId="32" w16cid:durableId="1464542839">
    <w:abstractNumId w:val="27"/>
  </w:num>
  <w:num w:numId="33" w16cid:durableId="1787578906">
    <w:abstractNumId w:val="28"/>
  </w:num>
  <w:num w:numId="34" w16cid:durableId="47075617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99"/>
    <w:rsid w:val="00006F13"/>
    <w:rsid w:val="00012F6F"/>
    <w:rsid w:val="00014213"/>
    <w:rsid w:val="00014B55"/>
    <w:rsid w:val="00020E3E"/>
    <w:rsid w:val="0002328B"/>
    <w:rsid w:val="00023BF3"/>
    <w:rsid w:val="00026811"/>
    <w:rsid w:val="00032C1B"/>
    <w:rsid w:val="000408B5"/>
    <w:rsid w:val="0004185E"/>
    <w:rsid w:val="0004698F"/>
    <w:rsid w:val="000477DC"/>
    <w:rsid w:val="00052A54"/>
    <w:rsid w:val="00056988"/>
    <w:rsid w:val="00060D52"/>
    <w:rsid w:val="0007163C"/>
    <w:rsid w:val="00072279"/>
    <w:rsid w:val="00075895"/>
    <w:rsid w:val="00075E6C"/>
    <w:rsid w:val="00081C12"/>
    <w:rsid w:val="00087D42"/>
    <w:rsid w:val="000915AE"/>
    <w:rsid w:val="000A2620"/>
    <w:rsid w:val="000B2212"/>
    <w:rsid w:val="000B29AD"/>
    <w:rsid w:val="000C6372"/>
    <w:rsid w:val="000D1042"/>
    <w:rsid w:val="000D4066"/>
    <w:rsid w:val="000D6A1D"/>
    <w:rsid w:val="000D7841"/>
    <w:rsid w:val="000E392D"/>
    <w:rsid w:val="000E39B6"/>
    <w:rsid w:val="000E3D05"/>
    <w:rsid w:val="000F4288"/>
    <w:rsid w:val="000F7165"/>
    <w:rsid w:val="000F7704"/>
    <w:rsid w:val="00100361"/>
    <w:rsid w:val="00102379"/>
    <w:rsid w:val="00102E85"/>
    <w:rsid w:val="00103722"/>
    <w:rsid w:val="00105EB8"/>
    <w:rsid w:val="001065D6"/>
    <w:rsid w:val="001068D5"/>
    <w:rsid w:val="00116790"/>
    <w:rsid w:val="001207FE"/>
    <w:rsid w:val="00121252"/>
    <w:rsid w:val="00124609"/>
    <w:rsid w:val="001254CE"/>
    <w:rsid w:val="00137BA7"/>
    <w:rsid w:val="001422CC"/>
    <w:rsid w:val="00142CC3"/>
    <w:rsid w:val="00145346"/>
    <w:rsid w:val="00150333"/>
    <w:rsid w:val="001617B6"/>
    <w:rsid w:val="001622FD"/>
    <w:rsid w:val="00165E66"/>
    <w:rsid w:val="001701C6"/>
    <w:rsid w:val="00173F02"/>
    <w:rsid w:val="00174F38"/>
    <w:rsid w:val="001849FD"/>
    <w:rsid w:val="0019351B"/>
    <w:rsid w:val="00194B79"/>
    <w:rsid w:val="00196143"/>
    <w:rsid w:val="001A24FC"/>
    <w:rsid w:val="001A425B"/>
    <w:rsid w:val="001C6F8C"/>
    <w:rsid w:val="001C7BAE"/>
    <w:rsid w:val="001E31FA"/>
    <w:rsid w:val="001E48F9"/>
    <w:rsid w:val="001E64F6"/>
    <w:rsid w:val="001E6A40"/>
    <w:rsid w:val="001E7AEB"/>
    <w:rsid w:val="001F2A53"/>
    <w:rsid w:val="00204B82"/>
    <w:rsid w:val="00205C68"/>
    <w:rsid w:val="002070F6"/>
    <w:rsid w:val="00222BEB"/>
    <w:rsid w:val="00223217"/>
    <w:rsid w:val="00225E60"/>
    <w:rsid w:val="00230BBB"/>
    <w:rsid w:val="0023202C"/>
    <w:rsid w:val="00234253"/>
    <w:rsid w:val="00234619"/>
    <w:rsid w:val="00245043"/>
    <w:rsid w:val="00247017"/>
    <w:rsid w:val="00252057"/>
    <w:rsid w:val="0025578B"/>
    <w:rsid w:val="00256BB6"/>
    <w:rsid w:val="002570BD"/>
    <w:rsid w:val="0026028E"/>
    <w:rsid w:val="00262B8D"/>
    <w:rsid w:val="002677E1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1384"/>
    <w:rsid w:val="002A4AD5"/>
    <w:rsid w:val="002A5891"/>
    <w:rsid w:val="002B03F1"/>
    <w:rsid w:val="002B2DE2"/>
    <w:rsid w:val="002B4273"/>
    <w:rsid w:val="002B4856"/>
    <w:rsid w:val="002B5E2B"/>
    <w:rsid w:val="002B6DAA"/>
    <w:rsid w:val="002C462C"/>
    <w:rsid w:val="002C62A9"/>
    <w:rsid w:val="002D1635"/>
    <w:rsid w:val="002D6F3C"/>
    <w:rsid w:val="002D70F7"/>
    <w:rsid w:val="002D711A"/>
    <w:rsid w:val="002D7336"/>
    <w:rsid w:val="002E3396"/>
    <w:rsid w:val="002F2953"/>
    <w:rsid w:val="002F2E49"/>
    <w:rsid w:val="002F4173"/>
    <w:rsid w:val="00303E66"/>
    <w:rsid w:val="0031149C"/>
    <w:rsid w:val="003117D2"/>
    <w:rsid w:val="00315B8F"/>
    <w:rsid w:val="00316FC9"/>
    <w:rsid w:val="0031732E"/>
    <w:rsid w:val="00320FBB"/>
    <w:rsid w:val="00322573"/>
    <w:rsid w:val="00325E21"/>
    <w:rsid w:val="0033290F"/>
    <w:rsid w:val="0033301B"/>
    <w:rsid w:val="003331EA"/>
    <w:rsid w:val="00333447"/>
    <w:rsid w:val="0034005D"/>
    <w:rsid w:val="00340223"/>
    <w:rsid w:val="0034035D"/>
    <w:rsid w:val="00345B45"/>
    <w:rsid w:val="00345F0B"/>
    <w:rsid w:val="003463C4"/>
    <w:rsid w:val="00350441"/>
    <w:rsid w:val="00350A5E"/>
    <w:rsid w:val="0035178B"/>
    <w:rsid w:val="00354D98"/>
    <w:rsid w:val="0036778F"/>
    <w:rsid w:val="00385049"/>
    <w:rsid w:val="00385D03"/>
    <w:rsid w:val="0038771C"/>
    <w:rsid w:val="003879FE"/>
    <w:rsid w:val="003A0032"/>
    <w:rsid w:val="003A0967"/>
    <w:rsid w:val="003A430B"/>
    <w:rsid w:val="003A541A"/>
    <w:rsid w:val="003A6923"/>
    <w:rsid w:val="003B4426"/>
    <w:rsid w:val="003B5CC6"/>
    <w:rsid w:val="003C2062"/>
    <w:rsid w:val="003C2C67"/>
    <w:rsid w:val="003C2D4C"/>
    <w:rsid w:val="003C3B3A"/>
    <w:rsid w:val="003C507C"/>
    <w:rsid w:val="003C5BA4"/>
    <w:rsid w:val="003E11F4"/>
    <w:rsid w:val="003E3E26"/>
    <w:rsid w:val="003F1295"/>
    <w:rsid w:val="003F3DAF"/>
    <w:rsid w:val="003F5102"/>
    <w:rsid w:val="003F76FC"/>
    <w:rsid w:val="004002EB"/>
    <w:rsid w:val="00407A79"/>
    <w:rsid w:val="004108A6"/>
    <w:rsid w:val="00412D92"/>
    <w:rsid w:val="00414274"/>
    <w:rsid w:val="00416901"/>
    <w:rsid w:val="00421282"/>
    <w:rsid w:val="00422DDC"/>
    <w:rsid w:val="004231B5"/>
    <w:rsid w:val="004236C8"/>
    <w:rsid w:val="00423D30"/>
    <w:rsid w:val="00427681"/>
    <w:rsid w:val="00433DB7"/>
    <w:rsid w:val="0043696B"/>
    <w:rsid w:val="00453750"/>
    <w:rsid w:val="00454D1E"/>
    <w:rsid w:val="00456941"/>
    <w:rsid w:val="00463C5A"/>
    <w:rsid w:val="004649B9"/>
    <w:rsid w:val="004702EA"/>
    <w:rsid w:val="00473B0D"/>
    <w:rsid w:val="004777DB"/>
    <w:rsid w:val="00481F4C"/>
    <w:rsid w:val="0048259C"/>
    <w:rsid w:val="00482D02"/>
    <w:rsid w:val="00484326"/>
    <w:rsid w:val="00490369"/>
    <w:rsid w:val="00490652"/>
    <w:rsid w:val="0049666F"/>
    <w:rsid w:val="00497EB0"/>
    <w:rsid w:val="004A0794"/>
    <w:rsid w:val="004A7519"/>
    <w:rsid w:val="004B1D4A"/>
    <w:rsid w:val="004B64B1"/>
    <w:rsid w:val="004C239A"/>
    <w:rsid w:val="004C61C2"/>
    <w:rsid w:val="004C6262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A18"/>
    <w:rsid w:val="00511E12"/>
    <w:rsid w:val="00513E86"/>
    <w:rsid w:val="00515958"/>
    <w:rsid w:val="00521CA5"/>
    <w:rsid w:val="00523E77"/>
    <w:rsid w:val="005306A2"/>
    <w:rsid w:val="0053416C"/>
    <w:rsid w:val="00537BAB"/>
    <w:rsid w:val="005416D7"/>
    <w:rsid w:val="00541C2F"/>
    <w:rsid w:val="005450D9"/>
    <w:rsid w:val="00547A71"/>
    <w:rsid w:val="00552DE4"/>
    <w:rsid w:val="0056155A"/>
    <w:rsid w:val="005619BB"/>
    <w:rsid w:val="00563527"/>
    <w:rsid w:val="0057407A"/>
    <w:rsid w:val="00576382"/>
    <w:rsid w:val="005768A8"/>
    <w:rsid w:val="005809C0"/>
    <w:rsid w:val="0058124E"/>
    <w:rsid w:val="0058223E"/>
    <w:rsid w:val="005848A5"/>
    <w:rsid w:val="005875A3"/>
    <w:rsid w:val="00593A04"/>
    <w:rsid w:val="005953EA"/>
    <w:rsid w:val="005A1EA7"/>
    <w:rsid w:val="005A3416"/>
    <w:rsid w:val="005A608B"/>
    <w:rsid w:val="005B27FE"/>
    <w:rsid w:val="005B534B"/>
    <w:rsid w:val="005B76DF"/>
    <w:rsid w:val="005B79CB"/>
    <w:rsid w:val="005C04F0"/>
    <w:rsid w:val="005C12A8"/>
    <w:rsid w:val="005C4B62"/>
    <w:rsid w:val="005D123F"/>
    <w:rsid w:val="005D64A1"/>
    <w:rsid w:val="005E0152"/>
    <w:rsid w:val="005E08D7"/>
    <w:rsid w:val="005E4C16"/>
    <w:rsid w:val="005E57E1"/>
    <w:rsid w:val="005E5947"/>
    <w:rsid w:val="005F61DF"/>
    <w:rsid w:val="005F6504"/>
    <w:rsid w:val="0060163A"/>
    <w:rsid w:val="006023F9"/>
    <w:rsid w:val="00602BF5"/>
    <w:rsid w:val="00610559"/>
    <w:rsid w:val="00611A96"/>
    <w:rsid w:val="00614076"/>
    <w:rsid w:val="00616087"/>
    <w:rsid w:val="00616B69"/>
    <w:rsid w:val="00617BB5"/>
    <w:rsid w:val="006208C4"/>
    <w:rsid w:val="00623EAA"/>
    <w:rsid w:val="006252C8"/>
    <w:rsid w:val="00631F8E"/>
    <w:rsid w:val="00632F2E"/>
    <w:rsid w:val="006332F6"/>
    <w:rsid w:val="00633C69"/>
    <w:rsid w:val="006413F2"/>
    <w:rsid w:val="00645E9B"/>
    <w:rsid w:val="006534B2"/>
    <w:rsid w:val="00655276"/>
    <w:rsid w:val="0065615D"/>
    <w:rsid w:val="00657011"/>
    <w:rsid w:val="006641D8"/>
    <w:rsid w:val="006650B5"/>
    <w:rsid w:val="006651B1"/>
    <w:rsid w:val="00665778"/>
    <w:rsid w:val="00675A89"/>
    <w:rsid w:val="00676E5F"/>
    <w:rsid w:val="00680FCA"/>
    <w:rsid w:val="00683175"/>
    <w:rsid w:val="006945CA"/>
    <w:rsid w:val="006A3309"/>
    <w:rsid w:val="006A3A5A"/>
    <w:rsid w:val="006A5B34"/>
    <w:rsid w:val="006B02E9"/>
    <w:rsid w:val="006B337A"/>
    <w:rsid w:val="006C2339"/>
    <w:rsid w:val="006C77A9"/>
    <w:rsid w:val="006D4720"/>
    <w:rsid w:val="006D5B85"/>
    <w:rsid w:val="006E6CDF"/>
    <w:rsid w:val="006E761E"/>
    <w:rsid w:val="006E7C80"/>
    <w:rsid w:val="006F37F2"/>
    <w:rsid w:val="006F6693"/>
    <w:rsid w:val="006F7199"/>
    <w:rsid w:val="00700D44"/>
    <w:rsid w:val="0070406A"/>
    <w:rsid w:val="00704EAC"/>
    <w:rsid w:val="00707FE8"/>
    <w:rsid w:val="00714AAE"/>
    <w:rsid w:val="00722766"/>
    <w:rsid w:val="00724962"/>
    <w:rsid w:val="00724A0F"/>
    <w:rsid w:val="00726D2F"/>
    <w:rsid w:val="007305F8"/>
    <w:rsid w:val="00732548"/>
    <w:rsid w:val="00736732"/>
    <w:rsid w:val="00740019"/>
    <w:rsid w:val="007432F9"/>
    <w:rsid w:val="00744036"/>
    <w:rsid w:val="00745392"/>
    <w:rsid w:val="00746426"/>
    <w:rsid w:val="00747C87"/>
    <w:rsid w:val="00750BF9"/>
    <w:rsid w:val="00750CBE"/>
    <w:rsid w:val="0076054E"/>
    <w:rsid w:val="007650D2"/>
    <w:rsid w:val="00766B5A"/>
    <w:rsid w:val="00767B8C"/>
    <w:rsid w:val="00771DD9"/>
    <w:rsid w:val="00772209"/>
    <w:rsid w:val="007770A5"/>
    <w:rsid w:val="00777ABD"/>
    <w:rsid w:val="007834F2"/>
    <w:rsid w:val="0078432C"/>
    <w:rsid w:val="00791020"/>
    <w:rsid w:val="0079318B"/>
    <w:rsid w:val="00796484"/>
    <w:rsid w:val="00796F92"/>
    <w:rsid w:val="007A04D2"/>
    <w:rsid w:val="007A2CB5"/>
    <w:rsid w:val="007A5F82"/>
    <w:rsid w:val="007B001C"/>
    <w:rsid w:val="007B19B7"/>
    <w:rsid w:val="007B55C7"/>
    <w:rsid w:val="007B59CC"/>
    <w:rsid w:val="007B74AD"/>
    <w:rsid w:val="007C5F9E"/>
    <w:rsid w:val="007D5F9E"/>
    <w:rsid w:val="007D6713"/>
    <w:rsid w:val="007E098F"/>
    <w:rsid w:val="007E3BA2"/>
    <w:rsid w:val="007F1A4C"/>
    <w:rsid w:val="007F6D4E"/>
    <w:rsid w:val="007F723F"/>
    <w:rsid w:val="00801EA6"/>
    <w:rsid w:val="008022C3"/>
    <w:rsid w:val="008041E6"/>
    <w:rsid w:val="00805C6A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503B"/>
    <w:rsid w:val="00847745"/>
    <w:rsid w:val="00850496"/>
    <w:rsid w:val="0085246B"/>
    <w:rsid w:val="00855FF9"/>
    <w:rsid w:val="0086277A"/>
    <w:rsid w:val="00865A5B"/>
    <w:rsid w:val="008668A8"/>
    <w:rsid w:val="00870E99"/>
    <w:rsid w:val="008719DF"/>
    <w:rsid w:val="00876171"/>
    <w:rsid w:val="008768AD"/>
    <w:rsid w:val="00880AC4"/>
    <w:rsid w:val="00886F7C"/>
    <w:rsid w:val="00892999"/>
    <w:rsid w:val="00897447"/>
    <w:rsid w:val="008A4900"/>
    <w:rsid w:val="008A55FE"/>
    <w:rsid w:val="008B146D"/>
    <w:rsid w:val="008B42AD"/>
    <w:rsid w:val="008B5666"/>
    <w:rsid w:val="008C2521"/>
    <w:rsid w:val="008C32CE"/>
    <w:rsid w:val="008C6003"/>
    <w:rsid w:val="008D0281"/>
    <w:rsid w:val="008D6AEE"/>
    <w:rsid w:val="008E2348"/>
    <w:rsid w:val="008E347D"/>
    <w:rsid w:val="008E4DFC"/>
    <w:rsid w:val="008F04C8"/>
    <w:rsid w:val="008F6D45"/>
    <w:rsid w:val="008F7D57"/>
    <w:rsid w:val="00903F5A"/>
    <w:rsid w:val="00903F81"/>
    <w:rsid w:val="00905E6A"/>
    <w:rsid w:val="00907FF7"/>
    <w:rsid w:val="00915D23"/>
    <w:rsid w:val="00916FB6"/>
    <w:rsid w:val="00920E37"/>
    <w:rsid w:val="00922944"/>
    <w:rsid w:val="0092354D"/>
    <w:rsid w:val="00926375"/>
    <w:rsid w:val="009264EC"/>
    <w:rsid w:val="00927E92"/>
    <w:rsid w:val="00931FD9"/>
    <w:rsid w:val="00934C41"/>
    <w:rsid w:val="00936479"/>
    <w:rsid w:val="00937A10"/>
    <w:rsid w:val="009464B0"/>
    <w:rsid w:val="00947A0F"/>
    <w:rsid w:val="00950E42"/>
    <w:rsid w:val="009579EA"/>
    <w:rsid w:val="00966115"/>
    <w:rsid w:val="00971C42"/>
    <w:rsid w:val="00972812"/>
    <w:rsid w:val="00975999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67F"/>
    <w:rsid w:val="009A4739"/>
    <w:rsid w:val="009A5C7C"/>
    <w:rsid w:val="009A674F"/>
    <w:rsid w:val="009A6D22"/>
    <w:rsid w:val="009B112E"/>
    <w:rsid w:val="009B199C"/>
    <w:rsid w:val="009B3849"/>
    <w:rsid w:val="009B5979"/>
    <w:rsid w:val="009B5C66"/>
    <w:rsid w:val="009B61F1"/>
    <w:rsid w:val="009B62E0"/>
    <w:rsid w:val="009C3D88"/>
    <w:rsid w:val="009E0ECD"/>
    <w:rsid w:val="009E1651"/>
    <w:rsid w:val="009E2087"/>
    <w:rsid w:val="009E3858"/>
    <w:rsid w:val="009E467D"/>
    <w:rsid w:val="009E70DD"/>
    <w:rsid w:val="009F0C1E"/>
    <w:rsid w:val="009F2ED9"/>
    <w:rsid w:val="009F3231"/>
    <w:rsid w:val="009F5C58"/>
    <w:rsid w:val="00A023A0"/>
    <w:rsid w:val="00A02EFD"/>
    <w:rsid w:val="00A034F7"/>
    <w:rsid w:val="00A03ACE"/>
    <w:rsid w:val="00A05D03"/>
    <w:rsid w:val="00A05EBC"/>
    <w:rsid w:val="00A1562B"/>
    <w:rsid w:val="00A170F4"/>
    <w:rsid w:val="00A2000F"/>
    <w:rsid w:val="00A20925"/>
    <w:rsid w:val="00A21408"/>
    <w:rsid w:val="00A21CFD"/>
    <w:rsid w:val="00A23BA4"/>
    <w:rsid w:val="00A24EB6"/>
    <w:rsid w:val="00A25B78"/>
    <w:rsid w:val="00A27B01"/>
    <w:rsid w:val="00A3183D"/>
    <w:rsid w:val="00A400CC"/>
    <w:rsid w:val="00A40495"/>
    <w:rsid w:val="00A43251"/>
    <w:rsid w:val="00A45BED"/>
    <w:rsid w:val="00A45CB0"/>
    <w:rsid w:val="00A46288"/>
    <w:rsid w:val="00A46BA8"/>
    <w:rsid w:val="00A47634"/>
    <w:rsid w:val="00A612FE"/>
    <w:rsid w:val="00A66F4D"/>
    <w:rsid w:val="00A703B3"/>
    <w:rsid w:val="00A70B49"/>
    <w:rsid w:val="00A740D4"/>
    <w:rsid w:val="00A8084F"/>
    <w:rsid w:val="00A812B8"/>
    <w:rsid w:val="00A835D7"/>
    <w:rsid w:val="00A85245"/>
    <w:rsid w:val="00A8608E"/>
    <w:rsid w:val="00A92D94"/>
    <w:rsid w:val="00AA2423"/>
    <w:rsid w:val="00AA2517"/>
    <w:rsid w:val="00AA26B8"/>
    <w:rsid w:val="00AA4288"/>
    <w:rsid w:val="00AA4907"/>
    <w:rsid w:val="00AA79C3"/>
    <w:rsid w:val="00AB1B76"/>
    <w:rsid w:val="00AB24E4"/>
    <w:rsid w:val="00AB7A0D"/>
    <w:rsid w:val="00AC0B87"/>
    <w:rsid w:val="00AC0C50"/>
    <w:rsid w:val="00AC2624"/>
    <w:rsid w:val="00AC32A8"/>
    <w:rsid w:val="00AC622A"/>
    <w:rsid w:val="00AD1351"/>
    <w:rsid w:val="00AD4528"/>
    <w:rsid w:val="00AD5C3C"/>
    <w:rsid w:val="00AD5E34"/>
    <w:rsid w:val="00AD7E4E"/>
    <w:rsid w:val="00AE271D"/>
    <w:rsid w:val="00AE3B0F"/>
    <w:rsid w:val="00AE5E04"/>
    <w:rsid w:val="00AF4D58"/>
    <w:rsid w:val="00AF6666"/>
    <w:rsid w:val="00AF7BC5"/>
    <w:rsid w:val="00B1051C"/>
    <w:rsid w:val="00B116E3"/>
    <w:rsid w:val="00B15592"/>
    <w:rsid w:val="00B16D2B"/>
    <w:rsid w:val="00B23AE9"/>
    <w:rsid w:val="00B3389E"/>
    <w:rsid w:val="00B347C1"/>
    <w:rsid w:val="00B37FF8"/>
    <w:rsid w:val="00B403CA"/>
    <w:rsid w:val="00B41DEC"/>
    <w:rsid w:val="00B515DB"/>
    <w:rsid w:val="00B5490C"/>
    <w:rsid w:val="00B556E1"/>
    <w:rsid w:val="00B673BB"/>
    <w:rsid w:val="00B73B9C"/>
    <w:rsid w:val="00B81B44"/>
    <w:rsid w:val="00B9053B"/>
    <w:rsid w:val="00B97390"/>
    <w:rsid w:val="00B9777C"/>
    <w:rsid w:val="00BA000E"/>
    <w:rsid w:val="00BA0A1E"/>
    <w:rsid w:val="00BA0C37"/>
    <w:rsid w:val="00BA3782"/>
    <w:rsid w:val="00BA4A09"/>
    <w:rsid w:val="00BA5BEB"/>
    <w:rsid w:val="00BB190B"/>
    <w:rsid w:val="00BB4D98"/>
    <w:rsid w:val="00BB4EBF"/>
    <w:rsid w:val="00BB59E0"/>
    <w:rsid w:val="00BB7DF0"/>
    <w:rsid w:val="00BC3422"/>
    <w:rsid w:val="00BC437C"/>
    <w:rsid w:val="00BC47F1"/>
    <w:rsid w:val="00BC6008"/>
    <w:rsid w:val="00BC6E19"/>
    <w:rsid w:val="00BD05FA"/>
    <w:rsid w:val="00BD0B31"/>
    <w:rsid w:val="00BD2D0E"/>
    <w:rsid w:val="00BD4FF1"/>
    <w:rsid w:val="00BD5018"/>
    <w:rsid w:val="00BD629A"/>
    <w:rsid w:val="00BD78CE"/>
    <w:rsid w:val="00BE1608"/>
    <w:rsid w:val="00BE4EDC"/>
    <w:rsid w:val="00BE5334"/>
    <w:rsid w:val="00BE5ADC"/>
    <w:rsid w:val="00BE6627"/>
    <w:rsid w:val="00BF4F96"/>
    <w:rsid w:val="00C015B9"/>
    <w:rsid w:val="00C022F9"/>
    <w:rsid w:val="00C032EA"/>
    <w:rsid w:val="00C06EB5"/>
    <w:rsid w:val="00C1145F"/>
    <w:rsid w:val="00C11CD1"/>
    <w:rsid w:val="00C14DF8"/>
    <w:rsid w:val="00C15701"/>
    <w:rsid w:val="00C15DBE"/>
    <w:rsid w:val="00C258F2"/>
    <w:rsid w:val="00C2715F"/>
    <w:rsid w:val="00C27A67"/>
    <w:rsid w:val="00C27FFA"/>
    <w:rsid w:val="00C32D49"/>
    <w:rsid w:val="00C32F7C"/>
    <w:rsid w:val="00C33AD3"/>
    <w:rsid w:val="00C41B3C"/>
    <w:rsid w:val="00C43F06"/>
    <w:rsid w:val="00C45702"/>
    <w:rsid w:val="00C4615C"/>
    <w:rsid w:val="00C47503"/>
    <w:rsid w:val="00C50A2B"/>
    <w:rsid w:val="00C51C01"/>
    <w:rsid w:val="00C539DC"/>
    <w:rsid w:val="00C57428"/>
    <w:rsid w:val="00C637E1"/>
    <w:rsid w:val="00C67EAC"/>
    <w:rsid w:val="00C70D50"/>
    <w:rsid w:val="00C72252"/>
    <w:rsid w:val="00C72F32"/>
    <w:rsid w:val="00C81050"/>
    <w:rsid w:val="00C813A6"/>
    <w:rsid w:val="00C907D7"/>
    <w:rsid w:val="00C92338"/>
    <w:rsid w:val="00C95E66"/>
    <w:rsid w:val="00C96051"/>
    <w:rsid w:val="00C97B86"/>
    <w:rsid w:val="00CA05DC"/>
    <w:rsid w:val="00CA107E"/>
    <w:rsid w:val="00CA7B47"/>
    <w:rsid w:val="00CB1DD6"/>
    <w:rsid w:val="00CB3976"/>
    <w:rsid w:val="00CB441A"/>
    <w:rsid w:val="00CB62C2"/>
    <w:rsid w:val="00CB6726"/>
    <w:rsid w:val="00CC6087"/>
    <w:rsid w:val="00CC71CE"/>
    <w:rsid w:val="00CD0307"/>
    <w:rsid w:val="00CD3D1B"/>
    <w:rsid w:val="00CE083F"/>
    <w:rsid w:val="00CE7233"/>
    <w:rsid w:val="00CF1796"/>
    <w:rsid w:val="00CF2474"/>
    <w:rsid w:val="00CF5008"/>
    <w:rsid w:val="00CF6EC4"/>
    <w:rsid w:val="00D02663"/>
    <w:rsid w:val="00D0633E"/>
    <w:rsid w:val="00D12E74"/>
    <w:rsid w:val="00D15955"/>
    <w:rsid w:val="00D2312F"/>
    <w:rsid w:val="00D23B04"/>
    <w:rsid w:val="00D24245"/>
    <w:rsid w:val="00D269C1"/>
    <w:rsid w:val="00D27944"/>
    <w:rsid w:val="00D3073B"/>
    <w:rsid w:val="00D361BA"/>
    <w:rsid w:val="00D40D8B"/>
    <w:rsid w:val="00D41B2F"/>
    <w:rsid w:val="00D43281"/>
    <w:rsid w:val="00D43726"/>
    <w:rsid w:val="00D44953"/>
    <w:rsid w:val="00D542F3"/>
    <w:rsid w:val="00D54513"/>
    <w:rsid w:val="00D54AAE"/>
    <w:rsid w:val="00D5644B"/>
    <w:rsid w:val="00D56E25"/>
    <w:rsid w:val="00D57E89"/>
    <w:rsid w:val="00D60E1A"/>
    <w:rsid w:val="00D644E4"/>
    <w:rsid w:val="00D6560D"/>
    <w:rsid w:val="00D65D77"/>
    <w:rsid w:val="00D662E0"/>
    <w:rsid w:val="00D67910"/>
    <w:rsid w:val="00D718D7"/>
    <w:rsid w:val="00D73F07"/>
    <w:rsid w:val="00D814B7"/>
    <w:rsid w:val="00D863EB"/>
    <w:rsid w:val="00D90688"/>
    <w:rsid w:val="00DA3AAD"/>
    <w:rsid w:val="00DB0804"/>
    <w:rsid w:val="00DB21CC"/>
    <w:rsid w:val="00DB312B"/>
    <w:rsid w:val="00DC0828"/>
    <w:rsid w:val="00DC480E"/>
    <w:rsid w:val="00DC5654"/>
    <w:rsid w:val="00DC658F"/>
    <w:rsid w:val="00DC674A"/>
    <w:rsid w:val="00DD34D3"/>
    <w:rsid w:val="00DD5009"/>
    <w:rsid w:val="00DD6383"/>
    <w:rsid w:val="00DD7FAE"/>
    <w:rsid w:val="00DE0E4E"/>
    <w:rsid w:val="00DE1D2A"/>
    <w:rsid w:val="00DE60CC"/>
    <w:rsid w:val="00DF097E"/>
    <w:rsid w:val="00DF52CC"/>
    <w:rsid w:val="00DF5C6A"/>
    <w:rsid w:val="00DF5D53"/>
    <w:rsid w:val="00E06416"/>
    <w:rsid w:val="00E15345"/>
    <w:rsid w:val="00E171AA"/>
    <w:rsid w:val="00E21A2C"/>
    <w:rsid w:val="00E22A20"/>
    <w:rsid w:val="00E236D6"/>
    <w:rsid w:val="00E23F79"/>
    <w:rsid w:val="00E2582C"/>
    <w:rsid w:val="00E26383"/>
    <w:rsid w:val="00E26B32"/>
    <w:rsid w:val="00E31CD4"/>
    <w:rsid w:val="00E31E60"/>
    <w:rsid w:val="00E33E08"/>
    <w:rsid w:val="00E407B6"/>
    <w:rsid w:val="00E41EF1"/>
    <w:rsid w:val="00E42942"/>
    <w:rsid w:val="00E543D9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1BDB"/>
    <w:rsid w:val="00E92192"/>
    <w:rsid w:val="00E95A71"/>
    <w:rsid w:val="00E97355"/>
    <w:rsid w:val="00EA001C"/>
    <w:rsid w:val="00EA030C"/>
    <w:rsid w:val="00EA0AD8"/>
    <w:rsid w:val="00EA2B81"/>
    <w:rsid w:val="00EA5761"/>
    <w:rsid w:val="00EA5AA3"/>
    <w:rsid w:val="00EB2D0F"/>
    <w:rsid w:val="00EB363A"/>
    <w:rsid w:val="00EB6068"/>
    <w:rsid w:val="00EB7014"/>
    <w:rsid w:val="00EC5CDE"/>
    <w:rsid w:val="00ED3077"/>
    <w:rsid w:val="00ED4045"/>
    <w:rsid w:val="00ED46F2"/>
    <w:rsid w:val="00ED487E"/>
    <w:rsid w:val="00ED51A4"/>
    <w:rsid w:val="00ED64F1"/>
    <w:rsid w:val="00ED656C"/>
    <w:rsid w:val="00EE33A1"/>
    <w:rsid w:val="00EE7A0D"/>
    <w:rsid w:val="00EF05D3"/>
    <w:rsid w:val="00EF295D"/>
    <w:rsid w:val="00EF4286"/>
    <w:rsid w:val="00F0222C"/>
    <w:rsid w:val="00F024AD"/>
    <w:rsid w:val="00F101A8"/>
    <w:rsid w:val="00F12312"/>
    <w:rsid w:val="00F177C7"/>
    <w:rsid w:val="00F17CE1"/>
    <w:rsid w:val="00F2115C"/>
    <w:rsid w:val="00F22ABA"/>
    <w:rsid w:val="00F349C9"/>
    <w:rsid w:val="00F36B12"/>
    <w:rsid w:val="00F47C64"/>
    <w:rsid w:val="00F504CA"/>
    <w:rsid w:val="00F60F9F"/>
    <w:rsid w:val="00F635D9"/>
    <w:rsid w:val="00F63943"/>
    <w:rsid w:val="00F639A7"/>
    <w:rsid w:val="00F63A7D"/>
    <w:rsid w:val="00F64F08"/>
    <w:rsid w:val="00F70055"/>
    <w:rsid w:val="00F71150"/>
    <w:rsid w:val="00F71D46"/>
    <w:rsid w:val="00F734F5"/>
    <w:rsid w:val="00F73B39"/>
    <w:rsid w:val="00F73B5B"/>
    <w:rsid w:val="00F84BEE"/>
    <w:rsid w:val="00F90EA5"/>
    <w:rsid w:val="00F9105F"/>
    <w:rsid w:val="00F91F5A"/>
    <w:rsid w:val="00F966B1"/>
    <w:rsid w:val="00F97D48"/>
    <w:rsid w:val="00FA0311"/>
    <w:rsid w:val="00FA1489"/>
    <w:rsid w:val="00FA39E1"/>
    <w:rsid w:val="00FA6627"/>
    <w:rsid w:val="00FB396D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  <w:rsid w:val="015614EF"/>
    <w:rsid w:val="018989B9"/>
    <w:rsid w:val="024CE4C6"/>
    <w:rsid w:val="028109A4"/>
    <w:rsid w:val="03C70945"/>
    <w:rsid w:val="04B12322"/>
    <w:rsid w:val="04D4D03D"/>
    <w:rsid w:val="04D55DA1"/>
    <w:rsid w:val="052D0A28"/>
    <w:rsid w:val="05C83500"/>
    <w:rsid w:val="0668A55A"/>
    <w:rsid w:val="0680B44E"/>
    <w:rsid w:val="068A84AC"/>
    <w:rsid w:val="0730BF78"/>
    <w:rsid w:val="0746890C"/>
    <w:rsid w:val="0A6180E5"/>
    <w:rsid w:val="0A9BA623"/>
    <w:rsid w:val="0B3B66A1"/>
    <w:rsid w:val="0BE90D12"/>
    <w:rsid w:val="0C1CAB5A"/>
    <w:rsid w:val="0C631890"/>
    <w:rsid w:val="0D17420E"/>
    <w:rsid w:val="0D5B8DD5"/>
    <w:rsid w:val="0D7909CB"/>
    <w:rsid w:val="0DA2E2DD"/>
    <w:rsid w:val="0DDE5FB7"/>
    <w:rsid w:val="0E679546"/>
    <w:rsid w:val="0EB3126F"/>
    <w:rsid w:val="112A47AF"/>
    <w:rsid w:val="13D0EF52"/>
    <w:rsid w:val="13D575FB"/>
    <w:rsid w:val="13E54A5D"/>
    <w:rsid w:val="13F5DD4C"/>
    <w:rsid w:val="1474BA9E"/>
    <w:rsid w:val="149B548C"/>
    <w:rsid w:val="16F00D66"/>
    <w:rsid w:val="171F79A4"/>
    <w:rsid w:val="172A016E"/>
    <w:rsid w:val="17586EE2"/>
    <w:rsid w:val="18EAA129"/>
    <w:rsid w:val="191CE641"/>
    <w:rsid w:val="193962FE"/>
    <w:rsid w:val="1943E948"/>
    <w:rsid w:val="195B08F0"/>
    <w:rsid w:val="1B1BD8C0"/>
    <w:rsid w:val="1C9082D4"/>
    <w:rsid w:val="1C954282"/>
    <w:rsid w:val="1CE3CBA1"/>
    <w:rsid w:val="1DA5A350"/>
    <w:rsid w:val="1DC75F87"/>
    <w:rsid w:val="1EDD2DA2"/>
    <w:rsid w:val="20674D6E"/>
    <w:rsid w:val="20781E8A"/>
    <w:rsid w:val="210536D3"/>
    <w:rsid w:val="212D8792"/>
    <w:rsid w:val="21428E2A"/>
    <w:rsid w:val="214BD418"/>
    <w:rsid w:val="22A7B8B9"/>
    <w:rsid w:val="2347906A"/>
    <w:rsid w:val="241F6BD8"/>
    <w:rsid w:val="246099B9"/>
    <w:rsid w:val="247BAEC1"/>
    <w:rsid w:val="25C210FB"/>
    <w:rsid w:val="25D3B723"/>
    <w:rsid w:val="25F07B17"/>
    <w:rsid w:val="26755870"/>
    <w:rsid w:val="2703548F"/>
    <w:rsid w:val="27983A7B"/>
    <w:rsid w:val="279BE7DF"/>
    <w:rsid w:val="28213C81"/>
    <w:rsid w:val="28B03DDB"/>
    <w:rsid w:val="28E639B2"/>
    <w:rsid w:val="29471D04"/>
    <w:rsid w:val="298FD261"/>
    <w:rsid w:val="2A0FE714"/>
    <w:rsid w:val="2A564471"/>
    <w:rsid w:val="2B13CBC7"/>
    <w:rsid w:val="2CE56D96"/>
    <w:rsid w:val="2D3E58AE"/>
    <w:rsid w:val="2D6B3B51"/>
    <w:rsid w:val="2D800C95"/>
    <w:rsid w:val="2E358943"/>
    <w:rsid w:val="2EFACEB8"/>
    <w:rsid w:val="2F1522AD"/>
    <w:rsid w:val="2FA9840B"/>
    <w:rsid w:val="301D0E58"/>
    <w:rsid w:val="30579BF2"/>
    <w:rsid w:val="3061E0C6"/>
    <w:rsid w:val="316670A7"/>
    <w:rsid w:val="317CA0AC"/>
    <w:rsid w:val="31ACCE98"/>
    <w:rsid w:val="31E943FC"/>
    <w:rsid w:val="320A3611"/>
    <w:rsid w:val="320B31CD"/>
    <w:rsid w:val="321EC585"/>
    <w:rsid w:val="323AD4E2"/>
    <w:rsid w:val="324987ED"/>
    <w:rsid w:val="32FDEC41"/>
    <w:rsid w:val="3354AF1A"/>
    <w:rsid w:val="33CE3FDB"/>
    <w:rsid w:val="35A489EF"/>
    <w:rsid w:val="36A0ADE4"/>
    <w:rsid w:val="36ECB840"/>
    <w:rsid w:val="37F31121"/>
    <w:rsid w:val="388A3858"/>
    <w:rsid w:val="38A3B6A4"/>
    <w:rsid w:val="38F0E46B"/>
    <w:rsid w:val="3A24C93C"/>
    <w:rsid w:val="3A7FC89E"/>
    <w:rsid w:val="3BC02963"/>
    <w:rsid w:val="3BD184FD"/>
    <w:rsid w:val="3C04619C"/>
    <w:rsid w:val="3CF5462E"/>
    <w:rsid w:val="3D28C577"/>
    <w:rsid w:val="3EBF031B"/>
    <w:rsid w:val="3F00B283"/>
    <w:rsid w:val="3F933ADB"/>
    <w:rsid w:val="40FF736C"/>
    <w:rsid w:val="41BC8D2F"/>
    <w:rsid w:val="41CD1BFE"/>
    <w:rsid w:val="42279F1F"/>
    <w:rsid w:val="42D6391E"/>
    <w:rsid w:val="42F67E4E"/>
    <w:rsid w:val="436E6D76"/>
    <w:rsid w:val="43D0BBD8"/>
    <w:rsid w:val="43DCD517"/>
    <w:rsid w:val="4452F37F"/>
    <w:rsid w:val="44BDB89A"/>
    <w:rsid w:val="45E3C557"/>
    <w:rsid w:val="460366EE"/>
    <w:rsid w:val="461B4B79"/>
    <w:rsid w:val="465CF2D9"/>
    <w:rsid w:val="46C202B9"/>
    <w:rsid w:val="46EE292B"/>
    <w:rsid w:val="46F44FE3"/>
    <w:rsid w:val="48E309AB"/>
    <w:rsid w:val="4A8D2D55"/>
    <w:rsid w:val="4AB4AEFE"/>
    <w:rsid w:val="4B67BD4A"/>
    <w:rsid w:val="4BF5D290"/>
    <w:rsid w:val="4C6CEEBA"/>
    <w:rsid w:val="4D22B665"/>
    <w:rsid w:val="4D9D2D6A"/>
    <w:rsid w:val="4DEC19C7"/>
    <w:rsid w:val="4E342C66"/>
    <w:rsid w:val="4EB85E88"/>
    <w:rsid w:val="4F5BAF1C"/>
    <w:rsid w:val="4FE8F8BF"/>
    <w:rsid w:val="5065ADCA"/>
    <w:rsid w:val="51034E59"/>
    <w:rsid w:val="520F454F"/>
    <w:rsid w:val="543341A0"/>
    <w:rsid w:val="54B05FFF"/>
    <w:rsid w:val="55BBA601"/>
    <w:rsid w:val="565F0477"/>
    <w:rsid w:val="578CDF1F"/>
    <w:rsid w:val="57D0048C"/>
    <w:rsid w:val="57F2EE46"/>
    <w:rsid w:val="58C517DD"/>
    <w:rsid w:val="5950738A"/>
    <w:rsid w:val="59E1D6AA"/>
    <w:rsid w:val="5A363902"/>
    <w:rsid w:val="5AF402B3"/>
    <w:rsid w:val="5B971412"/>
    <w:rsid w:val="5EA6A237"/>
    <w:rsid w:val="5F2BAE41"/>
    <w:rsid w:val="5F569EE1"/>
    <w:rsid w:val="602BDE30"/>
    <w:rsid w:val="604A7F12"/>
    <w:rsid w:val="60A67136"/>
    <w:rsid w:val="611CBA22"/>
    <w:rsid w:val="61F60C46"/>
    <w:rsid w:val="630A4D5C"/>
    <w:rsid w:val="6540AD4C"/>
    <w:rsid w:val="66AF1B84"/>
    <w:rsid w:val="66BCEB49"/>
    <w:rsid w:val="67750BF6"/>
    <w:rsid w:val="68C03D46"/>
    <w:rsid w:val="68F8252D"/>
    <w:rsid w:val="6A40D6AA"/>
    <w:rsid w:val="6A40F0FC"/>
    <w:rsid w:val="6A725191"/>
    <w:rsid w:val="6BB5DD6E"/>
    <w:rsid w:val="6D1E8907"/>
    <w:rsid w:val="6DFE53C9"/>
    <w:rsid w:val="6EBD3A42"/>
    <w:rsid w:val="6EF79883"/>
    <w:rsid w:val="6F244B4B"/>
    <w:rsid w:val="6F4800A5"/>
    <w:rsid w:val="6F6A285D"/>
    <w:rsid w:val="711AEDA6"/>
    <w:rsid w:val="71322648"/>
    <w:rsid w:val="718B7B78"/>
    <w:rsid w:val="71961DE2"/>
    <w:rsid w:val="72231AFE"/>
    <w:rsid w:val="722E19AA"/>
    <w:rsid w:val="736550DF"/>
    <w:rsid w:val="755C95C3"/>
    <w:rsid w:val="760D4D62"/>
    <w:rsid w:val="76D0AF70"/>
    <w:rsid w:val="77077857"/>
    <w:rsid w:val="77A7620D"/>
    <w:rsid w:val="77B05911"/>
    <w:rsid w:val="77BB6292"/>
    <w:rsid w:val="791B9277"/>
    <w:rsid w:val="7A314CAA"/>
    <w:rsid w:val="7A6B64CC"/>
    <w:rsid w:val="7AC5AB94"/>
    <w:rsid w:val="7BD6715F"/>
    <w:rsid w:val="7BE51267"/>
    <w:rsid w:val="7EA5644B"/>
    <w:rsid w:val="7F390EB3"/>
    <w:rsid w:val="7F94AD4E"/>
    <w:rsid w:val="7FE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DEB36"/>
  <w15:docId w15:val="{3B516D69-FAE3-49AA-A87C-B4CC9B60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BA0A1E"/>
    <w:pPr>
      <w:spacing w:line="280" w:lineRule="auto"/>
    </w:pPr>
  </w:style>
  <w:style w:type="paragraph" w:styleId="Heading1">
    <w:name w:val="heading 1"/>
    <w:basedOn w:val="Normal"/>
    <w:next w:val="SCVbody"/>
    <w:link w:val="Heading1Char"/>
    <w:qFormat/>
    <w:rsid w:val="007C5F9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color w:val="007586" w:themeColor="text2"/>
      <w:sz w:val="32"/>
      <w:szCs w:val="44"/>
    </w:rPr>
  </w:style>
  <w:style w:type="paragraph" w:styleId="Heading2">
    <w:name w:val="heading 2"/>
    <w:basedOn w:val="Normal"/>
    <w:next w:val="SCVbody"/>
    <w:link w:val="Heading2Char"/>
    <w:qFormat/>
    <w:rsid w:val="00BA0A1E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Heading3">
    <w:name w:val="heading 3"/>
    <w:basedOn w:val="Normal"/>
    <w:next w:val="SCVbody"/>
    <w:link w:val="Heading3Char"/>
    <w:qFormat/>
    <w:rsid w:val="00BA0A1E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color w:val="007586" w:themeColor="text2"/>
      <w:sz w:val="23"/>
      <w:szCs w:val="23"/>
    </w:rPr>
  </w:style>
  <w:style w:type="paragraph" w:styleId="Heading4">
    <w:name w:val="heading 4"/>
    <w:basedOn w:val="Normal"/>
    <w:next w:val="SCVbody"/>
    <w:link w:val="Heading4Char"/>
    <w:qFormat/>
    <w:rsid w:val="00BA0A1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A0A1E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BA0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BA0A1E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BA0A1E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 w:line="280" w:lineRule="atLeast"/>
      <w:ind w:right="57"/>
    </w:pPr>
    <w:rPr>
      <w:rFonts w:asciiTheme="majorHAnsi" w:hAnsiTheme="majorHAnsi"/>
      <w:bCs/>
      <w:noProof/>
      <w:lang w:eastAsia="en-US"/>
    </w:rPr>
  </w:style>
  <w:style w:type="paragraph" w:styleId="TOC2">
    <w:name w:val="toc 2"/>
    <w:basedOn w:val="Normal"/>
    <w:next w:val="Normal"/>
    <w:uiPriority w:val="39"/>
    <w:rsid w:val="00BA0A1E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rFonts w:asciiTheme="majorHAnsi" w:hAnsiTheme="majorHAnsi"/>
      <w:bCs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BA0A1E"/>
    <w:pPr>
      <w:spacing w:before="0" w:line="280" w:lineRule="atLeast"/>
    </w:pPr>
    <w:rPr>
      <w:b/>
      <w:bCs w:val="0"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BA0A1E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BA0A1E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BA0A1E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7C5F9E"/>
    <w:rPr>
      <w:rFonts w:asciiTheme="majorHAnsi" w:eastAsiaTheme="majorEastAsia" w:hAnsiTheme="majorHAnsi" w:cstheme="majorBidi"/>
      <w:color w:val="007586" w:themeColor="text2"/>
      <w:sz w:val="32"/>
      <w:szCs w:val="44"/>
    </w:rPr>
  </w:style>
  <w:style w:type="character" w:customStyle="1" w:styleId="Heading2Char">
    <w:name w:val="Heading 2 Char"/>
    <w:basedOn w:val="DefaultParagraphFont"/>
    <w:link w:val="Heading2"/>
    <w:rsid w:val="00BA0A1E"/>
    <w:rPr>
      <w:rFonts w:asciiTheme="majorHAnsi" w:eastAsiaTheme="majorEastAsia" w:hAnsiTheme="majorHAnsi" w:cstheme="majorBidi"/>
      <w:sz w:val="24"/>
      <w:szCs w:val="24"/>
    </w:rPr>
  </w:style>
  <w:style w:type="paragraph" w:customStyle="1" w:styleId="SCVbullet1">
    <w:name w:val="SCV bullet 1"/>
    <w:basedOn w:val="SCVbody"/>
    <w:uiPriority w:val="9"/>
    <w:qFormat/>
    <w:rsid w:val="00BA0A1E"/>
    <w:pPr>
      <w:numPr>
        <w:numId w:val="7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BA0A1E"/>
    <w:pPr>
      <w:numPr>
        <w:ilvl w:val="1"/>
      </w:numPr>
      <w:tabs>
        <w:tab w:val="clear" w:pos="284"/>
      </w:tabs>
      <w:ind w:left="0" w:firstLine="0"/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BA0A1E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BA0A1E"/>
    <w:pPr>
      <w:spacing w:line="280" w:lineRule="atLeast"/>
    </w:pPr>
    <w:rPr>
      <w:sz w:val="19"/>
      <w:szCs w:val="19"/>
    </w:rPr>
  </w:style>
  <w:style w:type="paragraph" w:customStyle="1" w:styleId="SCVfigurecaption">
    <w:name w:val="SCV figure caption"/>
    <w:basedOn w:val="SCVtablecaption"/>
    <w:uiPriority w:val="14"/>
    <w:qFormat/>
    <w:rsid w:val="00BA0A1E"/>
    <w:pPr>
      <w:spacing w:before="300"/>
    </w:pPr>
  </w:style>
  <w:style w:type="paragraph" w:customStyle="1" w:styleId="SCVbodyafterheading">
    <w:name w:val="SCV body after heading"/>
    <w:basedOn w:val="SCVbody"/>
    <w:qFormat/>
    <w:rsid w:val="00BA0A1E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BA0A1E"/>
    <w:rPr>
      <w:rFonts w:asciiTheme="majorHAnsi" w:eastAsiaTheme="majorEastAsia" w:hAnsiTheme="majorHAnsi" w:cstheme="majorBidi"/>
      <w:color w:val="007586" w:themeColor="text2"/>
      <w:sz w:val="23"/>
      <w:szCs w:val="23"/>
    </w:rPr>
  </w:style>
  <w:style w:type="numbering" w:customStyle="1" w:styleId="ZZBullets">
    <w:name w:val="ZZ Bullets"/>
    <w:basedOn w:val="NoList"/>
    <w:uiPriority w:val="99"/>
    <w:rsid w:val="00BA0A1E"/>
    <w:pPr>
      <w:numPr>
        <w:numId w:val="7"/>
      </w:numPr>
    </w:pPr>
  </w:style>
  <w:style w:type="character" w:customStyle="1" w:styleId="Heading4Char">
    <w:name w:val="Heading 4 Char"/>
    <w:basedOn w:val="DefaultParagraphFont"/>
    <w:link w:val="Heading4"/>
    <w:rsid w:val="00BA0A1E"/>
    <w:rPr>
      <w:rFonts w:asciiTheme="majorHAnsi" w:eastAsiaTheme="majorEastAsia" w:hAnsiTheme="majorHAnsi" w:cstheme="majorBidi"/>
      <w:iCs/>
      <w:color w:val="000000" w:themeColor="text1"/>
    </w:rPr>
  </w:style>
  <w:style w:type="paragraph" w:customStyle="1" w:styleId="SCVfactsheettitle">
    <w:name w:val="SCV factsheet title"/>
    <w:uiPriority w:val="29"/>
    <w:rsid w:val="007C5F9E"/>
    <w:pPr>
      <w:keepLines/>
      <w:suppressAutoHyphens/>
      <w:spacing w:before="0" w:line="216" w:lineRule="auto"/>
    </w:pPr>
    <w:rPr>
      <w:rFonts w:asciiTheme="majorHAnsi" w:eastAsia="Times New Roman" w:hAnsiTheme="majorHAnsi" w:cstheme="majorHAnsi"/>
      <w:bCs/>
      <w:color w:val="007586" w:themeColor="text2"/>
      <w:spacing w:val="-2"/>
      <w:sz w:val="44"/>
      <w:szCs w:val="48"/>
    </w:rPr>
  </w:style>
  <w:style w:type="paragraph" w:customStyle="1" w:styleId="SCVtablefigurenote">
    <w:name w:val="SCV table/figure note"/>
    <w:basedOn w:val="Normal"/>
    <w:uiPriority w:val="29"/>
    <w:rsid w:val="00BA0A1E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BA0A1E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BA0A1E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BA0A1E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BA0A1E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BA0A1E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A0A1E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BA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BA0A1E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BA0A1E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BA0A1E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BA0A1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1E"/>
  </w:style>
  <w:style w:type="paragraph" w:styleId="Footer">
    <w:name w:val="footer"/>
    <w:basedOn w:val="Normal"/>
    <w:link w:val="FooterChar"/>
    <w:uiPriority w:val="99"/>
    <w:rsid w:val="00BA0A1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0A1E"/>
    <w:rPr>
      <w:noProof/>
      <w:sz w:val="13"/>
      <w:szCs w:val="18"/>
    </w:rPr>
  </w:style>
  <w:style w:type="character" w:styleId="PageNumber">
    <w:name w:val="page number"/>
    <w:uiPriority w:val="1"/>
    <w:semiHidden/>
    <w:rsid w:val="00BA0A1E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BA0A1E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BA0A1E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BA0A1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A0A1E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BA0A1E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7C5F9E"/>
    <w:pPr>
      <w:keepLines/>
      <w:spacing w:before="0" w:line="240" w:lineRule="auto"/>
    </w:pPr>
    <w:rPr>
      <w:rFonts w:eastAsia="Times New Roman" w:cstheme="majorHAnsi"/>
      <w:color w:val="000000" w:themeColor="text1"/>
      <w:sz w:val="32"/>
      <w:szCs w:val="36"/>
    </w:rPr>
  </w:style>
  <w:style w:type="paragraph" w:customStyle="1" w:styleId="SCVfooterempty">
    <w:name w:val="SCV footer empty"/>
    <w:basedOn w:val="SCVfooter"/>
    <w:uiPriority w:val="98"/>
    <w:rsid w:val="00BA0A1E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BA0A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A0A1E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A0A1E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BA0A1E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BA0A1E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BA0A1E"/>
    <w:pPr>
      <w:keepNext/>
      <w:tabs>
        <w:tab w:val="left" w:pos="1080"/>
      </w:tabs>
      <w:spacing w:before="280" w:after="120" w:line="264" w:lineRule="auto"/>
    </w:pPr>
    <w:rPr>
      <w:rFonts w:asciiTheme="majorHAnsi" w:hAnsiTheme="majorHAnsi"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BA0A1E"/>
    <w:rPr>
      <w:color w:val="808080"/>
    </w:rPr>
  </w:style>
  <w:style w:type="paragraph" w:customStyle="1" w:styleId="SCVfooter">
    <w:name w:val="SCV footer"/>
    <w:basedOn w:val="Footer"/>
    <w:uiPriority w:val="99"/>
    <w:rsid w:val="00BA0A1E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BA0A1E"/>
    <w:pPr>
      <w:spacing w:before="400" w:after="240" w:line="280" w:lineRule="atLeast"/>
    </w:pPr>
    <w:rPr>
      <w:rFonts w:asciiTheme="majorHAnsi" w:hAnsiTheme="majorHAnsi"/>
      <w:bCs/>
      <w:color w:val="007586" w:themeColor="text2"/>
    </w:rPr>
  </w:style>
  <w:style w:type="paragraph" w:styleId="NoSpacing">
    <w:name w:val="No Spacing"/>
    <w:uiPriority w:val="1"/>
    <w:semiHidden/>
    <w:qFormat/>
    <w:rsid w:val="00BA0A1E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BA0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BA0A1E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BA0A1E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BA0A1E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BA0A1E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BA0A1E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BA0A1E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BA0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BA0A1E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BA0A1E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BA0A1E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BA0A1E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BA0A1E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BA0A1E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BA0A1E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BA0A1E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BA0A1E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BA0A1E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BA0A1E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BA0A1E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BA0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BA0A1E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BA0A1E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BA0A1E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BA0A1E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BA0A1E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BA0A1E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BA0A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BA0A1E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BA0A1E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BA0A1E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BA0A1E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BA0A1E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BA0A1E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BA0A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BA0A1E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BA0A1E"/>
    <w:pPr>
      <w:keepNext/>
      <w:keepLines/>
      <w:spacing w:before="0" w:line="240" w:lineRule="auto"/>
    </w:pPr>
    <w:rPr>
      <w:rFonts w:asciiTheme="majorHAnsi" w:hAnsiTheme="majorHAnsi"/>
      <w:bCs/>
      <w:sz w:val="24"/>
    </w:rPr>
  </w:style>
  <w:style w:type="table" w:customStyle="1" w:styleId="SCVInformationTable">
    <w:name w:val="SCV Information Table"/>
    <w:basedOn w:val="TableNormal"/>
    <w:uiPriority w:val="99"/>
    <w:rsid w:val="00BA0A1E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BA0A1E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A0A1E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BA0A1E"/>
    <w:pPr>
      <w:numPr>
        <w:ilvl w:val="1"/>
        <w:numId w:val="9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BA0A1E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BA0A1E"/>
    <w:pPr>
      <w:numPr>
        <w:numId w:val="9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BA0A1E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BA0A1E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BA0A1E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BA0A1E"/>
    <w:pPr>
      <w:numPr>
        <w:numId w:val="8"/>
      </w:numPr>
    </w:pPr>
  </w:style>
  <w:style w:type="paragraph" w:customStyle="1" w:styleId="SCVbulletafternumbers">
    <w:name w:val="SCV bullet after numbers"/>
    <w:basedOn w:val="SCVbody"/>
    <w:uiPriority w:val="24"/>
    <w:rsid w:val="00BA0A1E"/>
    <w:pPr>
      <w:numPr>
        <w:ilvl w:val="1"/>
        <w:numId w:val="8"/>
      </w:numPr>
      <w:spacing w:before="60" w:after="60"/>
      <w:ind w:left="964" w:hanging="284"/>
    </w:pPr>
  </w:style>
  <w:style w:type="paragraph" w:customStyle="1" w:styleId="SCVquotebullet1">
    <w:name w:val="SCV quote bullet 1"/>
    <w:basedOn w:val="SCVquote"/>
    <w:uiPriority w:val="29"/>
    <w:rsid w:val="00BA0A1E"/>
    <w:pPr>
      <w:numPr>
        <w:numId w:val="11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BA0A1E"/>
    <w:pPr>
      <w:numPr>
        <w:ilvl w:val="1"/>
        <w:numId w:val="11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BA0A1E"/>
    <w:pPr>
      <w:numPr>
        <w:numId w:val="12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BA0A1E"/>
    <w:pPr>
      <w:numPr>
        <w:ilvl w:val="1"/>
        <w:numId w:val="12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BA0A1E"/>
    <w:rPr>
      <w:sz w:val="19"/>
      <w:szCs w:val="19"/>
    </w:rPr>
  </w:style>
  <w:style w:type="numbering" w:customStyle="1" w:styleId="ZZNumbersdigit">
    <w:name w:val="ZZ Numbers digit"/>
    <w:rsid w:val="00BA0A1E"/>
    <w:pPr>
      <w:numPr>
        <w:numId w:val="9"/>
      </w:numPr>
    </w:pPr>
  </w:style>
  <w:style w:type="numbering" w:customStyle="1" w:styleId="ZZTablebullets">
    <w:name w:val="ZZ Table bullets"/>
    <w:rsid w:val="00BA0A1E"/>
    <w:pPr>
      <w:numPr>
        <w:numId w:val="12"/>
      </w:numPr>
    </w:pPr>
  </w:style>
  <w:style w:type="numbering" w:customStyle="1" w:styleId="ZZQuotebullets">
    <w:name w:val="ZZ Quote bullets"/>
    <w:rsid w:val="00BA0A1E"/>
    <w:pPr>
      <w:numPr>
        <w:numId w:val="11"/>
      </w:numPr>
    </w:pPr>
  </w:style>
  <w:style w:type="paragraph" w:customStyle="1" w:styleId="SCVheader">
    <w:name w:val="SCV header"/>
    <w:basedOn w:val="Header"/>
    <w:uiPriority w:val="1"/>
    <w:rsid w:val="00BA0A1E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BA0A1E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BA0A1E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0A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BA0A1E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BA0A1E"/>
    <w:pPr>
      <w:spacing w:before="0" w:after="120" w:line="280" w:lineRule="atLeast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0A1E"/>
    <w:pPr>
      <w:numPr>
        <w:numId w:val="13"/>
      </w:numPr>
    </w:pPr>
  </w:style>
  <w:style w:type="paragraph" w:customStyle="1" w:styleId="SCVtablenumber1">
    <w:name w:val="SCV table number 1"/>
    <w:basedOn w:val="SCVtablebody"/>
    <w:uiPriority w:val="29"/>
    <w:rsid w:val="00BA0A1E"/>
    <w:pPr>
      <w:numPr>
        <w:numId w:val="13"/>
      </w:numPr>
      <w:ind w:left="3600" w:hanging="360"/>
    </w:pPr>
  </w:style>
  <w:style w:type="paragraph" w:customStyle="1" w:styleId="SCVtablenumber2">
    <w:name w:val="SCV table number 2"/>
    <w:basedOn w:val="SCVtablebody"/>
    <w:uiPriority w:val="29"/>
    <w:rsid w:val="00BA0A1E"/>
    <w:pPr>
      <w:numPr>
        <w:ilvl w:val="1"/>
        <w:numId w:val="13"/>
      </w:numPr>
      <w:tabs>
        <w:tab w:val="clear" w:pos="340"/>
      </w:tabs>
      <w:spacing w:before="60" w:line="192" w:lineRule="atLeast"/>
      <w:ind w:left="4320" w:hanging="360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BA0A1E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BA0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BA0A1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BA0A1E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BA0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BA0A1E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A0A1E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BA0A1E"/>
    <w:pPr>
      <w:numPr>
        <w:numId w:val="10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BA0A1E"/>
    <w:pPr>
      <w:numPr>
        <w:numId w:val="10"/>
      </w:numPr>
    </w:pPr>
  </w:style>
  <w:style w:type="paragraph" w:customStyle="1" w:styleId="SCVdate">
    <w:name w:val="SCV date"/>
    <w:basedOn w:val="SCVbody"/>
    <w:uiPriority w:val="1"/>
    <w:rsid w:val="00BA0A1E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BA0A1E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SCVfootereven">
    <w:name w:val="SCV footer even"/>
    <w:basedOn w:val="Footer"/>
    <w:uiPriority w:val="99"/>
    <w:rsid w:val="00BA0A1E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footerodd">
    <w:name w:val="SCV footer odd"/>
    <w:basedOn w:val="SCVfootereven"/>
    <w:uiPriority w:val="99"/>
    <w:rsid w:val="00BA0A1E"/>
    <w:pPr>
      <w:jc w:val="right"/>
    </w:pPr>
  </w:style>
  <w:style w:type="paragraph" w:customStyle="1" w:styleId="SCVheaderempty">
    <w:name w:val="SCV header empty"/>
    <w:basedOn w:val="SCVfooterempty"/>
    <w:uiPriority w:val="1"/>
    <w:rsid w:val="00BA0A1E"/>
  </w:style>
  <w:style w:type="paragraph" w:customStyle="1" w:styleId="SCVTOCheading">
    <w:name w:val="SCV TOC heading"/>
    <w:basedOn w:val="Heading1"/>
    <w:uiPriority w:val="29"/>
    <w:rsid w:val="00BA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safercare.vic.gov.au/notify-us/sentinel-events" TargetMode="External"/><Relationship Id="rId26" Type="http://schemas.openxmlformats.org/officeDocument/2006/relationships/hyperlink" Target="mailto:safercarevictoria@dhhs.vi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hpra.gov.au/Registration/Registers-of-Practitioners.aspx" TargetMode="External"/><Relationship Id="rId34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dutyofcandour@health.vic.gov.au" TargetMode="External"/><Relationship Id="rId25" Type="http://schemas.openxmlformats.org/officeDocument/2006/relationships/hyperlink" Target="mailto:info@safercarevictoria.vic.gov.a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dutyofcandour@health.vic.gov.au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safercare.vic.gov.au/publications/next-steps-pamphle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ahpra.gov.au/About-Ahpra/Complaints.aspx" TargetMode="External"/><Relationship Id="rId28" Type="http://schemas.openxmlformats.org/officeDocument/2006/relationships/hyperlink" Target="http://www.safercare.vi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afetyandquality.gov.au/our-work/open-disclosure/the-open-disclosure-framework" TargetMode="Externa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safercare.vic.gov.au/sites/default/files/2022-10/Victorian%20Duty%20of%20Candour%20Guidelines%20-%20FINAL.docx" TargetMode="External"/><Relationship Id="rId27" Type="http://schemas.openxmlformats.org/officeDocument/2006/relationships/hyperlink" Target="https://www.safercare.vic.gov.au" TargetMode="External"/><Relationship Id="rId30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2eww\OneDrive%20-%20DFFH,%20DH%20Victoria\TEMPLATES\SCV%20factsheet%20VIC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F518CC2-C77F-4876-9A28-3F9FBC27A077}">
    <t:Anchor>
      <t:Comment id="1598633459"/>
    </t:Anchor>
    <t:History>
      <t:Event id="{5E9B0535-8FCF-4FB2-ADB5-39BD156C5405}" time="2023-02-27T00:06:49.777Z">
        <t:Attribution userId="S::lanii.birks@safercare.vic.gov.au::9b253cd9-4b78-4ff6-bfed-a6294aa39be3" userProvider="AD" userName="Lanii Birks (DHHS)"/>
        <t:Anchor>
          <t:Comment id="1598633459"/>
        </t:Anchor>
        <t:Create/>
      </t:Event>
      <t:Event id="{FEDA44C9-0491-4985-AB1A-9AF2F1C4E757}" time="2023-02-27T00:06:49.777Z">
        <t:Attribution userId="S::lanii.birks@safercare.vic.gov.au::9b253cd9-4b78-4ff6-bfed-a6294aa39be3" userProvider="AD" userName="Lanii Birks (DHHS)"/>
        <t:Anchor>
          <t:Comment id="1598633459"/>
        </t:Anchor>
        <t:Assign userId="S::nicole.youngs@safercare.vic.gov.au::65be26fa-e920-4315-ac69-718a9ac73e95" userProvider="AD" userName="Nicole Youngs (DHHS)"/>
      </t:Event>
      <t:Event id="{33B6818D-8561-4243-8A3A-BFE2362450C4}" time="2023-02-27T00:06:49.777Z">
        <t:Attribution userId="S::lanii.birks@safercare.vic.gov.au::9b253cd9-4b78-4ff6-bfed-a6294aa39be3" userProvider="AD" userName="Lanii Birks (DHHS)"/>
        <t:Anchor>
          <t:Comment id="1598633459"/>
        </t:Anchor>
        <t:SetTitle title="…can be simplified a little, shorter sentences, maybe some sub dot points.  Second dot point seems to be missing a few steps also. @Nicole Youngs (DHHS)  I am happy to have aplay with this, just wasn't sure where you were up to with the review proces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VIC Semibold + VIC">
      <a:majorFont>
        <a:latin typeface="VIC SemiBold"/>
        <a:ea typeface="Arial"/>
        <a:cs typeface="Arial"/>
      </a:majorFont>
      <a:minorFont>
        <a:latin typeface="ViC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CBD3403E816419C87646E3C6EEB81" ma:contentTypeVersion="14" ma:contentTypeDescription="Create a new document." ma:contentTypeScope="" ma:versionID="e270d02d7ae0458dfe00206c5fdfbdf8">
  <xsd:schema xmlns:xsd="http://www.w3.org/2001/XMLSchema" xmlns:xs="http://www.w3.org/2001/XMLSchema" xmlns:p="http://schemas.microsoft.com/office/2006/metadata/properties" xmlns:ns2="d57d50af-0511-4abc-8473-7b8c08a937c3" xmlns:ns3="819afca8-9d5b-4e5f-a02d-e8160e861dbb" xmlns:ns4="5ce0f2b5-5be5-4508-bce9-d7011ece0659" targetNamespace="http://schemas.microsoft.com/office/2006/metadata/properties" ma:root="true" ma:fieldsID="4bc038c3081566f9a54f1717aff19cd9" ns2:_="" ns3:_="" ns4:_="">
    <xsd:import namespace="d57d50af-0511-4abc-8473-7b8c08a937c3"/>
    <xsd:import namespace="819afca8-9d5b-4e5f-a02d-e8160e861db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50af-0511-4abc-8473-7b8c08a9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fca8-9d5b-4e5f-a02d-e8160e86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bacec-8de2-4b31-a51a-08fc30afc0d0}" ma:internalName="TaxCatchAll" ma:showField="CatchAllData" ma:web="819afca8-9d5b-4e5f-a02d-e8160e86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819afca8-9d5b-4e5f-a02d-e8160e861dbb">
      <UserInfo>
        <DisplayName>Lanii Birks (DHHS)</DisplayName>
        <AccountId>42</AccountId>
        <AccountType/>
      </UserInfo>
    </SharedWithUsers>
    <lcf76f155ced4ddcb4097134ff3c332f xmlns="d57d50af-0511-4abc-8473-7b8c08a937c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E21A-B538-4CD1-A0E9-2572B9E83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d50af-0511-4abc-8473-7b8c08a937c3"/>
    <ds:schemaRef ds:uri="819afca8-9d5b-4e5f-a02d-e8160e861db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5302D-852D-4074-9484-65A76F64B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77C65-CF12-4A5C-AAE5-C52D8ADF328D}">
  <ds:schemaRefs>
    <ds:schemaRef ds:uri="http://purl.org/dc/elements/1.1/"/>
    <ds:schemaRef ds:uri="http://schemas.microsoft.com/office/infopath/2007/PartnerControls"/>
    <ds:schemaRef ds:uri="5ce0f2b5-5be5-4508-bce9-d7011ece0659"/>
    <ds:schemaRef ds:uri="http://purl.org/dc/terms/"/>
    <ds:schemaRef ds:uri="http://schemas.microsoft.com/office/2006/metadata/properties"/>
    <ds:schemaRef ds:uri="http://schemas.microsoft.com/office/2006/documentManagement/types"/>
    <ds:schemaRef ds:uri="819afca8-9d5b-4e5f-a02d-e8160e861dbb"/>
    <ds:schemaRef ds:uri="http://www.w3.org/XML/1998/namespace"/>
    <ds:schemaRef ds:uri="http://schemas.openxmlformats.org/package/2006/metadata/core-properties"/>
    <ds:schemaRef ds:uri="d57d50af-0511-4abc-8473-7b8c08a937c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4DD0EE-AC39-453C-AA3F-0712F04F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factsheet VIC.dotx</Template>
  <TotalTime>1</TotalTime>
  <Pages>3</Pages>
  <Words>1143</Words>
  <Characters>6518</Characters>
  <Application>Microsoft Office Word</Application>
  <DocSecurity>0</DocSecurity>
  <Lines>54</Lines>
  <Paragraphs>15</Paragraphs>
  <ScaleCrop>false</ScaleCrop>
  <Manager/>
  <Company>Safer Care Victoria</Company>
  <LinksUpToDate>false</LinksUpToDate>
  <CharactersWithSpaces>7646</CharactersWithSpaces>
  <SharedDoc>false</SharedDoc>
  <HLinks>
    <vt:vector size="72" baseType="variant">
      <vt:variant>
        <vt:i4>6094850</vt:i4>
      </vt:variant>
      <vt:variant>
        <vt:i4>36</vt:i4>
      </vt:variant>
      <vt:variant>
        <vt:i4>0</vt:i4>
      </vt:variant>
      <vt:variant>
        <vt:i4>5</vt:i4>
      </vt:variant>
      <vt:variant>
        <vt:lpwstr>http://www.safercare.vic/</vt:lpwstr>
      </vt:variant>
      <vt:variant>
        <vt:lpwstr/>
      </vt:variant>
      <vt:variant>
        <vt:i4>70</vt:i4>
      </vt:variant>
      <vt:variant>
        <vt:i4>33</vt:i4>
      </vt:variant>
      <vt:variant>
        <vt:i4>0</vt:i4>
      </vt:variant>
      <vt:variant>
        <vt:i4>5</vt:i4>
      </vt:variant>
      <vt:variant>
        <vt:lpwstr>https://www.safercare.vic.gov.au/</vt:lpwstr>
      </vt:variant>
      <vt:variant>
        <vt:lpwstr/>
      </vt:variant>
      <vt:variant>
        <vt:i4>4456545</vt:i4>
      </vt:variant>
      <vt:variant>
        <vt:i4>30</vt:i4>
      </vt:variant>
      <vt:variant>
        <vt:i4>0</vt:i4>
      </vt:variant>
      <vt:variant>
        <vt:i4>5</vt:i4>
      </vt:variant>
      <vt:variant>
        <vt:lpwstr>mailto:safercarevictoria@dhhs.vic</vt:lpwstr>
      </vt:variant>
      <vt:variant>
        <vt:lpwstr/>
      </vt:variant>
      <vt:variant>
        <vt:i4>7733315</vt:i4>
      </vt:variant>
      <vt:variant>
        <vt:i4>27</vt:i4>
      </vt:variant>
      <vt:variant>
        <vt:i4>0</vt:i4>
      </vt:variant>
      <vt:variant>
        <vt:i4>5</vt:i4>
      </vt:variant>
      <vt:variant>
        <vt:lpwstr>mailto:info@safercarevictoria.vic.gov.au</vt:lpwstr>
      </vt:variant>
      <vt:variant>
        <vt:lpwstr/>
      </vt:variant>
      <vt:variant>
        <vt:i4>5636116</vt:i4>
      </vt:variant>
      <vt:variant>
        <vt:i4>24</vt:i4>
      </vt:variant>
      <vt:variant>
        <vt:i4>0</vt:i4>
      </vt:variant>
      <vt:variant>
        <vt:i4>5</vt:i4>
      </vt:variant>
      <vt:variant>
        <vt:lpwstr>https://www.safercare.vic.gov.au/publications/next-steps-pamphlet</vt:lpwstr>
      </vt:variant>
      <vt:variant>
        <vt:lpwstr/>
      </vt:variant>
      <vt:variant>
        <vt:i4>1572882</vt:i4>
      </vt:variant>
      <vt:variant>
        <vt:i4>21</vt:i4>
      </vt:variant>
      <vt:variant>
        <vt:i4>0</vt:i4>
      </vt:variant>
      <vt:variant>
        <vt:i4>5</vt:i4>
      </vt:variant>
      <vt:variant>
        <vt:lpwstr>https://www.ahpra.gov.au/About-Ahpra/Complaints.aspx</vt:lpwstr>
      </vt:variant>
      <vt:variant>
        <vt:lpwstr/>
      </vt:variant>
      <vt:variant>
        <vt:i4>8257569</vt:i4>
      </vt:variant>
      <vt:variant>
        <vt:i4>18</vt:i4>
      </vt:variant>
      <vt:variant>
        <vt:i4>0</vt:i4>
      </vt:variant>
      <vt:variant>
        <vt:i4>5</vt:i4>
      </vt:variant>
      <vt:variant>
        <vt:lpwstr>https://www.safercare.vic.gov.au/sites/default/files/2022-10/Victorian Duty of Candour Guidelines - FINAL.docx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https://www.ahpra.gov.au/Registration/Registers-of-Practitioners.aspx</vt:lpwstr>
      </vt:variant>
      <vt:variant>
        <vt:lpwstr/>
      </vt:variant>
      <vt:variant>
        <vt:i4>2949140</vt:i4>
      </vt:variant>
      <vt:variant>
        <vt:i4>12</vt:i4>
      </vt:variant>
      <vt:variant>
        <vt:i4>0</vt:i4>
      </vt:variant>
      <vt:variant>
        <vt:i4>5</vt:i4>
      </vt:variant>
      <vt:variant>
        <vt:lpwstr>mailto:dutyofcandour@health.vic.gov.au</vt:lpwstr>
      </vt:variant>
      <vt:variant>
        <vt:lpwstr/>
      </vt:variant>
      <vt:variant>
        <vt:i4>3080249</vt:i4>
      </vt:variant>
      <vt:variant>
        <vt:i4>9</vt:i4>
      </vt:variant>
      <vt:variant>
        <vt:i4>0</vt:i4>
      </vt:variant>
      <vt:variant>
        <vt:i4>5</vt:i4>
      </vt:variant>
      <vt:variant>
        <vt:lpwstr>https://www.safetyandquality.gov.au/our-work/open-disclosure/the-open-disclosure-framework</vt:lpwstr>
      </vt:variant>
      <vt:variant>
        <vt:lpwstr/>
      </vt:variant>
      <vt:variant>
        <vt:i4>4456448</vt:i4>
      </vt:variant>
      <vt:variant>
        <vt:i4>6</vt:i4>
      </vt:variant>
      <vt:variant>
        <vt:i4>0</vt:i4>
      </vt:variant>
      <vt:variant>
        <vt:i4>5</vt:i4>
      </vt:variant>
      <vt:variant>
        <vt:lpwstr>https://www.safercare.vic.gov.au/notify-us/sentinel-events</vt:lpwstr>
      </vt:variant>
      <vt:variant>
        <vt:lpwstr>:~:text=Adverse%20patient%20safety%20events%20that,received%20a%20shortened%20life%20expectancy</vt:lpwstr>
      </vt:variant>
      <vt:variant>
        <vt:i4>2949140</vt:i4>
      </vt:variant>
      <vt:variant>
        <vt:i4>3</vt:i4>
      </vt:variant>
      <vt:variant>
        <vt:i4>0</vt:i4>
      </vt:variant>
      <vt:variant>
        <vt:i4>5</vt:i4>
      </vt:variant>
      <vt:variant>
        <vt:lpwstr>mailto:dutyofcandour@health.vic.gov.au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Duty of Candour Patient Resources - Usage Instructions</dc:title>
  <dc:subject/>
  <dc:creator>Safer Care Victoria</dc:creator>
  <cp:keywords/>
  <cp:lastModifiedBy>Kate De Clercq (DHHS)</cp:lastModifiedBy>
  <cp:revision>2</cp:revision>
  <cp:lastPrinted>2020-08-12T11:56:00Z</cp:lastPrinted>
  <dcterms:created xsi:type="dcterms:W3CDTF">2023-03-01T21:53:00Z</dcterms:created>
  <dcterms:modified xsi:type="dcterms:W3CDTF">2023-03-01T21:53:00Z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0x010100F52CBD3403E816419C87646E3C6EEB81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2023-03-01T21:52:52Z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3f9b2579-4c58-42c9-a0a9-8999f4e4efd0</vt:lpwstr>
  </property>
  <property fmtid="{D5CDD505-2E9C-101B-9397-08002B2CF9AE}" pid="11" name="MSIP_Label_43e64453-338c-4f93-8a4d-0039a0a41f2a_ContentBits">
    <vt:lpwstr>2</vt:lpwstr>
  </property>
</Properties>
</file>