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74EF" w14:textId="77777777" w:rsidR="00521CA5" w:rsidRPr="00876171" w:rsidRDefault="00521CA5" w:rsidP="00521CA5">
      <w:pPr>
        <w:pStyle w:val="SCVborderabovetitle"/>
        <w:pBdr>
          <w:top w:val="single" w:sz="24" w:space="1" w:color="CCCCD0"/>
        </w:pBdr>
      </w:pPr>
    </w:p>
    <w:p w14:paraId="2F41C4D9" w14:textId="77777777" w:rsidR="00521CA5" w:rsidRPr="00876171" w:rsidRDefault="00521CA5" w:rsidP="00521CA5">
      <w:pPr>
        <w:pStyle w:val="SCVborderabovetitle"/>
        <w:sectPr w:rsidR="00521CA5" w:rsidRPr="00876171"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09299260" w14:textId="7B8E24AE" w:rsidR="00C50A2B" w:rsidRPr="00876171" w:rsidRDefault="0081153B" w:rsidP="00521CA5">
      <w:pPr>
        <w:pStyle w:val="SCVfactsheettitle"/>
        <w:spacing w:before="0"/>
      </w:pPr>
      <w:r>
        <w:t>Statutory Duty of Candour</w:t>
      </w:r>
    </w:p>
    <w:p w14:paraId="1AE122AD" w14:textId="49379B72" w:rsidR="00C50A2B" w:rsidRPr="006A2E34" w:rsidRDefault="0081153B" w:rsidP="00635BF0">
      <w:pPr>
        <w:pStyle w:val="SCVfactsheetsubtitle"/>
        <w:rPr>
          <w:b/>
          <w:bCs/>
        </w:rPr>
      </w:pPr>
      <w:r w:rsidRPr="006A2E34">
        <w:rPr>
          <w:b/>
          <w:bCs/>
        </w:rPr>
        <w:t>Hospital Acquired Complications</w:t>
      </w:r>
      <w:r w:rsidR="00620CC5">
        <w:rPr>
          <w:b/>
          <w:bCs/>
        </w:rPr>
        <w:t xml:space="preserve"> </w:t>
      </w:r>
    </w:p>
    <w:p w14:paraId="49FC0A5C" w14:textId="53A338C6" w:rsidR="00C50A2B" w:rsidRPr="0059507E" w:rsidRDefault="00C50A2B" w:rsidP="0059507E">
      <w:pPr>
        <w:pStyle w:val="SCVbody"/>
        <w:spacing w:line="276" w:lineRule="auto"/>
        <w:rPr>
          <w:b/>
          <w:color w:val="007586" w:themeColor="accent2"/>
        </w:rPr>
      </w:pPr>
      <w:r w:rsidRPr="0059507E">
        <w:rPr>
          <w:b/>
          <w:color w:val="007586" w:themeColor="accent2"/>
        </w:rPr>
        <w:t>Th</w:t>
      </w:r>
      <w:r w:rsidR="00635BF0" w:rsidRPr="0059507E">
        <w:rPr>
          <w:b/>
          <w:color w:val="007586" w:themeColor="accent2"/>
        </w:rPr>
        <w:t xml:space="preserve">is </w:t>
      </w:r>
      <w:r w:rsidR="0081153B" w:rsidRPr="0059507E">
        <w:rPr>
          <w:b/>
          <w:color w:val="007586" w:themeColor="accent2"/>
        </w:rPr>
        <w:t xml:space="preserve">document </w:t>
      </w:r>
      <w:r w:rsidR="0081153B" w:rsidRPr="00D26A10">
        <w:rPr>
          <w:b/>
          <w:color w:val="007586" w:themeColor="accent2"/>
        </w:rPr>
        <w:t xml:space="preserve">outlines </w:t>
      </w:r>
      <w:r w:rsidR="007C2D1D">
        <w:rPr>
          <w:b/>
          <w:bCs/>
          <w:color w:val="007586" w:themeColor="accent2"/>
        </w:rPr>
        <w:t xml:space="preserve">considerations </w:t>
      </w:r>
      <w:r w:rsidR="000F4D05">
        <w:rPr>
          <w:b/>
          <w:bCs/>
          <w:color w:val="007586" w:themeColor="accent2"/>
        </w:rPr>
        <w:t xml:space="preserve">and </w:t>
      </w:r>
      <w:r w:rsidR="00F77107">
        <w:rPr>
          <w:b/>
          <w:bCs/>
          <w:color w:val="007586" w:themeColor="accent2"/>
        </w:rPr>
        <w:t>common</w:t>
      </w:r>
      <w:r w:rsidR="0081153B" w:rsidRPr="0059507E">
        <w:rPr>
          <w:b/>
          <w:color w:val="007586" w:themeColor="accent2"/>
        </w:rPr>
        <w:t xml:space="preserve"> </w:t>
      </w:r>
      <w:r w:rsidR="001F38BE" w:rsidRPr="11F75948">
        <w:rPr>
          <w:b/>
          <w:bCs/>
          <w:color w:val="007586" w:themeColor="accent2"/>
        </w:rPr>
        <w:t>hospital acquired</w:t>
      </w:r>
      <w:r w:rsidR="001F38BE">
        <w:rPr>
          <w:b/>
          <w:bCs/>
          <w:color w:val="007586" w:themeColor="accent2"/>
        </w:rPr>
        <w:t xml:space="preserve"> complications</w:t>
      </w:r>
      <w:r w:rsidR="0081153B" w:rsidRPr="11F75948">
        <w:rPr>
          <w:b/>
          <w:bCs/>
          <w:color w:val="007586" w:themeColor="accent2"/>
        </w:rPr>
        <w:t xml:space="preserve"> </w:t>
      </w:r>
      <w:r w:rsidR="001F38BE" w:rsidRPr="11F75948">
        <w:rPr>
          <w:b/>
          <w:bCs/>
          <w:color w:val="007586" w:themeColor="accent2"/>
        </w:rPr>
        <w:t>(</w:t>
      </w:r>
      <w:r w:rsidR="0081153B" w:rsidRPr="0059507E">
        <w:rPr>
          <w:b/>
          <w:color w:val="007586" w:themeColor="accent2"/>
        </w:rPr>
        <w:t>HACs</w:t>
      </w:r>
      <w:r w:rsidR="001F38BE" w:rsidRPr="11F75948">
        <w:rPr>
          <w:b/>
          <w:bCs/>
          <w:color w:val="007586" w:themeColor="accent2"/>
        </w:rPr>
        <w:t>)</w:t>
      </w:r>
      <w:r w:rsidR="0020689F" w:rsidRPr="11F75948">
        <w:rPr>
          <w:b/>
          <w:bCs/>
          <w:color w:val="007586" w:themeColor="accent2"/>
        </w:rPr>
        <w:t>,</w:t>
      </w:r>
      <w:r w:rsidR="000F4D05">
        <w:rPr>
          <w:b/>
          <w:color w:val="007586" w:themeColor="accent2"/>
        </w:rPr>
        <w:t xml:space="preserve"> and examples</w:t>
      </w:r>
      <w:r w:rsidR="00180B85" w:rsidRPr="11F75948">
        <w:rPr>
          <w:b/>
          <w:bCs/>
          <w:color w:val="007586" w:themeColor="accent2"/>
        </w:rPr>
        <w:t xml:space="preserve"> of</w:t>
      </w:r>
      <w:r w:rsidR="0081153B" w:rsidRPr="0059507E">
        <w:rPr>
          <w:b/>
          <w:color w:val="007586" w:themeColor="accent2"/>
        </w:rPr>
        <w:t xml:space="preserve"> when they </w:t>
      </w:r>
      <w:r w:rsidR="009E5031" w:rsidRPr="0059507E">
        <w:rPr>
          <w:b/>
          <w:color w:val="007586" w:themeColor="accent2"/>
        </w:rPr>
        <w:t>c</w:t>
      </w:r>
      <w:r w:rsidR="0081153B" w:rsidRPr="0059507E">
        <w:rPr>
          <w:b/>
          <w:color w:val="007586" w:themeColor="accent2"/>
        </w:rPr>
        <w:t xml:space="preserve">ould be considered a serious adverse patient safety event (SAPSE), triggering the </w:t>
      </w:r>
      <w:r w:rsidR="0081153B" w:rsidRPr="11F75948">
        <w:rPr>
          <w:b/>
          <w:bCs/>
          <w:color w:val="007586" w:themeColor="accent2"/>
        </w:rPr>
        <w:t>S</w:t>
      </w:r>
      <w:r w:rsidR="001F38BE" w:rsidRPr="11F75948">
        <w:rPr>
          <w:b/>
          <w:bCs/>
          <w:color w:val="007586" w:themeColor="accent2"/>
        </w:rPr>
        <w:t xml:space="preserve">tatutory </w:t>
      </w:r>
      <w:r w:rsidR="0081153B" w:rsidRPr="11F75948">
        <w:rPr>
          <w:b/>
          <w:bCs/>
          <w:color w:val="007586" w:themeColor="accent2"/>
        </w:rPr>
        <w:t>D</w:t>
      </w:r>
      <w:r w:rsidR="001F38BE" w:rsidRPr="11F75948">
        <w:rPr>
          <w:b/>
          <w:bCs/>
          <w:color w:val="007586" w:themeColor="accent2"/>
        </w:rPr>
        <w:t xml:space="preserve">uty of </w:t>
      </w:r>
      <w:r w:rsidR="0081153B" w:rsidRPr="11F75948">
        <w:rPr>
          <w:b/>
          <w:bCs/>
          <w:color w:val="007586" w:themeColor="accent2"/>
        </w:rPr>
        <w:t>C</w:t>
      </w:r>
      <w:r w:rsidR="001F38BE" w:rsidRPr="11F75948">
        <w:rPr>
          <w:b/>
          <w:bCs/>
          <w:color w:val="007586" w:themeColor="accent2"/>
        </w:rPr>
        <w:t>andour</w:t>
      </w:r>
      <w:r w:rsidR="00BF314F" w:rsidRPr="11F75948">
        <w:rPr>
          <w:rStyle w:val="FootnoteReference"/>
          <w:b/>
          <w:bCs/>
          <w:color w:val="007586" w:themeColor="accent2"/>
        </w:rPr>
        <w:footnoteReference w:id="2"/>
      </w:r>
      <w:r w:rsidR="001F38BE" w:rsidRPr="11F75948">
        <w:rPr>
          <w:b/>
          <w:bCs/>
          <w:color w:val="007586" w:themeColor="accent2"/>
        </w:rPr>
        <w:t xml:space="preserve"> (</w:t>
      </w:r>
      <w:r w:rsidR="0081153B" w:rsidRPr="0059507E">
        <w:rPr>
          <w:b/>
          <w:color w:val="007586" w:themeColor="accent2"/>
        </w:rPr>
        <w:t>SDC</w:t>
      </w:r>
      <w:r w:rsidR="001F38BE" w:rsidRPr="11F75948">
        <w:rPr>
          <w:b/>
          <w:bCs/>
          <w:color w:val="007586" w:themeColor="accent2"/>
        </w:rPr>
        <w:t>)</w:t>
      </w:r>
      <w:r w:rsidR="0081153B" w:rsidRPr="11F75948">
        <w:rPr>
          <w:b/>
          <w:bCs/>
          <w:color w:val="007586" w:themeColor="accent2"/>
        </w:rPr>
        <w:t>.</w:t>
      </w:r>
      <w:r w:rsidR="0081153B" w:rsidRPr="0059507E">
        <w:rPr>
          <w:b/>
          <w:color w:val="007586" w:themeColor="accent2"/>
        </w:rPr>
        <w:t xml:space="preserve"> These examples </w:t>
      </w:r>
      <w:r w:rsidR="00EF276A" w:rsidRPr="11F75948">
        <w:rPr>
          <w:b/>
          <w:bCs/>
          <w:color w:val="007586" w:themeColor="accent2"/>
        </w:rPr>
        <w:t>were developed</w:t>
      </w:r>
      <w:r w:rsidR="0081153B" w:rsidRPr="11F75948">
        <w:rPr>
          <w:b/>
          <w:bCs/>
          <w:color w:val="007586" w:themeColor="accent2"/>
        </w:rPr>
        <w:t xml:space="preserve"> </w:t>
      </w:r>
      <w:r w:rsidR="00EF276A" w:rsidRPr="11F75948">
        <w:rPr>
          <w:b/>
          <w:bCs/>
          <w:color w:val="007586" w:themeColor="accent2"/>
        </w:rPr>
        <w:t>by</w:t>
      </w:r>
      <w:r w:rsidR="0081153B" w:rsidRPr="0059507E">
        <w:rPr>
          <w:b/>
          <w:color w:val="007586" w:themeColor="accent2"/>
        </w:rPr>
        <w:t xml:space="preserve"> the Victorian Perioperative Consultative Council (VPCC)</w:t>
      </w:r>
      <w:r w:rsidR="002B0D66" w:rsidRPr="0059507E">
        <w:rPr>
          <w:b/>
          <w:color w:val="007586" w:themeColor="accent2"/>
        </w:rPr>
        <w:t xml:space="preserve"> and Safer Care Victoria (SCV)</w:t>
      </w:r>
      <w:r w:rsidR="0081153B" w:rsidRPr="0059507E">
        <w:rPr>
          <w:b/>
          <w:color w:val="007586" w:themeColor="accent2"/>
        </w:rPr>
        <w:t xml:space="preserve">. </w:t>
      </w:r>
    </w:p>
    <w:p w14:paraId="275547BF" w14:textId="61F929D6" w:rsidR="00FB6F74" w:rsidRDefault="46927ACB" w:rsidP="009549B5">
      <w:pPr>
        <w:pStyle w:val="SCVbody"/>
        <w:spacing w:after="360"/>
      </w:pPr>
      <w:r>
        <w:t>The</w:t>
      </w:r>
      <w:r w:rsidR="0080558C">
        <w:t xml:space="preserve"> </w:t>
      </w:r>
      <w:r w:rsidR="38B91161">
        <w:t>Australian HAC list</w:t>
      </w:r>
      <w:r w:rsidR="2E1DD4B0">
        <w:t xml:space="preserve"> can be found </w:t>
      </w:r>
      <w:r w:rsidR="0080558C">
        <w:t>at</w:t>
      </w:r>
      <w:r w:rsidR="00832A53">
        <w:t xml:space="preserve"> </w:t>
      </w:r>
      <w:hyperlink r:id="rId17" w:history="1">
        <w:r w:rsidR="0080558C" w:rsidRPr="11F75948">
          <w:rPr>
            <w:rStyle w:val="Hyperlink"/>
          </w:rPr>
          <w:t>https://www.safetyandquality.gov.au/our-work/indicators/hospital-acquired-complications</w:t>
        </w:r>
      </w:hyperlink>
      <w:r w:rsidR="00832A53">
        <w:t xml:space="preserve">. </w:t>
      </w:r>
    </w:p>
    <w:p w14:paraId="03B82BB2" w14:textId="25C00F82" w:rsidR="0008313C" w:rsidRDefault="006458D7" w:rsidP="11F75948">
      <w:pPr>
        <w:pStyle w:val="Heading3"/>
        <w:spacing w:before="120" w:after="200"/>
        <w:rPr>
          <w:rStyle w:val="Heading2Char"/>
          <w:rFonts w:asciiTheme="minorHAnsi" w:eastAsiaTheme="minorEastAsia" w:hAnsiTheme="minorHAnsi" w:cstheme="minorBidi"/>
          <w:sz w:val="20"/>
          <w:szCs w:val="20"/>
        </w:rPr>
      </w:pPr>
      <w:r>
        <w:t>What is a SAPSE?</w:t>
      </w:r>
    </w:p>
    <w:p w14:paraId="131ED0F9" w14:textId="7BE31E02" w:rsidR="006458D7" w:rsidRDefault="00157677" w:rsidP="11F75948">
      <w:pPr>
        <w:pStyle w:val="SCVbody"/>
        <w:spacing w:before="0" w:after="240" w:line="240" w:lineRule="auto"/>
      </w:pPr>
      <w:r>
        <w:t>I</w:t>
      </w:r>
      <w:r w:rsidR="006458D7">
        <w:t xml:space="preserve">n </w:t>
      </w:r>
      <w:r w:rsidR="00743DA0">
        <w:t>Regulation</w:t>
      </w:r>
      <w:r w:rsidR="006458D7">
        <w:t xml:space="preserve"> 3</w:t>
      </w:r>
      <w:r w:rsidR="00743DA0">
        <w:t>B</w:t>
      </w:r>
      <w:r w:rsidR="006458D7">
        <w:t xml:space="preserve"> of the </w:t>
      </w:r>
      <w:r w:rsidR="00743DA0" w:rsidRPr="00743DA0">
        <w:rPr>
          <w:i/>
          <w:iCs/>
        </w:rPr>
        <w:t>Health Services (Quality and Safety) Regulations 2020</w:t>
      </w:r>
      <w:r w:rsidR="00743DA0">
        <w:rPr>
          <w:i/>
          <w:iCs/>
        </w:rPr>
        <w:t xml:space="preserve"> </w:t>
      </w:r>
      <w:r w:rsidR="00743DA0">
        <w:t>(the Regulations)</w:t>
      </w:r>
      <w:r w:rsidR="006458D7">
        <w:t xml:space="preserve">, </w:t>
      </w:r>
      <w:r>
        <w:t>a</w:t>
      </w:r>
      <w:r w:rsidR="006458D7">
        <w:t xml:space="preserve"> </w:t>
      </w:r>
      <w:r>
        <w:t xml:space="preserve">SAPSE is defined as </w:t>
      </w:r>
      <w:r w:rsidR="006458D7">
        <w:t>an event of a prescribed class or category that results in harm to one or more individuals. A prescribed class or</w:t>
      </w:r>
      <w:r w:rsidR="00743DA0">
        <w:t xml:space="preserve"> </w:t>
      </w:r>
      <w:r w:rsidR="006458D7">
        <w:t>category is an event that:</w:t>
      </w:r>
    </w:p>
    <w:p w14:paraId="2043A11F" w14:textId="441F56FC" w:rsidR="006458D7" w:rsidRDefault="006458D7" w:rsidP="1BE54185">
      <w:pPr>
        <w:pStyle w:val="SCVbody"/>
        <w:numPr>
          <w:ilvl w:val="0"/>
          <w:numId w:val="16"/>
        </w:numPr>
        <w:spacing w:before="0" w:after="120" w:line="240" w:lineRule="auto"/>
      </w:pPr>
      <w:r>
        <w:t>occurred while the patient was receiving health services from a health service entity; and</w:t>
      </w:r>
    </w:p>
    <w:p w14:paraId="69D4F348" w14:textId="0F205794" w:rsidR="006458D7" w:rsidRDefault="006458D7" w:rsidP="1BE54185">
      <w:pPr>
        <w:pStyle w:val="SCVbody"/>
        <w:numPr>
          <w:ilvl w:val="0"/>
          <w:numId w:val="16"/>
        </w:numPr>
        <w:spacing w:before="0" w:after="120" w:line="240" w:lineRule="auto"/>
      </w:pPr>
      <w:r>
        <w:t>in the reasonable opinion of a registered health practitioner, has resulted in, or is likely to result in,</w:t>
      </w:r>
      <w:r w:rsidR="00743DA0">
        <w:t xml:space="preserve"> </w:t>
      </w:r>
      <w:r>
        <w:t>unintended or unexpected harm being suffered by the patient.</w:t>
      </w:r>
    </w:p>
    <w:p w14:paraId="2985FAF5" w14:textId="66AA66E6" w:rsidR="006458D7" w:rsidRDefault="006458D7" w:rsidP="1BE54185">
      <w:pPr>
        <w:pStyle w:val="SCVbody"/>
        <w:spacing w:before="120" w:after="200" w:line="240" w:lineRule="auto"/>
      </w:pPr>
      <w:r>
        <w:t>To avoid doubt, this includes an event that is identified following discharge from the health service entity.</w:t>
      </w:r>
      <w:r w:rsidR="00982669">
        <w:rPr>
          <w:rStyle w:val="FootnoteReference"/>
        </w:rPr>
        <w:footnoteReference w:id="3"/>
      </w:r>
    </w:p>
    <w:p w14:paraId="4EA77ABC" w14:textId="5379DB55" w:rsidR="00677C31" w:rsidRDefault="00677C31" w:rsidP="1BE54185">
      <w:pPr>
        <w:pStyle w:val="SCVbody"/>
        <w:spacing w:before="120" w:after="200" w:line="240" w:lineRule="auto"/>
      </w:pPr>
      <w:r>
        <w:t xml:space="preserve">A sentinel event is a subset of SAPSE. Please </w:t>
      </w:r>
      <w:r w:rsidR="006719F9">
        <w:t xml:space="preserve">visit </w:t>
      </w:r>
      <w:hyperlink r:id="rId18" w:history="1">
        <w:r w:rsidR="003A589C" w:rsidRPr="11F75948">
          <w:rPr>
            <w:rStyle w:val="Hyperlink"/>
          </w:rPr>
          <w:t>https://www.safercare.vic.gov.au/notify-us/sentinel-events</w:t>
        </w:r>
      </w:hyperlink>
      <w:r w:rsidR="003A589C">
        <w:t xml:space="preserve"> </w:t>
      </w:r>
      <w:r>
        <w:t>for more information</w:t>
      </w:r>
      <w:r w:rsidR="00CA1A5D">
        <w:t xml:space="preserve">. </w:t>
      </w:r>
    </w:p>
    <w:p w14:paraId="605B41B0" w14:textId="2786B774" w:rsidR="00743DA0" w:rsidRDefault="00743DA0" w:rsidP="11F75948">
      <w:pPr>
        <w:pStyle w:val="Heading3"/>
        <w:spacing w:before="120" w:after="200"/>
      </w:pPr>
      <w:r>
        <w:t>What is the SDC?</w:t>
      </w:r>
    </w:p>
    <w:p w14:paraId="2A4451DC" w14:textId="70EA4F74" w:rsidR="00743DA0" w:rsidRDefault="003A589C" w:rsidP="00744F0A">
      <w:pPr>
        <w:pStyle w:val="SCVbody"/>
        <w:spacing w:line="240" w:lineRule="auto"/>
      </w:pPr>
      <w:r>
        <w:t xml:space="preserve">The </w:t>
      </w:r>
      <w:r w:rsidR="00744F0A">
        <w:t xml:space="preserve">SDC </w:t>
      </w:r>
      <w:r w:rsidR="00FD054A">
        <w:t>refers to</w:t>
      </w:r>
      <w:r w:rsidR="00744F0A">
        <w:t xml:space="preserve"> section 128ZC of the </w:t>
      </w:r>
      <w:r w:rsidR="00744F0A" w:rsidRPr="00744F0A">
        <w:rPr>
          <w:i/>
          <w:iCs/>
        </w:rPr>
        <w:t>Health Services Act 1988</w:t>
      </w:r>
      <w:r w:rsidR="00744F0A">
        <w:t xml:space="preserve">, section 22I of the </w:t>
      </w:r>
      <w:r w:rsidR="00744F0A" w:rsidRPr="00744F0A">
        <w:rPr>
          <w:i/>
          <w:iCs/>
        </w:rPr>
        <w:t>Ambulance Services Act 1986</w:t>
      </w:r>
      <w:r w:rsidR="00744F0A">
        <w:t xml:space="preserve"> and section 345B of the </w:t>
      </w:r>
      <w:r w:rsidR="00744F0A" w:rsidRPr="00744F0A">
        <w:rPr>
          <w:i/>
          <w:iCs/>
        </w:rPr>
        <w:t>Mental Health Act 2014</w:t>
      </w:r>
      <w:r w:rsidR="00744F0A">
        <w:t>.</w:t>
      </w:r>
    </w:p>
    <w:p w14:paraId="5EAD9CB9" w14:textId="17456CE4" w:rsidR="00744F0A" w:rsidRDefault="00744F0A" w:rsidP="00744F0A">
      <w:pPr>
        <w:pStyle w:val="SCVbody"/>
        <w:spacing w:line="240" w:lineRule="auto"/>
      </w:pPr>
      <w:r>
        <w:t xml:space="preserve">If a patient suffers a SAPSE in the course of receiving </w:t>
      </w:r>
      <w:r w:rsidR="002A3E9F">
        <w:t>care</w:t>
      </w:r>
      <w:r>
        <w:t>, the health service entity responsible owes a SDC to the patient and must do the following unless the patient opt</w:t>
      </w:r>
      <w:r w:rsidR="002A3E9F">
        <w:t>s</w:t>
      </w:r>
      <w:r>
        <w:t xml:space="preserve"> out:</w:t>
      </w:r>
    </w:p>
    <w:p w14:paraId="456257FF" w14:textId="5A2285B3" w:rsidR="00744F0A" w:rsidRDefault="00744F0A" w:rsidP="1BE54185">
      <w:pPr>
        <w:pStyle w:val="SCVbody"/>
        <w:numPr>
          <w:ilvl w:val="0"/>
          <w:numId w:val="17"/>
        </w:numPr>
        <w:spacing w:before="0" w:after="120" w:line="240" w:lineRule="auto"/>
      </w:pPr>
      <w:r>
        <w:t>provide the patient with:</w:t>
      </w:r>
    </w:p>
    <w:p w14:paraId="68D6B5F7" w14:textId="0F8829CF" w:rsidR="00744F0A" w:rsidRDefault="00744F0A" w:rsidP="1BE54185">
      <w:pPr>
        <w:pStyle w:val="SCVbody"/>
        <w:numPr>
          <w:ilvl w:val="0"/>
          <w:numId w:val="18"/>
        </w:numPr>
        <w:spacing w:before="0" w:after="120" w:line="240" w:lineRule="auto"/>
      </w:pPr>
      <w:r>
        <w:t>a written account of the facts regarding the SAPSE;</w:t>
      </w:r>
    </w:p>
    <w:p w14:paraId="100FA6E4" w14:textId="07D8356C" w:rsidR="00744F0A" w:rsidRDefault="00744F0A" w:rsidP="1BE54185">
      <w:pPr>
        <w:pStyle w:val="SCVbody"/>
        <w:numPr>
          <w:ilvl w:val="0"/>
          <w:numId w:val="18"/>
        </w:numPr>
        <w:spacing w:before="0" w:after="120" w:line="240" w:lineRule="auto"/>
      </w:pPr>
      <w:r>
        <w:t>an apology for the harm suffered by the patient;</w:t>
      </w:r>
    </w:p>
    <w:p w14:paraId="43822A5B" w14:textId="761F50DD" w:rsidR="00744F0A" w:rsidRDefault="00744F0A" w:rsidP="1BE54185">
      <w:pPr>
        <w:pStyle w:val="SCVbody"/>
        <w:numPr>
          <w:ilvl w:val="0"/>
          <w:numId w:val="18"/>
        </w:numPr>
        <w:spacing w:before="0" w:after="120" w:line="240" w:lineRule="auto"/>
      </w:pPr>
      <w:r>
        <w:t>a description of the health service entity's response to the event;</w:t>
      </w:r>
    </w:p>
    <w:p w14:paraId="15902525" w14:textId="77777777" w:rsidR="00B53A8C" w:rsidRDefault="00744F0A" w:rsidP="1BE54185">
      <w:pPr>
        <w:pStyle w:val="SCVbody"/>
        <w:numPr>
          <w:ilvl w:val="0"/>
          <w:numId w:val="18"/>
        </w:numPr>
        <w:spacing w:before="0" w:after="120" w:line="240" w:lineRule="auto"/>
      </w:pPr>
      <w:r>
        <w:t>the steps that the health service entity has taken to prevent re-occurrence of the event;</w:t>
      </w:r>
    </w:p>
    <w:p w14:paraId="52CA2AF5" w14:textId="57D15AAB" w:rsidR="00744F0A" w:rsidRDefault="00744F0A" w:rsidP="1BE54185">
      <w:pPr>
        <w:pStyle w:val="SCVbody"/>
        <w:numPr>
          <w:ilvl w:val="0"/>
          <w:numId w:val="18"/>
        </w:numPr>
        <w:spacing w:before="0" w:after="120" w:line="240" w:lineRule="auto"/>
      </w:pPr>
      <w:r>
        <w:t>any prescribed information; and</w:t>
      </w:r>
    </w:p>
    <w:p w14:paraId="57B1D433" w14:textId="12F04166" w:rsidR="00982669" w:rsidRDefault="00982669" w:rsidP="1BE54185">
      <w:pPr>
        <w:pStyle w:val="SCVbody"/>
        <w:numPr>
          <w:ilvl w:val="0"/>
          <w:numId w:val="17"/>
        </w:numPr>
        <w:spacing w:before="0" w:after="120" w:line="240" w:lineRule="auto"/>
      </w:pPr>
      <w:r>
        <w:t xml:space="preserve">comply with any steps set out in the </w:t>
      </w:r>
      <w:hyperlink r:id="rId19">
        <w:r w:rsidRPr="1BE54185">
          <w:rPr>
            <w:rStyle w:val="Hyperlink"/>
            <w:i/>
            <w:iCs/>
          </w:rPr>
          <w:t>Victorian Duty of Candour Guidelines</w:t>
        </w:r>
      </w:hyperlink>
      <w:r>
        <w:t>.</w:t>
      </w:r>
    </w:p>
    <w:tbl>
      <w:tblPr>
        <w:tblStyle w:val="SCVpulloutbox"/>
        <w:tblpPr w:leftFromText="180" w:rightFromText="180" w:vertAnchor="text" w:horzAnchor="margin" w:tblpY="24"/>
        <w:tblW w:w="0" w:type="auto"/>
        <w:tblLook w:val="04A0" w:firstRow="1" w:lastRow="0" w:firstColumn="1" w:lastColumn="0" w:noHBand="0" w:noVBand="1"/>
      </w:tblPr>
      <w:tblGrid>
        <w:gridCol w:w="10432"/>
      </w:tblGrid>
      <w:tr w:rsidR="009F72B0" w14:paraId="50646A32" w14:textId="77777777" w:rsidTr="009F72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2" w:type="dxa"/>
          </w:tcPr>
          <w:p w14:paraId="4F13F363" w14:textId="77777777" w:rsidR="009F72B0" w:rsidRPr="004A3F32" w:rsidRDefault="009F72B0" w:rsidP="009F72B0">
            <w:pPr>
              <w:pStyle w:val="SCVpulloutheading"/>
              <w:rPr>
                <w:bCs w:val="0"/>
                <w:color w:val="auto"/>
              </w:rPr>
            </w:pPr>
            <w:r w:rsidRPr="004A3F32">
              <w:rPr>
                <w:b/>
                <w:color w:val="auto"/>
              </w:rPr>
              <w:lastRenderedPageBreak/>
              <w:t>Key messages</w:t>
            </w:r>
          </w:p>
          <w:p w14:paraId="14944060" w14:textId="10565C0C" w:rsidR="009D34F7" w:rsidRPr="00DA1CDA" w:rsidRDefault="009F72B0" w:rsidP="00DA1CDA">
            <w:pPr>
              <w:pStyle w:val="SCVbullet1"/>
              <w:rPr>
                <w:bCs w:val="0"/>
                <w:color w:val="007586" w:themeColor="text2"/>
              </w:rPr>
            </w:pPr>
            <w:r w:rsidRPr="00DA1CDA">
              <w:rPr>
                <w:color w:val="007586" w:themeColor="text2"/>
              </w:rPr>
              <w:t xml:space="preserve">A patient-centred approach should always be taken when </w:t>
            </w:r>
            <w:r w:rsidR="006726F7">
              <w:rPr>
                <w:color w:val="007586" w:themeColor="text2"/>
              </w:rPr>
              <w:t>decid</w:t>
            </w:r>
            <w:r w:rsidRPr="00DA1CDA">
              <w:rPr>
                <w:color w:val="007586" w:themeColor="text2"/>
              </w:rPr>
              <w:t xml:space="preserve">ing if an event is a SAPSE, and </w:t>
            </w:r>
            <w:r w:rsidR="007504ED">
              <w:rPr>
                <w:color w:val="007586" w:themeColor="text2"/>
              </w:rPr>
              <w:t>whether</w:t>
            </w:r>
            <w:r w:rsidRPr="00DA1CDA">
              <w:rPr>
                <w:color w:val="007586" w:themeColor="text2"/>
              </w:rPr>
              <w:t xml:space="preserve"> the SDC </w:t>
            </w:r>
            <w:r w:rsidR="007504ED">
              <w:rPr>
                <w:color w:val="007586" w:themeColor="text2"/>
              </w:rPr>
              <w:t xml:space="preserve">should </w:t>
            </w:r>
            <w:r w:rsidRPr="00DA1CDA">
              <w:rPr>
                <w:color w:val="007586" w:themeColor="text2"/>
              </w:rPr>
              <w:t xml:space="preserve">be completed. </w:t>
            </w:r>
          </w:p>
          <w:p w14:paraId="4B6CFB73" w14:textId="28ED7585" w:rsidR="009F72B0" w:rsidRPr="00DA1CDA" w:rsidRDefault="009F72B0" w:rsidP="00DA1CDA">
            <w:pPr>
              <w:pStyle w:val="SCVbullet1"/>
              <w:rPr>
                <w:bCs w:val="0"/>
                <w:color w:val="007586" w:themeColor="text2"/>
              </w:rPr>
            </w:pPr>
            <w:r w:rsidRPr="00DA1CDA">
              <w:rPr>
                <w:color w:val="007586" w:themeColor="text2"/>
              </w:rPr>
              <w:t xml:space="preserve">Open disclosure </w:t>
            </w:r>
            <w:r w:rsidR="00FB426E" w:rsidRPr="00DA1CDA">
              <w:rPr>
                <w:color w:val="007586" w:themeColor="text2"/>
              </w:rPr>
              <w:t>must occur for all cases of harm and near miss</w:t>
            </w:r>
            <w:r w:rsidR="00331396" w:rsidRPr="00DA1CDA">
              <w:rPr>
                <w:color w:val="007586" w:themeColor="text2"/>
              </w:rPr>
              <w:t>, and</w:t>
            </w:r>
            <w:r w:rsidR="00FB426E" w:rsidRPr="00DA1CDA">
              <w:rPr>
                <w:color w:val="007586" w:themeColor="text2"/>
              </w:rPr>
              <w:t xml:space="preserve"> </w:t>
            </w:r>
            <w:r w:rsidR="00331396" w:rsidRPr="00DA1CDA">
              <w:rPr>
                <w:color w:val="007586" w:themeColor="text2"/>
              </w:rPr>
              <w:t>the</w:t>
            </w:r>
            <w:r w:rsidR="00DA1CDA">
              <w:rPr>
                <w:color w:val="007586" w:themeColor="text2"/>
              </w:rPr>
              <w:t xml:space="preserve"> </w:t>
            </w:r>
            <w:hyperlink r:id="rId20" w:history="1">
              <w:r w:rsidR="00DA1CDA" w:rsidRPr="00C87DEB">
                <w:rPr>
                  <w:rStyle w:val="Hyperlink"/>
                </w:rPr>
                <w:t>Australian Open Disclosure Framework</w:t>
              </w:r>
            </w:hyperlink>
            <w:r w:rsidR="00331396" w:rsidRPr="00DA1CDA">
              <w:rPr>
                <w:color w:val="007586" w:themeColor="text2"/>
              </w:rPr>
              <w:t xml:space="preserve"> </w:t>
            </w:r>
            <w:r w:rsidRPr="00DA1CDA">
              <w:rPr>
                <w:color w:val="007586" w:themeColor="text2"/>
              </w:rPr>
              <w:t xml:space="preserve">should otherwise be followed for </w:t>
            </w:r>
            <w:r w:rsidR="00331396" w:rsidRPr="00DA1CDA">
              <w:rPr>
                <w:color w:val="007586" w:themeColor="text2"/>
              </w:rPr>
              <w:t xml:space="preserve">events </w:t>
            </w:r>
            <w:r w:rsidRPr="00DA1CDA">
              <w:rPr>
                <w:color w:val="007586" w:themeColor="text2"/>
              </w:rPr>
              <w:t>that do not meet the definition of a SAPSE</w:t>
            </w:r>
            <w:r w:rsidR="00331396" w:rsidRPr="00DA1CDA">
              <w:rPr>
                <w:color w:val="007586" w:themeColor="text2"/>
              </w:rPr>
              <w:t>.</w:t>
            </w:r>
            <w:r w:rsidRPr="00DA1CDA">
              <w:rPr>
                <w:color w:val="007586" w:themeColor="text2"/>
              </w:rPr>
              <w:t xml:space="preserve"> </w:t>
            </w:r>
          </w:p>
          <w:p w14:paraId="2EF7467E" w14:textId="77777777" w:rsidR="009F72B0" w:rsidRPr="00DA1CDA" w:rsidRDefault="009F72B0" w:rsidP="00DA1CDA">
            <w:pPr>
              <w:pStyle w:val="SCVbullet1"/>
              <w:rPr>
                <w:bCs w:val="0"/>
                <w:color w:val="007586" w:themeColor="text2"/>
              </w:rPr>
            </w:pPr>
            <w:r w:rsidRPr="00DA1CDA">
              <w:rPr>
                <w:color w:val="007586" w:themeColor="text2"/>
              </w:rPr>
              <w:t>The intent of the SDC is for health services to review adverse events or outcomes, and openly communicate with patients and their next-of-kin when things go wrong.</w:t>
            </w:r>
          </w:p>
          <w:p w14:paraId="5F580FD6" w14:textId="00F9EC01" w:rsidR="009F72B0" w:rsidRPr="00DA1CDA" w:rsidRDefault="009F72B0" w:rsidP="00DA1CDA">
            <w:pPr>
              <w:pStyle w:val="SCVbullet1"/>
            </w:pPr>
            <w:r w:rsidRPr="00DA1CDA">
              <w:rPr>
                <w:color w:val="007586" w:themeColor="text2"/>
              </w:rPr>
              <w:t>It is important to note that apologies provided under the SDC are protected from use within a civil or disciplinary proceeding</w:t>
            </w:r>
            <w:r w:rsidRPr="00DA1CDA">
              <w:rPr>
                <w:rStyle w:val="FootnoteReference"/>
                <w:b w:val="0"/>
                <w:color w:val="007586" w:themeColor="text2"/>
                <w:sz w:val="22"/>
                <w:szCs w:val="22"/>
              </w:rPr>
              <w:footnoteReference w:id="4"/>
            </w:r>
            <w:r w:rsidRPr="00DA1CDA">
              <w:rPr>
                <w:color w:val="007586" w:themeColor="text2"/>
              </w:rPr>
              <w:t xml:space="preserve">, </w:t>
            </w:r>
            <w:r w:rsidR="00FE0DF9">
              <w:rPr>
                <w:color w:val="007586" w:themeColor="text2"/>
              </w:rPr>
              <w:t>and do</w:t>
            </w:r>
            <w:r w:rsidRPr="00DA1CDA">
              <w:rPr>
                <w:color w:val="007586" w:themeColor="text2"/>
              </w:rPr>
              <w:t xml:space="preserve"> not imply fault or liability</w:t>
            </w:r>
            <w:r w:rsidR="00030BD4">
              <w:rPr>
                <w:color w:val="007586" w:themeColor="text2"/>
              </w:rPr>
              <w:t>.</w:t>
            </w:r>
            <w:r w:rsidRPr="00DA1CDA">
              <w:rPr>
                <w:color w:val="007586" w:themeColor="text2"/>
              </w:rPr>
              <w:t xml:space="preserve"> </w:t>
            </w:r>
            <w:r w:rsidR="00030BD4">
              <w:rPr>
                <w:color w:val="007586" w:themeColor="text2"/>
              </w:rPr>
              <w:t>F</w:t>
            </w:r>
            <w:r w:rsidRPr="00DA1CDA">
              <w:rPr>
                <w:color w:val="007586" w:themeColor="text2"/>
              </w:rPr>
              <w:t>or the option of completing a SAPSE review (i.e. a protected review)</w:t>
            </w:r>
            <w:r w:rsidR="00030BD4">
              <w:rPr>
                <w:color w:val="007586" w:themeColor="text2"/>
              </w:rPr>
              <w:t>,</w:t>
            </w:r>
            <w:r w:rsidRPr="00DA1CDA">
              <w:rPr>
                <w:color w:val="007586" w:themeColor="text2"/>
              </w:rPr>
              <w:t xml:space="preserve"> the event must be deemed a SAPSE. </w:t>
            </w:r>
          </w:p>
        </w:tc>
      </w:tr>
    </w:tbl>
    <w:p w14:paraId="61E63533" w14:textId="54C2BBCC" w:rsidR="00A83C5F" w:rsidRDefault="00A83C5F" w:rsidP="00A83C5F">
      <w:pPr>
        <w:pStyle w:val="Heading2"/>
      </w:pPr>
      <w:r>
        <w:t>Considerations</w:t>
      </w:r>
      <w:r w:rsidR="00540706">
        <w:t xml:space="preserve"> when determining if an event is a SAPSE</w:t>
      </w:r>
    </w:p>
    <w:p w14:paraId="466BFC6B" w14:textId="0875CB9D" w:rsidR="00C15DBE" w:rsidRDefault="005B478B" w:rsidP="0089314D">
      <w:pPr>
        <w:pStyle w:val="SCVquote"/>
        <w:ind w:left="0"/>
        <w:rPr>
          <w:color w:val="auto"/>
        </w:rPr>
      </w:pPr>
      <w:r>
        <w:rPr>
          <w:color w:val="auto"/>
        </w:rPr>
        <w:t>W</w:t>
      </w:r>
      <w:r w:rsidR="0087469B">
        <w:rPr>
          <w:color w:val="auto"/>
        </w:rPr>
        <w:t xml:space="preserve">hen </w:t>
      </w:r>
      <w:r w:rsidR="00602DEA">
        <w:rPr>
          <w:color w:val="auto"/>
        </w:rPr>
        <w:t>assessing a HAC to determine if it fits the definition of a SAPSE</w:t>
      </w:r>
      <w:r w:rsidR="0087469B">
        <w:rPr>
          <w:color w:val="auto"/>
        </w:rPr>
        <w:t>, there must be</w:t>
      </w:r>
      <w:r w:rsidR="4FBE50D9" w:rsidRPr="30BF274F">
        <w:rPr>
          <w:color w:val="auto"/>
        </w:rPr>
        <w:t xml:space="preserve"> </w:t>
      </w:r>
      <w:r>
        <w:rPr>
          <w:color w:val="auto"/>
        </w:rPr>
        <w:t xml:space="preserve">a </w:t>
      </w:r>
      <w:r w:rsidR="636ABEDC" w:rsidRPr="30BF274F">
        <w:rPr>
          <w:color w:val="auto"/>
        </w:rPr>
        <w:t>linkage to an adverse event</w:t>
      </w:r>
      <w:r w:rsidR="00D77FE9">
        <w:rPr>
          <w:color w:val="auto"/>
        </w:rPr>
        <w:t>.</w:t>
      </w:r>
      <w:r w:rsidR="3F6A01BC" w:rsidRPr="0FBA50AA">
        <w:rPr>
          <w:color w:val="auto"/>
        </w:rPr>
        <w:t xml:space="preserve"> </w:t>
      </w:r>
      <w:r w:rsidR="004E7E7F">
        <w:rPr>
          <w:color w:val="auto"/>
        </w:rPr>
        <w:t>C</w:t>
      </w:r>
      <w:r w:rsidR="00382D4A">
        <w:rPr>
          <w:color w:val="auto"/>
        </w:rPr>
        <w:t>onsider</w:t>
      </w:r>
      <w:r w:rsidR="004E7E7F">
        <w:rPr>
          <w:color w:val="auto"/>
        </w:rPr>
        <w:t xml:space="preserve"> </w:t>
      </w:r>
      <w:r w:rsidR="00767A2D">
        <w:rPr>
          <w:color w:val="auto"/>
        </w:rPr>
        <w:t>the following when</w:t>
      </w:r>
      <w:r w:rsidR="0011571F">
        <w:rPr>
          <w:color w:val="auto"/>
        </w:rPr>
        <w:t xml:space="preserve"> determining an event meets the SAPSE definition</w:t>
      </w:r>
      <w:r w:rsidR="00B14E1A">
        <w:rPr>
          <w:color w:val="auto"/>
        </w:rPr>
        <w:t>.</w:t>
      </w:r>
    </w:p>
    <w:p w14:paraId="308BEC11" w14:textId="77777777" w:rsidR="00C566A4" w:rsidRDefault="00143A41" w:rsidP="00C67B10">
      <w:pPr>
        <w:pStyle w:val="Heading4"/>
        <w:rPr>
          <w:color w:val="007586" w:themeColor="accent2"/>
        </w:rPr>
      </w:pPr>
      <w:r w:rsidRPr="00C67B10">
        <w:rPr>
          <w:color w:val="007586" w:themeColor="accent2"/>
        </w:rPr>
        <w:t>Consent</w:t>
      </w:r>
      <w:r w:rsidR="00FF5EA0">
        <w:rPr>
          <w:color w:val="007586" w:themeColor="accent2"/>
        </w:rPr>
        <w:t xml:space="preserve"> </w:t>
      </w:r>
    </w:p>
    <w:p w14:paraId="058E3FCD" w14:textId="669999EA" w:rsidR="00562C47" w:rsidRDefault="00C566A4" w:rsidP="00C566A4">
      <w:pPr>
        <w:pStyle w:val="SCVbullet1"/>
      </w:pPr>
      <w:r>
        <w:t>As part of the consent process, all patients need to be provided a clear indication of the risks, benefits and alternatives for any procedure</w:t>
      </w:r>
      <w:r w:rsidR="00F11A77">
        <w:t>.</w:t>
      </w:r>
    </w:p>
    <w:p w14:paraId="231B4E54" w14:textId="30C02E08" w:rsidR="00562C47" w:rsidRDefault="00C566A4" w:rsidP="00C566A4">
      <w:pPr>
        <w:pStyle w:val="SCVbullet1"/>
      </w:pPr>
      <w:r>
        <w:t xml:space="preserve">A HAC would not be considered a SAPSE when it is a recognised complication of the procedure, or where procedural risks are high due </w:t>
      </w:r>
      <w:r w:rsidR="00BA5CA5">
        <w:t>t</w:t>
      </w:r>
      <w:r>
        <w:t>o surgical or patient factors and the patient has been informed and has consented appropriately</w:t>
      </w:r>
      <w:r w:rsidR="00337CE9">
        <w:t>.</w:t>
      </w:r>
    </w:p>
    <w:p w14:paraId="21B836A2" w14:textId="6EC85C6C" w:rsidR="00981AD2" w:rsidRPr="00C67B10" w:rsidRDefault="00981AD2" w:rsidP="00C67B10">
      <w:pPr>
        <w:pStyle w:val="Heading4"/>
        <w:rPr>
          <w:color w:val="007586" w:themeColor="accent2"/>
        </w:rPr>
      </w:pPr>
      <w:r w:rsidRPr="00C67B10">
        <w:rPr>
          <w:color w:val="007586" w:themeColor="accent2"/>
        </w:rPr>
        <w:t>Risk mitigation</w:t>
      </w:r>
    </w:p>
    <w:p w14:paraId="6CD268C1" w14:textId="77777777" w:rsidR="00FB1C3F" w:rsidRDefault="00FB1C3F" w:rsidP="008C55FF">
      <w:pPr>
        <w:pStyle w:val="SCVbullet1"/>
        <w:numPr>
          <w:ilvl w:val="0"/>
          <w:numId w:val="0"/>
        </w:numPr>
      </w:pPr>
      <w:r>
        <w:t>Appropriate preventative strategies for risks must be in place. Missed strategies that may have contributed to the HAC should be reviewed to determine if the event meets the definition of a SAPSE.</w:t>
      </w:r>
    </w:p>
    <w:p w14:paraId="51B2B8FB" w14:textId="51392BE4" w:rsidR="00886959" w:rsidRDefault="00886959" w:rsidP="008C55FF">
      <w:pPr>
        <w:pStyle w:val="SCVbullet1"/>
        <w:numPr>
          <w:ilvl w:val="0"/>
          <w:numId w:val="0"/>
        </w:numPr>
      </w:pPr>
      <w:r>
        <w:t>An even</w:t>
      </w:r>
      <w:r w:rsidR="001A19C0">
        <w:t xml:space="preserve">t </w:t>
      </w:r>
      <w:r>
        <w:t>resulting in moderate-severe harm</w:t>
      </w:r>
      <w:r w:rsidR="00EA571B">
        <w:t xml:space="preserve"> would meet the definition o</w:t>
      </w:r>
      <w:r w:rsidR="002E35E9">
        <w:t>f</w:t>
      </w:r>
      <w:r w:rsidR="00EA571B">
        <w:t xml:space="preserve"> a SAPSE</w:t>
      </w:r>
      <w:r>
        <w:t xml:space="preserve"> if</w:t>
      </w:r>
      <w:r w:rsidR="00536575">
        <w:t>:</w:t>
      </w:r>
    </w:p>
    <w:p w14:paraId="1CCA57F2" w14:textId="3954BE0C" w:rsidR="00886959" w:rsidRDefault="008C55FF" w:rsidP="004B4BF8">
      <w:pPr>
        <w:pStyle w:val="SCVbullet1"/>
      </w:pPr>
      <w:r>
        <w:t>n</w:t>
      </w:r>
      <w:r w:rsidR="00886959">
        <w:t>il appropriate policies, procedures or Clinical Guidelines were in place to manage the complication</w:t>
      </w:r>
    </w:p>
    <w:p w14:paraId="11B18256" w14:textId="76C7EFD6" w:rsidR="004B4BF8" w:rsidRDefault="008C55FF" w:rsidP="004B4BF8">
      <w:pPr>
        <w:pStyle w:val="SCVbullet1"/>
      </w:pPr>
      <w:r>
        <w:t>a</w:t>
      </w:r>
      <w:r w:rsidR="004B4BF8">
        <w:t xml:space="preserve">ppropriate policies, procedures and Clinical Guidelines </w:t>
      </w:r>
      <w:r w:rsidR="00886959">
        <w:t xml:space="preserve">were </w:t>
      </w:r>
      <w:r w:rsidR="004B4BF8">
        <w:t xml:space="preserve">in place, </w:t>
      </w:r>
      <w:r w:rsidR="00886959">
        <w:t xml:space="preserve">but not </w:t>
      </w:r>
      <w:r w:rsidR="004B4BF8">
        <w:t>followed</w:t>
      </w:r>
    </w:p>
    <w:p w14:paraId="35BA589C" w14:textId="200E37AE" w:rsidR="00FF5EA0" w:rsidRDefault="008C55FF" w:rsidP="00FF5EA0">
      <w:pPr>
        <w:pStyle w:val="SCVbullet1"/>
      </w:pPr>
      <w:r>
        <w:t>t</w:t>
      </w:r>
      <w:r w:rsidR="00FF5EA0">
        <w:t>here</w:t>
      </w:r>
      <w:r w:rsidR="006F00C1">
        <w:t xml:space="preserve"> was</w:t>
      </w:r>
      <w:r w:rsidR="00FF5EA0">
        <w:t xml:space="preserve"> delayed or missed recognition and response of patient deterioration that led to the HAC or adverse event</w:t>
      </w:r>
    </w:p>
    <w:p w14:paraId="0980B709" w14:textId="1B20F196" w:rsidR="00FF5EA0" w:rsidRDefault="008C55FF" w:rsidP="00FF5EA0">
      <w:pPr>
        <w:pStyle w:val="SCVbullet1"/>
      </w:pPr>
      <w:r>
        <w:t>a</w:t>
      </w:r>
      <w:r w:rsidR="00FF5EA0">
        <w:t xml:space="preserve"> </w:t>
      </w:r>
      <w:r w:rsidR="0006627D">
        <w:t xml:space="preserve">complication </w:t>
      </w:r>
      <w:r w:rsidR="004B4BF8">
        <w:t xml:space="preserve">was </w:t>
      </w:r>
      <w:r w:rsidR="00FF5EA0">
        <w:t>poorly managed that led to the HAC</w:t>
      </w:r>
    </w:p>
    <w:p w14:paraId="13BC0A0B" w14:textId="43181687" w:rsidR="00FF5EA0" w:rsidRDefault="008C55FF" w:rsidP="00FF5EA0">
      <w:pPr>
        <w:pStyle w:val="SCVbullet1"/>
      </w:pPr>
      <w:r>
        <w:t>a</w:t>
      </w:r>
      <w:r w:rsidR="00FF5EA0">
        <w:t>ppropriate preventative strategies</w:t>
      </w:r>
      <w:r w:rsidR="004B4BF8">
        <w:t xml:space="preserve"> were</w:t>
      </w:r>
      <w:r w:rsidR="00FF5EA0">
        <w:t xml:space="preserve"> missed that led to the HAC</w:t>
      </w:r>
    </w:p>
    <w:p w14:paraId="6CFB4704" w14:textId="470331DF" w:rsidR="00B174ED" w:rsidRDefault="008C55FF" w:rsidP="00FF5EA0">
      <w:pPr>
        <w:pStyle w:val="SCVbullet1"/>
      </w:pPr>
      <w:r>
        <w:t>a</w:t>
      </w:r>
      <w:r w:rsidR="00B174ED">
        <w:t xml:space="preserve"> health practitioner was not credentialed </w:t>
      </w:r>
      <w:r w:rsidR="005973E8">
        <w:t>or qualified to perform the procedure</w:t>
      </w:r>
    </w:p>
    <w:p w14:paraId="3CA72712" w14:textId="458C447E" w:rsidR="00FF5EA0" w:rsidRDefault="00FF5EA0" w:rsidP="00FF5EA0">
      <w:pPr>
        <w:pStyle w:val="SCVbullet1"/>
      </w:pPr>
      <w:r>
        <w:t>the patient die</w:t>
      </w:r>
      <w:r w:rsidR="004B4BF8">
        <w:t>d</w:t>
      </w:r>
      <w:r>
        <w:t xml:space="preserve"> due to missed identification of deterioration post-operatively</w:t>
      </w:r>
    </w:p>
    <w:p w14:paraId="2C2EC9BA" w14:textId="6F294710" w:rsidR="00C76533" w:rsidRDefault="00C73441" w:rsidP="00FF5EA0">
      <w:pPr>
        <w:pStyle w:val="SCVbullet1"/>
      </w:pPr>
      <w:r>
        <w:t>a</w:t>
      </w:r>
      <w:r w:rsidR="00BA0011">
        <w:t xml:space="preserve"> </w:t>
      </w:r>
      <w:r w:rsidR="009E5985">
        <w:t>health service</w:t>
      </w:r>
      <w:r w:rsidR="00BA0011">
        <w:t xml:space="preserve"> could not manage a </w:t>
      </w:r>
      <w:r w:rsidR="00F32AFB">
        <w:t xml:space="preserve">surgical </w:t>
      </w:r>
      <w:r w:rsidR="00BA0011">
        <w:t>complication</w:t>
      </w:r>
      <w:r w:rsidR="009E5985">
        <w:t>,</w:t>
      </w:r>
      <w:r w:rsidR="00BA0011">
        <w:t xml:space="preserve"> </w:t>
      </w:r>
      <w:r w:rsidR="00577CED">
        <w:t>as the level of response was outside of the health service scop</w:t>
      </w:r>
      <w:r w:rsidR="00F32AFB">
        <w:t>e</w:t>
      </w:r>
      <w:r w:rsidR="009E5985">
        <w:t>, leading to</w:t>
      </w:r>
      <w:r w:rsidR="00F32AFB">
        <w:t xml:space="preserve"> further</w:t>
      </w:r>
      <w:r w:rsidR="009E5985">
        <w:t xml:space="preserve"> deterioration. </w:t>
      </w:r>
    </w:p>
    <w:p w14:paraId="76819A60" w14:textId="01C2472C" w:rsidR="00300BD7" w:rsidRPr="00C67B10" w:rsidRDefault="00300BD7" w:rsidP="00C67B10">
      <w:pPr>
        <w:pStyle w:val="Heading4"/>
        <w:rPr>
          <w:color w:val="007586" w:themeColor="accent2"/>
        </w:rPr>
      </w:pPr>
      <w:r w:rsidRPr="00C67B10">
        <w:rPr>
          <w:color w:val="007586" w:themeColor="accent2"/>
        </w:rPr>
        <w:lastRenderedPageBreak/>
        <w:t>Common HAC</w:t>
      </w:r>
      <w:r w:rsidR="00C67B10" w:rsidRPr="00C67B10">
        <w:rPr>
          <w:color w:val="007586" w:themeColor="accent2"/>
        </w:rPr>
        <w:t>s</w:t>
      </w:r>
    </w:p>
    <w:p w14:paraId="05B90819" w14:textId="5819D1BA" w:rsidR="0089314D" w:rsidRDefault="006600E5" w:rsidP="00B2337F">
      <w:pPr>
        <w:pStyle w:val="SCVbullet1"/>
      </w:pPr>
      <w:r>
        <w:t>A proportion of infections are deemed a</w:t>
      </w:r>
      <w:r w:rsidR="00DC6ABC">
        <w:t>s</w:t>
      </w:r>
      <w:r w:rsidR="00B125C4">
        <w:t xml:space="preserve"> </w:t>
      </w:r>
      <w:r>
        <w:t xml:space="preserve">a </w:t>
      </w:r>
      <w:r w:rsidR="00193C0A">
        <w:t>recognised</w:t>
      </w:r>
      <w:r>
        <w:t xml:space="preserve"> complication of </w:t>
      </w:r>
      <w:r w:rsidR="00640624">
        <w:t>surgery and</w:t>
      </w:r>
      <w:r>
        <w:t xml:space="preserve"> </w:t>
      </w:r>
      <w:r w:rsidR="07E2A496">
        <w:t xml:space="preserve">the risk is discussed as part of the </w:t>
      </w:r>
      <w:r w:rsidR="32C26116">
        <w:t>consent process</w:t>
      </w:r>
      <w:r>
        <w:t xml:space="preserve"> pre-operatively. </w:t>
      </w:r>
      <w:r w:rsidR="00640624">
        <w:t>Therefore,</w:t>
      </w:r>
      <w:r>
        <w:t xml:space="preserve"> </w:t>
      </w:r>
      <w:r w:rsidR="3EE9128C">
        <w:t xml:space="preserve">to be a </w:t>
      </w:r>
      <w:r w:rsidR="727F4339">
        <w:t>SAPSE</w:t>
      </w:r>
      <w:r w:rsidR="3EE9128C">
        <w:t xml:space="preserve">, </w:t>
      </w:r>
      <w:r>
        <w:t>a</w:t>
      </w:r>
      <w:r w:rsidR="007841D3">
        <w:t xml:space="preserve">n infection must be linked with an </w:t>
      </w:r>
      <w:r w:rsidR="00B11A88">
        <w:t>adverse event</w:t>
      </w:r>
      <w:r w:rsidR="00D80B64">
        <w:t>.</w:t>
      </w:r>
    </w:p>
    <w:p w14:paraId="590B9C9C" w14:textId="3E9C2EB3" w:rsidR="7F2BABDD" w:rsidRDefault="000C0938" w:rsidP="7F2BABDD">
      <w:pPr>
        <w:pStyle w:val="SCVbullet1"/>
      </w:pPr>
      <w:r>
        <w:t>An</w:t>
      </w:r>
      <w:r w:rsidR="758D806B">
        <w:t xml:space="preserve"> unplanned ICU admission </w:t>
      </w:r>
      <w:r>
        <w:t xml:space="preserve">may </w:t>
      </w:r>
      <w:r w:rsidR="001A6F41">
        <w:t>be appropriate</w:t>
      </w:r>
      <w:r w:rsidR="00AE5EE4">
        <w:t xml:space="preserve"> to monitor </w:t>
      </w:r>
      <w:r w:rsidR="001A6F41">
        <w:t>a patient post-operatively, but it should be reviewed if it was</w:t>
      </w:r>
      <w:r>
        <w:t xml:space="preserve"> </w:t>
      </w:r>
      <w:r w:rsidR="758D806B">
        <w:t>the result of an appropriate escalation of care and clinical management of a complication</w:t>
      </w:r>
      <w:r w:rsidR="001A6F41">
        <w:t xml:space="preserve">, or if it </w:t>
      </w:r>
      <w:r w:rsidR="00164E4D">
        <w:t>was secondary to a preventable event.</w:t>
      </w:r>
    </w:p>
    <w:p w14:paraId="25865911" w14:textId="02AD8FB7" w:rsidR="009075B5" w:rsidRDefault="00801259" w:rsidP="00B2337F">
      <w:pPr>
        <w:pStyle w:val="SCVbullet1"/>
      </w:pPr>
      <w:r>
        <w:t xml:space="preserve">Health services </w:t>
      </w:r>
      <w:r w:rsidR="00B65711">
        <w:t>should</w:t>
      </w:r>
      <w:r w:rsidR="00F26471">
        <w:t xml:space="preserve"> </w:t>
      </w:r>
      <w:r w:rsidR="00843EAB">
        <w:t xml:space="preserve">have robust processes to facilitate </w:t>
      </w:r>
      <w:r w:rsidR="006B2C04">
        <w:t>review</w:t>
      </w:r>
      <w:r w:rsidR="0039107D">
        <w:t>s</w:t>
      </w:r>
      <w:r w:rsidR="00F26471">
        <w:t xml:space="preserve"> of uncommon</w:t>
      </w:r>
      <w:r w:rsidR="004C7DDB">
        <w:t xml:space="preserve"> or higher than expected</w:t>
      </w:r>
      <w:r w:rsidR="00C13B55">
        <w:t xml:space="preserve"> complication rate</w:t>
      </w:r>
      <w:r w:rsidR="00EA31F6">
        <w:t xml:space="preserve">s when compared to benchmark and peers. </w:t>
      </w:r>
      <w:r w:rsidR="007A0B12">
        <w:t xml:space="preserve">Such </w:t>
      </w:r>
      <w:r w:rsidR="003418A9">
        <w:t xml:space="preserve">instances </w:t>
      </w:r>
      <w:r w:rsidR="00CA4418">
        <w:t xml:space="preserve">should have robust </w:t>
      </w:r>
      <w:r w:rsidR="00E97387">
        <w:t xml:space="preserve">review processes, including </w:t>
      </w:r>
      <w:r w:rsidR="009833FE">
        <w:t xml:space="preserve">cluster review of events where applicable. </w:t>
      </w:r>
      <w:r w:rsidR="0093495A">
        <w:t xml:space="preserve">Identification of </w:t>
      </w:r>
      <w:r w:rsidR="00E34B6C">
        <w:t>individual</w:t>
      </w:r>
      <w:r w:rsidR="0093495A">
        <w:t xml:space="preserve"> SAPSE</w:t>
      </w:r>
      <w:r w:rsidR="00087008">
        <w:t xml:space="preserve"> should be </w:t>
      </w:r>
      <w:r w:rsidR="009075B5">
        <w:t xml:space="preserve">managed as </w:t>
      </w:r>
      <w:r w:rsidR="00E34B6C">
        <w:t>required</w:t>
      </w:r>
      <w:r w:rsidR="009075B5">
        <w:t>.</w:t>
      </w:r>
    </w:p>
    <w:p w14:paraId="547EBA08" w14:textId="77777777" w:rsidR="005B0FC9" w:rsidRDefault="005B0FC9" w:rsidP="005B0FC9">
      <w:pPr>
        <w:pStyle w:val="SCVbullet1"/>
        <w:numPr>
          <w:ilvl w:val="0"/>
          <w:numId w:val="0"/>
        </w:numPr>
      </w:pPr>
    </w:p>
    <w:p w14:paraId="3F293437" w14:textId="18C6918D" w:rsidR="0034568C" w:rsidRDefault="00887949" w:rsidP="005F3999">
      <w:pPr>
        <w:pStyle w:val="SCVbullet1"/>
        <w:numPr>
          <w:ilvl w:val="0"/>
          <w:numId w:val="0"/>
        </w:numPr>
      </w:pPr>
      <w:r>
        <w:t>F</w:t>
      </w:r>
      <w:r w:rsidR="005B0FC9">
        <w:t>urther resources and training</w:t>
      </w:r>
      <w:r>
        <w:t xml:space="preserve"> are available at </w:t>
      </w:r>
      <w:hyperlink r:id="rId21" w:history="1">
        <w:r w:rsidRPr="001E4B34">
          <w:rPr>
            <w:rStyle w:val="Hyperlink"/>
          </w:rPr>
          <w:t>https://www.safercare.vic.gov.au/support-training/adverse-event-review-and-response/duty-of-candour</w:t>
        </w:r>
      </w:hyperlink>
      <w:r>
        <w:t>.</w:t>
      </w:r>
    </w:p>
    <w:p w14:paraId="2DD0711E" w14:textId="3D494A24" w:rsidR="0034568C" w:rsidRDefault="0093072E" w:rsidP="0034568C">
      <w:pPr>
        <w:pStyle w:val="Heading2"/>
      </w:pPr>
      <w:r>
        <w:t>Common e</w:t>
      </w:r>
      <w:r w:rsidR="0034568C">
        <w:t>xamples</w:t>
      </w:r>
    </w:p>
    <w:tbl>
      <w:tblPr>
        <w:tblStyle w:val="TableGrid"/>
        <w:tblW w:w="0" w:type="auto"/>
        <w:tblLayout w:type="fixed"/>
        <w:tblLook w:val="04A0" w:firstRow="1" w:lastRow="0" w:firstColumn="1" w:lastColumn="0" w:noHBand="0" w:noVBand="1"/>
      </w:tblPr>
      <w:tblGrid>
        <w:gridCol w:w="2410"/>
        <w:gridCol w:w="8022"/>
      </w:tblGrid>
      <w:tr w:rsidR="00261631" w14:paraId="08A71A92" w14:textId="77777777" w:rsidTr="416C497D">
        <w:trPr>
          <w:cnfStyle w:val="100000000000" w:firstRow="1" w:lastRow="0" w:firstColumn="0" w:lastColumn="0" w:oddVBand="0" w:evenVBand="0" w:oddHBand="0" w:evenHBand="0" w:firstRowFirstColumn="0" w:firstRowLastColumn="0" w:lastRowFirstColumn="0" w:lastRowLastColumn="0"/>
        </w:trPr>
        <w:tc>
          <w:tcPr>
            <w:tcW w:w="2410" w:type="dxa"/>
          </w:tcPr>
          <w:p w14:paraId="2864D8F0" w14:textId="77777777" w:rsidR="00261631" w:rsidRPr="00DA312F" w:rsidRDefault="00261631" w:rsidP="005F3999">
            <w:pPr>
              <w:pStyle w:val="SCVtablecolhead"/>
            </w:pPr>
            <w:r w:rsidRPr="00DA312F">
              <w:t>Example</w:t>
            </w:r>
          </w:p>
        </w:tc>
        <w:tc>
          <w:tcPr>
            <w:tcW w:w="8022" w:type="dxa"/>
          </w:tcPr>
          <w:p w14:paraId="3FE328F5" w14:textId="39495AC9" w:rsidR="00261631" w:rsidRPr="00DA312F" w:rsidRDefault="00261631" w:rsidP="005F3999">
            <w:pPr>
              <w:pStyle w:val="SCVtablecolhead"/>
            </w:pPr>
            <w:r>
              <w:t xml:space="preserve">Considerations </w:t>
            </w:r>
          </w:p>
        </w:tc>
      </w:tr>
      <w:tr w:rsidR="00261631" w14:paraId="4B31D887" w14:textId="77777777" w:rsidTr="416C497D">
        <w:tc>
          <w:tcPr>
            <w:tcW w:w="2410" w:type="dxa"/>
          </w:tcPr>
          <w:p w14:paraId="0DB3052B" w14:textId="77777777" w:rsidR="00261631" w:rsidRPr="005F3999" w:rsidRDefault="00261631" w:rsidP="005F3999">
            <w:pPr>
              <w:pStyle w:val="SCVtablebody"/>
              <w:rPr>
                <w:b/>
              </w:rPr>
            </w:pPr>
            <w:r w:rsidRPr="005F3999">
              <w:rPr>
                <w:b/>
              </w:rPr>
              <w:t>3rd or 4th degree perineal laceration</w:t>
            </w:r>
          </w:p>
        </w:tc>
        <w:tc>
          <w:tcPr>
            <w:tcW w:w="8022" w:type="dxa"/>
          </w:tcPr>
          <w:p w14:paraId="27DA09F4" w14:textId="0EB71FC6" w:rsidR="00261631" w:rsidRDefault="00261631" w:rsidP="005F3999">
            <w:pPr>
              <w:pStyle w:val="SCVtablebody"/>
            </w:pPr>
            <w:r>
              <w:t>Perineal laceration is considered a known possible complication of pregnancy and labour</w:t>
            </w:r>
            <w:r w:rsidR="00542F33">
              <w:t xml:space="preserve"> and t</w:t>
            </w:r>
            <w:r>
              <w:t xml:space="preserve">herefore, </w:t>
            </w:r>
            <w:r w:rsidR="00542F33">
              <w:t>it</w:t>
            </w:r>
            <w:r>
              <w:t xml:space="preserve"> is usually not a SAPSE</w:t>
            </w:r>
            <w:r w:rsidR="00542F33">
              <w:t>.</w:t>
            </w:r>
            <w:r>
              <w:t xml:space="preserve"> </w:t>
            </w:r>
            <w:r w:rsidR="00542F33">
              <w:t>H</w:t>
            </w:r>
            <w:r>
              <w:t>owever</w:t>
            </w:r>
            <w:r w:rsidR="00542F33">
              <w:t>,</w:t>
            </w:r>
            <w:r>
              <w:t xml:space="preserve"> health services may opt to do a cluster review for these cases to ensure good review practice. </w:t>
            </w:r>
          </w:p>
          <w:p w14:paraId="72BCAC7B" w14:textId="05221511" w:rsidR="00261631" w:rsidRDefault="00261631" w:rsidP="005F3999">
            <w:pPr>
              <w:pStyle w:val="SCVtablebody"/>
            </w:pPr>
            <w:r>
              <w:t xml:space="preserve">If appropriate policy and Clinical Guidelines were not followed as they should have been (or nil </w:t>
            </w:r>
            <w:r w:rsidR="0055610B">
              <w:t>g</w:t>
            </w:r>
            <w:r>
              <w:t xml:space="preserve">uidelines available), and the patient suffered </w:t>
            </w:r>
            <w:r w:rsidR="00931208">
              <w:t>moderate-severe</w:t>
            </w:r>
            <w:r>
              <w:t xml:space="preserve"> harm as a result</w:t>
            </w:r>
            <w:r w:rsidR="0055610B">
              <w:t>,</w:t>
            </w:r>
            <w:r>
              <w:t xml:space="preserve"> e.g. the tear was missed or repair delayed, or there was mismanagement in the labour and delivery, then it </w:t>
            </w:r>
            <w:r w:rsidR="00606C2E">
              <w:t>would</w:t>
            </w:r>
            <w:r>
              <w:t xml:space="preserve"> be deemed a SAPSE</w:t>
            </w:r>
            <w:r w:rsidR="00606C2E">
              <w:t>.</w:t>
            </w:r>
          </w:p>
        </w:tc>
      </w:tr>
      <w:tr w:rsidR="00261631" w14:paraId="446B0862" w14:textId="77777777" w:rsidTr="416C497D">
        <w:tc>
          <w:tcPr>
            <w:tcW w:w="2410" w:type="dxa"/>
          </w:tcPr>
          <w:p w14:paraId="524C97F8" w14:textId="612F70E4" w:rsidR="00261631" w:rsidRPr="005F3999" w:rsidRDefault="00261631" w:rsidP="005F3999">
            <w:pPr>
              <w:pStyle w:val="SCVtablebody"/>
              <w:rPr>
                <w:b/>
              </w:rPr>
            </w:pPr>
            <w:r w:rsidRPr="005F3999">
              <w:rPr>
                <w:b/>
              </w:rPr>
              <w:t>Anaphylaxis</w:t>
            </w:r>
            <w:r w:rsidR="0055610B">
              <w:rPr>
                <w:b/>
                <w:bCs/>
              </w:rPr>
              <w:t>,</w:t>
            </w:r>
            <w:r w:rsidRPr="005F3999">
              <w:rPr>
                <w:b/>
              </w:rPr>
              <w:t xml:space="preserve"> e.g. to anaesthetic, medication, antibiotic, or food</w:t>
            </w:r>
          </w:p>
        </w:tc>
        <w:tc>
          <w:tcPr>
            <w:tcW w:w="8022" w:type="dxa"/>
          </w:tcPr>
          <w:p w14:paraId="5F6EF8A2" w14:textId="74532438" w:rsidR="00261631" w:rsidRDefault="00261631" w:rsidP="005F3999">
            <w:pPr>
              <w:pStyle w:val="SCVtablebody"/>
            </w:pPr>
            <w:r>
              <w:t xml:space="preserve">If a patient suffered anaphylaxis due to the prescription and administration of a medication, or consumption of a food allergen, there are some considerations </w:t>
            </w:r>
            <w:r w:rsidR="00104BD1">
              <w:t xml:space="preserve">as to whether </w:t>
            </w:r>
            <w:r>
              <w:t>this would meet the criteria of a SAPSE:</w:t>
            </w:r>
          </w:p>
          <w:p w14:paraId="5E20EA06" w14:textId="4F7AE3BC" w:rsidR="00261631" w:rsidRDefault="00E55CF4" w:rsidP="005F3999">
            <w:pPr>
              <w:pStyle w:val="SCVtablebullet1"/>
            </w:pPr>
            <w:r>
              <w:t>d</w:t>
            </w:r>
            <w:r w:rsidR="00261631">
              <w:t>elay or mismanagement during the response to anaphylaxis that led to further harm or death</w:t>
            </w:r>
          </w:p>
          <w:p w14:paraId="2FBEC3D1" w14:textId="354E9FEB" w:rsidR="00261631" w:rsidRDefault="00E55CF4" w:rsidP="005F3999">
            <w:pPr>
              <w:pStyle w:val="SCVtablebullet1"/>
            </w:pPr>
            <w:r>
              <w:t>k</w:t>
            </w:r>
            <w:r w:rsidR="00AF77DE">
              <w:t>nown allergy, but l</w:t>
            </w:r>
            <w:r w:rsidR="00261631">
              <w:t>ack of documentation, process or handover that led to incorrect administration or consumption.</w:t>
            </w:r>
          </w:p>
        </w:tc>
      </w:tr>
      <w:tr w:rsidR="00261631" w14:paraId="156D8564" w14:textId="77777777" w:rsidTr="416C497D">
        <w:tc>
          <w:tcPr>
            <w:tcW w:w="2410" w:type="dxa"/>
          </w:tcPr>
          <w:p w14:paraId="592D812D" w14:textId="77777777" w:rsidR="00261631" w:rsidRPr="005F3999" w:rsidRDefault="00261631" w:rsidP="005F3999">
            <w:pPr>
              <w:pStyle w:val="SCVtablebody"/>
              <w:rPr>
                <w:b/>
              </w:rPr>
            </w:pPr>
            <w:r w:rsidRPr="005F3999">
              <w:rPr>
                <w:b/>
              </w:rPr>
              <w:t>Anastomotic leak</w:t>
            </w:r>
          </w:p>
        </w:tc>
        <w:tc>
          <w:tcPr>
            <w:tcW w:w="8022" w:type="dxa"/>
          </w:tcPr>
          <w:p w14:paraId="41C17290" w14:textId="77777777" w:rsidR="00261631" w:rsidRDefault="00261631" w:rsidP="005F3999">
            <w:pPr>
              <w:pStyle w:val="SCVtablebody"/>
            </w:pPr>
            <w:r>
              <w:t xml:space="preserve">Whilst anastomotic leak following bowel resection is a known risk of the procedure, it should be appropriately discussed as part of the consent process. </w:t>
            </w:r>
          </w:p>
          <w:p w14:paraId="3554E8A3" w14:textId="77777777" w:rsidR="00261631" w:rsidRDefault="00261631" w:rsidP="005F3999">
            <w:pPr>
              <w:pStyle w:val="SCVtablebody"/>
            </w:pPr>
            <w:r>
              <w:t>Due to the known complication, these cases would not be a SAPSE unless there was a delayed/inappropriate response to deterioration or a significant technical failure in performing the procedure.</w:t>
            </w:r>
          </w:p>
        </w:tc>
      </w:tr>
      <w:tr w:rsidR="00261631" w14:paraId="1508349B" w14:textId="77777777" w:rsidTr="416C497D">
        <w:tc>
          <w:tcPr>
            <w:tcW w:w="2410" w:type="dxa"/>
          </w:tcPr>
          <w:p w14:paraId="25A30E71" w14:textId="77777777" w:rsidR="00261631" w:rsidRPr="005F3999" w:rsidRDefault="00261631" w:rsidP="005F3999">
            <w:pPr>
              <w:pStyle w:val="SCVtablebody"/>
              <w:rPr>
                <w:b/>
              </w:rPr>
            </w:pPr>
            <w:r w:rsidRPr="005F3999">
              <w:rPr>
                <w:b/>
              </w:rPr>
              <w:t>Bleed following an epidural injection or lumbar puncture</w:t>
            </w:r>
          </w:p>
        </w:tc>
        <w:tc>
          <w:tcPr>
            <w:tcW w:w="8022" w:type="dxa"/>
          </w:tcPr>
          <w:p w14:paraId="7B6DD8F8" w14:textId="14873943" w:rsidR="00261631" w:rsidRDefault="00261631" w:rsidP="005F3999">
            <w:pPr>
              <w:pStyle w:val="SCVtablebody"/>
            </w:pPr>
            <w:r>
              <w:t xml:space="preserve">Damage to a vessel following epidural with minor bleeding is </w:t>
            </w:r>
            <w:r w:rsidR="00975430">
              <w:t>a known complication</w:t>
            </w:r>
            <w:r w:rsidR="00EB633B">
              <w:t xml:space="preserve"> in this setting,</w:t>
            </w:r>
            <w:r>
              <w:t xml:space="preserve"> and therefore would generally not be a SAPSE. </w:t>
            </w:r>
          </w:p>
          <w:p w14:paraId="40298CB8" w14:textId="407F3C18" w:rsidR="00261631" w:rsidRDefault="00261631" w:rsidP="005F3999">
            <w:pPr>
              <w:pStyle w:val="SCVtablebody"/>
            </w:pPr>
            <w:r w:rsidRPr="00402ECB">
              <w:t>Any other instances of moderate</w:t>
            </w:r>
            <w:r w:rsidR="006A1BDD">
              <w:t>-</w:t>
            </w:r>
            <w:r w:rsidRPr="00402ECB">
              <w:t>severe harm</w:t>
            </w:r>
            <w:r w:rsidR="00AD1EAF">
              <w:t>,</w:t>
            </w:r>
            <w:r w:rsidRPr="00402ECB">
              <w:t xml:space="preserve"> e.g. </w:t>
            </w:r>
            <w:r>
              <w:t>neurological injury or need for spinal surgery</w:t>
            </w:r>
            <w:r w:rsidR="00F90549">
              <w:t>,</w:t>
            </w:r>
            <w:r>
              <w:t xml:space="preserve"> especially </w:t>
            </w:r>
            <w:r w:rsidRPr="00402ECB">
              <w:t>associated with anticoagulation management or procedure erro</w:t>
            </w:r>
            <w:r w:rsidRPr="0068530D">
              <w:t>r</w:t>
            </w:r>
            <w:r w:rsidR="00F90549">
              <w:t>,</w:t>
            </w:r>
            <w:r>
              <w:t xml:space="preserve"> would likely be a SAPSE.</w:t>
            </w:r>
          </w:p>
        </w:tc>
      </w:tr>
      <w:tr w:rsidR="00261631" w14:paraId="0657778D" w14:textId="77777777" w:rsidTr="416C497D">
        <w:tc>
          <w:tcPr>
            <w:tcW w:w="2410" w:type="dxa"/>
          </w:tcPr>
          <w:p w14:paraId="76D6D5E7" w14:textId="6C7491D6" w:rsidR="00261631" w:rsidRPr="005F3999" w:rsidRDefault="00261631" w:rsidP="005F3999">
            <w:pPr>
              <w:pStyle w:val="SCVtablebody"/>
              <w:rPr>
                <w:b/>
              </w:rPr>
            </w:pPr>
            <w:r w:rsidRPr="005F3999">
              <w:rPr>
                <w:b/>
              </w:rPr>
              <w:t xml:space="preserve">Cardiac complication </w:t>
            </w:r>
            <w:r w:rsidR="00F90549">
              <w:rPr>
                <w:b/>
                <w:bCs/>
              </w:rPr>
              <w:t>–</w:t>
            </w:r>
            <w:r w:rsidRPr="005F3999">
              <w:rPr>
                <w:b/>
              </w:rPr>
              <w:t xml:space="preserve"> STEMI/NSTEMI</w:t>
            </w:r>
          </w:p>
        </w:tc>
        <w:tc>
          <w:tcPr>
            <w:tcW w:w="8022" w:type="dxa"/>
          </w:tcPr>
          <w:p w14:paraId="2AD8F694" w14:textId="7F538561" w:rsidR="00261631" w:rsidRDefault="00261631" w:rsidP="005F3999">
            <w:pPr>
              <w:pStyle w:val="SCVtablebody"/>
            </w:pPr>
            <w:r>
              <w:t xml:space="preserve">If the patient had an unknown cardiac issue and suffered a cardiac complication, it should be reviewed whether there were </w:t>
            </w:r>
            <w:r w:rsidR="00EB633B">
              <w:t>miss</w:t>
            </w:r>
            <w:r w:rsidR="00F90549">
              <w:t>ed</w:t>
            </w:r>
            <w:r w:rsidR="00EB633B">
              <w:t xml:space="preserve"> </w:t>
            </w:r>
            <w:r>
              <w:t xml:space="preserve">signs or symptoms </w:t>
            </w:r>
            <w:r w:rsidR="00EB633B">
              <w:t>or</w:t>
            </w:r>
            <w:r>
              <w:t xml:space="preserve"> </w:t>
            </w:r>
            <w:r w:rsidR="00AB6EB6">
              <w:t>interventions</w:t>
            </w:r>
            <w:r>
              <w:t xml:space="preserve"> that led to the STEMI/</w:t>
            </w:r>
            <w:r w:rsidR="007C63C9">
              <w:t xml:space="preserve"> </w:t>
            </w:r>
            <w:r>
              <w:t>NSTEMI. This will assist in determining if the event is a SAPSE.</w:t>
            </w:r>
          </w:p>
          <w:p w14:paraId="607868C0" w14:textId="04CC1183" w:rsidR="00261631" w:rsidRDefault="00261631" w:rsidP="005F3999">
            <w:pPr>
              <w:pStyle w:val="SCVtablebody"/>
            </w:pPr>
            <w:r>
              <w:t>Note that some cardiovascular risk factors may have been discussed as part of informed consent and shared decision making</w:t>
            </w:r>
            <w:r w:rsidR="008279A7">
              <w:t>,</w:t>
            </w:r>
            <w:r>
              <w:t xml:space="preserve"> and the increased risk/potential risk </w:t>
            </w:r>
            <w:r w:rsidR="008279A7">
              <w:t xml:space="preserve">was </w:t>
            </w:r>
            <w:r>
              <w:t>accepted. In this case</w:t>
            </w:r>
            <w:r w:rsidR="00F0185C">
              <w:t>,</w:t>
            </w:r>
            <w:r>
              <w:t xml:space="preserve"> the </w:t>
            </w:r>
            <w:r>
              <w:lastRenderedPageBreak/>
              <w:t xml:space="preserve">complication would not be a SAPSE unless the risk factors were excessive, and/or </w:t>
            </w:r>
            <w:r w:rsidR="0046439A">
              <w:t xml:space="preserve">those </w:t>
            </w:r>
            <w:r>
              <w:t>a reasonable practitioner would have chosen</w:t>
            </w:r>
            <w:r w:rsidR="003508AE">
              <w:t xml:space="preserve"> (</w:t>
            </w:r>
            <w:r>
              <w:t>and had the opportunity</w:t>
            </w:r>
            <w:r w:rsidR="003508AE">
              <w:t>)</w:t>
            </w:r>
            <w:r>
              <w:t xml:space="preserve"> to optimise the patient in the time available.</w:t>
            </w:r>
          </w:p>
        </w:tc>
      </w:tr>
      <w:tr w:rsidR="00261631" w14:paraId="69116ADE" w14:textId="77777777" w:rsidTr="416C497D">
        <w:tc>
          <w:tcPr>
            <w:tcW w:w="2410" w:type="dxa"/>
          </w:tcPr>
          <w:p w14:paraId="649221FB" w14:textId="77777777" w:rsidR="00261631" w:rsidRPr="005F3999" w:rsidRDefault="00261631" w:rsidP="005F3999">
            <w:pPr>
              <w:pStyle w:val="SCVtablebody"/>
              <w:rPr>
                <w:b/>
              </w:rPr>
            </w:pPr>
            <w:r w:rsidRPr="005F3999">
              <w:rPr>
                <w:b/>
              </w:rPr>
              <w:lastRenderedPageBreak/>
              <w:t>Death</w:t>
            </w:r>
          </w:p>
        </w:tc>
        <w:tc>
          <w:tcPr>
            <w:tcW w:w="8022" w:type="dxa"/>
          </w:tcPr>
          <w:p w14:paraId="2EF0FA17" w14:textId="5DD88D0C" w:rsidR="001E581C" w:rsidRDefault="001E581C" w:rsidP="005F3999">
            <w:pPr>
              <w:pStyle w:val="SCVtablebody"/>
            </w:pPr>
            <w:r>
              <w:t xml:space="preserve">Health services should have robust procedures in place for the monitoring and review of all deaths that occur, including consideration as to whether the circumstances leading up to the </w:t>
            </w:r>
            <w:r w:rsidR="00C310BC">
              <w:t>patient’s</w:t>
            </w:r>
            <w:r>
              <w:t xml:space="preserve"> death would meet the definition of a SAPSE. </w:t>
            </w:r>
          </w:p>
          <w:p w14:paraId="00884B23" w14:textId="35EA5FB9" w:rsidR="001E581C" w:rsidRDefault="001E581C" w:rsidP="005F3999">
            <w:pPr>
              <w:pStyle w:val="SCVtablebody"/>
            </w:pPr>
            <w:r>
              <w:t>Some examples of where a death may not be a SAPSE could be</w:t>
            </w:r>
            <w:r w:rsidR="008B416A">
              <w:t>:</w:t>
            </w:r>
            <w:r>
              <w:t xml:space="preserve"> </w:t>
            </w:r>
          </w:p>
          <w:p w14:paraId="716E0DAF" w14:textId="00575EBD" w:rsidR="00C310BC" w:rsidRDefault="00E55CF4" w:rsidP="005F3999">
            <w:pPr>
              <w:pStyle w:val="SCVtablebullet1"/>
            </w:pPr>
            <w:r>
              <w:t>d</w:t>
            </w:r>
            <w:r w:rsidR="00261631">
              <w:t xml:space="preserve">eath as a result of natural progression of disease or natural causes </w:t>
            </w:r>
          </w:p>
          <w:p w14:paraId="6290D392" w14:textId="672FF688" w:rsidR="00261631" w:rsidRPr="00C310BC" w:rsidRDefault="00E55CF4" w:rsidP="005F3999">
            <w:pPr>
              <w:pStyle w:val="SCVtablebullet1"/>
            </w:pPr>
            <w:r>
              <w:t>d</w:t>
            </w:r>
            <w:r w:rsidR="00261631" w:rsidRPr="00C310BC">
              <w:t xml:space="preserve">eath following a high-risk surgical procedure, such as in the instance of an elderly patient with hip fracture requiring repair. If the patient (or their delegate) consented to the surgical risks, including the possibility of death/palliative </w:t>
            </w:r>
            <w:r w:rsidR="006D2367" w:rsidRPr="00C310BC">
              <w:t>procedure,</w:t>
            </w:r>
            <w:r w:rsidR="00261631" w:rsidRPr="00C310BC">
              <w:t xml:space="preserve"> and died following</w:t>
            </w:r>
            <w:r w:rsidR="006E4228">
              <w:t xml:space="preserve"> the procedure</w:t>
            </w:r>
            <w:r w:rsidR="00261631" w:rsidRPr="00C310BC">
              <w:t xml:space="preserve">, </w:t>
            </w:r>
            <w:r w:rsidR="006E4228">
              <w:t>it</w:t>
            </w:r>
            <w:r w:rsidR="00261631" w:rsidRPr="00C310BC">
              <w:t xml:space="preserve"> may not be deemed a SAPSE if protocol was followed to ensure the safest treatment.</w:t>
            </w:r>
          </w:p>
        </w:tc>
      </w:tr>
      <w:tr w:rsidR="00261631" w14:paraId="7E322B13" w14:textId="77777777" w:rsidTr="416C497D">
        <w:tc>
          <w:tcPr>
            <w:tcW w:w="2410" w:type="dxa"/>
          </w:tcPr>
          <w:p w14:paraId="5C3DB6E4" w14:textId="77777777" w:rsidR="00261631" w:rsidRPr="005F3999" w:rsidRDefault="00261631" w:rsidP="005F3999">
            <w:pPr>
              <w:pStyle w:val="SCVtablebody"/>
              <w:rPr>
                <w:b/>
              </w:rPr>
            </w:pPr>
            <w:r w:rsidRPr="005F3999">
              <w:rPr>
                <w:b/>
              </w:rPr>
              <w:t>Deep sternal wound infection</w:t>
            </w:r>
          </w:p>
        </w:tc>
        <w:tc>
          <w:tcPr>
            <w:tcW w:w="8022" w:type="dxa"/>
          </w:tcPr>
          <w:p w14:paraId="469E266A" w14:textId="77777777" w:rsidR="00261631" w:rsidRDefault="00261631" w:rsidP="005F3999">
            <w:pPr>
              <w:pStyle w:val="SCVtablebody"/>
            </w:pPr>
            <w:r>
              <w:t xml:space="preserve">Deep sternal wound infection is a rare but recognised complication of a median sternotomy that causes the patient significant morbidity. Although it can result in moderate-severe harm, it may not meet the criteria of a SAPSE if the risk was consented and all reasonable steps were taken to prevent and appropriately manage.  </w:t>
            </w:r>
          </w:p>
          <w:p w14:paraId="3C348554" w14:textId="4808A7E2" w:rsidR="00261631" w:rsidRDefault="00E55CF4" w:rsidP="005F3999">
            <w:pPr>
              <w:pStyle w:val="SCVtablebody"/>
            </w:pPr>
            <w:r>
              <w:t>H</w:t>
            </w:r>
            <w:r w:rsidR="00261631">
              <w:t>ealth services should review their aggregate rates benchmarked against other hospitals that provide cardiac surgery. Hospitals that are outliers should be prompted to review their practices and risk-adjusted rates.</w:t>
            </w:r>
          </w:p>
          <w:p w14:paraId="45EBB2AB" w14:textId="173093D8" w:rsidR="00261631" w:rsidRDefault="00372C28" w:rsidP="005F3999">
            <w:pPr>
              <w:pStyle w:val="SCVtablebody"/>
            </w:pPr>
            <w:r>
              <w:t xml:space="preserve">If </w:t>
            </w:r>
            <w:r w:rsidR="00261631">
              <w:t>the post-operative management of a sternal wound infection led to moderate-severe harm, then this event would likely meet the definition of a SAPSE.</w:t>
            </w:r>
          </w:p>
        </w:tc>
      </w:tr>
      <w:tr w:rsidR="00261631" w14:paraId="69FEF915" w14:textId="77777777" w:rsidTr="416C497D">
        <w:tc>
          <w:tcPr>
            <w:tcW w:w="2410" w:type="dxa"/>
          </w:tcPr>
          <w:p w14:paraId="65AB79C0" w14:textId="77777777" w:rsidR="00261631" w:rsidRPr="005F3999" w:rsidRDefault="00261631" w:rsidP="005F3999">
            <w:pPr>
              <w:pStyle w:val="SCVtablebody"/>
              <w:rPr>
                <w:b/>
              </w:rPr>
            </w:pPr>
            <w:r w:rsidRPr="005F3999">
              <w:rPr>
                <w:b/>
              </w:rPr>
              <w:t>Deep Vein Thrombosis (DVT) and Pulmonary Embolism (PE)</w:t>
            </w:r>
          </w:p>
        </w:tc>
        <w:tc>
          <w:tcPr>
            <w:tcW w:w="8022" w:type="dxa"/>
          </w:tcPr>
          <w:p w14:paraId="7E6AB2B5" w14:textId="078FE1C3" w:rsidR="00261631" w:rsidRDefault="007808BD" w:rsidP="005F3999">
            <w:pPr>
              <w:pStyle w:val="SCVtablebody"/>
            </w:pPr>
            <w:r w:rsidRPr="007808BD">
              <w:t xml:space="preserve">Relevant </w:t>
            </w:r>
            <w:r w:rsidR="00323DB2" w:rsidRPr="00323DB2">
              <w:t xml:space="preserve">Venous Thromboembolism </w:t>
            </w:r>
            <w:r w:rsidR="00777843">
              <w:t>(</w:t>
            </w:r>
            <w:r w:rsidRPr="007808BD">
              <w:t>VTE</w:t>
            </w:r>
            <w:r w:rsidR="00777843">
              <w:t>)</w:t>
            </w:r>
            <w:r w:rsidRPr="007808BD">
              <w:t xml:space="preserve"> prophylaxis guidance or protocol should be followed and decisions about prophylaxis documented. </w:t>
            </w:r>
            <w:r w:rsidR="00261631">
              <w:t xml:space="preserve">It is important </w:t>
            </w:r>
            <w:r w:rsidR="008823F0">
              <w:t xml:space="preserve">that </w:t>
            </w:r>
            <w:r w:rsidR="00261631">
              <w:t xml:space="preserve">there is a thorough history, </w:t>
            </w:r>
            <w:r w:rsidR="00DE340C">
              <w:t>whic</w:t>
            </w:r>
            <w:r w:rsidR="008823F0">
              <w:t>h</w:t>
            </w:r>
            <w:r w:rsidR="00261631">
              <w:t xml:space="preserve"> includes:</w:t>
            </w:r>
          </w:p>
          <w:p w14:paraId="5E56C289" w14:textId="77777777" w:rsidR="00261631" w:rsidRDefault="00261631" w:rsidP="005F3999">
            <w:pPr>
              <w:pStyle w:val="SCVtablebullet1"/>
            </w:pPr>
            <w:r>
              <w:t>a VTE risk assessment, with consideration given to the patient’s medication list</w:t>
            </w:r>
          </w:p>
          <w:p w14:paraId="4171FA7B" w14:textId="05B87AF2" w:rsidR="00261631" w:rsidRDefault="00AB4B7B" w:rsidP="005F3999">
            <w:pPr>
              <w:pStyle w:val="SCVtablebullet1"/>
            </w:pPr>
            <w:r>
              <w:t xml:space="preserve">alerts </w:t>
            </w:r>
            <w:r w:rsidR="00261631">
              <w:t>for previous DVT/PE</w:t>
            </w:r>
          </w:p>
          <w:p w14:paraId="4CA30C10" w14:textId="77777777" w:rsidR="00261631" w:rsidRDefault="00261631" w:rsidP="005F3999">
            <w:pPr>
              <w:pStyle w:val="SCVtablebullet1"/>
            </w:pPr>
            <w:r>
              <w:t xml:space="preserve">any contraindications to pharmacological prophylaxis. </w:t>
            </w:r>
          </w:p>
          <w:p w14:paraId="315D7930" w14:textId="54457EBE" w:rsidR="00261631" w:rsidRDefault="00261631" w:rsidP="005F3999">
            <w:pPr>
              <w:pStyle w:val="SCVtablebody"/>
            </w:pPr>
            <w:r>
              <w:t xml:space="preserve">In the instance of a patient sustaining moderate-severe harm or death due to DVT and/or PE as a result of care delivery which was not aligned to policy/guidelines, the event would likely fulfil the criteria of a SAPSE. </w:t>
            </w:r>
          </w:p>
        </w:tc>
      </w:tr>
      <w:tr w:rsidR="00261631" w14:paraId="1AB2361D" w14:textId="77777777" w:rsidTr="416C497D">
        <w:tc>
          <w:tcPr>
            <w:tcW w:w="2410" w:type="dxa"/>
          </w:tcPr>
          <w:p w14:paraId="75A681E1" w14:textId="77777777" w:rsidR="00261631" w:rsidRPr="005F3999" w:rsidRDefault="00261631" w:rsidP="005F3999">
            <w:pPr>
              <w:pStyle w:val="SCVtablebody"/>
              <w:rPr>
                <w:b/>
              </w:rPr>
            </w:pPr>
            <w:r w:rsidRPr="005F3999">
              <w:rPr>
                <w:b/>
              </w:rPr>
              <w:t>Delirium</w:t>
            </w:r>
          </w:p>
        </w:tc>
        <w:tc>
          <w:tcPr>
            <w:tcW w:w="8022" w:type="dxa"/>
          </w:tcPr>
          <w:p w14:paraId="0FD17A1F" w14:textId="7E14CD90" w:rsidR="00261631" w:rsidRDefault="00261631" w:rsidP="005F3999">
            <w:pPr>
              <w:pStyle w:val="SCVtablebody"/>
            </w:pPr>
            <w:r>
              <w:t>Delirium may not always be preventable, however risk mitigation requires adequate assessments on admission and policy/Clinical Guidelines to be followed. Additionally, there should be strategies in place to ensure that the patient is kept safe if they have delirium.</w:t>
            </w:r>
          </w:p>
          <w:p w14:paraId="7246A198" w14:textId="77777777" w:rsidR="00261631" w:rsidRDefault="00261631" w:rsidP="005F3999">
            <w:pPr>
              <w:pStyle w:val="SCVtablebody"/>
            </w:pPr>
            <w:r>
              <w:t>There are a number of factors known to increase delirium risk and result in secondary harm, and where these things are not managed appropriately and the patient suffers moderate-severe harm as a result, this should be considered a SAPSE.</w:t>
            </w:r>
          </w:p>
        </w:tc>
      </w:tr>
      <w:tr w:rsidR="00261631" w14:paraId="67C0B1DB" w14:textId="77777777" w:rsidTr="416C497D">
        <w:tc>
          <w:tcPr>
            <w:tcW w:w="2410" w:type="dxa"/>
          </w:tcPr>
          <w:p w14:paraId="41D2AD9C" w14:textId="77777777" w:rsidR="00261631" w:rsidRPr="005F3999" w:rsidRDefault="00261631" w:rsidP="005F3999">
            <w:pPr>
              <w:pStyle w:val="SCVtablebody"/>
              <w:rPr>
                <w:b/>
              </w:rPr>
            </w:pPr>
            <w:r w:rsidRPr="005F3999">
              <w:rPr>
                <w:b/>
              </w:rPr>
              <w:t xml:space="preserve">Enterotomy </w:t>
            </w:r>
          </w:p>
        </w:tc>
        <w:tc>
          <w:tcPr>
            <w:tcW w:w="8022" w:type="dxa"/>
          </w:tcPr>
          <w:p w14:paraId="4A5B008E" w14:textId="0FAA6229" w:rsidR="00261631" w:rsidRDefault="00261631" w:rsidP="005F3999">
            <w:pPr>
              <w:pStyle w:val="SCVtablebody"/>
            </w:pPr>
            <w:r>
              <w:t>Whilst enterotomy is a known risk of some abdominal procedures, it should be discussed during the consent process. Additionally, a thorough assessment should be completed prior to concluding a surgical procedure to check for enterotomy. Noting that enterotomies may not always be visible on completion</w:t>
            </w:r>
            <w:r w:rsidR="00414664">
              <w:t xml:space="preserve"> of a surgical procedure</w:t>
            </w:r>
            <w:r>
              <w:t>, some considerations as to whether this complication is a SAPSE may include:</w:t>
            </w:r>
          </w:p>
          <w:p w14:paraId="20311AFC" w14:textId="77777777" w:rsidR="00261631" w:rsidRDefault="00261631" w:rsidP="005F3999">
            <w:pPr>
              <w:pStyle w:val="SCVtablebullet1"/>
            </w:pPr>
            <w:r>
              <w:t>if there is lack of identification intraoperatively due to incomplete review at the end of the procedure</w:t>
            </w:r>
          </w:p>
          <w:p w14:paraId="16E4EF65" w14:textId="77777777" w:rsidR="00261631" w:rsidRPr="00F25A99" w:rsidRDefault="00261631" w:rsidP="005F3999">
            <w:pPr>
              <w:pStyle w:val="SCVtablebullet1"/>
            </w:pPr>
            <w:r>
              <w:t xml:space="preserve">delayed recognition and response post-operatively. </w:t>
            </w:r>
          </w:p>
        </w:tc>
      </w:tr>
      <w:tr w:rsidR="00261631" w14:paraId="1B8476F7" w14:textId="77777777" w:rsidTr="416C497D">
        <w:tc>
          <w:tcPr>
            <w:tcW w:w="2410" w:type="dxa"/>
          </w:tcPr>
          <w:p w14:paraId="6674194A" w14:textId="77777777" w:rsidR="00261631" w:rsidRPr="005F3999" w:rsidRDefault="00261631" w:rsidP="005F3999">
            <w:pPr>
              <w:pStyle w:val="SCVtablebody"/>
              <w:rPr>
                <w:b/>
              </w:rPr>
            </w:pPr>
            <w:r w:rsidRPr="005F3999">
              <w:rPr>
                <w:b/>
              </w:rPr>
              <w:t>Fall</w:t>
            </w:r>
          </w:p>
        </w:tc>
        <w:tc>
          <w:tcPr>
            <w:tcW w:w="8022" w:type="dxa"/>
          </w:tcPr>
          <w:p w14:paraId="0EFB19F5" w14:textId="0A5EEEC1" w:rsidR="00261631" w:rsidRDefault="00261631" w:rsidP="005F3999">
            <w:pPr>
              <w:pStyle w:val="SCVtablebody"/>
            </w:pPr>
            <w:r>
              <w:t>Falls in health services are known to occur frequently, however t</w:t>
            </w:r>
            <w:r w:rsidRPr="00FC0C74">
              <w:t xml:space="preserve">here are a number of polices and guidelines in place to protect patients from </w:t>
            </w:r>
            <w:r>
              <w:t>falling</w:t>
            </w:r>
            <w:r w:rsidRPr="00FC0C74">
              <w:t>, and they can be prevented in many cases</w:t>
            </w:r>
            <w:r w:rsidR="00BF2677">
              <w:t>.</w:t>
            </w:r>
          </w:p>
          <w:p w14:paraId="521F78F6" w14:textId="25E1D295" w:rsidR="00261631" w:rsidRDefault="00261631" w:rsidP="005F3999">
            <w:pPr>
              <w:pStyle w:val="SCVtablebody"/>
            </w:pPr>
            <w:r>
              <w:lastRenderedPageBreak/>
              <w:t>Due to the complexity of possible causes</w:t>
            </w:r>
            <w:r w:rsidR="00BF2677">
              <w:t xml:space="preserve"> of falls</w:t>
            </w:r>
            <w:r>
              <w:t>, if a fall results in moderate-severe harm</w:t>
            </w:r>
            <w:r w:rsidR="00C3020D">
              <w:t xml:space="preserve">, e.g. </w:t>
            </w:r>
            <w:r w:rsidR="002D6714">
              <w:t>a return to theatre for repair of a fracture or long-term disability</w:t>
            </w:r>
            <w:r>
              <w:t>, it will meet the definition of a SAPSE.</w:t>
            </w:r>
          </w:p>
          <w:p w14:paraId="1C704E9C" w14:textId="6EDF9A62" w:rsidR="00261631" w:rsidRDefault="00261631" w:rsidP="005F3999">
            <w:pPr>
              <w:pStyle w:val="SCVtablebody"/>
            </w:pPr>
            <w:r>
              <w:t>There are multiple tools available for review of falls, including the Safer Care Victoria tool</w:t>
            </w:r>
            <w:r w:rsidR="00230077">
              <w:t xml:space="preserve"> available at </w:t>
            </w:r>
            <w:hyperlink r:id="rId22" w:history="1">
              <w:r w:rsidR="00230077" w:rsidRPr="001E4B34">
                <w:rPr>
                  <w:rStyle w:val="Hyperlink"/>
                </w:rPr>
                <w:t>https://www.safercare.vic.gov.au/improvement/projects/older-people-and-palliative-care/falls-review-tool-pilot-project</w:t>
              </w:r>
            </w:hyperlink>
            <w:r>
              <w:t xml:space="preserve">. </w:t>
            </w:r>
          </w:p>
        </w:tc>
      </w:tr>
      <w:tr w:rsidR="00261631" w14:paraId="45071E60" w14:textId="77777777" w:rsidTr="416C497D">
        <w:tc>
          <w:tcPr>
            <w:tcW w:w="2410" w:type="dxa"/>
          </w:tcPr>
          <w:p w14:paraId="43D48F5D" w14:textId="77777777" w:rsidR="00261631" w:rsidRPr="005F3999" w:rsidRDefault="00261631" w:rsidP="005F3999">
            <w:pPr>
              <w:pStyle w:val="SCVtablebody"/>
              <w:rPr>
                <w:b/>
              </w:rPr>
            </w:pPr>
            <w:r w:rsidRPr="005F3999">
              <w:rPr>
                <w:b/>
              </w:rPr>
              <w:lastRenderedPageBreak/>
              <w:t>Implantable device infection</w:t>
            </w:r>
          </w:p>
        </w:tc>
        <w:tc>
          <w:tcPr>
            <w:tcW w:w="8022" w:type="dxa"/>
          </w:tcPr>
          <w:p w14:paraId="4C8CAE03" w14:textId="0D21533B" w:rsidR="00261631" w:rsidRDefault="00261631" w:rsidP="005F3999">
            <w:pPr>
              <w:pStyle w:val="SCVtablebody"/>
            </w:pPr>
            <w:r>
              <w:t xml:space="preserve">Although implantable device infection is considered a known risk of surgery, the health service must ensure they are following appropriate policy and procedure in relation to </w:t>
            </w:r>
            <w:r w:rsidR="006D339D">
              <w:t xml:space="preserve">the </w:t>
            </w:r>
            <w:r>
              <w:t xml:space="preserve">intraoperative and post-operative care to reduce the risk of infection. </w:t>
            </w:r>
          </w:p>
          <w:p w14:paraId="33541DD2" w14:textId="614A6AE2" w:rsidR="00261631" w:rsidRDefault="00261631" w:rsidP="005F3999">
            <w:pPr>
              <w:pStyle w:val="SCVtablebody"/>
            </w:pPr>
            <w:r>
              <w:t>Where an implantable device should be changed or removed after a</w:t>
            </w:r>
            <w:r w:rsidR="00442566">
              <w:t xml:space="preserve"> known</w:t>
            </w:r>
            <w:r>
              <w:t xml:space="preserve"> </w:t>
            </w:r>
            <w:r w:rsidR="00442566">
              <w:t>period</w:t>
            </w:r>
            <w:r>
              <w:t>, failure to do so could result in moderate-severe patient harm and therefore be a SAPSE. For example:</w:t>
            </w:r>
          </w:p>
          <w:p w14:paraId="3D08D330" w14:textId="77777777" w:rsidR="00261631" w:rsidRDefault="00261631" w:rsidP="005F3999">
            <w:pPr>
              <w:pStyle w:val="SCVtablebullet1"/>
            </w:pPr>
            <w:r>
              <w:t>sepsis and its complications from a ureteric or biliary stent not removed or changed at an appropriate interval)</w:t>
            </w:r>
          </w:p>
          <w:p w14:paraId="169AA05F" w14:textId="56666323" w:rsidR="00261631" w:rsidRDefault="0074363F" w:rsidP="005F3999">
            <w:pPr>
              <w:pStyle w:val="SCVtablebullet1"/>
            </w:pPr>
            <w:r w:rsidRPr="0074363F">
              <w:t>Inferior Vena Cava</w:t>
            </w:r>
            <w:r w:rsidRPr="0074363F" w:rsidDel="0074363F">
              <w:t xml:space="preserve"> </w:t>
            </w:r>
            <w:r w:rsidR="00261631">
              <w:t>filter inadvertently remaining in situ and requiring major abdominal vascular surgery for removal.</w:t>
            </w:r>
          </w:p>
        </w:tc>
      </w:tr>
      <w:tr w:rsidR="00261631" w14:paraId="0148AE1A" w14:textId="77777777" w:rsidTr="416C497D">
        <w:tc>
          <w:tcPr>
            <w:tcW w:w="2410" w:type="dxa"/>
          </w:tcPr>
          <w:p w14:paraId="3D2515C0" w14:textId="77777777" w:rsidR="00261631" w:rsidRPr="005F3999" w:rsidRDefault="00261631" w:rsidP="005F3999">
            <w:pPr>
              <w:pStyle w:val="SCVtablebody"/>
              <w:rPr>
                <w:b/>
              </w:rPr>
            </w:pPr>
            <w:r w:rsidRPr="005F3999">
              <w:rPr>
                <w:b/>
              </w:rPr>
              <w:t>Loss of airway intraoperatively</w:t>
            </w:r>
          </w:p>
        </w:tc>
        <w:tc>
          <w:tcPr>
            <w:tcW w:w="8022" w:type="dxa"/>
          </w:tcPr>
          <w:p w14:paraId="52C04E86" w14:textId="236D32C7" w:rsidR="00261631" w:rsidRDefault="00261631" w:rsidP="005F3999">
            <w:pPr>
              <w:pStyle w:val="SCVtablebody"/>
            </w:pPr>
            <w:r>
              <w:t>At times during anaesthesia or during critical care</w:t>
            </w:r>
            <w:r w:rsidR="00DB591B">
              <w:t>,</w:t>
            </w:r>
            <w:r>
              <w:t xml:space="preserve"> there may be</w:t>
            </w:r>
            <w:r w:rsidR="001027BB">
              <w:t xml:space="preserve"> an</w:t>
            </w:r>
            <w:r>
              <w:t xml:space="preserve"> unexpected loss of airway. If there was inability to oxygenate the patient with significant and prolonged desaturation, although there may be appropriate management when recognised, even if the patient did not suffer subsequent moderate-severe harm as a result, it will still require a review to understand why the loss of airway occurred and the co</w:t>
            </w:r>
            <w:r w:rsidRPr="006E32F6">
              <w:t>mpletion of appropriate documentation</w:t>
            </w:r>
            <w:r w:rsidR="008D65DD">
              <w:t xml:space="preserve">, e.g. </w:t>
            </w:r>
            <w:hyperlink r:id="rId23" w:history="1">
              <w:r w:rsidR="008D65DD" w:rsidRPr="001E4B34">
                <w:rPr>
                  <w:rStyle w:val="Hyperlink"/>
                </w:rPr>
                <w:t>https://www.safercare.vic.gov.au/news/difficult-airway-alert</w:t>
              </w:r>
            </w:hyperlink>
            <w:r w:rsidRPr="006E32F6">
              <w:t>.</w:t>
            </w:r>
          </w:p>
          <w:p w14:paraId="36915A79" w14:textId="4EDCE1E7" w:rsidR="00261631" w:rsidRDefault="00731D9A" w:rsidP="005F3999">
            <w:pPr>
              <w:pStyle w:val="SCVtablebody"/>
            </w:pPr>
            <w:r>
              <w:t>A</w:t>
            </w:r>
            <w:r w:rsidR="006909B6">
              <w:t xml:space="preserve"> </w:t>
            </w:r>
            <w:r w:rsidR="00261631">
              <w:t>lack of escalation of care resulting in deterioration, or an issue with recognition and response of the event leading to moderate-severe harm, or the event itself resulting in moderate-severe harm</w:t>
            </w:r>
            <w:r w:rsidR="00AA5324">
              <w:t xml:space="preserve"> would</w:t>
            </w:r>
            <w:r>
              <w:t xml:space="preserve"> determine the event as a SAPSE</w:t>
            </w:r>
            <w:r w:rsidR="00AA5324">
              <w:t>.</w:t>
            </w:r>
          </w:p>
        </w:tc>
      </w:tr>
      <w:tr w:rsidR="00261631" w14:paraId="00B54CDD" w14:textId="77777777" w:rsidTr="416C497D">
        <w:tc>
          <w:tcPr>
            <w:tcW w:w="2410" w:type="dxa"/>
          </w:tcPr>
          <w:p w14:paraId="5C4BBC43" w14:textId="77777777" w:rsidR="00261631" w:rsidRPr="005F3999" w:rsidRDefault="00261631" w:rsidP="005F3999">
            <w:pPr>
              <w:pStyle w:val="SCVtablebody"/>
              <w:rPr>
                <w:b/>
              </w:rPr>
            </w:pPr>
            <w:r w:rsidRPr="005F3999">
              <w:rPr>
                <w:b/>
              </w:rPr>
              <w:t>Neonatal birth trauma</w:t>
            </w:r>
          </w:p>
        </w:tc>
        <w:tc>
          <w:tcPr>
            <w:tcW w:w="8022" w:type="dxa"/>
          </w:tcPr>
          <w:p w14:paraId="6082459C" w14:textId="3E71CA72" w:rsidR="00261631" w:rsidRDefault="00261631" w:rsidP="005F3999">
            <w:pPr>
              <w:pStyle w:val="SCVtablebody"/>
            </w:pPr>
            <w:r>
              <w:t>Although neonatal birth trauma is an undesired outcome of labour, and attempts are made to avoid it, episodes of neonatal trauma may occur</w:t>
            </w:r>
            <w:r w:rsidR="00AA5324">
              <w:t xml:space="preserve"> to preserve life</w:t>
            </w:r>
            <w:r>
              <w:t>. Health services must ensure they are following appropriate policy and Clinical Guidelines, and that pre-natal, labour, and post-natal management is appropriate. In the instance of care delivery</w:t>
            </w:r>
            <w:r w:rsidR="00AA5324">
              <w:t>,</w:t>
            </w:r>
            <w:r>
              <w:t xml:space="preserve"> not following appropriate policy and/or guideline resulting in neonatal birth trauma, </w:t>
            </w:r>
            <w:r w:rsidR="007728CB">
              <w:t xml:space="preserve">may mean </w:t>
            </w:r>
            <w:r>
              <w:t>the event fulfil</w:t>
            </w:r>
            <w:r w:rsidR="007728CB">
              <w:t>s</w:t>
            </w:r>
            <w:r>
              <w:t xml:space="preserve"> the criteria of a SAPSE.</w:t>
            </w:r>
          </w:p>
        </w:tc>
      </w:tr>
      <w:tr w:rsidR="00261631" w14:paraId="70F6EEDB" w14:textId="77777777" w:rsidTr="416C497D">
        <w:tc>
          <w:tcPr>
            <w:tcW w:w="2410" w:type="dxa"/>
          </w:tcPr>
          <w:p w14:paraId="46526FEF" w14:textId="154657C5" w:rsidR="00261631" w:rsidRPr="005F3999" w:rsidRDefault="00261631" w:rsidP="005F3999">
            <w:pPr>
              <w:pStyle w:val="SCVtablebody"/>
              <w:rPr>
                <w:b/>
              </w:rPr>
            </w:pPr>
            <w:r w:rsidRPr="005F3999">
              <w:rPr>
                <w:b/>
              </w:rPr>
              <w:t xml:space="preserve">Perforation </w:t>
            </w:r>
            <w:r w:rsidR="007728CB">
              <w:rPr>
                <w:b/>
                <w:bCs/>
              </w:rPr>
              <w:t xml:space="preserve">– </w:t>
            </w:r>
            <w:r w:rsidRPr="005F3999">
              <w:rPr>
                <w:b/>
              </w:rPr>
              <w:t>endoscope or colonoscope</w:t>
            </w:r>
          </w:p>
        </w:tc>
        <w:tc>
          <w:tcPr>
            <w:tcW w:w="8022" w:type="dxa"/>
          </w:tcPr>
          <w:p w14:paraId="639CFFC3" w14:textId="77777777" w:rsidR="00261631" w:rsidRDefault="00261631" w:rsidP="005F3999">
            <w:pPr>
              <w:pStyle w:val="SCVtablebody"/>
            </w:pPr>
            <w:r>
              <w:t>Although perforation during endoscopy and colonoscopy is a known complication of these procedures, it should be adequately discussed during the consent process and appropriate pre-operative assessment completed to avoid it as best as possible.</w:t>
            </w:r>
          </w:p>
          <w:p w14:paraId="190CBC46" w14:textId="3FF7E01C" w:rsidR="00261631" w:rsidRDefault="00261631" w:rsidP="005F3999">
            <w:pPr>
              <w:pStyle w:val="SCVtablebody"/>
            </w:pPr>
            <w:r>
              <w:t>Oesophageal perforation during a transoesophageal echocardiogram is likely to result in moderate-severe harm or even death and should be deemed a SAPSE. A conservatively treated rupture that has a good outcome may be an exception to this but where there is a need for surgery and/or stenting and/or subsequent oesophageal dilatation</w:t>
            </w:r>
            <w:r w:rsidR="0083337D">
              <w:t>,</w:t>
            </w:r>
            <w:r>
              <w:t xml:space="preserve"> the event would be deemed a SAPSE.</w:t>
            </w:r>
          </w:p>
          <w:p w14:paraId="189F9A81" w14:textId="3F6F8AFD" w:rsidR="00261631" w:rsidRDefault="00261631" w:rsidP="005F3999">
            <w:pPr>
              <w:pStyle w:val="SCVtablebody"/>
            </w:pPr>
            <w:r>
              <w:t>A perforation of the colon</w:t>
            </w:r>
            <w:r w:rsidR="008212B2">
              <w:t>,</w:t>
            </w:r>
            <w:r>
              <w:t xml:space="preserve"> complicating colonoscopy and/or polypectomy</w:t>
            </w:r>
            <w:r w:rsidR="008212B2">
              <w:t>,</w:t>
            </w:r>
            <w:r>
              <w:t xml:space="preserve"> is a rare event however risk should be part of the documented informed consent. Its occurrence would not normally be considered a SAPSE if management was appropriate.</w:t>
            </w:r>
          </w:p>
          <w:p w14:paraId="4A0249D7" w14:textId="6BF23F7D" w:rsidR="00261631" w:rsidRDefault="00EE0D12" w:rsidP="005F3999">
            <w:pPr>
              <w:pStyle w:val="SCVtablebody"/>
            </w:pPr>
            <w:r>
              <w:t>W</w:t>
            </w:r>
            <w:r w:rsidR="00261631">
              <w:t>here there is failure to recognise, respond appropriately and/or delayed intervention for the complication, and additional patient suffering and/or harm, the event would constitute a SAPSE and would sometimes be a sentinel event. A cluster of perforations should result in a cluster review including the aggregate rate of post colonoscopy perforations.</w:t>
            </w:r>
          </w:p>
          <w:p w14:paraId="54D7AC39" w14:textId="77777777" w:rsidR="00261631" w:rsidRDefault="00261631" w:rsidP="005F3999">
            <w:pPr>
              <w:pStyle w:val="SCVtablebody"/>
            </w:pPr>
            <w:r>
              <w:t>A splenic bleed necessitating splenectomy is also a rare but recognised complication of colonoscopy and whether or not the injury was appropriately managed would determine whether it was a SAPSE or sentinel event.</w:t>
            </w:r>
          </w:p>
        </w:tc>
      </w:tr>
      <w:tr w:rsidR="00261631" w14:paraId="7190E1F2" w14:textId="77777777" w:rsidTr="416C497D">
        <w:tc>
          <w:tcPr>
            <w:tcW w:w="2410" w:type="dxa"/>
          </w:tcPr>
          <w:p w14:paraId="4C3633D4" w14:textId="60CEFAB2" w:rsidR="00261631" w:rsidRPr="005F3999" w:rsidRDefault="00261631" w:rsidP="005F3999">
            <w:pPr>
              <w:pStyle w:val="SCVtablebody"/>
              <w:rPr>
                <w:b/>
              </w:rPr>
            </w:pPr>
            <w:r w:rsidRPr="005F3999">
              <w:rPr>
                <w:b/>
              </w:rPr>
              <w:lastRenderedPageBreak/>
              <w:t>Peripheral intravenous catheter (PIVC)/Central venous catheter (CVC)/Parenteral site infection</w:t>
            </w:r>
          </w:p>
        </w:tc>
        <w:tc>
          <w:tcPr>
            <w:tcW w:w="8022" w:type="dxa"/>
          </w:tcPr>
          <w:p w14:paraId="566F37FC" w14:textId="6B7BAC78" w:rsidR="00261631" w:rsidRDefault="00261631" w:rsidP="005F3999">
            <w:pPr>
              <w:pStyle w:val="SCVtablebody"/>
            </w:pPr>
            <w:r>
              <w:t xml:space="preserve">There are a number of polices and guidelines in place to protect patients from developing a PIVC </w:t>
            </w:r>
            <w:r w:rsidR="004259F4">
              <w:t>or</w:t>
            </w:r>
            <w:r>
              <w:t xml:space="preserve"> CVC line infection, and they can be prevented in many cases. Where policy and procedure has been followed for infection prevention, it may not be a SAPSE.</w:t>
            </w:r>
          </w:p>
          <w:p w14:paraId="06010E5E" w14:textId="092EA8CB" w:rsidR="00261631" w:rsidRDefault="00261631" w:rsidP="005F3999">
            <w:pPr>
              <w:pStyle w:val="SCVtablebody"/>
            </w:pPr>
            <w:r>
              <w:t>PIVC and CVC line infection rates should be known to a health service and compared with benchmarks.</w:t>
            </w:r>
            <w:r w:rsidR="009678C9">
              <w:t xml:space="preserve"> </w:t>
            </w:r>
            <w:r>
              <w:t xml:space="preserve">Where </w:t>
            </w:r>
            <w:r w:rsidR="00DE4D7A">
              <w:t xml:space="preserve">moderate-severe harm is sustained (such as </w:t>
            </w:r>
            <w:r>
              <w:t>septicaemia</w:t>
            </w:r>
            <w:r w:rsidR="00DE4D7A">
              <w:t xml:space="preserve"> or</w:t>
            </w:r>
            <w:r>
              <w:t xml:space="preserve"> endocarditis</w:t>
            </w:r>
            <w:r w:rsidR="00DE4D7A">
              <w:t>)</w:t>
            </w:r>
            <w:r>
              <w:t>, then the event should be regarded as a SAPSE.</w:t>
            </w:r>
          </w:p>
        </w:tc>
      </w:tr>
      <w:tr w:rsidR="00261631" w14:paraId="2154BEA8" w14:textId="77777777" w:rsidTr="416C497D">
        <w:tc>
          <w:tcPr>
            <w:tcW w:w="2410" w:type="dxa"/>
          </w:tcPr>
          <w:p w14:paraId="5E38EAC9" w14:textId="77777777" w:rsidR="00261631" w:rsidRPr="005F3999" w:rsidRDefault="00261631" w:rsidP="005F3999">
            <w:pPr>
              <w:pStyle w:val="SCVtablebody"/>
              <w:rPr>
                <w:b/>
              </w:rPr>
            </w:pPr>
            <w:r w:rsidRPr="005F3999">
              <w:rPr>
                <w:b/>
              </w:rPr>
              <w:t>Post-operative haematoma</w:t>
            </w:r>
          </w:p>
        </w:tc>
        <w:tc>
          <w:tcPr>
            <w:tcW w:w="8022" w:type="dxa"/>
          </w:tcPr>
          <w:p w14:paraId="4894142F" w14:textId="1C03378D" w:rsidR="00261631" w:rsidRDefault="00261631" w:rsidP="005F3999">
            <w:pPr>
              <w:pStyle w:val="SCVtablebody"/>
            </w:pPr>
            <w:r>
              <w:t>If a patient suffered a haematoma post-operatively to the surgical site, and all post-operative observations and management appear to be in line with policy, this may not be deemed a SAPSE as it is a complication of surgery which may not be unexpected.</w:t>
            </w:r>
          </w:p>
          <w:p w14:paraId="73D72FE1" w14:textId="41963BFF" w:rsidR="00261631" w:rsidRDefault="00DB0C5A" w:rsidP="005F3999">
            <w:pPr>
              <w:pStyle w:val="SCVtablebody"/>
            </w:pPr>
            <w:r>
              <w:t>M</w:t>
            </w:r>
            <w:r w:rsidR="00261631">
              <w:t>ismanagement post-operatively and delay to response and recognition resulting in a moderate increase in treatment and moderate-severe harm</w:t>
            </w:r>
            <w:r>
              <w:t xml:space="preserve"> would need to be considered when determining if this event is a SAPSE</w:t>
            </w:r>
            <w:r w:rsidR="00261631">
              <w:t xml:space="preserve">. </w:t>
            </w:r>
          </w:p>
        </w:tc>
      </w:tr>
      <w:tr w:rsidR="00261631" w14:paraId="27174C24" w14:textId="77777777" w:rsidTr="416C497D">
        <w:tc>
          <w:tcPr>
            <w:tcW w:w="2410" w:type="dxa"/>
          </w:tcPr>
          <w:p w14:paraId="4B22E682" w14:textId="601CF0E9" w:rsidR="00261631" w:rsidRPr="005F3999" w:rsidRDefault="00261631" w:rsidP="005F3999">
            <w:pPr>
              <w:pStyle w:val="SCVtablebody"/>
              <w:rPr>
                <w:b/>
              </w:rPr>
            </w:pPr>
            <w:r w:rsidRPr="005F3999">
              <w:rPr>
                <w:b/>
              </w:rPr>
              <w:t>Postpartum haemorrhage</w:t>
            </w:r>
          </w:p>
        </w:tc>
        <w:tc>
          <w:tcPr>
            <w:tcW w:w="8022" w:type="dxa"/>
          </w:tcPr>
          <w:p w14:paraId="14F1DAE7" w14:textId="67CACF58" w:rsidR="00261631" w:rsidRDefault="00261631" w:rsidP="005F3999">
            <w:pPr>
              <w:pStyle w:val="SCVtablebody"/>
            </w:pPr>
            <w:r>
              <w:t xml:space="preserve">Postpartum haemorrhage is considered a known complication of pregnancy and labour. Therefore, </w:t>
            </w:r>
            <w:r w:rsidR="006C0B77">
              <w:t>it</w:t>
            </w:r>
            <w:r w:rsidR="004C316D">
              <w:t xml:space="preserve"> </w:t>
            </w:r>
            <w:r>
              <w:t xml:space="preserve">is usually not a SAPSE. </w:t>
            </w:r>
          </w:p>
          <w:p w14:paraId="1D6782F2" w14:textId="1DDB09B0" w:rsidR="00261631" w:rsidRDefault="00261631" w:rsidP="005F3999">
            <w:pPr>
              <w:pStyle w:val="SCVtablebody"/>
            </w:pPr>
            <w:r>
              <w:t>If appropriate policy and Clinical Guidelines were not followed as they should be or n</w:t>
            </w:r>
            <w:r w:rsidR="006C0B77">
              <w:t>o</w:t>
            </w:r>
            <w:r>
              <w:t xml:space="preserve"> </w:t>
            </w:r>
            <w:r w:rsidR="006C0B77">
              <w:t>g</w:t>
            </w:r>
            <w:r>
              <w:t>uidelines</w:t>
            </w:r>
            <w:r w:rsidR="006C0B77">
              <w:t xml:space="preserve"> were</w:t>
            </w:r>
            <w:r>
              <w:t xml:space="preserve"> available and the patient suffered further harm as a result, then it could be deemed a SAPSE as it is likely to lead to moderate-severe harm and increased treatment.</w:t>
            </w:r>
          </w:p>
        </w:tc>
      </w:tr>
      <w:tr w:rsidR="00261631" w14:paraId="02AD6C30" w14:textId="77777777" w:rsidTr="416C497D">
        <w:tc>
          <w:tcPr>
            <w:tcW w:w="2410" w:type="dxa"/>
          </w:tcPr>
          <w:p w14:paraId="43D0CCD5" w14:textId="77777777" w:rsidR="00261631" w:rsidRPr="005F3999" w:rsidRDefault="00261631" w:rsidP="005F3999">
            <w:pPr>
              <w:pStyle w:val="SCVtablebody"/>
              <w:rPr>
                <w:b/>
              </w:rPr>
            </w:pPr>
            <w:r w:rsidRPr="005F3999">
              <w:rPr>
                <w:b/>
              </w:rPr>
              <w:t>Pressure injury</w:t>
            </w:r>
          </w:p>
        </w:tc>
        <w:tc>
          <w:tcPr>
            <w:tcW w:w="8022" w:type="dxa"/>
          </w:tcPr>
          <w:p w14:paraId="370F2AF1" w14:textId="5F926280" w:rsidR="00261631" w:rsidRDefault="00261631" w:rsidP="005F3999">
            <w:pPr>
              <w:pStyle w:val="SCVtablebody"/>
            </w:pPr>
            <w:r>
              <w:t>There are a number of polices and guidelines in place to protect patients from developing a pressure injury and they can be prevented in many cases.</w:t>
            </w:r>
            <w:r w:rsidR="006C0B77">
              <w:t xml:space="preserve"> </w:t>
            </w:r>
            <w:r>
              <w:t xml:space="preserve">If the patient had a lack of pressure area care prevention strategies in place and irregular assessments that led to a pressure injury under the HAC category, then it is likely to be deemed a SAPSE. </w:t>
            </w:r>
          </w:p>
          <w:p w14:paraId="5BEF3412" w14:textId="18C00AEB" w:rsidR="00261631" w:rsidRDefault="00261631" w:rsidP="005F3999">
            <w:pPr>
              <w:pStyle w:val="SCVtablebody"/>
            </w:pPr>
            <w:r>
              <w:t xml:space="preserve">There may be a couple of exceptions, but these cases should be reviewed on a case by case basis.  </w:t>
            </w:r>
          </w:p>
        </w:tc>
      </w:tr>
      <w:tr w:rsidR="00261631" w14:paraId="7D077085" w14:textId="77777777" w:rsidTr="416C497D">
        <w:tc>
          <w:tcPr>
            <w:tcW w:w="2410" w:type="dxa"/>
          </w:tcPr>
          <w:p w14:paraId="521C1227" w14:textId="77777777" w:rsidR="00261631" w:rsidRPr="005F3999" w:rsidRDefault="00261631" w:rsidP="005F3999">
            <w:pPr>
              <w:pStyle w:val="SCVtablebody"/>
              <w:rPr>
                <w:b/>
              </w:rPr>
            </w:pPr>
            <w:r w:rsidRPr="005F3999">
              <w:rPr>
                <w:b/>
              </w:rPr>
              <w:t>Renal failure (acute kidney injury)</w:t>
            </w:r>
          </w:p>
        </w:tc>
        <w:tc>
          <w:tcPr>
            <w:tcW w:w="8022" w:type="dxa"/>
          </w:tcPr>
          <w:p w14:paraId="19F13C29" w14:textId="2894F954" w:rsidR="00261631" w:rsidRDefault="00261631" w:rsidP="005F3999">
            <w:pPr>
              <w:pStyle w:val="SCVtablebody"/>
            </w:pPr>
            <w:r>
              <w:t xml:space="preserve">Appropriate measures should be in place to reduce the risk of patients developing renal failure (or acute kidney injury), </w:t>
            </w:r>
            <w:r w:rsidR="00420828">
              <w:t>particularly</w:t>
            </w:r>
            <w:r>
              <w:t xml:space="preserve"> if they have a history of kidney issues or higher risk factors</w:t>
            </w:r>
            <w:r w:rsidR="00332D29">
              <w:t xml:space="preserve"> for renal failure</w:t>
            </w:r>
            <w:r>
              <w:t xml:space="preserve">. </w:t>
            </w:r>
          </w:p>
          <w:p w14:paraId="569DC124" w14:textId="5C074381" w:rsidR="00261631" w:rsidRDefault="00261631" w:rsidP="005F3999">
            <w:pPr>
              <w:pStyle w:val="SCVtablebody"/>
            </w:pPr>
            <w:r>
              <w:t>If the mismanagement of a patient and/or lack of safe care or treatment has led to them developing renal failure and either moderate or severe harm, then this could fit the criteria of a SAPSE.</w:t>
            </w:r>
          </w:p>
        </w:tc>
      </w:tr>
      <w:tr w:rsidR="00261631" w14:paraId="55CF55A5" w14:textId="77777777" w:rsidTr="416C497D">
        <w:tc>
          <w:tcPr>
            <w:tcW w:w="2410" w:type="dxa"/>
          </w:tcPr>
          <w:p w14:paraId="2174947B" w14:textId="77777777" w:rsidR="00261631" w:rsidRPr="005F3999" w:rsidRDefault="00261631" w:rsidP="005F3999">
            <w:pPr>
              <w:pStyle w:val="SCVtablebody"/>
              <w:rPr>
                <w:b/>
              </w:rPr>
            </w:pPr>
            <w:r w:rsidRPr="005F3999">
              <w:rPr>
                <w:b/>
              </w:rPr>
              <w:t>Retained surgical product</w:t>
            </w:r>
          </w:p>
        </w:tc>
        <w:tc>
          <w:tcPr>
            <w:tcW w:w="8022" w:type="dxa"/>
          </w:tcPr>
          <w:p w14:paraId="1070F765" w14:textId="3B95F7A9" w:rsidR="00261631" w:rsidRDefault="00DC5C86" w:rsidP="005F3999">
            <w:pPr>
              <w:pStyle w:val="SCVtablebody"/>
            </w:pPr>
            <w:r>
              <w:t>Retaining s</w:t>
            </w:r>
            <w:r w:rsidR="00261631">
              <w:t xml:space="preserve">urgical products </w:t>
            </w:r>
            <w:r w:rsidR="008823BA">
              <w:t xml:space="preserve">has </w:t>
            </w:r>
            <w:r w:rsidR="00261631">
              <w:t xml:space="preserve">a few different categories: </w:t>
            </w:r>
          </w:p>
          <w:p w14:paraId="58CFA6D2" w14:textId="6247A791" w:rsidR="00261631" w:rsidRDefault="00261631" w:rsidP="005F3999">
            <w:pPr>
              <w:pStyle w:val="SCVtablenumber1"/>
            </w:pPr>
            <w:r>
              <w:t>Surgical products being intentionally retained and planned return to theatre = Not a SAPSE</w:t>
            </w:r>
          </w:p>
          <w:p w14:paraId="313FAAEB" w14:textId="3E303869" w:rsidR="00261631" w:rsidRDefault="00261631" w:rsidP="005F3999">
            <w:pPr>
              <w:pStyle w:val="SCVtablenumber1"/>
            </w:pPr>
            <w:r>
              <w:t>Items being retained and left in situ (risk of removal &gt; risk posed) = Potentially not a SAPSE if no long-term consequence beyond index surgical procedure, and not fulfilling moderate-severe harm</w:t>
            </w:r>
          </w:p>
          <w:p w14:paraId="728CD109" w14:textId="2D4F8462" w:rsidR="00261631" w:rsidRDefault="00261631" w:rsidP="005F3999">
            <w:pPr>
              <w:pStyle w:val="SCVtablenumber1"/>
            </w:pPr>
            <w:r>
              <w:t>Items retained inadvertently</w:t>
            </w:r>
            <w:r w:rsidR="00A04941">
              <w:t xml:space="preserve">, resulting in </w:t>
            </w:r>
            <w:r w:rsidR="72E9862A">
              <w:t xml:space="preserve">a </w:t>
            </w:r>
            <w:r w:rsidR="00FC4884">
              <w:t>return to</w:t>
            </w:r>
            <w:r>
              <w:t xml:space="preserve"> theatre, meeting moderate harm but not long-term harm = SAPSE, not a sentinel event</w:t>
            </w:r>
          </w:p>
          <w:p w14:paraId="1F3C340B" w14:textId="77777777" w:rsidR="00261631" w:rsidRPr="00930C9E" w:rsidRDefault="00261631" w:rsidP="005F3999">
            <w:pPr>
              <w:pStyle w:val="SCVtablenumber1"/>
            </w:pPr>
            <w:r>
              <w:t>Items retained and fulfilling severe harm (i.e. needing lifesaving medical/surgical criteria or posing long-term harm) = SAPSE and sentinel event</w:t>
            </w:r>
          </w:p>
          <w:p w14:paraId="63A54184" w14:textId="658343FD" w:rsidR="00261631" w:rsidRDefault="00261631" w:rsidP="005F3999">
            <w:pPr>
              <w:pStyle w:val="SCVtablenumber1"/>
            </w:pPr>
            <w:r>
              <w:t xml:space="preserve">An unplanned return to the operating theatre would be deemed a SAPSE, as the patient will have undergone a second anaesthetic and a potentially complicated procedure. </w:t>
            </w:r>
          </w:p>
        </w:tc>
      </w:tr>
      <w:tr w:rsidR="00261631" w14:paraId="3D4AD6F9" w14:textId="77777777" w:rsidTr="416C497D">
        <w:tc>
          <w:tcPr>
            <w:tcW w:w="2410" w:type="dxa"/>
          </w:tcPr>
          <w:p w14:paraId="0E157BFA" w14:textId="77777777" w:rsidR="00261631" w:rsidRPr="005F3999" w:rsidRDefault="00261631" w:rsidP="005F3999">
            <w:pPr>
              <w:pStyle w:val="SCVtablebody"/>
              <w:rPr>
                <w:b/>
              </w:rPr>
            </w:pPr>
            <w:r w:rsidRPr="005F3999">
              <w:rPr>
                <w:b/>
              </w:rPr>
              <w:t>Return to theatre</w:t>
            </w:r>
          </w:p>
        </w:tc>
        <w:tc>
          <w:tcPr>
            <w:tcW w:w="8022" w:type="dxa"/>
          </w:tcPr>
          <w:p w14:paraId="1F849B69" w14:textId="70B5C171" w:rsidR="00261631" w:rsidRDefault="00261631" w:rsidP="005F3999">
            <w:pPr>
              <w:pStyle w:val="SCVtablebody"/>
            </w:pPr>
            <w:r>
              <w:t>An unplanned return to theatre, may not constitute a SAPSE if the event is well managed, and if all appropriate care and recognition of deterioration was sufficient. However, these events should be reviewed appropriately to ensure that all necessary care and safe treatment was provided, and that the likelihood of a return to theatre for a complication was discussed as part of the consent process pre-operatively.</w:t>
            </w:r>
          </w:p>
        </w:tc>
      </w:tr>
      <w:tr w:rsidR="00261631" w14:paraId="2008800D" w14:textId="77777777" w:rsidTr="416C497D">
        <w:tc>
          <w:tcPr>
            <w:tcW w:w="2410" w:type="dxa"/>
          </w:tcPr>
          <w:p w14:paraId="7B25E166" w14:textId="77777777" w:rsidR="00261631" w:rsidRPr="005F3999" w:rsidRDefault="00261631" w:rsidP="005F3999">
            <w:pPr>
              <w:pStyle w:val="SCVtablebody"/>
              <w:rPr>
                <w:b/>
              </w:rPr>
            </w:pPr>
            <w:r w:rsidRPr="005F3999">
              <w:rPr>
                <w:b/>
              </w:rPr>
              <w:lastRenderedPageBreak/>
              <w:t xml:space="preserve">Surgical site infection </w:t>
            </w:r>
          </w:p>
        </w:tc>
        <w:tc>
          <w:tcPr>
            <w:tcW w:w="8022" w:type="dxa"/>
          </w:tcPr>
          <w:p w14:paraId="7745092D" w14:textId="690F63A4" w:rsidR="00261631" w:rsidRDefault="00261631" w:rsidP="005F3999">
            <w:pPr>
              <w:pStyle w:val="SCVtablebody"/>
            </w:pPr>
            <w:r>
              <w:t xml:space="preserve">Infection is a known complication of surgery and the risk is likely discussed during the consent process pre-operatively in most cases. There are some considerations that may </w:t>
            </w:r>
            <w:r w:rsidR="006D4BDD">
              <w:t xml:space="preserve">lead </w:t>
            </w:r>
            <w:r>
              <w:t xml:space="preserve">these events to being </w:t>
            </w:r>
            <w:r w:rsidR="006A73DD">
              <w:t xml:space="preserve">categorised </w:t>
            </w:r>
            <w:r w:rsidR="006D4BDD">
              <w:t>as</w:t>
            </w:r>
            <w:r>
              <w:t xml:space="preserve"> SAPSEs. For example:</w:t>
            </w:r>
          </w:p>
          <w:p w14:paraId="2E7DFEC2" w14:textId="2FB94FDA" w:rsidR="00261631" w:rsidRDefault="006A73DD" w:rsidP="005F3999">
            <w:pPr>
              <w:pStyle w:val="SCVtablebullet1"/>
            </w:pPr>
            <w:r>
              <w:t>d</w:t>
            </w:r>
            <w:r w:rsidR="00261631">
              <w:t>elayed recognition (including missed identification) and response to signs of infection</w:t>
            </w:r>
          </w:p>
          <w:p w14:paraId="32A3123F" w14:textId="135D4A41" w:rsidR="00261631" w:rsidRDefault="006A73DD" w:rsidP="005F3999">
            <w:pPr>
              <w:pStyle w:val="SCVtablebullet1"/>
            </w:pPr>
            <w:r>
              <w:t>i</w:t>
            </w:r>
            <w:r w:rsidR="00261631">
              <w:t xml:space="preserve">ncomplete post-operative assessment/treatment </w:t>
            </w:r>
            <w:r w:rsidR="008B1DD6">
              <w:t xml:space="preserve">leading to the </w:t>
            </w:r>
            <w:r w:rsidR="00261631">
              <w:t>develop</w:t>
            </w:r>
            <w:r w:rsidR="008B1DD6">
              <w:t>ment of</w:t>
            </w:r>
            <w:r w:rsidR="00261631">
              <w:t xml:space="preserve"> necrotising fasciitis or septicaemia</w:t>
            </w:r>
          </w:p>
          <w:p w14:paraId="34FFD673" w14:textId="68F1AA0F" w:rsidR="00261631" w:rsidRDefault="00894F96" w:rsidP="005F3999">
            <w:pPr>
              <w:pStyle w:val="SCVtablebullet1"/>
            </w:pPr>
            <w:r>
              <w:t>u</w:t>
            </w:r>
            <w:r w:rsidR="00261631">
              <w:t xml:space="preserve">ncommon pathogens in the wound that were not treated appropriately due to </w:t>
            </w:r>
            <w:r w:rsidR="007E72E7">
              <w:t xml:space="preserve">a </w:t>
            </w:r>
            <w:r w:rsidR="00261631">
              <w:t xml:space="preserve">lack of microbiological assessment, </w:t>
            </w:r>
            <w:r w:rsidR="007E72E7">
              <w:t xml:space="preserve">leading to </w:t>
            </w:r>
            <w:r w:rsidR="00261631">
              <w:t>increased treatment and length of stay</w:t>
            </w:r>
          </w:p>
          <w:p w14:paraId="55D2D244" w14:textId="6681B1B8" w:rsidR="00261631" w:rsidRDefault="00894F96" w:rsidP="005F3999">
            <w:pPr>
              <w:pStyle w:val="SCVtablebullet1"/>
            </w:pPr>
            <w:r>
              <w:t>d</w:t>
            </w:r>
            <w:r w:rsidR="00261631">
              <w:t xml:space="preserve">elay to commence IV antibiotics, leading to further harm. </w:t>
            </w:r>
          </w:p>
          <w:p w14:paraId="1686E7E6" w14:textId="5AA542D9" w:rsidR="00261631" w:rsidRDefault="00261631" w:rsidP="005F3999">
            <w:pPr>
              <w:pStyle w:val="SCVtablebody"/>
            </w:pPr>
            <w:r>
              <w:t>Where there is a recall of a</w:t>
            </w:r>
            <w:r w:rsidR="00B902A1">
              <w:t xml:space="preserve"> surgical</w:t>
            </w:r>
            <w:r>
              <w:t xml:space="preserve"> product</w:t>
            </w:r>
            <w:r w:rsidR="00894F96">
              <w:t>, e.g.</w:t>
            </w:r>
            <w:r>
              <w:t xml:space="preserve"> </w:t>
            </w:r>
            <w:r w:rsidR="00B902A1">
              <w:t>a joint replacement</w:t>
            </w:r>
            <w:r w:rsidR="00894F96">
              <w:t>,</w:t>
            </w:r>
            <w:r w:rsidR="00B902A1">
              <w:t xml:space="preserve"> </w:t>
            </w:r>
            <w:r>
              <w:t xml:space="preserve">due to late recognition of a contaminated batch, this would constitute at least a SAPSE but would require notification and escalation to SCV and the </w:t>
            </w:r>
            <w:r w:rsidRPr="002205F6">
              <w:t xml:space="preserve">Therapeutic Goods Administration </w:t>
            </w:r>
            <w:r>
              <w:t>(TGA).</w:t>
            </w:r>
          </w:p>
          <w:p w14:paraId="507B2A09" w14:textId="0BA7F4C4" w:rsidR="00261631" w:rsidRDefault="00261631" w:rsidP="005F3999">
            <w:pPr>
              <w:pStyle w:val="SCVtablebody"/>
            </w:pPr>
            <w:r>
              <w:t>Open disclosure is appropriate for unplanned returns to theatre and where the infection results in the joint or implant having to be removed and replaced</w:t>
            </w:r>
            <w:r w:rsidR="001F66CB">
              <w:t>,</w:t>
            </w:r>
            <w:r>
              <w:t xml:space="preserve"> and this may occur some months after the procedure.</w:t>
            </w:r>
          </w:p>
        </w:tc>
      </w:tr>
      <w:tr w:rsidR="00261631" w14:paraId="47950DEF" w14:textId="77777777" w:rsidTr="416C497D">
        <w:tc>
          <w:tcPr>
            <w:tcW w:w="2410" w:type="dxa"/>
          </w:tcPr>
          <w:p w14:paraId="012531F7" w14:textId="77777777" w:rsidR="00261631" w:rsidRPr="005F3999" w:rsidRDefault="00261631" w:rsidP="005F3999">
            <w:pPr>
              <w:pStyle w:val="SCVtablebody"/>
              <w:rPr>
                <w:b/>
              </w:rPr>
            </w:pPr>
            <w:r w:rsidRPr="005F3999">
              <w:rPr>
                <w:b/>
              </w:rPr>
              <w:t>Unplanned ICU admission</w:t>
            </w:r>
          </w:p>
        </w:tc>
        <w:tc>
          <w:tcPr>
            <w:tcW w:w="8022" w:type="dxa"/>
          </w:tcPr>
          <w:p w14:paraId="2FA48DB4" w14:textId="447B55BE" w:rsidR="00CE1494" w:rsidRDefault="00CE1494" w:rsidP="005F3999">
            <w:pPr>
              <w:pStyle w:val="SCVtablebody"/>
            </w:pPr>
            <w:r>
              <w:t>Where appropriate management of an event</w:t>
            </w:r>
            <w:r w:rsidR="001F66CB">
              <w:t>,</w:t>
            </w:r>
            <w:r>
              <w:t xml:space="preserve"> e.g. unknown anaphylaxis or unexpected major haemorrhage</w:t>
            </w:r>
            <w:r w:rsidR="001F66CB">
              <w:t>,</w:t>
            </w:r>
            <w:r>
              <w:t xml:space="preserve"> includes unplanned admission to ICU, it is not the unplanned admission to ICU that would trigger a SAPSE. </w:t>
            </w:r>
          </w:p>
          <w:p w14:paraId="496F22C0" w14:textId="62D8841E" w:rsidR="00261631" w:rsidRDefault="00261631" w:rsidP="005F3999">
            <w:pPr>
              <w:pStyle w:val="SCVtablebody"/>
            </w:pPr>
            <w:r>
              <w:t>The adverse event that has led to the unplanned ICU admission must be reviewed for level of harm sustained. If the event that led to the unplanned ICU admission is categorised as moderate</w:t>
            </w:r>
            <w:r w:rsidR="00CE1494">
              <w:t>-</w:t>
            </w:r>
            <w:r>
              <w:t>severe harm, then it would meet the criteria of a SAPSE</w:t>
            </w:r>
            <w:r w:rsidR="00C81F1B">
              <w:t>, e.g.</w:t>
            </w:r>
            <w:r>
              <w:t xml:space="preserve"> delayed recognition and deterioration in response to an event.</w:t>
            </w:r>
          </w:p>
        </w:tc>
      </w:tr>
    </w:tbl>
    <w:p w14:paraId="42BBEA47" w14:textId="77777777" w:rsidR="00B1051C" w:rsidRDefault="00B1051C" w:rsidP="005875C5">
      <w:pPr>
        <w:pStyle w:val="SCVimprint"/>
      </w:pPr>
    </w:p>
    <w:p w14:paraId="295106C6" w14:textId="77777777" w:rsidR="007742BE" w:rsidRDefault="007742BE" w:rsidP="005875C5">
      <w:pPr>
        <w:pStyle w:val="SCVimprint"/>
      </w:pPr>
    </w:p>
    <w:p w14:paraId="0461303A" w14:textId="77777777" w:rsidR="007742BE" w:rsidRDefault="007742BE" w:rsidP="005875C5">
      <w:pPr>
        <w:pStyle w:val="SCVimprint"/>
      </w:pPr>
    </w:p>
    <w:p w14:paraId="6DF5F5B2" w14:textId="77777777" w:rsidR="007742BE" w:rsidRDefault="007742BE" w:rsidP="005875C5">
      <w:pPr>
        <w:pStyle w:val="SCVimprint"/>
      </w:pPr>
    </w:p>
    <w:p w14:paraId="4BD98CD7" w14:textId="77777777" w:rsidR="007742BE" w:rsidRDefault="007742BE" w:rsidP="005875C5">
      <w:pPr>
        <w:pStyle w:val="SCVimprint"/>
      </w:pPr>
    </w:p>
    <w:p w14:paraId="46F50E4D" w14:textId="77777777" w:rsidR="007742BE" w:rsidRDefault="007742BE" w:rsidP="005875C5">
      <w:pPr>
        <w:pStyle w:val="SCVimprint"/>
      </w:pPr>
    </w:p>
    <w:p w14:paraId="15010AB2" w14:textId="77777777" w:rsidR="007742BE" w:rsidRDefault="007742BE" w:rsidP="005875C5">
      <w:pPr>
        <w:pStyle w:val="SCVimprint"/>
      </w:pPr>
    </w:p>
    <w:tbl>
      <w:tblPr>
        <w:tblStyle w:val="SCVInformationTable"/>
        <w:tblW w:w="10206" w:type="dxa"/>
        <w:tblLook w:val="0600" w:firstRow="0" w:lastRow="0" w:firstColumn="0" w:lastColumn="0" w:noHBand="1" w:noVBand="1"/>
      </w:tblPr>
      <w:tblGrid>
        <w:gridCol w:w="10206"/>
      </w:tblGrid>
      <w:tr w:rsidR="005875C5" w:rsidRPr="00876171" w14:paraId="4AEF883F" w14:textId="77777777" w:rsidTr="007742BE">
        <w:trPr>
          <w:cantSplit/>
        </w:trPr>
        <w:tc>
          <w:tcPr>
            <w:tcW w:w="10206" w:type="dxa"/>
          </w:tcPr>
          <w:p w14:paraId="724477DB" w14:textId="77777777" w:rsidR="005875C5" w:rsidRPr="00876171" w:rsidRDefault="005875C5" w:rsidP="007742BE">
            <w:pPr>
              <w:pStyle w:val="SCVaccessibilitypara"/>
            </w:pPr>
            <w:r w:rsidRPr="00876171">
              <w:t xml:space="preserve">To receive this publication in an accessible format phone 03 9096 1384, </w:t>
            </w:r>
            <w:r w:rsidRPr="00876171">
              <w:br/>
              <w:t xml:space="preserve">using the National Relay Service 13 36 </w:t>
            </w:r>
            <w:r w:rsidRPr="00876171">
              <w:rPr>
                <w:spacing w:val="-2"/>
              </w:rPr>
              <w:t xml:space="preserve">77 if required, or </w:t>
            </w:r>
            <w:hyperlink r:id="rId24" w:history="1">
              <w:r w:rsidRPr="00876171">
                <w:rPr>
                  <w:rStyle w:val="Hyperlink"/>
                </w:rPr>
                <w:t>email Safer Care Victoria</w:t>
              </w:r>
            </w:hyperlink>
            <w:r w:rsidRPr="00876171">
              <w:t xml:space="preserve"> &lt;info@</w:t>
            </w:r>
            <w:hyperlink r:id="rId25" w:history="1">
              <w:r w:rsidRPr="00876171">
                <w:t>safercare.vic</w:t>
              </w:r>
            </w:hyperlink>
            <w:r w:rsidRPr="00876171">
              <w:t>.gov.au&gt;</w:t>
            </w:r>
          </w:p>
          <w:p w14:paraId="47B6F4C9" w14:textId="77777777" w:rsidR="005875C5" w:rsidRPr="00876171" w:rsidRDefault="005875C5" w:rsidP="007742BE">
            <w:pPr>
              <w:pStyle w:val="SCVimprint"/>
            </w:pPr>
            <w:r w:rsidRPr="00876171">
              <w:t xml:space="preserve">Authorised and </w:t>
            </w:r>
            <w:r w:rsidRPr="00876171">
              <w:rPr>
                <w:spacing w:val="-2"/>
              </w:rPr>
              <w:t>published by the Victorian</w:t>
            </w:r>
            <w:r w:rsidRPr="00876171">
              <w:t xml:space="preserve"> Government, 1 Treasury Place, Melbourne.</w:t>
            </w:r>
          </w:p>
          <w:p w14:paraId="50D99B82" w14:textId="77777777" w:rsidR="005875C5" w:rsidRPr="00876171" w:rsidRDefault="005875C5" w:rsidP="007742BE">
            <w:pPr>
              <w:pStyle w:val="SCVimprint"/>
            </w:pPr>
            <w:r w:rsidRPr="00876171">
              <w:t xml:space="preserve">© State of Victoria, Australia, Safer Care Victoria, </w:t>
            </w:r>
            <w:r w:rsidRPr="0081153B">
              <w:t>April 2023</w:t>
            </w:r>
          </w:p>
          <w:p w14:paraId="472FB7EC" w14:textId="77777777" w:rsidR="005875C5" w:rsidRPr="00876171" w:rsidRDefault="005875C5" w:rsidP="007742BE">
            <w:pPr>
              <w:pStyle w:val="SCVimprint"/>
            </w:pPr>
            <w:r w:rsidRPr="00876171">
              <w:t xml:space="preserve">Available at the </w:t>
            </w:r>
            <w:hyperlink r:id="rId26" w:history="1">
              <w:r w:rsidRPr="00876171">
                <w:rPr>
                  <w:rStyle w:val="Hyperlink"/>
                </w:rPr>
                <w:t>Safer Care Victoria website</w:t>
              </w:r>
            </w:hyperlink>
            <w:r w:rsidRPr="00876171">
              <w:t xml:space="preserve"> &lt;https://</w:t>
            </w:r>
            <w:hyperlink r:id="rId27" w:history="1">
              <w:r w:rsidRPr="00876171">
                <w:t>www.safercare.vic</w:t>
              </w:r>
            </w:hyperlink>
            <w:r w:rsidRPr="00876171">
              <w:t>.gov.au&gt;</w:t>
            </w:r>
          </w:p>
          <w:p w14:paraId="0CAFAF94" w14:textId="77777777" w:rsidR="005875C5" w:rsidRPr="00876171" w:rsidRDefault="005875C5" w:rsidP="007742BE">
            <w:pPr>
              <w:pStyle w:val="SCVbody"/>
              <w:jc w:val="right"/>
            </w:pPr>
            <w:r w:rsidRPr="00876171">
              <w:rPr>
                <w:noProof/>
              </w:rPr>
              <w:drawing>
                <wp:inline distT="0" distB="0" distL="0" distR="0" wp14:anchorId="624ABDAA" wp14:editId="685B085C">
                  <wp:extent cx="795600" cy="453600"/>
                  <wp:effectExtent l="0" t="0" r="5080" b="3810"/>
                  <wp:docPr id="6" name="Picture 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560FB3DE" w14:textId="77777777" w:rsidR="005875C5" w:rsidRPr="00876171" w:rsidRDefault="005875C5" w:rsidP="005875C5">
      <w:pPr>
        <w:pStyle w:val="SCVimprint"/>
      </w:pPr>
    </w:p>
    <w:sectPr w:rsidR="005875C5" w:rsidRPr="00876171" w:rsidSect="00B2337F">
      <w:headerReference w:type="even" r:id="rId29"/>
      <w:headerReference w:type="default" r:id="rId30"/>
      <w:headerReference w:type="first" r:id="rId31"/>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EC63" w14:textId="77777777" w:rsidR="00B10413" w:rsidRDefault="00B10413" w:rsidP="002D711A">
      <w:pPr>
        <w:spacing w:after="0" w:line="240" w:lineRule="auto"/>
      </w:pPr>
      <w:r>
        <w:separator/>
      </w:r>
    </w:p>
  </w:endnote>
  <w:endnote w:type="continuationSeparator" w:id="0">
    <w:p w14:paraId="1A079EF9" w14:textId="77777777" w:rsidR="00B10413" w:rsidRDefault="00B10413" w:rsidP="002D711A">
      <w:pPr>
        <w:spacing w:after="0" w:line="240" w:lineRule="auto"/>
      </w:pPr>
      <w:r>
        <w:continuationSeparator/>
      </w:r>
    </w:p>
  </w:endnote>
  <w:endnote w:type="continuationNotice" w:id="1">
    <w:p w14:paraId="5CD02C14" w14:textId="77777777" w:rsidR="00B10413" w:rsidRDefault="00B1041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DB07" w14:textId="77777777" w:rsidR="00385D03" w:rsidRDefault="00385D03">
    <w:pPr>
      <w:pStyle w:val="Footer"/>
    </w:pPr>
    <w:r>
      <mc:AlternateContent>
        <mc:Choice Requires="wps">
          <w:drawing>
            <wp:anchor distT="0" distB="0" distL="114300" distR="114300" simplePos="0" relativeHeight="251655168" behindDoc="0" locked="0" layoutInCell="0" allowOverlap="1" wp14:anchorId="73F65574" wp14:editId="4C393E2C">
              <wp:simplePos x="0" y="0"/>
              <wp:positionH relativeFrom="page">
                <wp:posOffset>0</wp:posOffset>
              </wp:positionH>
              <wp:positionV relativeFrom="page">
                <wp:posOffset>10234930</wp:posOffset>
              </wp:positionV>
              <wp:extent cx="7560310" cy="266700"/>
              <wp:effectExtent l="0" t="0" r="0" b="0"/>
              <wp:wrapNone/>
              <wp:docPr id="4" name="Text Box 4"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B821C"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F65574" id="_x0000_t202" coordsize="21600,21600" o:spt="202" path="m,l,21600r21600,l21600,xe">
              <v:stroke joinstyle="miter"/>
              <v:path gradientshapeok="t" o:connecttype="rect"/>
            </v:shapetype>
            <v:shape id="Text Box 4"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2A6B821C"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9DB0" w14:textId="0F62E026" w:rsidR="00385D03" w:rsidRPr="006B337A" w:rsidRDefault="00E34B6C" w:rsidP="00174BB4">
    <w:pPr>
      <w:pStyle w:val="SCVfooter"/>
      <w:tabs>
        <w:tab w:val="clear" w:pos="1304"/>
        <w:tab w:val="center" w:pos="5245"/>
        <w:tab w:val="right" w:pos="10348"/>
      </w:tabs>
    </w:pPr>
    <w:r>
      <mc:AlternateContent>
        <mc:Choice Requires="wps">
          <w:drawing>
            <wp:anchor distT="0" distB="0" distL="114300" distR="114300" simplePos="0" relativeHeight="251661312" behindDoc="0" locked="0" layoutInCell="0" allowOverlap="1" wp14:anchorId="6114FD31" wp14:editId="77BDF28D">
              <wp:simplePos x="0" y="0"/>
              <wp:positionH relativeFrom="page">
                <wp:posOffset>0</wp:posOffset>
              </wp:positionH>
              <wp:positionV relativeFrom="page">
                <wp:posOffset>10189210</wp:posOffset>
              </wp:positionV>
              <wp:extent cx="7560310" cy="311785"/>
              <wp:effectExtent l="0" t="0" r="0" b="12065"/>
              <wp:wrapNone/>
              <wp:docPr id="5" name="MSIPCM47d943a1b94d58e6fa09bbb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9C3BEF" w14:textId="507EF1EF" w:rsidR="00E34B6C" w:rsidRPr="00E34B6C" w:rsidRDefault="00E34B6C" w:rsidP="00E34B6C">
                          <w:pPr>
                            <w:spacing w:before="0" w:after="0"/>
                            <w:jc w:val="center"/>
                            <w:rPr>
                              <w:rFonts w:ascii="Arial Black" w:hAnsi="Arial Black"/>
                              <w:color w:val="000000"/>
                            </w:rPr>
                          </w:pPr>
                          <w:r w:rsidRPr="00E34B6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14FD31" id="_x0000_t202" coordsize="21600,21600" o:spt="202" path="m,l,21600r21600,l21600,xe">
              <v:stroke joinstyle="miter"/>
              <v:path gradientshapeok="t" o:connecttype="rect"/>
            </v:shapetype>
            <v:shape id="MSIPCM47d943a1b94d58e6fa09bbbf"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59C3BEF" w14:textId="507EF1EF" w:rsidR="00E34B6C" w:rsidRPr="00E34B6C" w:rsidRDefault="00E34B6C" w:rsidP="00E34B6C">
                    <w:pPr>
                      <w:spacing w:before="0" w:after="0"/>
                      <w:jc w:val="center"/>
                      <w:rPr>
                        <w:rFonts w:ascii="Arial Black" w:hAnsi="Arial Black"/>
                        <w:color w:val="000000"/>
                      </w:rPr>
                    </w:pPr>
                    <w:r w:rsidRPr="00E34B6C">
                      <w:rPr>
                        <w:rFonts w:ascii="Arial Black" w:hAnsi="Arial Black"/>
                        <w:color w:val="000000"/>
                      </w:rPr>
                      <w:t>OFFICIAL</w:t>
                    </w:r>
                  </w:p>
                </w:txbxContent>
              </v:textbox>
              <w10:wrap anchorx="page" anchory="page"/>
            </v:shape>
          </w:pict>
        </mc:Fallback>
      </mc:AlternateContent>
    </w:r>
    <w:r w:rsidR="00174BB4">
      <mc:AlternateContent>
        <mc:Choice Requires="wps">
          <w:drawing>
            <wp:anchor distT="0" distB="0" distL="114300" distR="114300" simplePos="0" relativeHeight="251659264" behindDoc="0" locked="0" layoutInCell="0" allowOverlap="1" wp14:anchorId="4B1301B7" wp14:editId="33359A41">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5593AB" w14:textId="77777777" w:rsidR="00174BB4" w:rsidRPr="00174BB4" w:rsidRDefault="00174BB4" w:rsidP="00174BB4">
                          <w:pPr>
                            <w:spacing w:before="0" w:after="0"/>
                            <w:jc w:val="center"/>
                            <w:rPr>
                              <w:rFonts w:ascii="Arial Black" w:hAnsi="Arial Black"/>
                              <w:color w:val="000000"/>
                            </w:rPr>
                          </w:pPr>
                          <w:r w:rsidRPr="00174BB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B1301B7" id="Text Box 1"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35593AB" w14:textId="77777777" w:rsidR="00174BB4" w:rsidRPr="00174BB4" w:rsidRDefault="00174BB4" w:rsidP="00174BB4">
                    <w:pPr>
                      <w:spacing w:before="0" w:after="0"/>
                      <w:jc w:val="center"/>
                      <w:rPr>
                        <w:rFonts w:ascii="Arial Black" w:hAnsi="Arial Black"/>
                        <w:color w:val="000000"/>
                      </w:rPr>
                    </w:pPr>
                    <w:r w:rsidRPr="00174BB4">
                      <w:rPr>
                        <w:rFonts w:ascii="Arial Black" w:hAnsi="Arial Black"/>
                        <w:color w:val="000000"/>
                      </w:rPr>
                      <w:t>OFFICIAL</w:t>
                    </w:r>
                  </w:p>
                </w:txbxContent>
              </v:textbox>
              <w10:wrap anchorx="page" anchory="page"/>
            </v:shape>
          </w:pict>
        </mc:Fallback>
      </mc:AlternateContent>
    </w:r>
    <w:r w:rsidR="00B46E9F">
      <w:fldChar w:fldCharType="begin"/>
    </w:r>
    <w:r w:rsidR="00B46E9F">
      <w:instrText>STYLEREF  "SCV factsheet title"  \* MERGEFORMAT</w:instrText>
    </w:r>
    <w:r w:rsidR="00B46E9F">
      <w:fldChar w:fldCharType="separate"/>
    </w:r>
    <w:r w:rsidR="00B46E9F">
      <w:t>Statutory Duty of Candour</w:t>
    </w:r>
    <w:r w:rsidR="00B46E9F">
      <w:fldChar w:fldCharType="end"/>
    </w:r>
    <w:r w:rsidR="00174BB4">
      <w:tab/>
    </w:r>
    <w:r w:rsidR="00385D03">
      <w:rPr>
        <w:b/>
      </w:rPr>
      <w:t>Safer Care Victoria</w:t>
    </w:r>
    <w:r w:rsidR="00174BB4">
      <w:rPr>
        <w:b/>
      </w:rPr>
      <w:tab/>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29CF" w14:textId="77777777" w:rsidR="00B46E9F" w:rsidRDefault="00B46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27CC" w14:textId="77777777" w:rsidR="00B10413" w:rsidRDefault="00B10413" w:rsidP="00E33E08">
      <w:pPr>
        <w:spacing w:before="0" w:after="0" w:line="240" w:lineRule="auto"/>
      </w:pPr>
    </w:p>
  </w:footnote>
  <w:footnote w:type="continuationSeparator" w:id="0">
    <w:p w14:paraId="3227B0D4" w14:textId="77777777" w:rsidR="00B10413" w:rsidRDefault="00B10413" w:rsidP="00E33E08">
      <w:pPr>
        <w:spacing w:before="0" w:after="0" w:line="240" w:lineRule="auto"/>
      </w:pPr>
    </w:p>
  </w:footnote>
  <w:footnote w:type="continuationNotice" w:id="1">
    <w:p w14:paraId="144FC301" w14:textId="77777777" w:rsidR="00B10413" w:rsidRDefault="00B10413">
      <w:pPr>
        <w:spacing w:before="0" w:after="0" w:line="240" w:lineRule="auto"/>
      </w:pPr>
    </w:p>
  </w:footnote>
  <w:footnote w:id="2">
    <w:p w14:paraId="0A415B41" w14:textId="77777777" w:rsidR="00BF314F" w:rsidRDefault="00BF314F" w:rsidP="00BF314F">
      <w:pPr>
        <w:pStyle w:val="FootnoteText"/>
      </w:pPr>
    </w:p>
  </w:footnote>
  <w:footnote w:id="3">
    <w:p w14:paraId="323A7726" w14:textId="3271DD40" w:rsidR="00982669" w:rsidRDefault="00982669">
      <w:pPr>
        <w:pStyle w:val="FootnoteText"/>
      </w:pPr>
      <w:r>
        <w:rPr>
          <w:rStyle w:val="FootnoteReference"/>
        </w:rPr>
        <w:footnoteRef/>
      </w:r>
      <w:r>
        <w:t xml:space="preserve"> Regulation 3B of the </w:t>
      </w:r>
      <w:r w:rsidRPr="00982669">
        <w:rPr>
          <w:i/>
          <w:iCs/>
        </w:rPr>
        <w:t>Health Services (Quality and Safety) Regulations 2020</w:t>
      </w:r>
      <w:r>
        <w:t xml:space="preserve">. See further definitions of moderate harm, severe harm and prolonged psychological harm in these Regulations also. </w:t>
      </w:r>
    </w:p>
  </w:footnote>
  <w:footnote w:id="4">
    <w:p w14:paraId="374AD7C2" w14:textId="77777777" w:rsidR="009F72B0" w:rsidRDefault="009F72B0" w:rsidP="009F72B0">
      <w:pPr>
        <w:pStyle w:val="FootnoteText"/>
      </w:pPr>
      <w:r>
        <w:rPr>
          <w:rStyle w:val="FootnoteReference"/>
        </w:rPr>
        <w:footnoteRef/>
      </w:r>
      <w:r>
        <w:t xml:space="preserve"> See section 128ZD of the </w:t>
      </w:r>
      <w:r w:rsidRPr="006E7328">
        <w:rPr>
          <w:i/>
          <w:iCs/>
        </w:rPr>
        <w:t>Health Services Act 1988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172E" w14:textId="486D9E20" w:rsidR="00B2337F" w:rsidRDefault="00B46E9F">
    <w:pPr>
      <w:pStyle w:val="Header"/>
    </w:pPr>
    <w:r>
      <w:rPr>
        <w:noProof/>
      </w:rPr>
      <w:pict w14:anchorId="629A3B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5.3pt;height:210.1pt;rotation:315;z-index:-2516582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651B" w14:textId="1C92EC49" w:rsidR="00385D03" w:rsidRDefault="00385D03">
    <w:pPr>
      <w:pStyle w:val="Header"/>
    </w:pPr>
    <w:r>
      <w:rPr>
        <w:noProof/>
      </w:rPr>
      <w:drawing>
        <wp:anchor distT="0" distB="0" distL="114300" distR="114300" simplePos="0" relativeHeight="251657216" behindDoc="1" locked="1" layoutInCell="1" allowOverlap="1" wp14:anchorId="4674B025" wp14:editId="0596598E">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A7AC" w14:textId="77777777" w:rsidR="00B46E9F" w:rsidRDefault="00B46E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42A3" w14:textId="0719923E" w:rsidR="00385D03" w:rsidRDefault="00B46E9F" w:rsidP="00B1051C">
    <w:pPr>
      <w:pStyle w:val="SCVfooterempty"/>
    </w:pPr>
    <w:r>
      <w:rPr>
        <w:noProof/>
      </w:rPr>
      <w:pict w14:anchorId="430F5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25.3pt;height:210.1pt;rotation:315;z-index:-251658233;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37FB" w14:textId="42CF3BF6" w:rsidR="00385D03" w:rsidRDefault="00385D03" w:rsidP="00C15DBE">
    <w:pPr>
      <w:pStyle w:val="SCV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E53F" w14:textId="3AE53B1D" w:rsidR="00E169F6" w:rsidRDefault="00B46E9F">
    <w:pPr>
      <w:pStyle w:val="Header"/>
    </w:pPr>
    <w:r>
      <w:rPr>
        <w:noProof/>
      </w:rPr>
      <w:pict w14:anchorId="22A805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25.3pt;height:210.1pt;rotation:315;z-index:-25165823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F08"/>
    <w:multiLevelType w:val="hybridMultilevel"/>
    <w:tmpl w:val="D408DD2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 w15:restartNumberingAfterBreak="0">
    <w:nsid w:val="0FB36CCD"/>
    <w:multiLevelType w:val="hybridMultilevel"/>
    <w:tmpl w:val="99FE0CC4"/>
    <w:lvl w:ilvl="0" w:tplc="C75EDAEE">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32444F1"/>
    <w:multiLevelType w:val="hybridMultilevel"/>
    <w:tmpl w:val="394A2B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C1133B"/>
    <w:multiLevelType w:val="hybridMultilevel"/>
    <w:tmpl w:val="D3A88D8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CC0BB5"/>
    <w:multiLevelType w:val="hybridMultilevel"/>
    <w:tmpl w:val="7F3C8B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BE3978"/>
    <w:multiLevelType w:val="hybridMultilevel"/>
    <w:tmpl w:val="E718FF76"/>
    <w:lvl w:ilvl="0" w:tplc="1898C598">
      <w:start w:val="1"/>
      <w:numFmt w:val="decimal"/>
      <w:lvlText w:val="%1."/>
      <w:lvlJc w:val="left"/>
      <w:pPr>
        <w:ind w:left="720" w:hanging="360"/>
      </w:pPr>
      <w:rPr>
        <w:b/>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8"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9" w15:restartNumberingAfterBreak="0">
    <w:nsid w:val="43C342FD"/>
    <w:multiLevelType w:val="hybridMultilevel"/>
    <w:tmpl w:val="D492A3F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231A25"/>
    <w:multiLevelType w:val="hybridMultilevel"/>
    <w:tmpl w:val="92928C6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C24DBD"/>
    <w:multiLevelType w:val="hybridMultilevel"/>
    <w:tmpl w:val="FEE6419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FF24A1D"/>
    <w:multiLevelType w:val="hybridMultilevel"/>
    <w:tmpl w:val="FBE07A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50603917"/>
    <w:multiLevelType w:val="hybridMultilevel"/>
    <w:tmpl w:val="BDD673C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22D6016"/>
    <w:multiLevelType w:val="hybridMultilevel"/>
    <w:tmpl w:val="CC9C2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7"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9" w15:restartNumberingAfterBreak="0">
    <w:nsid w:val="68F250C3"/>
    <w:multiLevelType w:val="hybridMultilevel"/>
    <w:tmpl w:val="231C3E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AAE592F"/>
    <w:multiLevelType w:val="hybridMultilevel"/>
    <w:tmpl w:val="D9CABE7A"/>
    <w:lvl w:ilvl="0" w:tplc="7898D018">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9A4E92"/>
    <w:multiLevelType w:val="hybridMultilevel"/>
    <w:tmpl w:val="394A2B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9EF2580"/>
    <w:multiLevelType w:val="hybridMultilevel"/>
    <w:tmpl w:val="656EA6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436363191">
    <w:abstractNumId w:val="17"/>
  </w:num>
  <w:num w:numId="2" w16cid:durableId="727267523">
    <w:abstractNumId w:val="8"/>
  </w:num>
  <w:num w:numId="3" w16cid:durableId="557327180">
    <w:abstractNumId w:val="18"/>
  </w:num>
  <w:num w:numId="4" w16cid:durableId="1887838102">
    <w:abstractNumId w:val="16"/>
  </w:num>
  <w:num w:numId="5" w16cid:durableId="1187446819">
    <w:abstractNumId w:val="12"/>
  </w:num>
  <w:num w:numId="6" w16cid:durableId="1573660795">
    <w:abstractNumId w:val="23"/>
  </w:num>
  <w:num w:numId="7" w16cid:durableId="1997147051">
    <w:abstractNumId w:val="2"/>
  </w:num>
  <w:num w:numId="8" w16cid:durableId="1140227625">
    <w:abstractNumId w:val="6"/>
  </w:num>
  <w:num w:numId="9" w16cid:durableId="461315365">
    <w:abstractNumId w:val="20"/>
  </w:num>
  <w:num w:numId="10" w16cid:durableId="18433354">
    <w:abstractNumId w:val="1"/>
  </w:num>
  <w:num w:numId="11" w16cid:durableId="155925680">
    <w:abstractNumId w:val="0"/>
  </w:num>
  <w:num w:numId="12" w16cid:durableId="1850677125">
    <w:abstractNumId w:val="11"/>
  </w:num>
  <w:num w:numId="13" w16cid:durableId="2147042596">
    <w:abstractNumId w:val="10"/>
  </w:num>
  <w:num w:numId="14" w16cid:durableId="1121340523">
    <w:abstractNumId w:val="4"/>
  </w:num>
  <w:num w:numId="15" w16cid:durableId="1799370679">
    <w:abstractNumId w:val="9"/>
  </w:num>
  <w:num w:numId="16" w16cid:durableId="315376746">
    <w:abstractNumId w:val="5"/>
  </w:num>
  <w:num w:numId="17" w16cid:durableId="1373531539">
    <w:abstractNumId w:val="3"/>
  </w:num>
  <w:num w:numId="18" w16cid:durableId="1674069759">
    <w:abstractNumId w:val="14"/>
  </w:num>
  <w:num w:numId="19" w16cid:durableId="501744785">
    <w:abstractNumId w:val="13"/>
  </w:num>
  <w:num w:numId="20" w16cid:durableId="189073535">
    <w:abstractNumId w:val="22"/>
  </w:num>
  <w:num w:numId="21" w16cid:durableId="1319765565">
    <w:abstractNumId w:val="21"/>
  </w:num>
  <w:num w:numId="22" w16cid:durableId="2015105693">
    <w:abstractNumId w:val="19"/>
  </w:num>
  <w:num w:numId="23" w16cid:durableId="44677926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3B"/>
    <w:rsid w:val="00001695"/>
    <w:rsid w:val="00001A5D"/>
    <w:rsid w:val="00001E9B"/>
    <w:rsid w:val="000026C7"/>
    <w:rsid w:val="00002804"/>
    <w:rsid w:val="000037C3"/>
    <w:rsid w:val="000045C2"/>
    <w:rsid w:val="00007279"/>
    <w:rsid w:val="000079CE"/>
    <w:rsid w:val="00012F6F"/>
    <w:rsid w:val="00014213"/>
    <w:rsid w:val="00014B55"/>
    <w:rsid w:val="000175F5"/>
    <w:rsid w:val="00020D11"/>
    <w:rsid w:val="00020E3E"/>
    <w:rsid w:val="000224F5"/>
    <w:rsid w:val="0002328B"/>
    <w:rsid w:val="00023BF3"/>
    <w:rsid w:val="00024184"/>
    <w:rsid w:val="00024D58"/>
    <w:rsid w:val="00026811"/>
    <w:rsid w:val="00030BD4"/>
    <w:rsid w:val="00032B09"/>
    <w:rsid w:val="0003344C"/>
    <w:rsid w:val="0003718B"/>
    <w:rsid w:val="0004185E"/>
    <w:rsid w:val="00042AB7"/>
    <w:rsid w:val="000445BD"/>
    <w:rsid w:val="0004698F"/>
    <w:rsid w:val="000477DC"/>
    <w:rsid w:val="00047EE5"/>
    <w:rsid w:val="000506FE"/>
    <w:rsid w:val="000534EB"/>
    <w:rsid w:val="0005415C"/>
    <w:rsid w:val="00055FD5"/>
    <w:rsid w:val="00056988"/>
    <w:rsid w:val="00056C7E"/>
    <w:rsid w:val="00056E90"/>
    <w:rsid w:val="00060459"/>
    <w:rsid w:val="00064667"/>
    <w:rsid w:val="0006503D"/>
    <w:rsid w:val="000652EB"/>
    <w:rsid w:val="0006627D"/>
    <w:rsid w:val="00070101"/>
    <w:rsid w:val="00072279"/>
    <w:rsid w:val="00072728"/>
    <w:rsid w:val="0007298E"/>
    <w:rsid w:val="00075895"/>
    <w:rsid w:val="00075E6C"/>
    <w:rsid w:val="00076AC4"/>
    <w:rsid w:val="00081C12"/>
    <w:rsid w:val="00082574"/>
    <w:rsid w:val="00083109"/>
    <w:rsid w:val="0008313C"/>
    <w:rsid w:val="00084FE7"/>
    <w:rsid w:val="0008624C"/>
    <w:rsid w:val="00086531"/>
    <w:rsid w:val="00087008"/>
    <w:rsid w:val="00087D42"/>
    <w:rsid w:val="00092998"/>
    <w:rsid w:val="00095038"/>
    <w:rsid w:val="00095E13"/>
    <w:rsid w:val="000A0CA0"/>
    <w:rsid w:val="000A1B07"/>
    <w:rsid w:val="000A2620"/>
    <w:rsid w:val="000A4415"/>
    <w:rsid w:val="000A6B76"/>
    <w:rsid w:val="000A7031"/>
    <w:rsid w:val="000B2442"/>
    <w:rsid w:val="000B29AD"/>
    <w:rsid w:val="000B49D5"/>
    <w:rsid w:val="000C0938"/>
    <w:rsid w:val="000C3965"/>
    <w:rsid w:val="000C6372"/>
    <w:rsid w:val="000C6977"/>
    <w:rsid w:val="000D1042"/>
    <w:rsid w:val="000D15AB"/>
    <w:rsid w:val="000D2C48"/>
    <w:rsid w:val="000D3919"/>
    <w:rsid w:val="000D3E4B"/>
    <w:rsid w:val="000D6554"/>
    <w:rsid w:val="000D7841"/>
    <w:rsid w:val="000D7A34"/>
    <w:rsid w:val="000E02CF"/>
    <w:rsid w:val="000E392D"/>
    <w:rsid w:val="000E39B6"/>
    <w:rsid w:val="000E3D05"/>
    <w:rsid w:val="000E6863"/>
    <w:rsid w:val="000E688F"/>
    <w:rsid w:val="000F0C49"/>
    <w:rsid w:val="000F4288"/>
    <w:rsid w:val="000F4D05"/>
    <w:rsid w:val="000F5E6D"/>
    <w:rsid w:val="000F7165"/>
    <w:rsid w:val="00100361"/>
    <w:rsid w:val="00102220"/>
    <w:rsid w:val="00102379"/>
    <w:rsid w:val="001027BB"/>
    <w:rsid w:val="00103722"/>
    <w:rsid w:val="00104BD1"/>
    <w:rsid w:val="001058A3"/>
    <w:rsid w:val="00105EB8"/>
    <w:rsid w:val="001065D0"/>
    <w:rsid w:val="001065D6"/>
    <w:rsid w:val="001068D5"/>
    <w:rsid w:val="00107432"/>
    <w:rsid w:val="0011086C"/>
    <w:rsid w:val="00114540"/>
    <w:rsid w:val="001150D1"/>
    <w:rsid w:val="0011571F"/>
    <w:rsid w:val="00120BAB"/>
    <w:rsid w:val="00120C1F"/>
    <w:rsid w:val="00121252"/>
    <w:rsid w:val="00122CEE"/>
    <w:rsid w:val="00124609"/>
    <w:rsid w:val="00124AC1"/>
    <w:rsid w:val="001254CE"/>
    <w:rsid w:val="00125A2D"/>
    <w:rsid w:val="00126533"/>
    <w:rsid w:val="00127F22"/>
    <w:rsid w:val="00136119"/>
    <w:rsid w:val="00136E9D"/>
    <w:rsid w:val="00140352"/>
    <w:rsid w:val="001422CC"/>
    <w:rsid w:val="00142CC3"/>
    <w:rsid w:val="001439A8"/>
    <w:rsid w:val="00143A41"/>
    <w:rsid w:val="00143D75"/>
    <w:rsid w:val="00145346"/>
    <w:rsid w:val="0014630C"/>
    <w:rsid w:val="00150333"/>
    <w:rsid w:val="00151DC2"/>
    <w:rsid w:val="00152548"/>
    <w:rsid w:val="0015297A"/>
    <w:rsid w:val="00153974"/>
    <w:rsid w:val="00157677"/>
    <w:rsid w:val="00160DD1"/>
    <w:rsid w:val="001611A9"/>
    <w:rsid w:val="001617B6"/>
    <w:rsid w:val="00164E4D"/>
    <w:rsid w:val="00165E66"/>
    <w:rsid w:val="00167046"/>
    <w:rsid w:val="00167D99"/>
    <w:rsid w:val="00173418"/>
    <w:rsid w:val="00173756"/>
    <w:rsid w:val="00174ACB"/>
    <w:rsid w:val="00174BB4"/>
    <w:rsid w:val="00174F38"/>
    <w:rsid w:val="00176177"/>
    <w:rsid w:val="00176A1C"/>
    <w:rsid w:val="00180B85"/>
    <w:rsid w:val="001815A1"/>
    <w:rsid w:val="00182828"/>
    <w:rsid w:val="001849FD"/>
    <w:rsid w:val="001855B2"/>
    <w:rsid w:val="00186CCF"/>
    <w:rsid w:val="00190EB8"/>
    <w:rsid w:val="00191858"/>
    <w:rsid w:val="0019222C"/>
    <w:rsid w:val="001928DA"/>
    <w:rsid w:val="0019351B"/>
    <w:rsid w:val="00193742"/>
    <w:rsid w:val="00193C0A"/>
    <w:rsid w:val="0019473E"/>
    <w:rsid w:val="00194B79"/>
    <w:rsid w:val="00194EA7"/>
    <w:rsid w:val="00196143"/>
    <w:rsid w:val="00197390"/>
    <w:rsid w:val="001A19C0"/>
    <w:rsid w:val="001A24FC"/>
    <w:rsid w:val="001A2D9B"/>
    <w:rsid w:val="001A63CB"/>
    <w:rsid w:val="001A6F41"/>
    <w:rsid w:val="001B2939"/>
    <w:rsid w:val="001B57D6"/>
    <w:rsid w:val="001C0469"/>
    <w:rsid w:val="001C0647"/>
    <w:rsid w:val="001C2945"/>
    <w:rsid w:val="001C4176"/>
    <w:rsid w:val="001C6278"/>
    <w:rsid w:val="001C6305"/>
    <w:rsid w:val="001C7BAE"/>
    <w:rsid w:val="001D145B"/>
    <w:rsid w:val="001E0802"/>
    <w:rsid w:val="001E1502"/>
    <w:rsid w:val="001E308E"/>
    <w:rsid w:val="001E31FA"/>
    <w:rsid w:val="001E424A"/>
    <w:rsid w:val="001E48F9"/>
    <w:rsid w:val="001E581C"/>
    <w:rsid w:val="001E64F6"/>
    <w:rsid w:val="001E75F5"/>
    <w:rsid w:val="001E7AEB"/>
    <w:rsid w:val="001F1A8D"/>
    <w:rsid w:val="001F1E24"/>
    <w:rsid w:val="001F2F21"/>
    <w:rsid w:val="001F38BE"/>
    <w:rsid w:val="001F3A30"/>
    <w:rsid w:val="001F66CB"/>
    <w:rsid w:val="00201DC4"/>
    <w:rsid w:val="0020378F"/>
    <w:rsid w:val="002046CE"/>
    <w:rsid w:val="00204B82"/>
    <w:rsid w:val="00205C68"/>
    <w:rsid w:val="0020689F"/>
    <w:rsid w:val="00213100"/>
    <w:rsid w:val="00214B83"/>
    <w:rsid w:val="00214ECE"/>
    <w:rsid w:val="00215138"/>
    <w:rsid w:val="002205F6"/>
    <w:rsid w:val="00221E1E"/>
    <w:rsid w:val="00222BEB"/>
    <w:rsid w:val="00223217"/>
    <w:rsid w:val="00225E60"/>
    <w:rsid w:val="00225F0E"/>
    <w:rsid w:val="00230077"/>
    <w:rsid w:val="002307F6"/>
    <w:rsid w:val="00230BBB"/>
    <w:rsid w:val="0023202C"/>
    <w:rsid w:val="00234253"/>
    <w:rsid w:val="00234619"/>
    <w:rsid w:val="00234A66"/>
    <w:rsid w:val="002355B2"/>
    <w:rsid w:val="00237310"/>
    <w:rsid w:val="00244DE9"/>
    <w:rsid w:val="00245043"/>
    <w:rsid w:val="002460DE"/>
    <w:rsid w:val="0024632E"/>
    <w:rsid w:val="002473CD"/>
    <w:rsid w:val="002523EC"/>
    <w:rsid w:val="00252C1D"/>
    <w:rsid w:val="00255586"/>
    <w:rsid w:val="0025578B"/>
    <w:rsid w:val="002570BD"/>
    <w:rsid w:val="0025728A"/>
    <w:rsid w:val="00257AFD"/>
    <w:rsid w:val="0026028E"/>
    <w:rsid w:val="00261408"/>
    <w:rsid w:val="00261631"/>
    <w:rsid w:val="00265BB9"/>
    <w:rsid w:val="00267D39"/>
    <w:rsid w:val="00272EC4"/>
    <w:rsid w:val="002733C2"/>
    <w:rsid w:val="002737DC"/>
    <w:rsid w:val="0027648B"/>
    <w:rsid w:val="00276717"/>
    <w:rsid w:val="002811D7"/>
    <w:rsid w:val="0028137F"/>
    <w:rsid w:val="00282118"/>
    <w:rsid w:val="00283502"/>
    <w:rsid w:val="00283539"/>
    <w:rsid w:val="00284DD2"/>
    <w:rsid w:val="00284FA2"/>
    <w:rsid w:val="00285D01"/>
    <w:rsid w:val="00286657"/>
    <w:rsid w:val="00290C40"/>
    <w:rsid w:val="00291C50"/>
    <w:rsid w:val="00292D36"/>
    <w:rsid w:val="00294A5A"/>
    <w:rsid w:val="00297281"/>
    <w:rsid w:val="00297A47"/>
    <w:rsid w:val="002A0CE7"/>
    <w:rsid w:val="002A24E6"/>
    <w:rsid w:val="002A2FC8"/>
    <w:rsid w:val="002A3E9F"/>
    <w:rsid w:val="002A4AD5"/>
    <w:rsid w:val="002A4F39"/>
    <w:rsid w:val="002A5891"/>
    <w:rsid w:val="002B03F1"/>
    <w:rsid w:val="002B0D66"/>
    <w:rsid w:val="002B14F9"/>
    <w:rsid w:val="002B1AB2"/>
    <w:rsid w:val="002B2854"/>
    <w:rsid w:val="002B2B9D"/>
    <w:rsid w:val="002B2BC8"/>
    <w:rsid w:val="002B5A40"/>
    <w:rsid w:val="002B5E2B"/>
    <w:rsid w:val="002B6DAA"/>
    <w:rsid w:val="002C10A0"/>
    <w:rsid w:val="002C3C46"/>
    <w:rsid w:val="002C462C"/>
    <w:rsid w:val="002C4BE3"/>
    <w:rsid w:val="002C6B8F"/>
    <w:rsid w:val="002D19DA"/>
    <w:rsid w:val="002D2789"/>
    <w:rsid w:val="002D5042"/>
    <w:rsid w:val="002D61C1"/>
    <w:rsid w:val="002D6714"/>
    <w:rsid w:val="002D6C4F"/>
    <w:rsid w:val="002D6F3C"/>
    <w:rsid w:val="002D70F7"/>
    <w:rsid w:val="002D711A"/>
    <w:rsid w:val="002D7336"/>
    <w:rsid w:val="002E2B5F"/>
    <w:rsid w:val="002E31D5"/>
    <w:rsid w:val="002E3396"/>
    <w:rsid w:val="002E35E9"/>
    <w:rsid w:val="002E37D7"/>
    <w:rsid w:val="002E536C"/>
    <w:rsid w:val="002E7B8F"/>
    <w:rsid w:val="002F07E7"/>
    <w:rsid w:val="002F2953"/>
    <w:rsid w:val="002F32B7"/>
    <w:rsid w:val="002F4173"/>
    <w:rsid w:val="002F5F0A"/>
    <w:rsid w:val="002F61E2"/>
    <w:rsid w:val="002F676F"/>
    <w:rsid w:val="00300BD7"/>
    <w:rsid w:val="003023AC"/>
    <w:rsid w:val="00303E66"/>
    <w:rsid w:val="003055CA"/>
    <w:rsid w:val="0030682F"/>
    <w:rsid w:val="0031149C"/>
    <w:rsid w:val="00314496"/>
    <w:rsid w:val="00314DEB"/>
    <w:rsid w:val="00315B8F"/>
    <w:rsid w:val="00316FC9"/>
    <w:rsid w:val="00321CAA"/>
    <w:rsid w:val="00321CCF"/>
    <w:rsid w:val="00323DB2"/>
    <w:rsid w:val="00323E74"/>
    <w:rsid w:val="003240EB"/>
    <w:rsid w:val="00325E21"/>
    <w:rsid w:val="00330C75"/>
    <w:rsid w:val="00331396"/>
    <w:rsid w:val="00332D29"/>
    <w:rsid w:val="0033301B"/>
    <w:rsid w:val="00333447"/>
    <w:rsid w:val="00334A74"/>
    <w:rsid w:val="00337CE9"/>
    <w:rsid w:val="003418A9"/>
    <w:rsid w:val="003427DB"/>
    <w:rsid w:val="00345446"/>
    <w:rsid w:val="0034568C"/>
    <w:rsid w:val="00345B45"/>
    <w:rsid w:val="00345F0B"/>
    <w:rsid w:val="00347029"/>
    <w:rsid w:val="00347B39"/>
    <w:rsid w:val="00350441"/>
    <w:rsid w:val="003508AE"/>
    <w:rsid w:val="00350A2D"/>
    <w:rsid w:val="0035104E"/>
    <w:rsid w:val="0035372D"/>
    <w:rsid w:val="00354ADC"/>
    <w:rsid w:val="00354D98"/>
    <w:rsid w:val="003552AA"/>
    <w:rsid w:val="003627D4"/>
    <w:rsid w:val="00367752"/>
    <w:rsid w:val="0036778F"/>
    <w:rsid w:val="003729B9"/>
    <w:rsid w:val="00372C28"/>
    <w:rsid w:val="00377071"/>
    <w:rsid w:val="0037718D"/>
    <w:rsid w:val="00381F8B"/>
    <w:rsid w:val="00382D4A"/>
    <w:rsid w:val="00383036"/>
    <w:rsid w:val="003830FE"/>
    <w:rsid w:val="0038468A"/>
    <w:rsid w:val="00384861"/>
    <w:rsid w:val="00385D03"/>
    <w:rsid w:val="00386B0F"/>
    <w:rsid w:val="0038771C"/>
    <w:rsid w:val="00390DF6"/>
    <w:rsid w:val="0039107D"/>
    <w:rsid w:val="00392AC0"/>
    <w:rsid w:val="00392F85"/>
    <w:rsid w:val="00393497"/>
    <w:rsid w:val="00394A84"/>
    <w:rsid w:val="00396ADF"/>
    <w:rsid w:val="00396FA2"/>
    <w:rsid w:val="0039735B"/>
    <w:rsid w:val="003A0E2B"/>
    <w:rsid w:val="003A430B"/>
    <w:rsid w:val="003A541A"/>
    <w:rsid w:val="003A5422"/>
    <w:rsid w:val="003A589C"/>
    <w:rsid w:val="003A6923"/>
    <w:rsid w:val="003B0517"/>
    <w:rsid w:val="003B1A66"/>
    <w:rsid w:val="003B7147"/>
    <w:rsid w:val="003B7754"/>
    <w:rsid w:val="003B7DF2"/>
    <w:rsid w:val="003C07A8"/>
    <w:rsid w:val="003C1473"/>
    <w:rsid w:val="003C1B0A"/>
    <w:rsid w:val="003C2C67"/>
    <w:rsid w:val="003C2D4C"/>
    <w:rsid w:val="003C3B3A"/>
    <w:rsid w:val="003C4FA0"/>
    <w:rsid w:val="003C5BA4"/>
    <w:rsid w:val="003D1016"/>
    <w:rsid w:val="003D2642"/>
    <w:rsid w:val="003D7BCA"/>
    <w:rsid w:val="003E02C2"/>
    <w:rsid w:val="003E0894"/>
    <w:rsid w:val="003E0F9A"/>
    <w:rsid w:val="003E30FF"/>
    <w:rsid w:val="003E3E26"/>
    <w:rsid w:val="003E5967"/>
    <w:rsid w:val="003E668B"/>
    <w:rsid w:val="003E7019"/>
    <w:rsid w:val="003F09BA"/>
    <w:rsid w:val="003F1295"/>
    <w:rsid w:val="003F43EC"/>
    <w:rsid w:val="003F4647"/>
    <w:rsid w:val="003F5102"/>
    <w:rsid w:val="003F76FC"/>
    <w:rsid w:val="003F7F2F"/>
    <w:rsid w:val="004002EB"/>
    <w:rsid w:val="00401628"/>
    <w:rsid w:val="0040217B"/>
    <w:rsid w:val="0040277A"/>
    <w:rsid w:val="004028AA"/>
    <w:rsid w:val="00402ECB"/>
    <w:rsid w:val="00405712"/>
    <w:rsid w:val="00407A79"/>
    <w:rsid w:val="004108A6"/>
    <w:rsid w:val="00410C82"/>
    <w:rsid w:val="0041189D"/>
    <w:rsid w:val="0041263C"/>
    <w:rsid w:val="00413851"/>
    <w:rsid w:val="00414664"/>
    <w:rsid w:val="00417FC0"/>
    <w:rsid w:val="00420828"/>
    <w:rsid w:val="00420B52"/>
    <w:rsid w:val="00420CD9"/>
    <w:rsid w:val="00421877"/>
    <w:rsid w:val="00422DDC"/>
    <w:rsid w:val="004231B5"/>
    <w:rsid w:val="004236C8"/>
    <w:rsid w:val="004259F4"/>
    <w:rsid w:val="00427681"/>
    <w:rsid w:val="00430787"/>
    <w:rsid w:val="00432739"/>
    <w:rsid w:val="0043298F"/>
    <w:rsid w:val="00433DB7"/>
    <w:rsid w:val="00433EC5"/>
    <w:rsid w:val="00434DED"/>
    <w:rsid w:val="00435ED7"/>
    <w:rsid w:val="00436858"/>
    <w:rsid w:val="0043696B"/>
    <w:rsid w:val="00440A33"/>
    <w:rsid w:val="00442566"/>
    <w:rsid w:val="00442B81"/>
    <w:rsid w:val="00443267"/>
    <w:rsid w:val="00451761"/>
    <w:rsid w:val="0045279B"/>
    <w:rsid w:val="00453750"/>
    <w:rsid w:val="004537C1"/>
    <w:rsid w:val="00456099"/>
    <w:rsid w:val="00456941"/>
    <w:rsid w:val="00457061"/>
    <w:rsid w:val="0046066D"/>
    <w:rsid w:val="0046110A"/>
    <w:rsid w:val="00463C5A"/>
    <w:rsid w:val="0046439A"/>
    <w:rsid w:val="004661DB"/>
    <w:rsid w:val="00466B8B"/>
    <w:rsid w:val="004700C5"/>
    <w:rsid w:val="004702EA"/>
    <w:rsid w:val="004771CF"/>
    <w:rsid w:val="004777DB"/>
    <w:rsid w:val="004809E9"/>
    <w:rsid w:val="00481178"/>
    <w:rsid w:val="00481F08"/>
    <w:rsid w:val="0048217A"/>
    <w:rsid w:val="0048259C"/>
    <w:rsid w:val="00482D02"/>
    <w:rsid w:val="00482FC6"/>
    <w:rsid w:val="00484326"/>
    <w:rsid w:val="00487109"/>
    <w:rsid w:val="0049009C"/>
    <w:rsid w:val="00490369"/>
    <w:rsid w:val="00494BC0"/>
    <w:rsid w:val="00497EB0"/>
    <w:rsid w:val="004A2420"/>
    <w:rsid w:val="004A3F32"/>
    <w:rsid w:val="004A6304"/>
    <w:rsid w:val="004A7519"/>
    <w:rsid w:val="004A7E07"/>
    <w:rsid w:val="004B129F"/>
    <w:rsid w:val="004B1D6D"/>
    <w:rsid w:val="004B4BF8"/>
    <w:rsid w:val="004B5037"/>
    <w:rsid w:val="004B56F9"/>
    <w:rsid w:val="004B5745"/>
    <w:rsid w:val="004B62E4"/>
    <w:rsid w:val="004B64B1"/>
    <w:rsid w:val="004C316D"/>
    <w:rsid w:val="004C401D"/>
    <w:rsid w:val="004C5636"/>
    <w:rsid w:val="004C58D4"/>
    <w:rsid w:val="004C61C2"/>
    <w:rsid w:val="004C6770"/>
    <w:rsid w:val="004C6E33"/>
    <w:rsid w:val="004C7C9E"/>
    <w:rsid w:val="004C7DDB"/>
    <w:rsid w:val="004D01AC"/>
    <w:rsid w:val="004D3518"/>
    <w:rsid w:val="004D62D6"/>
    <w:rsid w:val="004D6898"/>
    <w:rsid w:val="004D7778"/>
    <w:rsid w:val="004E0327"/>
    <w:rsid w:val="004E060D"/>
    <w:rsid w:val="004E0E35"/>
    <w:rsid w:val="004E14F3"/>
    <w:rsid w:val="004E1825"/>
    <w:rsid w:val="004E1E99"/>
    <w:rsid w:val="004E7E7F"/>
    <w:rsid w:val="004F0184"/>
    <w:rsid w:val="004F0C8C"/>
    <w:rsid w:val="004F2019"/>
    <w:rsid w:val="004F354B"/>
    <w:rsid w:val="004F3F4E"/>
    <w:rsid w:val="004F4647"/>
    <w:rsid w:val="004F55D2"/>
    <w:rsid w:val="005004F1"/>
    <w:rsid w:val="00500FDC"/>
    <w:rsid w:val="00501DA9"/>
    <w:rsid w:val="00501FC6"/>
    <w:rsid w:val="00503C35"/>
    <w:rsid w:val="00505B9C"/>
    <w:rsid w:val="00506B1D"/>
    <w:rsid w:val="005079B2"/>
    <w:rsid w:val="00510167"/>
    <w:rsid w:val="00511E12"/>
    <w:rsid w:val="0051220D"/>
    <w:rsid w:val="00513E86"/>
    <w:rsid w:val="00514ACF"/>
    <w:rsid w:val="00515958"/>
    <w:rsid w:val="00515F82"/>
    <w:rsid w:val="0051670E"/>
    <w:rsid w:val="00517CB7"/>
    <w:rsid w:val="0052057E"/>
    <w:rsid w:val="00521CA5"/>
    <w:rsid w:val="00521FF0"/>
    <w:rsid w:val="00523E77"/>
    <w:rsid w:val="00524686"/>
    <w:rsid w:val="005271CE"/>
    <w:rsid w:val="00527FCC"/>
    <w:rsid w:val="005304B4"/>
    <w:rsid w:val="005306A2"/>
    <w:rsid w:val="00530E74"/>
    <w:rsid w:val="00530EEA"/>
    <w:rsid w:val="00531298"/>
    <w:rsid w:val="0053416C"/>
    <w:rsid w:val="00536575"/>
    <w:rsid w:val="00537AF4"/>
    <w:rsid w:val="00540706"/>
    <w:rsid w:val="0054148C"/>
    <w:rsid w:val="005416D7"/>
    <w:rsid w:val="00541C2F"/>
    <w:rsid w:val="00542F33"/>
    <w:rsid w:val="005442BA"/>
    <w:rsid w:val="005447B3"/>
    <w:rsid w:val="00544E35"/>
    <w:rsid w:val="005450D9"/>
    <w:rsid w:val="00547A71"/>
    <w:rsid w:val="00550D5D"/>
    <w:rsid w:val="005529AF"/>
    <w:rsid w:val="00552DE4"/>
    <w:rsid w:val="00555B6C"/>
    <w:rsid w:val="0055610B"/>
    <w:rsid w:val="005563C7"/>
    <w:rsid w:val="00556A2C"/>
    <w:rsid w:val="00556B55"/>
    <w:rsid w:val="005619BB"/>
    <w:rsid w:val="00562C47"/>
    <w:rsid w:val="00563527"/>
    <w:rsid w:val="005647A6"/>
    <w:rsid w:val="0056495A"/>
    <w:rsid w:val="00566D66"/>
    <w:rsid w:val="00572380"/>
    <w:rsid w:val="005730C2"/>
    <w:rsid w:val="0057407A"/>
    <w:rsid w:val="005740BE"/>
    <w:rsid w:val="0057488C"/>
    <w:rsid w:val="0057531A"/>
    <w:rsid w:val="00576382"/>
    <w:rsid w:val="00577370"/>
    <w:rsid w:val="00577CED"/>
    <w:rsid w:val="0058124E"/>
    <w:rsid w:val="00584754"/>
    <w:rsid w:val="005848A5"/>
    <w:rsid w:val="005854BD"/>
    <w:rsid w:val="005875A3"/>
    <w:rsid w:val="005875C5"/>
    <w:rsid w:val="00587D09"/>
    <w:rsid w:val="0059174B"/>
    <w:rsid w:val="00592481"/>
    <w:rsid w:val="00593A04"/>
    <w:rsid w:val="00594064"/>
    <w:rsid w:val="0059507E"/>
    <w:rsid w:val="005953EA"/>
    <w:rsid w:val="00595E5E"/>
    <w:rsid w:val="005973E8"/>
    <w:rsid w:val="005A3416"/>
    <w:rsid w:val="005A3EE6"/>
    <w:rsid w:val="005A5A40"/>
    <w:rsid w:val="005A73BE"/>
    <w:rsid w:val="005B0FC9"/>
    <w:rsid w:val="005B26E4"/>
    <w:rsid w:val="005B27FE"/>
    <w:rsid w:val="005B42AC"/>
    <w:rsid w:val="005B478B"/>
    <w:rsid w:val="005B5C31"/>
    <w:rsid w:val="005B76DF"/>
    <w:rsid w:val="005B79CB"/>
    <w:rsid w:val="005C04F0"/>
    <w:rsid w:val="005C0E91"/>
    <w:rsid w:val="005C12A8"/>
    <w:rsid w:val="005C14A1"/>
    <w:rsid w:val="005C179C"/>
    <w:rsid w:val="005C265B"/>
    <w:rsid w:val="005C55D2"/>
    <w:rsid w:val="005C5BE8"/>
    <w:rsid w:val="005D1151"/>
    <w:rsid w:val="005D226A"/>
    <w:rsid w:val="005D46DD"/>
    <w:rsid w:val="005D6045"/>
    <w:rsid w:val="005D735B"/>
    <w:rsid w:val="005E0030"/>
    <w:rsid w:val="005E08D7"/>
    <w:rsid w:val="005E4C16"/>
    <w:rsid w:val="005E57E1"/>
    <w:rsid w:val="005E5947"/>
    <w:rsid w:val="005E7A73"/>
    <w:rsid w:val="005F05EC"/>
    <w:rsid w:val="005F3999"/>
    <w:rsid w:val="005F4A67"/>
    <w:rsid w:val="005F61DF"/>
    <w:rsid w:val="0060163A"/>
    <w:rsid w:val="006023F9"/>
    <w:rsid w:val="00602DEA"/>
    <w:rsid w:val="006031D8"/>
    <w:rsid w:val="00606ACC"/>
    <w:rsid w:val="00606C2E"/>
    <w:rsid w:val="00610559"/>
    <w:rsid w:val="006126B8"/>
    <w:rsid w:val="006135F7"/>
    <w:rsid w:val="00614076"/>
    <w:rsid w:val="00616087"/>
    <w:rsid w:val="00617BB5"/>
    <w:rsid w:val="0062069A"/>
    <w:rsid w:val="006208C4"/>
    <w:rsid w:val="00620CC5"/>
    <w:rsid w:val="00620D1F"/>
    <w:rsid w:val="006245B3"/>
    <w:rsid w:val="00632C9A"/>
    <w:rsid w:val="00632F2E"/>
    <w:rsid w:val="006332F6"/>
    <w:rsid w:val="00633C69"/>
    <w:rsid w:val="00635BF0"/>
    <w:rsid w:val="00640624"/>
    <w:rsid w:val="0064074D"/>
    <w:rsid w:val="006411B3"/>
    <w:rsid w:val="006413F2"/>
    <w:rsid w:val="0064359F"/>
    <w:rsid w:val="00643FA4"/>
    <w:rsid w:val="00644143"/>
    <w:rsid w:val="006449C6"/>
    <w:rsid w:val="006455DE"/>
    <w:rsid w:val="006458D7"/>
    <w:rsid w:val="00645CA9"/>
    <w:rsid w:val="00645E9B"/>
    <w:rsid w:val="00650CAD"/>
    <w:rsid w:val="006514B9"/>
    <w:rsid w:val="00651E92"/>
    <w:rsid w:val="00652C38"/>
    <w:rsid w:val="00652CD3"/>
    <w:rsid w:val="006534B2"/>
    <w:rsid w:val="00654117"/>
    <w:rsid w:val="0065615D"/>
    <w:rsid w:val="00656BBC"/>
    <w:rsid w:val="00656DBB"/>
    <w:rsid w:val="00657011"/>
    <w:rsid w:val="006600E5"/>
    <w:rsid w:val="00664B8F"/>
    <w:rsid w:val="006650B5"/>
    <w:rsid w:val="006651B1"/>
    <w:rsid w:val="00665778"/>
    <w:rsid w:val="00665944"/>
    <w:rsid w:val="006719F9"/>
    <w:rsid w:val="006726F7"/>
    <w:rsid w:val="006731E8"/>
    <w:rsid w:val="00673621"/>
    <w:rsid w:val="00676903"/>
    <w:rsid w:val="00676C6C"/>
    <w:rsid w:val="00676E5F"/>
    <w:rsid w:val="00677C31"/>
    <w:rsid w:val="00680925"/>
    <w:rsid w:val="00681C80"/>
    <w:rsid w:val="0068530D"/>
    <w:rsid w:val="00685C68"/>
    <w:rsid w:val="006909B6"/>
    <w:rsid w:val="00690D52"/>
    <w:rsid w:val="00691F6D"/>
    <w:rsid w:val="00692665"/>
    <w:rsid w:val="00692B3A"/>
    <w:rsid w:val="006945CA"/>
    <w:rsid w:val="0069569A"/>
    <w:rsid w:val="006A06F7"/>
    <w:rsid w:val="006A0EC0"/>
    <w:rsid w:val="006A122A"/>
    <w:rsid w:val="006A1BDD"/>
    <w:rsid w:val="006A2AF1"/>
    <w:rsid w:val="006A2E34"/>
    <w:rsid w:val="006A3309"/>
    <w:rsid w:val="006A3A5A"/>
    <w:rsid w:val="006A5B34"/>
    <w:rsid w:val="006A68D0"/>
    <w:rsid w:val="006A73DD"/>
    <w:rsid w:val="006A7A32"/>
    <w:rsid w:val="006B0738"/>
    <w:rsid w:val="006B2C04"/>
    <w:rsid w:val="006B337A"/>
    <w:rsid w:val="006B6069"/>
    <w:rsid w:val="006C0B77"/>
    <w:rsid w:val="006C290D"/>
    <w:rsid w:val="006C4DED"/>
    <w:rsid w:val="006C5877"/>
    <w:rsid w:val="006C77A9"/>
    <w:rsid w:val="006D2367"/>
    <w:rsid w:val="006D339D"/>
    <w:rsid w:val="006D4720"/>
    <w:rsid w:val="006D4BDD"/>
    <w:rsid w:val="006D5B85"/>
    <w:rsid w:val="006D645B"/>
    <w:rsid w:val="006D7783"/>
    <w:rsid w:val="006E0326"/>
    <w:rsid w:val="006E32F6"/>
    <w:rsid w:val="006E4228"/>
    <w:rsid w:val="006E43DB"/>
    <w:rsid w:val="006E53C1"/>
    <w:rsid w:val="006E6CDF"/>
    <w:rsid w:val="006E7328"/>
    <w:rsid w:val="006E7C80"/>
    <w:rsid w:val="006F00C1"/>
    <w:rsid w:val="006F127B"/>
    <w:rsid w:val="006F37F2"/>
    <w:rsid w:val="006F46CF"/>
    <w:rsid w:val="006F6693"/>
    <w:rsid w:val="006F7A8B"/>
    <w:rsid w:val="006F7F33"/>
    <w:rsid w:val="00701C3F"/>
    <w:rsid w:val="0070240D"/>
    <w:rsid w:val="00702BD1"/>
    <w:rsid w:val="00702D37"/>
    <w:rsid w:val="00703681"/>
    <w:rsid w:val="00704EAC"/>
    <w:rsid w:val="00707FE8"/>
    <w:rsid w:val="0071039C"/>
    <w:rsid w:val="00711F60"/>
    <w:rsid w:val="00714A3B"/>
    <w:rsid w:val="00714AAE"/>
    <w:rsid w:val="0072144F"/>
    <w:rsid w:val="00724962"/>
    <w:rsid w:val="00724A0F"/>
    <w:rsid w:val="00724C6F"/>
    <w:rsid w:val="00726D2F"/>
    <w:rsid w:val="007278F2"/>
    <w:rsid w:val="00730DC0"/>
    <w:rsid w:val="00730E53"/>
    <w:rsid w:val="00730F36"/>
    <w:rsid w:val="00731D9A"/>
    <w:rsid w:val="007353A0"/>
    <w:rsid w:val="00736065"/>
    <w:rsid w:val="00736732"/>
    <w:rsid w:val="00740019"/>
    <w:rsid w:val="00742F01"/>
    <w:rsid w:val="007432F9"/>
    <w:rsid w:val="0074363F"/>
    <w:rsid w:val="00743DA0"/>
    <w:rsid w:val="00744A05"/>
    <w:rsid w:val="00744F0A"/>
    <w:rsid w:val="007458FA"/>
    <w:rsid w:val="00746267"/>
    <w:rsid w:val="00746426"/>
    <w:rsid w:val="00747C87"/>
    <w:rsid w:val="007504ED"/>
    <w:rsid w:val="00750BF9"/>
    <w:rsid w:val="00750CBE"/>
    <w:rsid w:val="00751186"/>
    <w:rsid w:val="007512DF"/>
    <w:rsid w:val="00762CE9"/>
    <w:rsid w:val="00763DB4"/>
    <w:rsid w:val="00764859"/>
    <w:rsid w:val="007650D2"/>
    <w:rsid w:val="00766969"/>
    <w:rsid w:val="00766B5A"/>
    <w:rsid w:val="00767A2D"/>
    <w:rsid w:val="00767B8C"/>
    <w:rsid w:val="007721C3"/>
    <w:rsid w:val="00772209"/>
    <w:rsid w:val="007728CB"/>
    <w:rsid w:val="007742BE"/>
    <w:rsid w:val="00774554"/>
    <w:rsid w:val="007770A5"/>
    <w:rsid w:val="00777843"/>
    <w:rsid w:val="00777ABD"/>
    <w:rsid w:val="0078039F"/>
    <w:rsid w:val="007808BD"/>
    <w:rsid w:val="00781368"/>
    <w:rsid w:val="0078250D"/>
    <w:rsid w:val="007834F2"/>
    <w:rsid w:val="007841D3"/>
    <w:rsid w:val="0078432C"/>
    <w:rsid w:val="0079050D"/>
    <w:rsid w:val="00790C44"/>
    <w:rsid w:val="00791020"/>
    <w:rsid w:val="00791A73"/>
    <w:rsid w:val="007957DB"/>
    <w:rsid w:val="00795FC1"/>
    <w:rsid w:val="00796484"/>
    <w:rsid w:val="007A04D2"/>
    <w:rsid w:val="007A0B12"/>
    <w:rsid w:val="007A0D9A"/>
    <w:rsid w:val="007A3ABC"/>
    <w:rsid w:val="007A4E6D"/>
    <w:rsid w:val="007A59A2"/>
    <w:rsid w:val="007A5F82"/>
    <w:rsid w:val="007A70D2"/>
    <w:rsid w:val="007B0979"/>
    <w:rsid w:val="007B116D"/>
    <w:rsid w:val="007B19B7"/>
    <w:rsid w:val="007B296E"/>
    <w:rsid w:val="007B55C7"/>
    <w:rsid w:val="007B66A0"/>
    <w:rsid w:val="007B6CA2"/>
    <w:rsid w:val="007C29AA"/>
    <w:rsid w:val="007C2D1D"/>
    <w:rsid w:val="007C3777"/>
    <w:rsid w:val="007C63C9"/>
    <w:rsid w:val="007C7087"/>
    <w:rsid w:val="007D17B6"/>
    <w:rsid w:val="007D4DAF"/>
    <w:rsid w:val="007D5F9E"/>
    <w:rsid w:val="007D6713"/>
    <w:rsid w:val="007D68AA"/>
    <w:rsid w:val="007E03BB"/>
    <w:rsid w:val="007E0578"/>
    <w:rsid w:val="007E098F"/>
    <w:rsid w:val="007E35F0"/>
    <w:rsid w:val="007E3BA2"/>
    <w:rsid w:val="007E3D75"/>
    <w:rsid w:val="007E40A5"/>
    <w:rsid w:val="007E70A3"/>
    <w:rsid w:val="007E72E7"/>
    <w:rsid w:val="007E7E75"/>
    <w:rsid w:val="007F1A4C"/>
    <w:rsid w:val="007F1E34"/>
    <w:rsid w:val="007F2EAB"/>
    <w:rsid w:val="007F574B"/>
    <w:rsid w:val="007F7019"/>
    <w:rsid w:val="007F723F"/>
    <w:rsid w:val="008006F6"/>
    <w:rsid w:val="00800BD8"/>
    <w:rsid w:val="00801259"/>
    <w:rsid w:val="00801C85"/>
    <w:rsid w:val="008022C3"/>
    <w:rsid w:val="00803F4B"/>
    <w:rsid w:val="00803F98"/>
    <w:rsid w:val="008041E6"/>
    <w:rsid w:val="0080551D"/>
    <w:rsid w:val="0080558C"/>
    <w:rsid w:val="008058DB"/>
    <w:rsid w:val="008065D2"/>
    <w:rsid w:val="00806CB5"/>
    <w:rsid w:val="00806E12"/>
    <w:rsid w:val="008103D7"/>
    <w:rsid w:val="00810E77"/>
    <w:rsid w:val="0081153B"/>
    <w:rsid w:val="00815A8A"/>
    <w:rsid w:val="00820B3D"/>
    <w:rsid w:val="00820F00"/>
    <w:rsid w:val="008212B2"/>
    <w:rsid w:val="0082194C"/>
    <w:rsid w:val="008222FF"/>
    <w:rsid w:val="008241FF"/>
    <w:rsid w:val="00824A9D"/>
    <w:rsid w:val="008271F9"/>
    <w:rsid w:val="00827454"/>
    <w:rsid w:val="008279A7"/>
    <w:rsid w:val="00830D90"/>
    <w:rsid w:val="00832A53"/>
    <w:rsid w:val="0083337D"/>
    <w:rsid w:val="0083539D"/>
    <w:rsid w:val="00836BF0"/>
    <w:rsid w:val="00836CC9"/>
    <w:rsid w:val="008411E9"/>
    <w:rsid w:val="00841617"/>
    <w:rsid w:val="00841880"/>
    <w:rsid w:val="008419AD"/>
    <w:rsid w:val="00841ADF"/>
    <w:rsid w:val="0084200F"/>
    <w:rsid w:val="00843B2C"/>
    <w:rsid w:val="00843EAB"/>
    <w:rsid w:val="00843FF5"/>
    <w:rsid w:val="00844F16"/>
    <w:rsid w:val="00845C30"/>
    <w:rsid w:val="00847745"/>
    <w:rsid w:val="0085016D"/>
    <w:rsid w:val="00850B7C"/>
    <w:rsid w:val="0085179B"/>
    <w:rsid w:val="008534C2"/>
    <w:rsid w:val="00855682"/>
    <w:rsid w:val="00855FF9"/>
    <w:rsid w:val="00856321"/>
    <w:rsid w:val="008578D4"/>
    <w:rsid w:val="00860682"/>
    <w:rsid w:val="0086277A"/>
    <w:rsid w:val="00862A35"/>
    <w:rsid w:val="00863511"/>
    <w:rsid w:val="0086395B"/>
    <w:rsid w:val="00863D30"/>
    <w:rsid w:val="00865A5B"/>
    <w:rsid w:val="008668A8"/>
    <w:rsid w:val="008719DF"/>
    <w:rsid w:val="0087469B"/>
    <w:rsid w:val="0087580A"/>
    <w:rsid w:val="00875F28"/>
    <w:rsid w:val="00876171"/>
    <w:rsid w:val="008766EA"/>
    <w:rsid w:val="008768AD"/>
    <w:rsid w:val="00876D3E"/>
    <w:rsid w:val="00880443"/>
    <w:rsid w:val="00880AC4"/>
    <w:rsid w:val="0088104F"/>
    <w:rsid w:val="008812A4"/>
    <w:rsid w:val="008823BA"/>
    <w:rsid w:val="008823F0"/>
    <w:rsid w:val="00882DEE"/>
    <w:rsid w:val="00882E51"/>
    <w:rsid w:val="0088462D"/>
    <w:rsid w:val="00886959"/>
    <w:rsid w:val="00886A4F"/>
    <w:rsid w:val="00887949"/>
    <w:rsid w:val="00892529"/>
    <w:rsid w:val="0089312C"/>
    <w:rsid w:val="0089314D"/>
    <w:rsid w:val="00893C0C"/>
    <w:rsid w:val="00894F96"/>
    <w:rsid w:val="008964E9"/>
    <w:rsid w:val="00897447"/>
    <w:rsid w:val="008A066F"/>
    <w:rsid w:val="008A1C70"/>
    <w:rsid w:val="008A1C8E"/>
    <w:rsid w:val="008A4900"/>
    <w:rsid w:val="008A4F22"/>
    <w:rsid w:val="008A55FE"/>
    <w:rsid w:val="008B02B9"/>
    <w:rsid w:val="008B146D"/>
    <w:rsid w:val="008B1DD6"/>
    <w:rsid w:val="008B285F"/>
    <w:rsid w:val="008B349B"/>
    <w:rsid w:val="008B416A"/>
    <w:rsid w:val="008B42AD"/>
    <w:rsid w:val="008B53E9"/>
    <w:rsid w:val="008B5666"/>
    <w:rsid w:val="008B6AE0"/>
    <w:rsid w:val="008B6D35"/>
    <w:rsid w:val="008B7EE8"/>
    <w:rsid w:val="008C3354"/>
    <w:rsid w:val="008C402B"/>
    <w:rsid w:val="008C4084"/>
    <w:rsid w:val="008C55FF"/>
    <w:rsid w:val="008D0281"/>
    <w:rsid w:val="008D1A7A"/>
    <w:rsid w:val="008D1AB5"/>
    <w:rsid w:val="008D65DD"/>
    <w:rsid w:val="008D6AEE"/>
    <w:rsid w:val="008E2348"/>
    <w:rsid w:val="008E2626"/>
    <w:rsid w:val="008E347D"/>
    <w:rsid w:val="008E405C"/>
    <w:rsid w:val="008E4DFC"/>
    <w:rsid w:val="008E4E2F"/>
    <w:rsid w:val="008E5AA6"/>
    <w:rsid w:val="008F04C8"/>
    <w:rsid w:val="008F1544"/>
    <w:rsid w:val="008F24AA"/>
    <w:rsid w:val="008F33C7"/>
    <w:rsid w:val="008F39AD"/>
    <w:rsid w:val="008F464C"/>
    <w:rsid w:val="008F6D45"/>
    <w:rsid w:val="008F7384"/>
    <w:rsid w:val="008F793D"/>
    <w:rsid w:val="0090261F"/>
    <w:rsid w:val="00903F5A"/>
    <w:rsid w:val="00903F81"/>
    <w:rsid w:val="00904C29"/>
    <w:rsid w:val="009059F9"/>
    <w:rsid w:val="00905E6A"/>
    <w:rsid w:val="00907293"/>
    <w:rsid w:val="009075B5"/>
    <w:rsid w:val="00907FF7"/>
    <w:rsid w:val="00913869"/>
    <w:rsid w:val="00913EFB"/>
    <w:rsid w:val="009158B5"/>
    <w:rsid w:val="00915A1F"/>
    <w:rsid w:val="00915CE3"/>
    <w:rsid w:val="00916FB6"/>
    <w:rsid w:val="00920E37"/>
    <w:rsid w:val="00922944"/>
    <w:rsid w:val="00925397"/>
    <w:rsid w:val="00927476"/>
    <w:rsid w:val="00927748"/>
    <w:rsid w:val="0093072E"/>
    <w:rsid w:val="009309B1"/>
    <w:rsid w:val="00930C9E"/>
    <w:rsid w:val="00930F72"/>
    <w:rsid w:val="00931208"/>
    <w:rsid w:val="00931FD9"/>
    <w:rsid w:val="0093495A"/>
    <w:rsid w:val="00934C41"/>
    <w:rsid w:val="009351BF"/>
    <w:rsid w:val="00935C34"/>
    <w:rsid w:val="00936479"/>
    <w:rsid w:val="00937A10"/>
    <w:rsid w:val="00941E9F"/>
    <w:rsid w:val="00942E25"/>
    <w:rsid w:val="00945BD1"/>
    <w:rsid w:val="009464B0"/>
    <w:rsid w:val="00947A0F"/>
    <w:rsid w:val="00950338"/>
    <w:rsid w:val="00950E42"/>
    <w:rsid w:val="00951DEA"/>
    <w:rsid w:val="00952305"/>
    <w:rsid w:val="009549B5"/>
    <w:rsid w:val="00956A61"/>
    <w:rsid w:val="009579EA"/>
    <w:rsid w:val="00962B4E"/>
    <w:rsid w:val="00966115"/>
    <w:rsid w:val="00966789"/>
    <w:rsid w:val="009678C9"/>
    <w:rsid w:val="00972720"/>
    <w:rsid w:val="00972812"/>
    <w:rsid w:val="00972A8A"/>
    <w:rsid w:val="009739CC"/>
    <w:rsid w:val="00974493"/>
    <w:rsid w:val="00975430"/>
    <w:rsid w:val="00980622"/>
    <w:rsid w:val="00981AD2"/>
    <w:rsid w:val="00982669"/>
    <w:rsid w:val="009833FE"/>
    <w:rsid w:val="009834C0"/>
    <w:rsid w:val="00984096"/>
    <w:rsid w:val="00986AAC"/>
    <w:rsid w:val="00986C09"/>
    <w:rsid w:val="009905FA"/>
    <w:rsid w:val="0099066E"/>
    <w:rsid w:val="00992AA9"/>
    <w:rsid w:val="009938C7"/>
    <w:rsid w:val="00993B69"/>
    <w:rsid w:val="00994B72"/>
    <w:rsid w:val="00995526"/>
    <w:rsid w:val="00995C98"/>
    <w:rsid w:val="00997A8E"/>
    <w:rsid w:val="009A028E"/>
    <w:rsid w:val="009A0D9B"/>
    <w:rsid w:val="009A0E50"/>
    <w:rsid w:val="009A1DA2"/>
    <w:rsid w:val="009A35AA"/>
    <w:rsid w:val="009A3704"/>
    <w:rsid w:val="009A4739"/>
    <w:rsid w:val="009A5BC0"/>
    <w:rsid w:val="009A674F"/>
    <w:rsid w:val="009A68F1"/>
    <w:rsid w:val="009A6D22"/>
    <w:rsid w:val="009A7221"/>
    <w:rsid w:val="009A8535"/>
    <w:rsid w:val="009B0643"/>
    <w:rsid w:val="009B199C"/>
    <w:rsid w:val="009B3849"/>
    <w:rsid w:val="009B446D"/>
    <w:rsid w:val="009B5979"/>
    <w:rsid w:val="009B61F1"/>
    <w:rsid w:val="009B62E0"/>
    <w:rsid w:val="009B6535"/>
    <w:rsid w:val="009C2579"/>
    <w:rsid w:val="009C2EE4"/>
    <w:rsid w:val="009C3A36"/>
    <w:rsid w:val="009C3CFC"/>
    <w:rsid w:val="009C3D88"/>
    <w:rsid w:val="009C460B"/>
    <w:rsid w:val="009C4902"/>
    <w:rsid w:val="009C4F03"/>
    <w:rsid w:val="009C680B"/>
    <w:rsid w:val="009D2A04"/>
    <w:rsid w:val="009D305D"/>
    <w:rsid w:val="009D34F7"/>
    <w:rsid w:val="009E0ECD"/>
    <w:rsid w:val="009E1651"/>
    <w:rsid w:val="009E3858"/>
    <w:rsid w:val="009E467D"/>
    <w:rsid w:val="009E5031"/>
    <w:rsid w:val="009E5985"/>
    <w:rsid w:val="009E6053"/>
    <w:rsid w:val="009E70DD"/>
    <w:rsid w:val="009F2ED9"/>
    <w:rsid w:val="009F3231"/>
    <w:rsid w:val="009F52E0"/>
    <w:rsid w:val="009F5C58"/>
    <w:rsid w:val="009F72B0"/>
    <w:rsid w:val="00A01D6D"/>
    <w:rsid w:val="00A023A0"/>
    <w:rsid w:val="00A02A3B"/>
    <w:rsid w:val="00A034F7"/>
    <w:rsid w:val="00A04941"/>
    <w:rsid w:val="00A05EBC"/>
    <w:rsid w:val="00A11604"/>
    <w:rsid w:val="00A1562B"/>
    <w:rsid w:val="00A1580B"/>
    <w:rsid w:val="00A16F77"/>
    <w:rsid w:val="00A170F4"/>
    <w:rsid w:val="00A171B3"/>
    <w:rsid w:val="00A1BDA5"/>
    <w:rsid w:val="00A21408"/>
    <w:rsid w:val="00A21CFD"/>
    <w:rsid w:val="00A22C02"/>
    <w:rsid w:val="00A23BA4"/>
    <w:rsid w:val="00A24A78"/>
    <w:rsid w:val="00A25B78"/>
    <w:rsid w:val="00A27B01"/>
    <w:rsid w:val="00A300DC"/>
    <w:rsid w:val="00A32E09"/>
    <w:rsid w:val="00A400CC"/>
    <w:rsid w:val="00A40495"/>
    <w:rsid w:val="00A41332"/>
    <w:rsid w:val="00A42430"/>
    <w:rsid w:val="00A4391C"/>
    <w:rsid w:val="00A452C1"/>
    <w:rsid w:val="00A45CB0"/>
    <w:rsid w:val="00A46288"/>
    <w:rsid w:val="00A46BA8"/>
    <w:rsid w:val="00A47634"/>
    <w:rsid w:val="00A57FE0"/>
    <w:rsid w:val="00A612FE"/>
    <w:rsid w:val="00A62190"/>
    <w:rsid w:val="00A650A9"/>
    <w:rsid w:val="00A66F4D"/>
    <w:rsid w:val="00A673DE"/>
    <w:rsid w:val="00A703B3"/>
    <w:rsid w:val="00A70B49"/>
    <w:rsid w:val="00A70D9D"/>
    <w:rsid w:val="00A738C5"/>
    <w:rsid w:val="00A740D4"/>
    <w:rsid w:val="00A752BB"/>
    <w:rsid w:val="00A75423"/>
    <w:rsid w:val="00A76DFC"/>
    <w:rsid w:val="00A8084F"/>
    <w:rsid w:val="00A809AA"/>
    <w:rsid w:val="00A8198F"/>
    <w:rsid w:val="00A82931"/>
    <w:rsid w:val="00A83265"/>
    <w:rsid w:val="00A83C5F"/>
    <w:rsid w:val="00A84071"/>
    <w:rsid w:val="00A84F7E"/>
    <w:rsid w:val="00A92D5E"/>
    <w:rsid w:val="00A92D94"/>
    <w:rsid w:val="00A93725"/>
    <w:rsid w:val="00A93734"/>
    <w:rsid w:val="00A95211"/>
    <w:rsid w:val="00A9595E"/>
    <w:rsid w:val="00A964FC"/>
    <w:rsid w:val="00AA26B8"/>
    <w:rsid w:val="00AA4288"/>
    <w:rsid w:val="00AA4907"/>
    <w:rsid w:val="00AA5324"/>
    <w:rsid w:val="00AA62A0"/>
    <w:rsid w:val="00AB0780"/>
    <w:rsid w:val="00AB1B76"/>
    <w:rsid w:val="00AB24E4"/>
    <w:rsid w:val="00AB322C"/>
    <w:rsid w:val="00AB4B7B"/>
    <w:rsid w:val="00AB4FE8"/>
    <w:rsid w:val="00AB51EA"/>
    <w:rsid w:val="00AB609F"/>
    <w:rsid w:val="00AB6EB6"/>
    <w:rsid w:val="00AB77D4"/>
    <w:rsid w:val="00AC0B87"/>
    <w:rsid w:val="00AC2624"/>
    <w:rsid w:val="00AC32A8"/>
    <w:rsid w:val="00AC4083"/>
    <w:rsid w:val="00AD1351"/>
    <w:rsid w:val="00AD1701"/>
    <w:rsid w:val="00AD1761"/>
    <w:rsid w:val="00AD1EAF"/>
    <w:rsid w:val="00AD4528"/>
    <w:rsid w:val="00AD45DF"/>
    <w:rsid w:val="00AD7556"/>
    <w:rsid w:val="00AD7E4E"/>
    <w:rsid w:val="00AE18BF"/>
    <w:rsid w:val="00AE271D"/>
    <w:rsid w:val="00AE2780"/>
    <w:rsid w:val="00AE2BEA"/>
    <w:rsid w:val="00AE5610"/>
    <w:rsid w:val="00AE5AD5"/>
    <w:rsid w:val="00AE5E04"/>
    <w:rsid w:val="00AE5EE4"/>
    <w:rsid w:val="00AF161B"/>
    <w:rsid w:val="00AF4A33"/>
    <w:rsid w:val="00AF4D58"/>
    <w:rsid w:val="00AF547E"/>
    <w:rsid w:val="00AF6666"/>
    <w:rsid w:val="00AF6AF9"/>
    <w:rsid w:val="00AF77DE"/>
    <w:rsid w:val="00AF7A91"/>
    <w:rsid w:val="00AF7BC5"/>
    <w:rsid w:val="00B017A5"/>
    <w:rsid w:val="00B02E5F"/>
    <w:rsid w:val="00B101D4"/>
    <w:rsid w:val="00B10413"/>
    <w:rsid w:val="00B1051C"/>
    <w:rsid w:val="00B116E3"/>
    <w:rsid w:val="00B11A88"/>
    <w:rsid w:val="00B125C4"/>
    <w:rsid w:val="00B12934"/>
    <w:rsid w:val="00B14613"/>
    <w:rsid w:val="00B14E1A"/>
    <w:rsid w:val="00B15592"/>
    <w:rsid w:val="00B16D2B"/>
    <w:rsid w:val="00B174ED"/>
    <w:rsid w:val="00B21489"/>
    <w:rsid w:val="00B21F09"/>
    <w:rsid w:val="00B2337F"/>
    <w:rsid w:val="00B23AE9"/>
    <w:rsid w:val="00B27A22"/>
    <w:rsid w:val="00B30D85"/>
    <w:rsid w:val="00B33A4E"/>
    <w:rsid w:val="00B33A78"/>
    <w:rsid w:val="00B3435C"/>
    <w:rsid w:val="00B349A7"/>
    <w:rsid w:val="00B37FF8"/>
    <w:rsid w:val="00B41DEC"/>
    <w:rsid w:val="00B428AF"/>
    <w:rsid w:val="00B4445F"/>
    <w:rsid w:val="00B44490"/>
    <w:rsid w:val="00B46E9F"/>
    <w:rsid w:val="00B500DF"/>
    <w:rsid w:val="00B515DB"/>
    <w:rsid w:val="00B51C51"/>
    <w:rsid w:val="00B51FBD"/>
    <w:rsid w:val="00B53A8C"/>
    <w:rsid w:val="00B556E1"/>
    <w:rsid w:val="00B5627B"/>
    <w:rsid w:val="00B574D1"/>
    <w:rsid w:val="00B65711"/>
    <w:rsid w:val="00B65D14"/>
    <w:rsid w:val="00B65D9A"/>
    <w:rsid w:val="00B67229"/>
    <w:rsid w:val="00B673BB"/>
    <w:rsid w:val="00B720A1"/>
    <w:rsid w:val="00B73B9C"/>
    <w:rsid w:val="00B8043D"/>
    <w:rsid w:val="00B81B44"/>
    <w:rsid w:val="00B85D40"/>
    <w:rsid w:val="00B8642C"/>
    <w:rsid w:val="00B86E66"/>
    <w:rsid w:val="00B902A1"/>
    <w:rsid w:val="00B9053B"/>
    <w:rsid w:val="00B91327"/>
    <w:rsid w:val="00B9662E"/>
    <w:rsid w:val="00B96BA1"/>
    <w:rsid w:val="00B9777C"/>
    <w:rsid w:val="00B97C1B"/>
    <w:rsid w:val="00BA0011"/>
    <w:rsid w:val="00BA0C37"/>
    <w:rsid w:val="00BA164D"/>
    <w:rsid w:val="00BA16BF"/>
    <w:rsid w:val="00BA239F"/>
    <w:rsid w:val="00BA32A0"/>
    <w:rsid w:val="00BA34E7"/>
    <w:rsid w:val="00BA3782"/>
    <w:rsid w:val="00BA4A09"/>
    <w:rsid w:val="00BA4E4C"/>
    <w:rsid w:val="00BA5BEB"/>
    <w:rsid w:val="00BA5CA5"/>
    <w:rsid w:val="00BB227C"/>
    <w:rsid w:val="00BB253B"/>
    <w:rsid w:val="00BB4271"/>
    <w:rsid w:val="00BB4D98"/>
    <w:rsid w:val="00BB4EBF"/>
    <w:rsid w:val="00BB59E0"/>
    <w:rsid w:val="00BB65FC"/>
    <w:rsid w:val="00BB6DEB"/>
    <w:rsid w:val="00BB709A"/>
    <w:rsid w:val="00BB7C2A"/>
    <w:rsid w:val="00BB7C54"/>
    <w:rsid w:val="00BB7DF0"/>
    <w:rsid w:val="00BC3422"/>
    <w:rsid w:val="00BC437C"/>
    <w:rsid w:val="00BC6008"/>
    <w:rsid w:val="00BC6E19"/>
    <w:rsid w:val="00BC7EBB"/>
    <w:rsid w:val="00BD05FA"/>
    <w:rsid w:val="00BD0A20"/>
    <w:rsid w:val="00BD0B31"/>
    <w:rsid w:val="00BD3FDB"/>
    <w:rsid w:val="00BD4FF1"/>
    <w:rsid w:val="00BD5018"/>
    <w:rsid w:val="00BD5A83"/>
    <w:rsid w:val="00BD5FC7"/>
    <w:rsid w:val="00BD7403"/>
    <w:rsid w:val="00BE1608"/>
    <w:rsid w:val="00BE181D"/>
    <w:rsid w:val="00BE3323"/>
    <w:rsid w:val="00BE46BD"/>
    <w:rsid w:val="00BE4EDC"/>
    <w:rsid w:val="00BE5ADC"/>
    <w:rsid w:val="00BE72B2"/>
    <w:rsid w:val="00BE763E"/>
    <w:rsid w:val="00BF0F69"/>
    <w:rsid w:val="00BF2647"/>
    <w:rsid w:val="00BF2677"/>
    <w:rsid w:val="00BF2D2D"/>
    <w:rsid w:val="00BF314F"/>
    <w:rsid w:val="00BF4F96"/>
    <w:rsid w:val="00BF6586"/>
    <w:rsid w:val="00C0023B"/>
    <w:rsid w:val="00C00B06"/>
    <w:rsid w:val="00C015B9"/>
    <w:rsid w:val="00C022F9"/>
    <w:rsid w:val="00C02C24"/>
    <w:rsid w:val="00C032EA"/>
    <w:rsid w:val="00C06EB5"/>
    <w:rsid w:val="00C10FCC"/>
    <w:rsid w:val="00C1145F"/>
    <w:rsid w:val="00C11CD1"/>
    <w:rsid w:val="00C131F6"/>
    <w:rsid w:val="00C13B55"/>
    <w:rsid w:val="00C13D78"/>
    <w:rsid w:val="00C140BC"/>
    <w:rsid w:val="00C15701"/>
    <w:rsid w:val="00C15DBE"/>
    <w:rsid w:val="00C17143"/>
    <w:rsid w:val="00C23BD4"/>
    <w:rsid w:val="00C258F2"/>
    <w:rsid w:val="00C25E54"/>
    <w:rsid w:val="00C2715F"/>
    <w:rsid w:val="00C27CA5"/>
    <w:rsid w:val="00C3020D"/>
    <w:rsid w:val="00C310BC"/>
    <w:rsid w:val="00C32D49"/>
    <w:rsid w:val="00C33AD3"/>
    <w:rsid w:val="00C33E67"/>
    <w:rsid w:val="00C341C8"/>
    <w:rsid w:val="00C3550F"/>
    <w:rsid w:val="00C4125A"/>
    <w:rsid w:val="00C41B3C"/>
    <w:rsid w:val="00C42A48"/>
    <w:rsid w:val="00C430BC"/>
    <w:rsid w:val="00C43F06"/>
    <w:rsid w:val="00C45702"/>
    <w:rsid w:val="00C47503"/>
    <w:rsid w:val="00C47793"/>
    <w:rsid w:val="00C500E1"/>
    <w:rsid w:val="00C50A2B"/>
    <w:rsid w:val="00C50A96"/>
    <w:rsid w:val="00C51C01"/>
    <w:rsid w:val="00C522E7"/>
    <w:rsid w:val="00C539DC"/>
    <w:rsid w:val="00C54947"/>
    <w:rsid w:val="00C562A4"/>
    <w:rsid w:val="00C566A4"/>
    <w:rsid w:val="00C57464"/>
    <w:rsid w:val="00C637E1"/>
    <w:rsid w:val="00C63FB5"/>
    <w:rsid w:val="00C64B5C"/>
    <w:rsid w:val="00C65572"/>
    <w:rsid w:val="00C65CCC"/>
    <w:rsid w:val="00C65EB9"/>
    <w:rsid w:val="00C67B10"/>
    <w:rsid w:val="00C67EAC"/>
    <w:rsid w:val="00C70D50"/>
    <w:rsid w:val="00C72252"/>
    <w:rsid w:val="00C73441"/>
    <w:rsid w:val="00C76533"/>
    <w:rsid w:val="00C8038E"/>
    <w:rsid w:val="00C81050"/>
    <w:rsid w:val="00C81898"/>
    <w:rsid w:val="00C81F1B"/>
    <w:rsid w:val="00C81FD9"/>
    <w:rsid w:val="00C838D0"/>
    <w:rsid w:val="00C84A80"/>
    <w:rsid w:val="00C872E6"/>
    <w:rsid w:val="00C87DEB"/>
    <w:rsid w:val="00C907D7"/>
    <w:rsid w:val="00C92338"/>
    <w:rsid w:val="00C92C22"/>
    <w:rsid w:val="00C94399"/>
    <w:rsid w:val="00C95E66"/>
    <w:rsid w:val="00C96051"/>
    <w:rsid w:val="00C973B6"/>
    <w:rsid w:val="00C97B86"/>
    <w:rsid w:val="00C97F96"/>
    <w:rsid w:val="00CA05DC"/>
    <w:rsid w:val="00CA17AA"/>
    <w:rsid w:val="00CA1A5D"/>
    <w:rsid w:val="00CA1D04"/>
    <w:rsid w:val="00CA1D2F"/>
    <w:rsid w:val="00CA4418"/>
    <w:rsid w:val="00CA7B47"/>
    <w:rsid w:val="00CB1CE1"/>
    <w:rsid w:val="00CB1DD6"/>
    <w:rsid w:val="00CB3976"/>
    <w:rsid w:val="00CB441A"/>
    <w:rsid w:val="00CC33C8"/>
    <w:rsid w:val="00CC3595"/>
    <w:rsid w:val="00CC3BC4"/>
    <w:rsid w:val="00CC5D6B"/>
    <w:rsid w:val="00CC6087"/>
    <w:rsid w:val="00CC7025"/>
    <w:rsid w:val="00CC7644"/>
    <w:rsid w:val="00CC764A"/>
    <w:rsid w:val="00CD0307"/>
    <w:rsid w:val="00CD1B74"/>
    <w:rsid w:val="00CD23B7"/>
    <w:rsid w:val="00CD3591"/>
    <w:rsid w:val="00CD3D1B"/>
    <w:rsid w:val="00CD52F4"/>
    <w:rsid w:val="00CD69E0"/>
    <w:rsid w:val="00CD6E44"/>
    <w:rsid w:val="00CE083F"/>
    <w:rsid w:val="00CE1494"/>
    <w:rsid w:val="00CE2641"/>
    <w:rsid w:val="00CE5E0E"/>
    <w:rsid w:val="00CF0B9F"/>
    <w:rsid w:val="00CF2474"/>
    <w:rsid w:val="00CF3C39"/>
    <w:rsid w:val="00CF6DE4"/>
    <w:rsid w:val="00CF6EC4"/>
    <w:rsid w:val="00D025AA"/>
    <w:rsid w:val="00D02663"/>
    <w:rsid w:val="00D0633E"/>
    <w:rsid w:val="00D0645C"/>
    <w:rsid w:val="00D07DEB"/>
    <w:rsid w:val="00D10628"/>
    <w:rsid w:val="00D12E74"/>
    <w:rsid w:val="00D15955"/>
    <w:rsid w:val="00D20E84"/>
    <w:rsid w:val="00D21527"/>
    <w:rsid w:val="00D2260D"/>
    <w:rsid w:val="00D2312F"/>
    <w:rsid w:val="00D23B04"/>
    <w:rsid w:val="00D23B73"/>
    <w:rsid w:val="00D256FB"/>
    <w:rsid w:val="00D269C1"/>
    <w:rsid w:val="00D26A10"/>
    <w:rsid w:val="00D2732E"/>
    <w:rsid w:val="00D27521"/>
    <w:rsid w:val="00D27944"/>
    <w:rsid w:val="00D3347B"/>
    <w:rsid w:val="00D33829"/>
    <w:rsid w:val="00D34C73"/>
    <w:rsid w:val="00D3544F"/>
    <w:rsid w:val="00D361BA"/>
    <w:rsid w:val="00D3750F"/>
    <w:rsid w:val="00D37D99"/>
    <w:rsid w:val="00D40D8B"/>
    <w:rsid w:val="00D41B2F"/>
    <w:rsid w:val="00D41CC2"/>
    <w:rsid w:val="00D43E04"/>
    <w:rsid w:val="00D44953"/>
    <w:rsid w:val="00D46857"/>
    <w:rsid w:val="00D46C18"/>
    <w:rsid w:val="00D51BD3"/>
    <w:rsid w:val="00D53200"/>
    <w:rsid w:val="00D542F3"/>
    <w:rsid w:val="00D54513"/>
    <w:rsid w:val="00D54AAE"/>
    <w:rsid w:val="00D54B00"/>
    <w:rsid w:val="00D5644B"/>
    <w:rsid w:val="00D56E25"/>
    <w:rsid w:val="00D56F57"/>
    <w:rsid w:val="00D57E89"/>
    <w:rsid w:val="00D60E1A"/>
    <w:rsid w:val="00D6111A"/>
    <w:rsid w:val="00D6560D"/>
    <w:rsid w:val="00D65D77"/>
    <w:rsid w:val="00D662E0"/>
    <w:rsid w:val="00D667AF"/>
    <w:rsid w:val="00D7031C"/>
    <w:rsid w:val="00D71502"/>
    <w:rsid w:val="00D718D7"/>
    <w:rsid w:val="00D72803"/>
    <w:rsid w:val="00D77FE9"/>
    <w:rsid w:val="00D80B64"/>
    <w:rsid w:val="00D814B7"/>
    <w:rsid w:val="00D83671"/>
    <w:rsid w:val="00D863EB"/>
    <w:rsid w:val="00D871DD"/>
    <w:rsid w:val="00D87214"/>
    <w:rsid w:val="00D90688"/>
    <w:rsid w:val="00D90CF5"/>
    <w:rsid w:val="00D91310"/>
    <w:rsid w:val="00D91A38"/>
    <w:rsid w:val="00D955B9"/>
    <w:rsid w:val="00DA1CDA"/>
    <w:rsid w:val="00DA312F"/>
    <w:rsid w:val="00DA3AAD"/>
    <w:rsid w:val="00DA4F6A"/>
    <w:rsid w:val="00DA6478"/>
    <w:rsid w:val="00DB0099"/>
    <w:rsid w:val="00DB0804"/>
    <w:rsid w:val="00DB0C5A"/>
    <w:rsid w:val="00DB312B"/>
    <w:rsid w:val="00DB591B"/>
    <w:rsid w:val="00DB5AF1"/>
    <w:rsid w:val="00DB7309"/>
    <w:rsid w:val="00DC2D77"/>
    <w:rsid w:val="00DC5654"/>
    <w:rsid w:val="00DC577C"/>
    <w:rsid w:val="00DC5C86"/>
    <w:rsid w:val="00DC658F"/>
    <w:rsid w:val="00DC66A0"/>
    <w:rsid w:val="00DC674A"/>
    <w:rsid w:val="00DC6ABC"/>
    <w:rsid w:val="00DD2996"/>
    <w:rsid w:val="00DD34D3"/>
    <w:rsid w:val="00DD4A46"/>
    <w:rsid w:val="00DD6383"/>
    <w:rsid w:val="00DD7FAE"/>
    <w:rsid w:val="00DE0E4E"/>
    <w:rsid w:val="00DE340C"/>
    <w:rsid w:val="00DE35E9"/>
    <w:rsid w:val="00DE371F"/>
    <w:rsid w:val="00DE4D7A"/>
    <w:rsid w:val="00DE5E75"/>
    <w:rsid w:val="00DE60CC"/>
    <w:rsid w:val="00DF2DA1"/>
    <w:rsid w:val="00DF52CC"/>
    <w:rsid w:val="00DF6A36"/>
    <w:rsid w:val="00E01AB3"/>
    <w:rsid w:val="00E01FE1"/>
    <w:rsid w:val="00E02C47"/>
    <w:rsid w:val="00E06416"/>
    <w:rsid w:val="00E10624"/>
    <w:rsid w:val="00E1254B"/>
    <w:rsid w:val="00E1527E"/>
    <w:rsid w:val="00E1554C"/>
    <w:rsid w:val="00E169F6"/>
    <w:rsid w:val="00E1710F"/>
    <w:rsid w:val="00E202F7"/>
    <w:rsid w:val="00E22A20"/>
    <w:rsid w:val="00E26B32"/>
    <w:rsid w:val="00E31734"/>
    <w:rsid w:val="00E31CD4"/>
    <w:rsid w:val="00E31E60"/>
    <w:rsid w:val="00E33E08"/>
    <w:rsid w:val="00E34B6C"/>
    <w:rsid w:val="00E36239"/>
    <w:rsid w:val="00E368D7"/>
    <w:rsid w:val="00E37D09"/>
    <w:rsid w:val="00E407B6"/>
    <w:rsid w:val="00E41EF1"/>
    <w:rsid w:val="00E42942"/>
    <w:rsid w:val="00E45B9A"/>
    <w:rsid w:val="00E45C42"/>
    <w:rsid w:val="00E47903"/>
    <w:rsid w:val="00E5281F"/>
    <w:rsid w:val="00E53B97"/>
    <w:rsid w:val="00E543D9"/>
    <w:rsid w:val="00E55CF4"/>
    <w:rsid w:val="00E572D2"/>
    <w:rsid w:val="00E61C1F"/>
    <w:rsid w:val="00E6221F"/>
    <w:rsid w:val="00E64732"/>
    <w:rsid w:val="00E65A0A"/>
    <w:rsid w:val="00E71BDF"/>
    <w:rsid w:val="00E7269A"/>
    <w:rsid w:val="00E72E8A"/>
    <w:rsid w:val="00E733FF"/>
    <w:rsid w:val="00E739E4"/>
    <w:rsid w:val="00E74C59"/>
    <w:rsid w:val="00E75082"/>
    <w:rsid w:val="00E75CCB"/>
    <w:rsid w:val="00E8245B"/>
    <w:rsid w:val="00E82C21"/>
    <w:rsid w:val="00E82F59"/>
    <w:rsid w:val="00E83CA7"/>
    <w:rsid w:val="00E853EE"/>
    <w:rsid w:val="00E87442"/>
    <w:rsid w:val="00E92192"/>
    <w:rsid w:val="00E93BD1"/>
    <w:rsid w:val="00E95A71"/>
    <w:rsid w:val="00E97191"/>
    <w:rsid w:val="00E97387"/>
    <w:rsid w:val="00EA0087"/>
    <w:rsid w:val="00EA030C"/>
    <w:rsid w:val="00EA0343"/>
    <w:rsid w:val="00EA10F9"/>
    <w:rsid w:val="00EA2712"/>
    <w:rsid w:val="00EA2B81"/>
    <w:rsid w:val="00EA31F6"/>
    <w:rsid w:val="00EA571B"/>
    <w:rsid w:val="00EA5761"/>
    <w:rsid w:val="00EA6639"/>
    <w:rsid w:val="00EB19B3"/>
    <w:rsid w:val="00EB1B4A"/>
    <w:rsid w:val="00EB2D80"/>
    <w:rsid w:val="00EB363A"/>
    <w:rsid w:val="00EB382D"/>
    <w:rsid w:val="00EB38A8"/>
    <w:rsid w:val="00EB3C87"/>
    <w:rsid w:val="00EB4629"/>
    <w:rsid w:val="00EB5F3D"/>
    <w:rsid w:val="00EB6068"/>
    <w:rsid w:val="00EB633B"/>
    <w:rsid w:val="00EB7014"/>
    <w:rsid w:val="00EC5730"/>
    <w:rsid w:val="00EC5CDE"/>
    <w:rsid w:val="00EC60F2"/>
    <w:rsid w:val="00EC7FE4"/>
    <w:rsid w:val="00ED04E9"/>
    <w:rsid w:val="00ED3077"/>
    <w:rsid w:val="00ED487E"/>
    <w:rsid w:val="00ED5BCE"/>
    <w:rsid w:val="00ED64F1"/>
    <w:rsid w:val="00ED656C"/>
    <w:rsid w:val="00EE0D12"/>
    <w:rsid w:val="00EE2344"/>
    <w:rsid w:val="00EE2BED"/>
    <w:rsid w:val="00EE2E07"/>
    <w:rsid w:val="00EE33A1"/>
    <w:rsid w:val="00EE650A"/>
    <w:rsid w:val="00EE6C37"/>
    <w:rsid w:val="00EE7330"/>
    <w:rsid w:val="00EE7A0D"/>
    <w:rsid w:val="00EF076B"/>
    <w:rsid w:val="00EF276A"/>
    <w:rsid w:val="00EF295D"/>
    <w:rsid w:val="00EF4286"/>
    <w:rsid w:val="00EF4E3D"/>
    <w:rsid w:val="00EF57DE"/>
    <w:rsid w:val="00F0185C"/>
    <w:rsid w:val="00F0222C"/>
    <w:rsid w:val="00F024AD"/>
    <w:rsid w:val="00F052DF"/>
    <w:rsid w:val="00F06C0E"/>
    <w:rsid w:val="00F07449"/>
    <w:rsid w:val="00F11A77"/>
    <w:rsid w:val="00F12312"/>
    <w:rsid w:val="00F14BBF"/>
    <w:rsid w:val="00F15F69"/>
    <w:rsid w:val="00F160C3"/>
    <w:rsid w:val="00F177C7"/>
    <w:rsid w:val="00F17CE1"/>
    <w:rsid w:val="00F2115C"/>
    <w:rsid w:val="00F213ED"/>
    <w:rsid w:val="00F2286A"/>
    <w:rsid w:val="00F22ABA"/>
    <w:rsid w:val="00F25A99"/>
    <w:rsid w:val="00F26471"/>
    <w:rsid w:val="00F3137E"/>
    <w:rsid w:val="00F32AFB"/>
    <w:rsid w:val="00F349C9"/>
    <w:rsid w:val="00F3591A"/>
    <w:rsid w:val="00F35C30"/>
    <w:rsid w:val="00F364B1"/>
    <w:rsid w:val="00F36B12"/>
    <w:rsid w:val="00F37C66"/>
    <w:rsid w:val="00F43B5A"/>
    <w:rsid w:val="00F4438A"/>
    <w:rsid w:val="00F459FB"/>
    <w:rsid w:val="00F46FD2"/>
    <w:rsid w:val="00F47C64"/>
    <w:rsid w:val="00F47C70"/>
    <w:rsid w:val="00F504CA"/>
    <w:rsid w:val="00F506D5"/>
    <w:rsid w:val="00F53309"/>
    <w:rsid w:val="00F542B5"/>
    <w:rsid w:val="00F60F9F"/>
    <w:rsid w:val="00F61B42"/>
    <w:rsid w:val="00F6261C"/>
    <w:rsid w:val="00F635D9"/>
    <w:rsid w:val="00F6364C"/>
    <w:rsid w:val="00F64059"/>
    <w:rsid w:val="00F64DAB"/>
    <w:rsid w:val="00F64F08"/>
    <w:rsid w:val="00F70055"/>
    <w:rsid w:val="00F71150"/>
    <w:rsid w:val="00F71242"/>
    <w:rsid w:val="00F714F9"/>
    <w:rsid w:val="00F71D46"/>
    <w:rsid w:val="00F72B3A"/>
    <w:rsid w:val="00F734F5"/>
    <w:rsid w:val="00F73B5B"/>
    <w:rsid w:val="00F77107"/>
    <w:rsid w:val="00F822E7"/>
    <w:rsid w:val="00F857C7"/>
    <w:rsid w:val="00F87E19"/>
    <w:rsid w:val="00F90549"/>
    <w:rsid w:val="00F90A8E"/>
    <w:rsid w:val="00F90EA5"/>
    <w:rsid w:val="00F91F5A"/>
    <w:rsid w:val="00F92193"/>
    <w:rsid w:val="00F927DE"/>
    <w:rsid w:val="00F937E2"/>
    <w:rsid w:val="00F94673"/>
    <w:rsid w:val="00F94AA2"/>
    <w:rsid w:val="00F95C1C"/>
    <w:rsid w:val="00F96140"/>
    <w:rsid w:val="00F966B1"/>
    <w:rsid w:val="00F96E3D"/>
    <w:rsid w:val="00F97D48"/>
    <w:rsid w:val="00FA0311"/>
    <w:rsid w:val="00FA12CD"/>
    <w:rsid w:val="00FA1489"/>
    <w:rsid w:val="00FA1CEC"/>
    <w:rsid w:val="00FA39E1"/>
    <w:rsid w:val="00FA3E36"/>
    <w:rsid w:val="00FA5E18"/>
    <w:rsid w:val="00FA6137"/>
    <w:rsid w:val="00FB1C3F"/>
    <w:rsid w:val="00FB20A8"/>
    <w:rsid w:val="00FB26C5"/>
    <w:rsid w:val="00FB396D"/>
    <w:rsid w:val="00FB426E"/>
    <w:rsid w:val="00FB6F74"/>
    <w:rsid w:val="00FC06ED"/>
    <w:rsid w:val="00FC0C74"/>
    <w:rsid w:val="00FC0CA7"/>
    <w:rsid w:val="00FC0F7E"/>
    <w:rsid w:val="00FC4884"/>
    <w:rsid w:val="00FC705B"/>
    <w:rsid w:val="00FC764A"/>
    <w:rsid w:val="00FD054A"/>
    <w:rsid w:val="00FD12E8"/>
    <w:rsid w:val="00FD4158"/>
    <w:rsid w:val="00FD50F0"/>
    <w:rsid w:val="00FD640F"/>
    <w:rsid w:val="00FD6B4C"/>
    <w:rsid w:val="00FD7069"/>
    <w:rsid w:val="00FD71D8"/>
    <w:rsid w:val="00FE0553"/>
    <w:rsid w:val="00FE0DF9"/>
    <w:rsid w:val="00FE25D0"/>
    <w:rsid w:val="00FE2DE0"/>
    <w:rsid w:val="00FE38CB"/>
    <w:rsid w:val="00FE5D7D"/>
    <w:rsid w:val="00FE6CB3"/>
    <w:rsid w:val="00FF0766"/>
    <w:rsid w:val="00FF17CD"/>
    <w:rsid w:val="00FF1E5B"/>
    <w:rsid w:val="00FF411C"/>
    <w:rsid w:val="00FF4E99"/>
    <w:rsid w:val="00FF5176"/>
    <w:rsid w:val="00FF5B34"/>
    <w:rsid w:val="00FF5EA0"/>
    <w:rsid w:val="00FF6283"/>
    <w:rsid w:val="00FF7E10"/>
    <w:rsid w:val="00FF7E23"/>
    <w:rsid w:val="011C9BBB"/>
    <w:rsid w:val="011E2F52"/>
    <w:rsid w:val="0172D0A6"/>
    <w:rsid w:val="01891207"/>
    <w:rsid w:val="0197DF17"/>
    <w:rsid w:val="019C81A7"/>
    <w:rsid w:val="02074333"/>
    <w:rsid w:val="020BA998"/>
    <w:rsid w:val="02201C19"/>
    <w:rsid w:val="02332673"/>
    <w:rsid w:val="024515B6"/>
    <w:rsid w:val="02475724"/>
    <w:rsid w:val="0250CCAE"/>
    <w:rsid w:val="028B1F23"/>
    <w:rsid w:val="02C1B86A"/>
    <w:rsid w:val="02CA58E6"/>
    <w:rsid w:val="031ACF78"/>
    <w:rsid w:val="031E835D"/>
    <w:rsid w:val="03323072"/>
    <w:rsid w:val="036A5BE4"/>
    <w:rsid w:val="037593CA"/>
    <w:rsid w:val="03992DD0"/>
    <w:rsid w:val="03EB46E1"/>
    <w:rsid w:val="03F7B1C3"/>
    <w:rsid w:val="0420B336"/>
    <w:rsid w:val="04566B13"/>
    <w:rsid w:val="04576E43"/>
    <w:rsid w:val="0467C653"/>
    <w:rsid w:val="048E313E"/>
    <w:rsid w:val="0491C0B8"/>
    <w:rsid w:val="04EFAD33"/>
    <w:rsid w:val="04F9558E"/>
    <w:rsid w:val="050C1558"/>
    <w:rsid w:val="0511EC8B"/>
    <w:rsid w:val="0513ABE0"/>
    <w:rsid w:val="05171454"/>
    <w:rsid w:val="0558D5A0"/>
    <w:rsid w:val="056CDD96"/>
    <w:rsid w:val="05AD2458"/>
    <w:rsid w:val="05B7C8D2"/>
    <w:rsid w:val="05D0A1B8"/>
    <w:rsid w:val="05EA1891"/>
    <w:rsid w:val="0611C3D6"/>
    <w:rsid w:val="061C9DC4"/>
    <w:rsid w:val="062C9C1C"/>
    <w:rsid w:val="063BEF01"/>
    <w:rsid w:val="064287CB"/>
    <w:rsid w:val="0646493C"/>
    <w:rsid w:val="064ED8D2"/>
    <w:rsid w:val="066FDD4A"/>
    <w:rsid w:val="06B65007"/>
    <w:rsid w:val="06BD5EBA"/>
    <w:rsid w:val="06ED82C4"/>
    <w:rsid w:val="0700C071"/>
    <w:rsid w:val="0712DBBC"/>
    <w:rsid w:val="072DF0C4"/>
    <w:rsid w:val="0733F31D"/>
    <w:rsid w:val="07570862"/>
    <w:rsid w:val="07744879"/>
    <w:rsid w:val="07A47634"/>
    <w:rsid w:val="07CBD826"/>
    <w:rsid w:val="07D16BA6"/>
    <w:rsid w:val="07D534E4"/>
    <w:rsid w:val="07E2A496"/>
    <w:rsid w:val="07E5739C"/>
    <w:rsid w:val="07F9F278"/>
    <w:rsid w:val="08157BA6"/>
    <w:rsid w:val="08312826"/>
    <w:rsid w:val="08496ABD"/>
    <w:rsid w:val="08866465"/>
    <w:rsid w:val="088A656F"/>
    <w:rsid w:val="08C2D0B9"/>
    <w:rsid w:val="090B5E15"/>
    <w:rsid w:val="091365A4"/>
    <w:rsid w:val="091D6335"/>
    <w:rsid w:val="09235782"/>
    <w:rsid w:val="092DD4BE"/>
    <w:rsid w:val="093F5796"/>
    <w:rsid w:val="0944E73C"/>
    <w:rsid w:val="098AA779"/>
    <w:rsid w:val="09C70F5A"/>
    <w:rsid w:val="09D3865E"/>
    <w:rsid w:val="09DBD679"/>
    <w:rsid w:val="09E87809"/>
    <w:rsid w:val="09ED8F76"/>
    <w:rsid w:val="0A0EC848"/>
    <w:rsid w:val="0A776131"/>
    <w:rsid w:val="0A7CC0AA"/>
    <w:rsid w:val="0AA868F9"/>
    <w:rsid w:val="0AC03E2F"/>
    <w:rsid w:val="0ADF40AC"/>
    <w:rsid w:val="0AEDC48F"/>
    <w:rsid w:val="0B0E693D"/>
    <w:rsid w:val="0B0FFCD4"/>
    <w:rsid w:val="0B12327B"/>
    <w:rsid w:val="0B1DB456"/>
    <w:rsid w:val="0B1E269D"/>
    <w:rsid w:val="0B3BB001"/>
    <w:rsid w:val="0B3CFA56"/>
    <w:rsid w:val="0B45E3FB"/>
    <w:rsid w:val="0B598A6D"/>
    <w:rsid w:val="0B5AFE3B"/>
    <w:rsid w:val="0B7BAD81"/>
    <w:rsid w:val="0B87B2C1"/>
    <w:rsid w:val="0B947137"/>
    <w:rsid w:val="0B9BED88"/>
    <w:rsid w:val="0B9FDEFF"/>
    <w:rsid w:val="0BB4E314"/>
    <w:rsid w:val="0C3AEB0E"/>
    <w:rsid w:val="0C50D612"/>
    <w:rsid w:val="0C735658"/>
    <w:rsid w:val="0C95C566"/>
    <w:rsid w:val="0CB81A76"/>
    <w:rsid w:val="0CBB8A4C"/>
    <w:rsid w:val="0CCA75DC"/>
    <w:rsid w:val="0CE80410"/>
    <w:rsid w:val="0D44B3B4"/>
    <w:rsid w:val="0D558465"/>
    <w:rsid w:val="0D6189A5"/>
    <w:rsid w:val="0D6D7DD2"/>
    <w:rsid w:val="0D8E9D52"/>
    <w:rsid w:val="0DCD6D23"/>
    <w:rsid w:val="0DD1598D"/>
    <w:rsid w:val="0E1BD714"/>
    <w:rsid w:val="0E346A81"/>
    <w:rsid w:val="0E54CB4B"/>
    <w:rsid w:val="0E64F3D8"/>
    <w:rsid w:val="0EA6F56F"/>
    <w:rsid w:val="0EA837BE"/>
    <w:rsid w:val="0EDDB527"/>
    <w:rsid w:val="0F07AF09"/>
    <w:rsid w:val="0F21B2F4"/>
    <w:rsid w:val="0F2ACD71"/>
    <w:rsid w:val="0F2CFD69"/>
    <w:rsid w:val="0F40C311"/>
    <w:rsid w:val="0F661871"/>
    <w:rsid w:val="0F7D784B"/>
    <w:rsid w:val="0F8E70BF"/>
    <w:rsid w:val="0FA74407"/>
    <w:rsid w:val="0FBA50AA"/>
    <w:rsid w:val="0FD805DE"/>
    <w:rsid w:val="0FEAA75F"/>
    <w:rsid w:val="102CA69D"/>
    <w:rsid w:val="106053C2"/>
    <w:rsid w:val="1065D3F1"/>
    <w:rsid w:val="1067D6C7"/>
    <w:rsid w:val="1087BFEA"/>
    <w:rsid w:val="10AE941E"/>
    <w:rsid w:val="10DD89DE"/>
    <w:rsid w:val="11244735"/>
    <w:rsid w:val="112A08B1"/>
    <w:rsid w:val="119F8D7A"/>
    <w:rsid w:val="11A7C390"/>
    <w:rsid w:val="11E2BA79"/>
    <w:rsid w:val="11F5F826"/>
    <w:rsid w:val="11F75948"/>
    <w:rsid w:val="1241ADAB"/>
    <w:rsid w:val="1250A9FD"/>
    <w:rsid w:val="12584557"/>
    <w:rsid w:val="12587F73"/>
    <w:rsid w:val="125A7066"/>
    <w:rsid w:val="1283523C"/>
    <w:rsid w:val="1293C6BC"/>
    <w:rsid w:val="12A43426"/>
    <w:rsid w:val="12B18790"/>
    <w:rsid w:val="12D8BDAB"/>
    <w:rsid w:val="13090688"/>
    <w:rsid w:val="134517DE"/>
    <w:rsid w:val="1345E12C"/>
    <w:rsid w:val="139730EF"/>
    <w:rsid w:val="139B2CFE"/>
    <w:rsid w:val="13B96934"/>
    <w:rsid w:val="13C252D9"/>
    <w:rsid w:val="13D76D19"/>
    <w:rsid w:val="13DF27CE"/>
    <w:rsid w:val="140749C8"/>
    <w:rsid w:val="14185C66"/>
    <w:rsid w:val="143151F2"/>
    <w:rsid w:val="14732D46"/>
    <w:rsid w:val="1487080B"/>
    <w:rsid w:val="149F607F"/>
    <w:rsid w:val="14CF5359"/>
    <w:rsid w:val="14DA8E50"/>
    <w:rsid w:val="14DD22BB"/>
    <w:rsid w:val="14DF9211"/>
    <w:rsid w:val="14E7157F"/>
    <w:rsid w:val="15078BD2"/>
    <w:rsid w:val="15095592"/>
    <w:rsid w:val="150CB449"/>
    <w:rsid w:val="1518A2A1"/>
    <w:rsid w:val="1533C006"/>
    <w:rsid w:val="1535866E"/>
    <w:rsid w:val="153B7ABB"/>
    <w:rsid w:val="155E87E1"/>
    <w:rsid w:val="1564AEFF"/>
    <w:rsid w:val="156F6F7D"/>
    <w:rsid w:val="157C5C98"/>
    <w:rsid w:val="158CD7D4"/>
    <w:rsid w:val="15AD6F2C"/>
    <w:rsid w:val="15BE66C4"/>
    <w:rsid w:val="15E7FF93"/>
    <w:rsid w:val="16107FC1"/>
    <w:rsid w:val="1622EF72"/>
    <w:rsid w:val="1638A5A1"/>
    <w:rsid w:val="1638F0A1"/>
    <w:rsid w:val="1682D011"/>
    <w:rsid w:val="16A52B24"/>
    <w:rsid w:val="16AAB241"/>
    <w:rsid w:val="16B00782"/>
    <w:rsid w:val="16B35EEE"/>
    <w:rsid w:val="16ECF81B"/>
    <w:rsid w:val="16F95C23"/>
    <w:rsid w:val="170E9309"/>
    <w:rsid w:val="1717F685"/>
    <w:rsid w:val="1727ED3C"/>
    <w:rsid w:val="1733E40B"/>
    <w:rsid w:val="1734B591"/>
    <w:rsid w:val="176B5094"/>
    <w:rsid w:val="178985EC"/>
    <w:rsid w:val="179172DA"/>
    <w:rsid w:val="17A23EEF"/>
    <w:rsid w:val="17F4F466"/>
    <w:rsid w:val="1811011D"/>
    <w:rsid w:val="181188BB"/>
    <w:rsid w:val="183668FC"/>
    <w:rsid w:val="184ECBF1"/>
    <w:rsid w:val="185020A2"/>
    <w:rsid w:val="18772DAE"/>
    <w:rsid w:val="18806839"/>
    <w:rsid w:val="18D00ADE"/>
    <w:rsid w:val="18E755EE"/>
    <w:rsid w:val="192ED962"/>
    <w:rsid w:val="1938E4CF"/>
    <w:rsid w:val="1942FC69"/>
    <w:rsid w:val="194E5823"/>
    <w:rsid w:val="195714A6"/>
    <w:rsid w:val="19870780"/>
    <w:rsid w:val="19A2EBBA"/>
    <w:rsid w:val="19DD0B5E"/>
    <w:rsid w:val="1A00A564"/>
    <w:rsid w:val="1A0763FA"/>
    <w:rsid w:val="1A1640F1"/>
    <w:rsid w:val="1A322BD5"/>
    <w:rsid w:val="1A34617C"/>
    <w:rsid w:val="1A51C256"/>
    <w:rsid w:val="1A891CDD"/>
    <w:rsid w:val="1AA0DA4B"/>
    <w:rsid w:val="1AA9E1C2"/>
    <w:rsid w:val="1AB114EE"/>
    <w:rsid w:val="1AB38C8E"/>
    <w:rsid w:val="1AB8283C"/>
    <w:rsid w:val="1AC04C62"/>
    <w:rsid w:val="1AD470EC"/>
    <w:rsid w:val="1AE85F93"/>
    <w:rsid w:val="1AE97E15"/>
    <w:rsid w:val="1B1D69CA"/>
    <w:rsid w:val="1B329049"/>
    <w:rsid w:val="1B52EAC7"/>
    <w:rsid w:val="1B59B18B"/>
    <w:rsid w:val="1B8D7967"/>
    <w:rsid w:val="1B933CBC"/>
    <w:rsid w:val="1B960881"/>
    <w:rsid w:val="1BCE1166"/>
    <w:rsid w:val="1BDA7C48"/>
    <w:rsid w:val="1BE4AA0D"/>
    <w:rsid w:val="1BE54185"/>
    <w:rsid w:val="1BE82F47"/>
    <w:rsid w:val="1C011FDB"/>
    <w:rsid w:val="1C1D1557"/>
    <w:rsid w:val="1C83B8A6"/>
    <w:rsid w:val="1C920635"/>
    <w:rsid w:val="1C92C65D"/>
    <w:rsid w:val="1C9889EA"/>
    <w:rsid w:val="1CC82E58"/>
    <w:rsid w:val="1CD9C233"/>
    <w:rsid w:val="1CE61B07"/>
    <w:rsid w:val="1D0C11F2"/>
    <w:rsid w:val="1D60C64C"/>
    <w:rsid w:val="1D7E0663"/>
    <w:rsid w:val="1D898649"/>
    <w:rsid w:val="1DAFEE6B"/>
    <w:rsid w:val="1DB02EE4"/>
    <w:rsid w:val="1DB4600C"/>
    <w:rsid w:val="1DB5B3F2"/>
    <w:rsid w:val="1DC169BB"/>
    <w:rsid w:val="1DD5B015"/>
    <w:rsid w:val="1E0E1B5F"/>
    <w:rsid w:val="1E215E7D"/>
    <w:rsid w:val="1E27A863"/>
    <w:rsid w:val="1E3D5964"/>
    <w:rsid w:val="1E412461"/>
    <w:rsid w:val="1E63FDAE"/>
    <w:rsid w:val="1E6C9F52"/>
    <w:rsid w:val="1E7EC43A"/>
    <w:rsid w:val="1E8F35C3"/>
    <w:rsid w:val="1EB49B60"/>
    <w:rsid w:val="1EC40AD2"/>
    <w:rsid w:val="1ECC8EA3"/>
    <w:rsid w:val="1ECDEF69"/>
    <w:rsid w:val="1EF89006"/>
    <w:rsid w:val="1F145DEC"/>
    <w:rsid w:val="1F151BFF"/>
    <w:rsid w:val="1F2C3C55"/>
    <w:rsid w:val="1F2D36DC"/>
    <w:rsid w:val="1F3A9D30"/>
    <w:rsid w:val="1F3FE3DA"/>
    <w:rsid w:val="1F4CB11E"/>
    <w:rsid w:val="1F512BCD"/>
    <w:rsid w:val="1F7F614E"/>
    <w:rsid w:val="1FDAB646"/>
    <w:rsid w:val="1FE1AE7F"/>
    <w:rsid w:val="1FE59463"/>
    <w:rsid w:val="2011E73D"/>
    <w:rsid w:val="20126A5E"/>
    <w:rsid w:val="2014BCF4"/>
    <w:rsid w:val="20188632"/>
    <w:rsid w:val="20862A90"/>
    <w:rsid w:val="2097CF96"/>
    <w:rsid w:val="20A2413F"/>
    <w:rsid w:val="20B842BE"/>
    <w:rsid w:val="210A68C3"/>
    <w:rsid w:val="2112DE1B"/>
    <w:rsid w:val="21181CC3"/>
    <w:rsid w:val="215AC036"/>
    <w:rsid w:val="218959E9"/>
    <w:rsid w:val="219170AB"/>
    <w:rsid w:val="21C329ED"/>
    <w:rsid w:val="21F36102"/>
    <w:rsid w:val="224630FC"/>
    <w:rsid w:val="227C1823"/>
    <w:rsid w:val="2282722B"/>
    <w:rsid w:val="22BE7620"/>
    <w:rsid w:val="22D74217"/>
    <w:rsid w:val="22FB2EB6"/>
    <w:rsid w:val="232FE6ED"/>
    <w:rsid w:val="234BF870"/>
    <w:rsid w:val="235F424F"/>
    <w:rsid w:val="236A0A05"/>
    <w:rsid w:val="236FEED8"/>
    <w:rsid w:val="237F8256"/>
    <w:rsid w:val="2399D8A8"/>
    <w:rsid w:val="239C0E4F"/>
    <w:rsid w:val="23A16E91"/>
    <w:rsid w:val="23A49DE5"/>
    <w:rsid w:val="23D72B0D"/>
    <w:rsid w:val="23D78FB4"/>
    <w:rsid w:val="2406866F"/>
    <w:rsid w:val="2420400E"/>
    <w:rsid w:val="24335120"/>
    <w:rsid w:val="2441FEF6"/>
    <w:rsid w:val="245A1E68"/>
    <w:rsid w:val="245E8F40"/>
    <w:rsid w:val="24A7A371"/>
    <w:rsid w:val="24ECFF07"/>
    <w:rsid w:val="25031126"/>
    <w:rsid w:val="25208D02"/>
    <w:rsid w:val="254EA1CD"/>
    <w:rsid w:val="25586D62"/>
    <w:rsid w:val="257AE7F9"/>
    <w:rsid w:val="25B8A67B"/>
    <w:rsid w:val="25CF2088"/>
    <w:rsid w:val="25CFE037"/>
    <w:rsid w:val="25E009E1"/>
    <w:rsid w:val="260B286D"/>
    <w:rsid w:val="260D2804"/>
    <w:rsid w:val="262FC87D"/>
    <w:rsid w:val="263C46DF"/>
    <w:rsid w:val="264888A6"/>
    <w:rsid w:val="2656B17F"/>
    <w:rsid w:val="2657986E"/>
    <w:rsid w:val="266C756B"/>
    <w:rsid w:val="26735B19"/>
    <w:rsid w:val="26844679"/>
    <w:rsid w:val="268A8A3D"/>
    <w:rsid w:val="26A044ED"/>
    <w:rsid w:val="26C6ADB2"/>
    <w:rsid w:val="26DE80F2"/>
    <w:rsid w:val="26E7F10E"/>
    <w:rsid w:val="26EB43D7"/>
    <w:rsid w:val="26F06B10"/>
    <w:rsid w:val="2733C69B"/>
    <w:rsid w:val="273D5CE8"/>
    <w:rsid w:val="277A83F2"/>
    <w:rsid w:val="277ED21A"/>
    <w:rsid w:val="2794B306"/>
    <w:rsid w:val="27DF1162"/>
    <w:rsid w:val="27E733C1"/>
    <w:rsid w:val="27F239DF"/>
    <w:rsid w:val="27FBD02C"/>
    <w:rsid w:val="28302657"/>
    <w:rsid w:val="284B6B95"/>
    <w:rsid w:val="285C2C73"/>
    <w:rsid w:val="285E3A03"/>
    <w:rsid w:val="28898748"/>
    <w:rsid w:val="288F6501"/>
    <w:rsid w:val="2892BF69"/>
    <w:rsid w:val="289D84A6"/>
    <w:rsid w:val="28ABD37E"/>
    <w:rsid w:val="28BA7641"/>
    <w:rsid w:val="29050F64"/>
    <w:rsid w:val="29052091"/>
    <w:rsid w:val="290D26CC"/>
    <w:rsid w:val="29110890"/>
    <w:rsid w:val="2918BBD0"/>
    <w:rsid w:val="292E95C1"/>
    <w:rsid w:val="29363886"/>
    <w:rsid w:val="29835B2E"/>
    <w:rsid w:val="298B3CEC"/>
    <w:rsid w:val="29D1B599"/>
    <w:rsid w:val="2A19D3B6"/>
    <w:rsid w:val="2A1A9DFF"/>
    <w:rsid w:val="2A5C4728"/>
    <w:rsid w:val="2A64D750"/>
    <w:rsid w:val="2A98F28D"/>
    <w:rsid w:val="2AAFF9A5"/>
    <w:rsid w:val="2AB541AD"/>
    <w:rsid w:val="2AC4C19E"/>
    <w:rsid w:val="2AD423AD"/>
    <w:rsid w:val="2AD91143"/>
    <w:rsid w:val="2AF292B4"/>
    <w:rsid w:val="2B1DC746"/>
    <w:rsid w:val="2B3B5E74"/>
    <w:rsid w:val="2B4538A5"/>
    <w:rsid w:val="2B518464"/>
    <w:rsid w:val="2B57D442"/>
    <w:rsid w:val="2B9CFE02"/>
    <w:rsid w:val="2B9DC0F9"/>
    <w:rsid w:val="2BA4BF16"/>
    <w:rsid w:val="2BB4F76F"/>
    <w:rsid w:val="2BDAF35B"/>
    <w:rsid w:val="2BDC7B76"/>
    <w:rsid w:val="2BDE2955"/>
    <w:rsid w:val="2BE2950A"/>
    <w:rsid w:val="2BF14CBA"/>
    <w:rsid w:val="2C0C1346"/>
    <w:rsid w:val="2C1288E0"/>
    <w:rsid w:val="2C5D741C"/>
    <w:rsid w:val="2C6214B5"/>
    <w:rsid w:val="2C6F793C"/>
    <w:rsid w:val="2C712D7E"/>
    <w:rsid w:val="2C77E64F"/>
    <w:rsid w:val="2CA0103B"/>
    <w:rsid w:val="2CB69B3A"/>
    <w:rsid w:val="2CD65729"/>
    <w:rsid w:val="2CD72CDB"/>
    <w:rsid w:val="2CF4C5E7"/>
    <w:rsid w:val="2D1583ED"/>
    <w:rsid w:val="2D1754D4"/>
    <w:rsid w:val="2D19B1B9"/>
    <w:rsid w:val="2D31AB26"/>
    <w:rsid w:val="2D617566"/>
    <w:rsid w:val="2D696DE5"/>
    <w:rsid w:val="2D6E6A5E"/>
    <w:rsid w:val="2DAEBF1F"/>
    <w:rsid w:val="2DB4155D"/>
    <w:rsid w:val="2DCA2697"/>
    <w:rsid w:val="2DD08073"/>
    <w:rsid w:val="2DDC0F24"/>
    <w:rsid w:val="2E1DD4B0"/>
    <w:rsid w:val="2E644882"/>
    <w:rsid w:val="2EAD1442"/>
    <w:rsid w:val="2EB0DD1A"/>
    <w:rsid w:val="2EC9927D"/>
    <w:rsid w:val="2ED9C8C8"/>
    <w:rsid w:val="2EE1CD88"/>
    <w:rsid w:val="2EE6BEC3"/>
    <w:rsid w:val="2F34F003"/>
    <w:rsid w:val="2F62C05D"/>
    <w:rsid w:val="2F677FE4"/>
    <w:rsid w:val="2F7241DA"/>
    <w:rsid w:val="2FCF7EA6"/>
    <w:rsid w:val="2FDC3DC3"/>
    <w:rsid w:val="2FF04908"/>
    <w:rsid w:val="30026FC0"/>
    <w:rsid w:val="303A4046"/>
    <w:rsid w:val="304E3995"/>
    <w:rsid w:val="3069D5C5"/>
    <w:rsid w:val="30BF274F"/>
    <w:rsid w:val="30CEEE13"/>
    <w:rsid w:val="30F1EE30"/>
    <w:rsid w:val="3103ECCC"/>
    <w:rsid w:val="310D9AB0"/>
    <w:rsid w:val="310EF6F6"/>
    <w:rsid w:val="313C2BC9"/>
    <w:rsid w:val="31402550"/>
    <w:rsid w:val="31966FC9"/>
    <w:rsid w:val="31EB29E0"/>
    <w:rsid w:val="31F6ADF8"/>
    <w:rsid w:val="3232923E"/>
    <w:rsid w:val="32355724"/>
    <w:rsid w:val="3248CA91"/>
    <w:rsid w:val="32970CDD"/>
    <w:rsid w:val="32B3F74B"/>
    <w:rsid w:val="32C26116"/>
    <w:rsid w:val="32DB3983"/>
    <w:rsid w:val="32E9052B"/>
    <w:rsid w:val="33570825"/>
    <w:rsid w:val="339AE7AF"/>
    <w:rsid w:val="33BCA44B"/>
    <w:rsid w:val="33EADBC7"/>
    <w:rsid w:val="3414580C"/>
    <w:rsid w:val="347892E3"/>
    <w:rsid w:val="347C384F"/>
    <w:rsid w:val="34888224"/>
    <w:rsid w:val="34AAAFD1"/>
    <w:rsid w:val="34C14878"/>
    <w:rsid w:val="34CAABF4"/>
    <w:rsid w:val="34D06979"/>
    <w:rsid w:val="355BDE1B"/>
    <w:rsid w:val="358FFA74"/>
    <w:rsid w:val="35BA7887"/>
    <w:rsid w:val="35C60621"/>
    <w:rsid w:val="35D4861C"/>
    <w:rsid w:val="360D72D8"/>
    <w:rsid w:val="36586754"/>
    <w:rsid w:val="365E816C"/>
    <w:rsid w:val="366842CE"/>
    <w:rsid w:val="36782787"/>
    <w:rsid w:val="3684C653"/>
    <w:rsid w:val="36A9DFAD"/>
    <w:rsid w:val="36F652B4"/>
    <w:rsid w:val="371F8731"/>
    <w:rsid w:val="378367F9"/>
    <w:rsid w:val="37A93361"/>
    <w:rsid w:val="37BF8B6E"/>
    <w:rsid w:val="37C5434D"/>
    <w:rsid w:val="37DDFA75"/>
    <w:rsid w:val="37F17686"/>
    <w:rsid w:val="3800E707"/>
    <w:rsid w:val="38183689"/>
    <w:rsid w:val="3820B9FB"/>
    <w:rsid w:val="384E66E2"/>
    <w:rsid w:val="3861F44B"/>
    <w:rsid w:val="3865E077"/>
    <w:rsid w:val="3885D60D"/>
    <w:rsid w:val="3893C845"/>
    <w:rsid w:val="38B91161"/>
    <w:rsid w:val="38C58557"/>
    <w:rsid w:val="38F21949"/>
    <w:rsid w:val="390771D1"/>
    <w:rsid w:val="39AE5BCF"/>
    <w:rsid w:val="39B63B46"/>
    <w:rsid w:val="39B993CF"/>
    <w:rsid w:val="39D94B44"/>
    <w:rsid w:val="3A1B957B"/>
    <w:rsid w:val="3A1EA8D0"/>
    <w:rsid w:val="3A2EC7CD"/>
    <w:rsid w:val="3A3D0F0A"/>
    <w:rsid w:val="3A543E2E"/>
    <w:rsid w:val="3A5CA677"/>
    <w:rsid w:val="3A5CB799"/>
    <w:rsid w:val="3A786FAC"/>
    <w:rsid w:val="3A8DE9AA"/>
    <w:rsid w:val="3A9F5C3B"/>
    <w:rsid w:val="3ABD669B"/>
    <w:rsid w:val="3ACCAD03"/>
    <w:rsid w:val="3ACEB79D"/>
    <w:rsid w:val="3ADF5001"/>
    <w:rsid w:val="3AE12A59"/>
    <w:rsid w:val="3B287FD0"/>
    <w:rsid w:val="3B508568"/>
    <w:rsid w:val="3B58EB80"/>
    <w:rsid w:val="3B631724"/>
    <w:rsid w:val="3B63E072"/>
    <w:rsid w:val="3B7FA31D"/>
    <w:rsid w:val="3B8832B3"/>
    <w:rsid w:val="3B89396A"/>
    <w:rsid w:val="3BB79291"/>
    <w:rsid w:val="3BD01BCC"/>
    <w:rsid w:val="3BD729A4"/>
    <w:rsid w:val="3BD7687A"/>
    <w:rsid w:val="3BDAED72"/>
    <w:rsid w:val="3BE6F314"/>
    <w:rsid w:val="3BF4AF18"/>
    <w:rsid w:val="3C16E5EE"/>
    <w:rsid w:val="3C218A68"/>
    <w:rsid w:val="3C21C40B"/>
    <w:rsid w:val="3C4F3492"/>
    <w:rsid w:val="3C6717D4"/>
    <w:rsid w:val="3C7D1903"/>
    <w:rsid w:val="3C951270"/>
    <w:rsid w:val="3C9B06BD"/>
    <w:rsid w:val="3CADD52B"/>
    <w:rsid w:val="3CBC30D5"/>
    <w:rsid w:val="3CD9E6D5"/>
    <w:rsid w:val="3CFB1972"/>
    <w:rsid w:val="3D23E999"/>
    <w:rsid w:val="3D471AD2"/>
    <w:rsid w:val="3D576FCE"/>
    <w:rsid w:val="3D6C159E"/>
    <w:rsid w:val="3DA3D85D"/>
    <w:rsid w:val="3DB13F5E"/>
    <w:rsid w:val="3DC0C9F8"/>
    <w:rsid w:val="3DC610A2"/>
    <w:rsid w:val="3E058E16"/>
    <w:rsid w:val="3E0DAD72"/>
    <w:rsid w:val="3E1ABD37"/>
    <w:rsid w:val="3E26CA3C"/>
    <w:rsid w:val="3E3D62E3"/>
    <w:rsid w:val="3E40EEB8"/>
    <w:rsid w:val="3E4441E0"/>
    <w:rsid w:val="3E6DD36D"/>
    <w:rsid w:val="3E6E0265"/>
    <w:rsid w:val="3EC8B187"/>
    <w:rsid w:val="3ECED8A5"/>
    <w:rsid w:val="3ED38452"/>
    <w:rsid w:val="3EDC9485"/>
    <w:rsid w:val="3EE4CDB8"/>
    <w:rsid w:val="3EE9128C"/>
    <w:rsid w:val="3F1DFC5E"/>
    <w:rsid w:val="3F45EC82"/>
    <w:rsid w:val="3F486E36"/>
    <w:rsid w:val="3F595D00"/>
    <w:rsid w:val="3F6A01BC"/>
    <w:rsid w:val="3F764108"/>
    <w:rsid w:val="3F8D1918"/>
    <w:rsid w:val="3F9FE786"/>
    <w:rsid w:val="3FC76B8D"/>
    <w:rsid w:val="3FD5CEAD"/>
    <w:rsid w:val="4002CC2F"/>
    <w:rsid w:val="400B9833"/>
    <w:rsid w:val="4041B22B"/>
    <w:rsid w:val="40591420"/>
    <w:rsid w:val="40CA958C"/>
    <w:rsid w:val="40D0A0BA"/>
    <w:rsid w:val="4107C9F9"/>
    <w:rsid w:val="41223BED"/>
    <w:rsid w:val="413036B6"/>
    <w:rsid w:val="4138FD2D"/>
    <w:rsid w:val="41545DFC"/>
    <w:rsid w:val="4159EDA2"/>
    <w:rsid w:val="416C497D"/>
    <w:rsid w:val="41782AD3"/>
    <w:rsid w:val="4179BE6A"/>
    <w:rsid w:val="41A11D66"/>
    <w:rsid w:val="41BAC3E2"/>
    <w:rsid w:val="41C0EB00"/>
    <w:rsid w:val="41D0DA41"/>
    <w:rsid w:val="41F185B4"/>
    <w:rsid w:val="41F9D8A4"/>
    <w:rsid w:val="42200570"/>
    <w:rsid w:val="422AE34F"/>
    <w:rsid w:val="423F9CEC"/>
    <w:rsid w:val="4243CAD1"/>
    <w:rsid w:val="4261C7BC"/>
    <w:rsid w:val="42D6F0D0"/>
    <w:rsid w:val="42F547E9"/>
    <w:rsid w:val="43236FA3"/>
    <w:rsid w:val="432996B6"/>
    <w:rsid w:val="434B267B"/>
    <w:rsid w:val="435E0688"/>
    <w:rsid w:val="435E2C67"/>
    <w:rsid w:val="4360C208"/>
    <w:rsid w:val="4390C28B"/>
    <w:rsid w:val="43978323"/>
    <w:rsid w:val="439EF659"/>
    <w:rsid w:val="43C2700F"/>
    <w:rsid w:val="43EE061F"/>
    <w:rsid w:val="43F45746"/>
    <w:rsid w:val="43F8EDEA"/>
    <w:rsid w:val="43F9DC54"/>
    <w:rsid w:val="44499880"/>
    <w:rsid w:val="445ACAFF"/>
    <w:rsid w:val="445C2983"/>
    <w:rsid w:val="447E48AC"/>
    <w:rsid w:val="4480D8A0"/>
    <w:rsid w:val="449DF946"/>
    <w:rsid w:val="44A93FD0"/>
    <w:rsid w:val="44BF8900"/>
    <w:rsid w:val="44FD4687"/>
    <w:rsid w:val="450E240E"/>
    <w:rsid w:val="451FE8AB"/>
    <w:rsid w:val="452FA215"/>
    <w:rsid w:val="455F6561"/>
    <w:rsid w:val="4565D006"/>
    <w:rsid w:val="457A0035"/>
    <w:rsid w:val="4599DDC7"/>
    <w:rsid w:val="45AEB86C"/>
    <w:rsid w:val="45CF2A49"/>
    <w:rsid w:val="45DF9BD2"/>
    <w:rsid w:val="45FAC80A"/>
    <w:rsid w:val="46135CC3"/>
    <w:rsid w:val="4625D6E1"/>
    <w:rsid w:val="46876346"/>
    <w:rsid w:val="46927ACB"/>
    <w:rsid w:val="469B2224"/>
    <w:rsid w:val="46AA3519"/>
    <w:rsid w:val="46AEFA76"/>
    <w:rsid w:val="46CF00FC"/>
    <w:rsid w:val="46D261AB"/>
    <w:rsid w:val="46E83009"/>
    <w:rsid w:val="46F6B3EC"/>
    <w:rsid w:val="479C964B"/>
    <w:rsid w:val="47A6ED68"/>
    <w:rsid w:val="47A9012D"/>
    <w:rsid w:val="48368578"/>
    <w:rsid w:val="483897A3"/>
    <w:rsid w:val="4873B6D5"/>
    <w:rsid w:val="4878A222"/>
    <w:rsid w:val="4885375C"/>
    <w:rsid w:val="4888D15A"/>
    <w:rsid w:val="48904A57"/>
    <w:rsid w:val="48A0CAC7"/>
    <w:rsid w:val="48BA5D7A"/>
    <w:rsid w:val="48C13CA4"/>
    <w:rsid w:val="48DF7AAA"/>
    <w:rsid w:val="490616ED"/>
    <w:rsid w:val="49102A99"/>
    <w:rsid w:val="491DFA2F"/>
    <w:rsid w:val="4937BA04"/>
    <w:rsid w:val="499A9EAD"/>
    <w:rsid w:val="49BEFB86"/>
    <w:rsid w:val="49F499B1"/>
    <w:rsid w:val="4A03306F"/>
    <w:rsid w:val="4A105C5C"/>
    <w:rsid w:val="4A4AAED1"/>
    <w:rsid w:val="4A790225"/>
    <w:rsid w:val="4A7F1D62"/>
    <w:rsid w:val="4A9B1388"/>
    <w:rsid w:val="4AA6D4E4"/>
    <w:rsid w:val="4AB46DBB"/>
    <w:rsid w:val="4AB53FD1"/>
    <w:rsid w:val="4AC4F56F"/>
    <w:rsid w:val="4AC7F464"/>
    <w:rsid w:val="4ACC99F9"/>
    <w:rsid w:val="4ADDAC97"/>
    <w:rsid w:val="4AE16B3D"/>
    <w:rsid w:val="4AECD029"/>
    <w:rsid w:val="4AF381B8"/>
    <w:rsid w:val="4B0E68BF"/>
    <w:rsid w:val="4B35ECC6"/>
    <w:rsid w:val="4B3E8E6A"/>
    <w:rsid w:val="4B42B628"/>
    <w:rsid w:val="4B4DE633"/>
    <w:rsid w:val="4B76B20A"/>
    <w:rsid w:val="4B8946D5"/>
    <w:rsid w:val="4B98AAE1"/>
    <w:rsid w:val="4BC408F9"/>
    <w:rsid w:val="4BCAB216"/>
    <w:rsid w:val="4BDBF6F6"/>
    <w:rsid w:val="4C0C8C48"/>
    <w:rsid w:val="4C1730C2"/>
    <w:rsid w:val="4C37E7D5"/>
    <w:rsid w:val="4C502450"/>
    <w:rsid w:val="4C6AD1D7"/>
    <w:rsid w:val="4C744347"/>
    <w:rsid w:val="4C7B9589"/>
    <w:rsid w:val="4C88055F"/>
    <w:rsid w:val="4CAE40C2"/>
    <w:rsid w:val="4CB3BA3D"/>
    <w:rsid w:val="4CB5BD13"/>
    <w:rsid w:val="4CC1B348"/>
    <w:rsid w:val="4CCEB29F"/>
    <w:rsid w:val="4CF700EF"/>
    <w:rsid w:val="4D12826B"/>
    <w:rsid w:val="4D64BCD6"/>
    <w:rsid w:val="4D743057"/>
    <w:rsid w:val="4D7D61FD"/>
    <w:rsid w:val="4D8D25E3"/>
    <w:rsid w:val="4D8DF02C"/>
    <w:rsid w:val="4DBEAC54"/>
    <w:rsid w:val="4DDBA5BC"/>
    <w:rsid w:val="4DF147C4"/>
    <w:rsid w:val="4DFB3470"/>
    <w:rsid w:val="4E326EE2"/>
    <w:rsid w:val="4E366241"/>
    <w:rsid w:val="4E60FFBF"/>
    <w:rsid w:val="4E6B30A3"/>
    <w:rsid w:val="4E8156E6"/>
    <w:rsid w:val="4E899FAA"/>
    <w:rsid w:val="4E915A5F"/>
    <w:rsid w:val="4EA245BF"/>
    <w:rsid w:val="4EB9A7B4"/>
    <w:rsid w:val="4EC77B29"/>
    <w:rsid w:val="4ECE915A"/>
    <w:rsid w:val="4EE1AD08"/>
    <w:rsid w:val="4EE41580"/>
    <w:rsid w:val="4F351A39"/>
    <w:rsid w:val="4F4362C1"/>
    <w:rsid w:val="4F94C492"/>
    <w:rsid w:val="4FAF8A23"/>
    <w:rsid w:val="4FBE50D9"/>
    <w:rsid w:val="4FC2A201"/>
    <w:rsid w:val="5016619A"/>
    <w:rsid w:val="503E1800"/>
    <w:rsid w:val="506217CB"/>
    <w:rsid w:val="506BC7C0"/>
    <w:rsid w:val="50800287"/>
    <w:rsid w:val="5083C12D"/>
    <w:rsid w:val="509E2312"/>
    <w:rsid w:val="50AE2970"/>
    <w:rsid w:val="511B3C7E"/>
    <w:rsid w:val="5155A4EF"/>
    <w:rsid w:val="515DC8F9"/>
    <w:rsid w:val="5162C07B"/>
    <w:rsid w:val="517734A9"/>
    <w:rsid w:val="517F86D6"/>
    <w:rsid w:val="51836CBA"/>
    <w:rsid w:val="5185ADF4"/>
    <w:rsid w:val="51936DCE"/>
    <w:rsid w:val="5194330C"/>
    <w:rsid w:val="51ABBA0F"/>
    <w:rsid w:val="51B428E2"/>
    <w:rsid w:val="51B65E89"/>
    <w:rsid w:val="51E12664"/>
    <w:rsid w:val="5201525D"/>
    <w:rsid w:val="522BDECF"/>
    <w:rsid w:val="5245FF7F"/>
    <w:rsid w:val="5286D6ED"/>
    <w:rsid w:val="52AE1465"/>
    <w:rsid w:val="52B995EB"/>
    <w:rsid w:val="530BCC86"/>
    <w:rsid w:val="534D39FA"/>
    <w:rsid w:val="538D64C8"/>
    <w:rsid w:val="538DFFC6"/>
    <w:rsid w:val="5390356D"/>
    <w:rsid w:val="53AD9647"/>
    <w:rsid w:val="53EB52E4"/>
    <w:rsid w:val="5405B5B3"/>
    <w:rsid w:val="540F4C00"/>
    <w:rsid w:val="54395716"/>
    <w:rsid w:val="549DEA0B"/>
    <w:rsid w:val="54B4FC89"/>
    <w:rsid w:val="54B86A8F"/>
    <w:rsid w:val="54D863BE"/>
    <w:rsid w:val="54F9A6EB"/>
    <w:rsid w:val="5529E557"/>
    <w:rsid w:val="55307651"/>
    <w:rsid w:val="554B217D"/>
    <w:rsid w:val="554FAA6C"/>
    <w:rsid w:val="5554C3B7"/>
    <w:rsid w:val="55631AEA"/>
    <w:rsid w:val="558DF10F"/>
    <w:rsid w:val="55CBA662"/>
    <w:rsid w:val="55EEADA1"/>
    <w:rsid w:val="55F45DDB"/>
    <w:rsid w:val="560C8A19"/>
    <w:rsid w:val="560D9C63"/>
    <w:rsid w:val="5611A25F"/>
    <w:rsid w:val="562E19D3"/>
    <w:rsid w:val="56465AD7"/>
    <w:rsid w:val="564AE9B0"/>
    <w:rsid w:val="56554A46"/>
    <w:rsid w:val="568247C8"/>
    <w:rsid w:val="56A3A4B1"/>
    <w:rsid w:val="56BC17DD"/>
    <w:rsid w:val="56C6EBD6"/>
    <w:rsid w:val="56C99B3C"/>
    <w:rsid w:val="56ED949A"/>
    <w:rsid w:val="56F5733A"/>
    <w:rsid w:val="56F6E81C"/>
    <w:rsid w:val="56F7C80E"/>
    <w:rsid w:val="5713770E"/>
    <w:rsid w:val="573CF1CE"/>
    <w:rsid w:val="5758B479"/>
    <w:rsid w:val="576B5016"/>
    <w:rsid w:val="5785B1FB"/>
    <w:rsid w:val="57A320D7"/>
    <w:rsid w:val="57BCC590"/>
    <w:rsid w:val="580D4D8C"/>
    <w:rsid w:val="583DFE21"/>
    <w:rsid w:val="5843F26E"/>
    <w:rsid w:val="5861DB18"/>
    <w:rsid w:val="58893458"/>
    <w:rsid w:val="588F272F"/>
    <w:rsid w:val="58C0279F"/>
    <w:rsid w:val="5937F2CA"/>
    <w:rsid w:val="599E58B0"/>
    <w:rsid w:val="59E943EC"/>
    <w:rsid w:val="59EA0D3A"/>
    <w:rsid w:val="59F34D55"/>
    <w:rsid w:val="59FBF5B4"/>
    <w:rsid w:val="59FE1530"/>
    <w:rsid w:val="5A170ABC"/>
    <w:rsid w:val="5A2ED158"/>
    <w:rsid w:val="5A3B1002"/>
    <w:rsid w:val="5A3F590C"/>
    <w:rsid w:val="5A62C041"/>
    <w:rsid w:val="5A6E21F0"/>
    <w:rsid w:val="5A8E6FFC"/>
    <w:rsid w:val="5AB441DA"/>
    <w:rsid w:val="5ACA1038"/>
    <w:rsid w:val="5AE3CEAE"/>
    <w:rsid w:val="5AED449C"/>
    <w:rsid w:val="5AEED833"/>
    <w:rsid w:val="5AFA0312"/>
    <w:rsid w:val="5B0DE53B"/>
    <w:rsid w:val="5B1B3F38"/>
    <w:rsid w:val="5B1CD1CC"/>
    <w:rsid w:val="5B2F84E4"/>
    <w:rsid w:val="5B592331"/>
    <w:rsid w:val="5B7EBA5E"/>
    <w:rsid w:val="5BA4A965"/>
    <w:rsid w:val="5BCD479A"/>
    <w:rsid w:val="5BD7EC14"/>
    <w:rsid w:val="5BDFA6C9"/>
    <w:rsid w:val="5BF24266"/>
    <w:rsid w:val="5C08DB0D"/>
    <w:rsid w:val="5C0F8C45"/>
    <w:rsid w:val="5C309B27"/>
    <w:rsid w:val="5C376C26"/>
    <w:rsid w:val="5C4F6593"/>
    <w:rsid w:val="5C55F925"/>
    <w:rsid w:val="5C5702A7"/>
    <w:rsid w:val="5C76E99A"/>
    <w:rsid w:val="5C7C3044"/>
    <w:rsid w:val="5C892B3D"/>
    <w:rsid w:val="5C8BBADE"/>
    <w:rsid w:val="5C9AB60A"/>
    <w:rsid w:val="5C9BF996"/>
    <w:rsid w:val="5CB477B0"/>
    <w:rsid w:val="5CC65CCA"/>
    <w:rsid w:val="5CDB5647"/>
    <w:rsid w:val="5CDC7A8C"/>
    <w:rsid w:val="5CEB7859"/>
    <w:rsid w:val="5CF7E240"/>
    <w:rsid w:val="5CFDAF4F"/>
    <w:rsid w:val="5D204D36"/>
    <w:rsid w:val="5D28A635"/>
    <w:rsid w:val="5D3942C2"/>
    <w:rsid w:val="5D625A60"/>
    <w:rsid w:val="5D91A7A7"/>
    <w:rsid w:val="5D9D8831"/>
    <w:rsid w:val="5DCA85B3"/>
    <w:rsid w:val="5DCC194A"/>
    <w:rsid w:val="5DE09729"/>
    <w:rsid w:val="5DE9AC1D"/>
    <w:rsid w:val="5E124238"/>
    <w:rsid w:val="5E301856"/>
    <w:rsid w:val="5E404362"/>
    <w:rsid w:val="5E48D2F8"/>
    <w:rsid w:val="5E6AD86C"/>
    <w:rsid w:val="5E7BE43E"/>
    <w:rsid w:val="5EA0F264"/>
    <w:rsid w:val="5EB52D2B"/>
    <w:rsid w:val="5ECC641C"/>
    <w:rsid w:val="5ECE0611"/>
    <w:rsid w:val="5EDA48BA"/>
    <w:rsid w:val="5F2BB428"/>
    <w:rsid w:val="5F4177EE"/>
    <w:rsid w:val="5F65C36B"/>
    <w:rsid w:val="5F68FBF5"/>
    <w:rsid w:val="5F8D99E7"/>
    <w:rsid w:val="5FBFFE17"/>
    <w:rsid w:val="5FD103BA"/>
    <w:rsid w:val="5FE72877"/>
    <w:rsid w:val="5FED1CC4"/>
    <w:rsid w:val="5FFE4242"/>
    <w:rsid w:val="5FFEDE1B"/>
    <w:rsid w:val="601A1A46"/>
    <w:rsid w:val="603396B4"/>
    <w:rsid w:val="604CB206"/>
    <w:rsid w:val="6069DE2B"/>
    <w:rsid w:val="606AA351"/>
    <w:rsid w:val="60A59BBB"/>
    <w:rsid w:val="60BC980E"/>
    <w:rsid w:val="60CBA7D6"/>
    <w:rsid w:val="60D4C44C"/>
    <w:rsid w:val="60D88D8A"/>
    <w:rsid w:val="60EB2927"/>
    <w:rsid w:val="6112DFFF"/>
    <w:rsid w:val="612EC2BF"/>
    <w:rsid w:val="6136E6DD"/>
    <w:rsid w:val="61439B7C"/>
    <w:rsid w:val="61484C54"/>
    <w:rsid w:val="6178E043"/>
    <w:rsid w:val="61C195D8"/>
    <w:rsid w:val="61C3CB7F"/>
    <w:rsid w:val="61EE935A"/>
    <w:rsid w:val="61F0C901"/>
    <w:rsid w:val="62069494"/>
    <w:rsid w:val="6206BF98"/>
    <w:rsid w:val="625B0E50"/>
    <w:rsid w:val="627E8BB0"/>
    <w:rsid w:val="62AB7307"/>
    <w:rsid w:val="62B502EE"/>
    <w:rsid w:val="62D87089"/>
    <w:rsid w:val="62D93AD2"/>
    <w:rsid w:val="62DF2F1F"/>
    <w:rsid w:val="62EC6031"/>
    <w:rsid w:val="63058983"/>
    <w:rsid w:val="631AB7FD"/>
    <w:rsid w:val="63392A23"/>
    <w:rsid w:val="635DAE3A"/>
    <w:rsid w:val="636ABEDC"/>
    <w:rsid w:val="638AD6AC"/>
    <w:rsid w:val="639FD53F"/>
    <w:rsid w:val="63A65C1B"/>
    <w:rsid w:val="63AC6532"/>
    <w:rsid w:val="63CDB1FE"/>
    <w:rsid w:val="63E29952"/>
    <w:rsid w:val="63E62215"/>
    <w:rsid w:val="64107623"/>
    <w:rsid w:val="642E7446"/>
    <w:rsid w:val="6434133B"/>
    <w:rsid w:val="643E0750"/>
    <w:rsid w:val="64449A84"/>
    <w:rsid w:val="648549EB"/>
    <w:rsid w:val="64935D94"/>
    <w:rsid w:val="64A65970"/>
    <w:rsid w:val="64B3A833"/>
    <w:rsid w:val="64CC1C72"/>
    <w:rsid w:val="64D1465C"/>
    <w:rsid w:val="6532A964"/>
    <w:rsid w:val="655B83CB"/>
    <w:rsid w:val="65721B77"/>
    <w:rsid w:val="65737F29"/>
    <w:rsid w:val="6588814D"/>
    <w:rsid w:val="65ADC3BF"/>
    <w:rsid w:val="65B9480D"/>
    <w:rsid w:val="65CD067D"/>
    <w:rsid w:val="65D1417A"/>
    <w:rsid w:val="65EED525"/>
    <w:rsid w:val="65FB6BD1"/>
    <w:rsid w:val="65FC58EE"/>
    <w:rsid w:val="660867B0"/>
    <w:rsid w:val="6646F491"/>
    <w:rsid w:val="66498A08"/>
    <w:rsid w:val="6667A1B9"/>
    <w:rsid w:val="666DE120"/>
    <w:rsid w:val="667585AA"/>
    <w:rsid w:val="66AD4869"/>
    <w:rsid w:val="66DD6DF1"/>
    <w:rsid w:val="66E2D892"/>
    <w:rsid w:val="66FE3853"/>
    <w:rsid w:val="6726F78F"/>
    <w:rsid w:val="673A7F32"/>
    <w:rsid w:val="674BF25B"/>
    <w:rsid w:val="676B2435"/>
    <w:rsid w:val="67BDE6CC"/>
    <w:rsid w:val="67C426DB"/>
    <w:rsid w:val="67CCA818"/>
    <w:rsid w:val="67E30CF3"/>
    <w:rsid w:val="67F3617F"/>
    <w:rsid w:val="68373050"/>
    <w:rsid w:val="684DC8F7"/>
    <w:rsid w:val="686755FB"/>
    <w:rsid w:val="6894297A"/>
    <w:rsid w:val="689FECA0"/>
    <w:rsid w:val="68DB8013"/>
    <w:rsid w:val="68DC2CBB"/>
    <w:rsid w:val="68E2BA8F"/>
    <w:rsid w:val="68EE8D0E"/>
    <w:rsid w:val="68F12F72"/>
    <w:rsid w:val="690299C1"/>
    <w:rsid w:val="69048186"/>
    <w:rsid w:val="6910BA46"/>
    <w:rsid w:val="69291F51"/>
    <w:rsid w:val="695FF37B"/>
    <w:rsid w:val="69631DBD"/>
    <w:rsid w:val="6966373F"/>
    <w:rsid w:val="69800F8C"/>
    <w:rsid w:val="698ACBF9"/>
    <w:rsid w:val="69B16593"/>
    <w:rsid w:val="69C6F0D9"/>
    <w:rsid w:val="69D24626"/>
    <w:rsid w:val="6A2E02E7"/>
    <w:rsid w:val="6A403A5D"/>
    <w:rsid w:val="6A7C23E4"/>
    <w:rsid w:val="6A847F67"/>
    <w:rsid w:val="6AA1ED4B"/>
    <w:rsid w:val="6AC4C58F"/>
    <w:rsid w:val="6ADE04CF"/>
    <w:rsid w:val="6AF0A1C5"/>
    <w:rsid w:val="6AFB1734"/>
    <w:rsid w:val="6B0D7FC3"/>
    <w:rsid w:val="6B25B6D6"/>
    <w:rsid w:val="6B400E23"/>
    <w:rsid w:val="6B416EE9"/>
    <w:rsid w:val="6B6E6C6B"/>
    <w:rsid w:val="6B88FB8A"/>
    <w:rsid w:val="6BAAE724"/>
    <w:rsid w:val="6BB6C7F1"/>
    <w:rsid w:val="6BCD65B3"/>
    <w:rsid w:val="6BDA7960"/>
    <w:rsid w:val="6C237D5C"/>
    <w:rsid w:val="6C2CE93E"/>
    <w:rsid w:val="6C552DFF"/>
    <w:rsid w:val="6C578426"/>
    <w:rsid w:val="6C740C45"/>
    <w:rsid w:val="6C816138"/>
    <w:rsid w:val="6C917E0D"/>
    <w:rsid w:val="6C989157"/>
    <w:rsid w:val="6CBCE037"/>
    <w:rsid w:val="6D2EB64B"/>
    <w:rsid w:val="6D3C4E21"/>
    <w:rsid w:val="6D5820F7"/>
    <w:rsid w:val="6D7F3447"/>
    <w:rsid w:val="6D8CB46B"/>
    <w:rsid w:val="6DBC21FD"/>
    <w:rsid w:val="6DC3603A"/>
    <w:rsid w:val="6DC98F89"/>
    <w:rsid w:val="6DD7EC4F"/>
    <w:rsid w:val="6DD7F2A9"/>
    <w:rsid w:val="6DD95942"/>
    <w:rsid w:val="6DDBACC6"/>
    <w:rsid w:val="6E04653E"/>
    <w:rsid w:val="6E0683C2"/>
    <w:rsid w:val="6E07F32B"/>
    <w:rsid w:val="6E47BC0B"/>
    <w:rsid w:val="6E4DB058"/>
    <w:rsid w:val="6E7AADDA"/>
    <w:rsid w:val="6E8802CD"/>
    <w:rsid w:val="6E90A471"/>
    <w:rsid w:val="6F261016"/>
    <w:rsid w:val="6F36EB77"/>
    <w:rsid w:val="6F39211E"/>
    <w:rsid w:val="6F4EE4E4"/>
    <w:rsid w:val="6F746DE2"/>
    <w:rsid w:val="6F75F48C"/>
    <w:rsid w:val="6F7AF1B2"/>
    <w:rsid w:val="6F7D5726"/>
    <w:rsid w:val="6FEB1AD2"/>
    <w:rsid w:val="6FEC269A"/>
    <w:rsid w:val="6FF3CB24"/>
    <w:rsid w:val="700323E8"/>
    <w:rsid w:val="7026A159"/>
    <w:rsid w:val="7030EB85"/>
    <w:rsid w:val="7065BF95"/>
    <w:rsid w:val="706D25EA"/>
    <w:rsid w:val="70761478"/>
    <w:rsid w:val="70766AC1"/>
    <w:rsid w:val="707A4786"/>
    <w:rsid w:val="70BACA7B"/>
    <w:rsid w:val="70C053BD"/>
    <w:rsid w:val="70C33070"/>
    <w:rsid w:val="70CA0504"/>
    <w:rsid w:val="70D78963"/>
    <w:rsid w:val="70E4F4F3"/>
    <w:rsid w:val="710E1A85"/>
    <w:rsid w:val="710F2EC4"/>
    <w:rsid w:val="711908F5"/>
    <w:rsid w:val="7124FD22"/>
    <w:rsid w:val="7159D805"/>
    <w:rsid w:val="71887848"/>
    <w:rsid w:val="71AA3AD3"/>
    <w:rsid w:val="71B575CA"/>
    <w:rsid w:val="71C169F7"/>
    <w:rsid w:val="71C5E753"/>
    <w:rsid w:val="71CDA208"/>
    <w:rsid w:val="71DAF03D"/>
    <w:rsid w:val="720BBDBB"/>
    <w:rsid w:val="727F4339"/>
    <w:rsid w:val="7280A784"/>
    <w:rsid w:val="7297D6A8"/>
    <w:rsid w:val="72BA7394"/>
    <w:rsid w:val="72CF8D5A"/>
    <w:rsid w:val="72D26D01"/>
    <w:rsid w:val="72E6DA99"/>
    <w:rsid w:val="72E9862A"/>
    <w:rsid w:val="72F29A16"/>
    <w:rsid w:val="7301A02A"/>
    <w:rsid w:val="7355D72A"/>
    <w:rsid w:val="73624F2C"/>
    <w:rsid w:val="73649066"/>
    <w:rsid w:val="7377696C"/>
    <w:rsid w:val="73DDD9EA"/>
    <w:rsid w:val="73F03919"/>
    <w:rsid w:val="73FB302C"/>
    <w:rsid w:val="740B7660"/>
    <w:rsid w:val="74496E17"/>
    <w:rsid w:val="744A014C"/>
    <w:rsid w:val="744AD77A"/>
    <w:rsid w:val="746F4FAC"/>
    <w:rsid w:val="7484B735"/>
    <w:rsid w:val="74908BD2"/>
    <w:rsid w:val="749EAB0E"/>
    <w:rsid w:val="74AFD92E"/>
    <w:rsid w:val="74BEEB15"/>
    <w:rsid w:val="74D7C3FB"/>
    <w:rsid w:val="74DDF628"/>
    <w:rsid w:val="75063EE9"/>
    <w:rsid w:val="75087490"/>
    <w:rsid w:val="75140416"/>
    <w:rsid w:val="75150035"/>
    <w:rsid w:val="7559F724"/>
    <w:rsid w:val="756564EC"/>
    <w:rsid w:val="758AB34C"/>
    <w:rsid w:val="758D806B"/>
    <w:rsid w:val="759D27AB"/>
    <w:rsid w:val="75E844BD"/>
    <w:rsid w:val="75EB2EA3"/>
    <w:rsid w:val="7609A91C"/>
    <w:rsid w:val="762D3BAC"/>
    <w:rsid w:val="76518666"/>
    <w:rsid w:val="7674ECF8"/>
    <w:rsid w:val="76815F09"/>
    <w:rsid w:val="768B6EFA"/>
    <w:rsid w:val="76C69EF4"/>
    <w:rsid w:val="76D85B18"/>
    <w:rsid w:val="770F48F6"/>
    <w:rsid w:val="771C9DE9"/>
    <w:rsid w:val="77501AA4"/>
    <w:rsid w:val="77616207"/>
    <w:rsid w:val="77830E38"/>
    <w:rsid w:val="77961A3E"/>
    <w:rsid w:val="77C3AF38"/>
    <w:rsid w:val="77D5B458"/>
    <w:rsid w:val="77EDBAA2"/>
    <w:rsid w:val="77FB64B7"/>
    <w:rsid w:val="78061671"/>
    <w:rsid w:val="781B0FEE"/>
    <w:rsid w:val="78214770"/>
    <w:rsid w:val="786F70B4"/>
    <w:rsid w:val="7874E21D"/>
    <w:rsid w:val="78B530F1"/>
    <w:rsid w:val="78D0F39C"/>
    <w:rsid w:val="78E5D967"/>
    <w:rsid w:val="78E6BA95"/>
    <w:rsid w:val="78F674CD"/>
    <w:rsid w:val="7903BD1B"/>
    <w:rsid w:val="790B4611"/>
    <w:rsid w:val="7931A29E"/>
    <w:rsid w:val="79875613"/>
    <w:rsid w:val="798B6AD1"/>
    <w:rsid w:val="798B9DA2"/>
    <w:rsid w:val="799D861C"/>
    <w:rsid w:val="79B4E811"/>
    <w:rsid w:val="79E27D0B"/>
    <w:rsid w:val="7A0DE6F6"/>
    <w:rsid w:val="7A4D5BE8"/>
    <w:rsid w:val="7A882C99"/>
    <w:rsid w:val="7AC5DC88"/>
    <w:rsid w:val="7ACC5A3A"/>
    <w:rsid w:val="7AD5925B"/>
    <w:rsid w:val="7AEFD1B6"/>
    <w:rsid w:val="7B1697D3"/>
    <w:rsid w:val="7B19E947"/>
    <w:rsid w:val="7B1C3DDC"/>
    <w:rsid w:val="7B34B85E"/>
    <w:rsid w:val="7B356506"/>
    <w:rsid w:val="7B6ED802"/>
    <w:rsid w:val="7B7BD961"/>
    <w:rsid w:val="7B89F370"/>
    <w:rsid w:val="7BB6C31D"/>
    <w:rsid w:val="7BB7982F"/>
    <w:rsid w:val="7BF8E2CE"/>
    <w:rsid w:val="7C50B27B"/>
    <w:rsid w:val="7C5AA269"/>
    <w:rsid w:val="7C7DAFFD"/>
    <w:rsid w:val="7C7F4394"/>
    <w:rsid w:val="7C8A08D1"/>
    <w:rsid w:val="7C937E5B"/>
    <w:rsid w:val="7C95DC3B"/>
    <w:rsid w:val="7C966397"/>
    <w:rsid w:val="7CC42C80"/>
    <w:rsid w:val="7CE67A8D"/>
    <w:rsid w:val="7CF0A08D"/>
    <w:rsid w:val="7D4A36EA"/>
    <w:rsid w:val="7D4B7C05"/>
    <w:rsid w:val="7D51F19F"/>
    <w:rsid w:val="7D55B045"/>
    <w:rsid w:val="7D6920C3"/>
    <w:rsid w:val="7D8050E2"/>
    <w:rsid w:val="7E0657E1"/>
    <w:rsid w:val="7E18597E"/>
    <w:rsid w:val="7E1E841F"/>
    <w:rsid w:val="7E279407"/>
    <w:rsid w:val="7E2F3216"/>
    <w:rsid w:val="7E3775E5"/>
    <w:rsid w:val="7E3DF354"/>
    <w:rsid w:val="7E3F5AA3"/>
    <w:rsid w:val="7E40EE3A"/>
    <w:rsid w:val="7E5285C3"/>
    <w:rsid w:val="7E5786E1"/>
    <w:rsid w:val="7E64D041"/>
    <w:rsid w:val="7E9101ED"/>
    <w:rsid w:val="7E966CDD"/>
    <w:rsid w:val="7EA0470E"/>
    <w:rsid w:val="7EA0B382"/>
    <w:rsid w:val="7EA9E4F3"/>
    <w:rsid w:val="7EF292F0"/>
    <w:rsid w:val="7F2B4152"/>
    <w:rsid w:val="7F2BABDD"/>
    <w:rsid w:val="7F562CCA"/>
    <w:rsid w:val="7F5AF114"/>
    <w:rsid w:val="7F969931"/>
    <w:rsid w:val="7FFB43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075A3"/>
  <w15:docId w15:val="{E594D020-7D67-44B4-AB8F-8773AC5E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spacing w:before="0"/>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character" w:styleId="Mention">
    <w:name w:val="Mention"/>
    <w:basedOn w:val="DefaultParagraphFont"/>
    <w:uiPriority w:val="99"/>
    <w:unhideWhenUsed/>
    <w:rsid w:val="00CD52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afercare.vic.gov.au/notify-us/sentinel-events" TargetMode="External"/><Relationship Id="rId26" Type="http://schemas.openxmlformats.org/officeDocument/2006/relationships/hyperlink" Target="https://www.safercare.vic.gov.au" TargetMode="External"/><Relationship Id="rId3" Type="http://schemas.openxmlformats.org/officeDocument/2006/relationships/customXml" Target="../customXml/item3.xml"/><Relationship Id="rId21" Type="http://schemas.openxmlformats.org/officeDocument/2006/relationships/hyperlink" Target="https://www.safercare.vic.gov.au/support-training/adverse-event-review-and-response/duty-of-candou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afetyandquality.gov.au/our-work/indicators/hospital-acquired-complications" TargetMode="External"/><Relationship Id="rId25" Type="http://schemas.openxmlformats.org/officeDocument/2006/relationships/hyperlink" Target="mailto:safercarevictoria@dhhs.vi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afetyandquality.gov.au/our-work/open-disclosure/the-open-disclosure-framewor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safercarevictoria.vic.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safercare.vic.gov.au/news/difficult-airway-alert" TargetMode="External"/><Relationship Id="rId28"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safercare.vic.gov.au/sites/default/files/2022-10/Victorian%20Duty%20of%20Candour%20Guidelines%20-%20FINAL.docx"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safercare.vic.gov.au/improvement/projects/older-people-and-palliative-care/falls-review-tool-pilot-project" TargetMode="External"/><Relationship Id="rId27" Type="http://schemas.openxmlformats.org/officeDocument/2006/relationships/hyperlink" Target="http://www.safercare.vic" TargetMode="External"/><Relationship Id="rId30"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2eww\OneDrive%20-%20DFFH,%20DH%20Victoria\TEMPLATES\SCV%20factsheet.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CBD3403E816419C87646E3C6EEB81" ma:contentTypeVersion="14" ma:contentTypeDescription="Create a new document." ma:contentTypeScope="" ma:versionID="e270d02d7ae0458dfe00206c5fdfbdf8">
  <xsd:schema xmlns:xsd="http://www.w3.org/2001/XMLSchema" xmlns:xs="http://www.w3.org/2001/XMLSchema" xmlns:p="http://schemas.microsoft.com/office/2006/metadata/properties" xmlns:ns2="d57d50af-0511-4abc-8473-7b8c08a937c3" xmlns:ns3="819afca8-9d5b-4e5f-a02d-e8160e861dbb" xmlns:ns4="5ce0f2b5-5be5-4508-bce9-d7011ece0659" targetNamespace="http://schemas.microsoft.com/office/2006/metadata/properties" ma:root="true" ma:fieldsID="4bc038c3081566f9a54f1717aff19cd9" ns2:_="" ns3:_="" ns4:_="">
    <xsd:import namespace="d57d50af-0511-4abc-8473-7b8c08a937c3"/>
    <xsd:import namespace="819afca8-9d5b-4e5f-a02d-e8160e861db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50af-0511-4abc-8473-7b8c08a93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afca8-9d5b-4e5f-a02d-e8160e861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bcbacec-8de2-4b31-a51a-08fc30afc0d0}" ma:internalName="TaxCatchAll" ma:showField="CatchAllData" ma:web="819afca8-9d5b-4e5f-a02d-e8160e861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57d50af-0511-4abc-8473-7b8c08a937c3">
      <Terms xmlns="http://schemas.microsoft.com/office/infopath/2007/PartnerControls"/>
    </lcf76f155ced4ddcb4097134ff3c332f>
    <SharedWithUsers xmlns="819afca8-9d5b-4e5f-a02d-e8160e861dbb">
      <UserInfo>
        <DisplayName>Phillipa Hore (DHHS)</DisplayName>
        <AccountId>521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CEB1B-E658-458D-902C-110210228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50af-0511-4abc-8473-7b8c08a937c3"/>
    <ds:schemaRef ds:uri="819afca8-9d5b-4e5f-a02d-e8160e861db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45749-C049-405B-841B-F975D1284D83}">
  <ds:schemaRefs>
    <ds:schemaRef ds:uri="http://schemas.microsoft.com/office/2006/metadata/properties"/>
    <ds:schemaRef ds:uri="http://schemas.microsoft.com/office/infopath/2007/PartnerControls"/>
    <ds:schemaRef ds:uri="5ce0f2b5-5be5-4508-bce9-d7011ece0659"/>
    <ds:schemaRef ds:uri="d57d50af-0511-4abc-8473-7b8c08a937c3"/>
    <ds:schemaRef ds:uri="819afca8-9d5b-4e5f-a02d-e8160e861dbb"/>
  </ds:schemaRefs>
</ds:datastoreItem>
</file>

<file path=customXml/itemProps3.xml><?xml version="1.0" encoding="utf-8"?>
<ds:datastoreItem xmlns:ds="http://schemas.openxmlformats.org/officeDocument/2006/customXml" ds:itemID="{7CF5E4E7-39AC-41E7-96FC-4091101D33FE}">
  <ds:schemaRefs>
    <ds:schemaRef ds:uri="http://schemas.microsoft.com/sharepoint/v3/contenttype/forms"/>
  </ds:schemaRefs>
</ds:datastoreItem>
</file>

<file path=customXml/itemProps4.xml><?xml version="1.0" encoding="utf-8"?>
<ds:datastoreItem xmlns:ds="http://schemas.openxmlformats.org/officeDocument/2006/customXml" ds:itemID="{E24DD0EE-AC39-453C-AA3F-0712F04F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 factsheet.dotx</Template>
  <TotalTime>0</TotalTime>
  <Pages>7</Pages>
  <Words>3301</Words>
  <Characters>18816</Characters>
  <Application>Microsoft Office Word</Application>
  <DocSecurity>0</DocSecurity>
  <Lines>156</Lines>
  <Paragraphs>44</Paragraphs>
  <ScaleCrop>false</ScaleCrop>
  <Manager/>
  <Company>Safer Care Victoria</Company>
  <LinksUpToDate>false</LinksUpToDate>
  <CharactersWithSpaces>22073</CharactersWithSpaces>
  <SharedDoc>false</SharedDoc>
  <HLinks>
    <vt:vector size="120" baseType="variant">
      <vt:variant>
        <vt:i4>6094850</vt:i4>
      </vt:variant>
      <vt:variant>
        <vt:i4>30</vt:i4>
      </vt:variant>
      <vt:variant>
        <vt:i4>0</vt:i4>
      </vt:variant>
      <vt:variant>
        <vt:i4>5</vt:i4>
      </vt:variant>
      <vt:variant>
        <vt:lpwstr>http://www.safercare.vic/</vt:lpwstr>
      </vt:variant>
      <vt:variant>
        <vt:lpwstr/>
      </vt:variant>
      <vt:variant>
        <vt:i4>70</vt:i4>
      </vt:variant>
      <vt:variant>
        <vt:i4>27</vt:i4>
      </vt:variant>
      <vt:variant>
        <vt:i4>0</vt:i4>
      </vt:variant>
      <vt:variant>
        <vt:i4>5</vt:i4>
      </vt:variant>
      <vt:variant>
        <vt:lpwstr>https://www.safercare.vic.gov.au/</vt:lpwstr>
      </vt:variant>
      <vt:variant>
        <vt:lpwstr/>
      </vt:variant>
      <vt:variant>
        <vt:i4>4456545</vt:i4>
      </vt:variant>
      <vt:variant>
        <vt:i4>24</vt:i4>
      </vt:variant>
      <vt:variant>
        <vt:i4>0</vt:i4>
      </vt:variant>
      <vt:variant>
        <vt:i4>5</vt:i4>
      </vt:variant>
      <vt:variant>
        <vt:lpwstr>mailto:safercarevictoria@dhhs.vic</vt:lpwstr>
      </vt:variant>
      <vt:variant>
        <vt:lpwstr/>
      </vt:variant>
      <vt:variant>
        <vt:i4>7733315</vt:i4>
      </vt:variant>
      <vt:variant>
        <vt:i4>21</vt:i4>
      </vt:variant>
      <vt:variant>
        <vt:i4>0</vt:i4>
      </vt:variant>
      <vt:variant>
        <vt:i4>5</vt:i4>
      </vt:variant>
      <vt:variant>
        <vt:lpwstr>mailto:info@safercarevictoria.vic.gov.au</vt:lpwstr>
      </vt:variant>
      <vt:variant>
        <vt:lpwstr/>
      </vt:variant>
      <vt:variant>
        <vt:i4>786516</vt:i4>
      </vt:variant>
      <vt:variant>
        <vt:i4>18</vt:i4>
      </vt:variant>
      <vt:variant>
        <vt:i4>0</vt:i4>
      </vt:variant>
      <vt:variant>
        <vt:i4>5</vt:i4>
      </vt:variant>
      <vt:variant>
        <vt:lpwstr>https://www.safercare.vic.gov.au/news/difficult-airway-alert</vt:lpwstr>
      </vt:variant>
      <vt:variant>
        <vt:lpwstr/>
      </vt:variant>
      <vt:variant>
        <vt:i4>8126499</vt:i4>
      </vt:variant>
      <vt:variant>
        <vt:i4>15</vt:i4>
      </vt:variant>
      <vt:variant>
        <vt:i4>0</vt:i4>
      </vt:variant>
      <vt:variant>
        <vt:i4>5</vt:i4>
      </vt:variant>
      <vt:variant>
        <vt:lpwstr>https://www.safercare.vic.gov.au/improvement/projects/older-people-and-palliative-care/falls-review-tool-pilot-project</vt:lpwstr>
      </vt:variant>
      <vt:variant>
        <vt:lpwstr/>
      </vt:variant>
      <vt:variant>
        <vt:i4>3801210</vt:i4>
      </vt:variant>
      <vt:variant>
        <vt:i4>12</vt:i4>
      </vt:variant>
      <vt:variant>
        <vt:i4>0</vt:i4>
      </vt:variant>
      <vt:variant>
        <vt:i4>5</vt:i4>
      </vt:variant>
      <vt:variant>
        <vt:lpwstr>https://www.safercare.vic.gov.au/support-training/adverse-event-review-and-response/duty-of-candour</vt:lpwstr>
      </vt:variant>
      <vt:variant>
        <vt:lpwstr/>
      </vt:variant>
      <vt:variant>
        <vt:i4>3080249</vt:i4>
      </vt:variant>
      <vt:variant>
        <vt:i4>9</vt:i4>
      </vt:variant>
      <vt:variant>
        <vt:i4>0</vt:i4>
      </vt:variant>
      <vt:variant>
        <vt:i4>5</vt:i4>
      </vt:variant>
      <vt:variant>
        <vt:lpwstr>https://www.safetyandquality.gov.au/our-work/open-disclosure/the-open-disclosure-framework</vt:lpwstr>
      </vt:variant>
      <vt:variant>
        <vt:lpwstr/>
      </vt:variant>
      <vt:variant>
        <vt:i4>8257569</vt:i4>
      </vt:variant>
      <vt:variant>
        <vt:i4>6</vt:i4>
      </vt:variant>
      <vt:variant>
        <vt:i4>0</vt:i4>
      </vt:variant>
      <vt:variant>
        <vt:i4>5</vt:i4>
      </vt:variant>
      <vt:variant>
        <vt:lpwstr>https://www.safercare.vic.gov.au/sites/default/files/2022-10/Victorian Duty of Candour Guidelines - FINAL.docx</vt:lpwstr>
      </vt:variant>
      <vt:variant>
        <vt:lpwstr/>
      </vt:variant>
      <vt:variant>
        <vt:i4>7667755</vt:i4>
      </vt:variant>
      <vt:variant>
        <vt:i4>3</vt:i4>
      </vt:variant>
      <vt:variant>
        <vt:i4>0</vt:i4>
      </vt:variant>
      <vt:variant>
        <vt:i4>5</vt:i4>
      </vt:variant>
      <vt:variant>
        <vt:lpwstr>https://www.safercare.vic.gov.au/notify-us/sentinel-events</vt:lpwstr>
      </vt:variant>
      <vt:variant>
        <vt:lpwstr/>
      </vt:variant>
      <vt:variant>
        <vt:i4>3735610</vt:i4>
      </vt:variant>
      <vt:variant>
        <vt:i4>0</vt:i4>
      </vt:variant>
      <vt:variant>
        <vt:i4>0</vt:i4>
      </vt:variant>
      <vt:variant>
        <vt:i4>5</vt:i4>
      </vt:variant>
      <vt:variant>
        <vt:lpwstr>https://www.safetyandquality.gov.au/our-work/indicators/hospital-acquired-complications</vt:lpwstr>
      </vt:variant>
      <vt:variant>
        <vt:lpwstr/>
      </vt:variant>
      <vt:variant>
        <vt:i4>852000</vt:i4>
      </vt:variant>
      <vt:variant>
        <vt:i4>24</vt:i4>
      </vt:variant>
      <vt:variant>
        <vt:i4>0</vt:i4>
      </vt:variant>
      <vt:variant>
        <vt:i4>5</vt:i4>
      </vt:variant>
      <vt:variant>
        <vt:lpwstr>mailto:william.o'sullivan@safercare.vic.gov.au</vt:lpwstr>
      </vt:variant>
      <vt:variant>
        <vt:lpwstr/>
      </vt:variant>
      <vt:variant>
        <vt:i4>5832767</vt:i4>
      </vt:variant>
      <vt:variant>
        <vt:i4>21</vt:i4>
      </vt:variant>
      <vt:variant>
        <vt:i4>0</vt:i4>
      </vt:variant>
      <vt:variant>
        <vt:i4>5</vt:i4>
      </vt:variant>
      <vt:variant>
        <vt:lpwstr>mailto:nicole.youngs@safercare.vic.gov.au</vt:lpwstr>
      </vt:variant>
      <vt:variant>
        <vt:lpwstr/>
      </vt:variant>
      <vt:variant>
        <vt:i4>5832767</vt:i4>
      </vt:variant>
      <vt:variant>
        <vt:i4>18</vt:i4>
      </vt:variant>
      <vt:variant>
        <vt:i4>0</vt:i4>
      </vt:variant>
      <vt:variant>
        <vt:i4>5</vt:i4>
      </vt:variant>
      <vt:variant>
        <vt:lpwstr>mailto:nicole.youngs@safercare.vic.gov.au</vt:lpwstr>
      </vt:variant>
      <vt:variant>
        <vt:lpwstr/>
      </vt:variant>
      <vt:variant>
        <vt:i4>852000</vt:i4>
      </vt:variant>
      <vt:variant>
        <vt:i4>15</vt:i4>
      </vt:variant>
      <vt:variant>
        <vt:i4>0</vt:i4>
      </vt:variant>
      <vt:variant>
        <vt:i4>5</vt:i4>
      </vt:variant>
      <vt:variant>
        <vt:lpwstr>mailto:william.o'sullivan@safercare.vic.gov.au</vt:lpwstr>
      </vt:variant>
      <vt:variant>
        <vt:lpwstr/>
      </vt:variant>
      <vt:variant>
        <vt:i4>4522017</vt:i4>
      </vt:variant>
      <vt:variant>
        <vt:i4>12</vt:i4>
      </vt:variant>
      <vt:variant>
        <vt:i4>0</vt:i4>
      </vt:variant>
      <vt:variant>
        <vt:i4>5</vt:i4>
      </vt:variant>
      <vt:variant>
        <vt:lpwstr>mailto:phillipa.hore@safercare.vic.gov.au</vt:lpwstr>
      </vt:variant>
      <vt:variant>
        <vt:lpwstr/>
      </vt:variant>
      <vt:variant>
        <vt:i4>7077907</vt:i4>
      </vt:variant>
      <vt:variant>
        <vt:i4>9</vt:i4>
      </vt:variant>
      <vt:variant>
        <vt:i4>0</vt:i4>
      </vt:variant>
      <vt:variant>
        <vt:i4>5</vt:i4>
      </vt:variant>
      <vt:variant>
        <vt:lpwstr>mailto:lanii.birks@safercare.vic.gov.au</vt:lpwstr>
      </vt:variant>
      <vt:variant>
        <vt:lpwstr/>
      </vt:variant>
      <vt:variant>
        <vt:i4>5832767</vt:i4>
      </vt:variant>
      <vt:variant>
        <vt:i4>6</vt:i4>
      </vt:variant>
      <vt:variant>
        <vt:i4>0</vt:i4>
      </vt:variant>
      <vt:variant>
        <vt:i4>5</vt:i4>
      </vt:variant>
      <vt:variant>
        <vt:lpwstr>mailto:nicole.youngs@safercare.vic.gov.au</vt:lpwstr>
      </vt:variant>
      <vt:variant>
        <vt:lpwstr/>
      </vt:variant>
      <vt:variant>
        <vt:i4>852000</vt:i4>
      </vt:variant>
      <vt:variant>
        <vt:i4>3</vt:i4>
      </vt:variant>
      <vt:variant>
        <vt:i4>0</vt:i4>
      </vt:variant>
      <vt:variant>
        <vt:i4>5</vt:i4>
      </vt:variant>
      <vt:variant>
        <vt:lpwstr>mailto:william.o'sullivan@safercare.vic.gov.au</vt:lpwstr>
      </vt:variant>
      <vt:variant>
        <vt:lpwstr/>
      </vt:variant>
      <vt:variant>
        <vt:i4>852000</vt:i4>
      </vt:variant>
      <vt:variant>
        <vt:i4>0</vt:i4>
      </vt:variant>
      <vt:variant>
        <vt:i4>0</vt:i4>
      </vt:variant>
      <vt:variant>
        <vt:i4>5</vt:i4>
      </vt:variant>
      <vt:variant>
        <vt:lpwstr>mailto:william.o'sullivan@safercare.vic.gov.au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Nicole Youngs (DHHS)</dc:creator>
  <cp:keywords/>
  <cp:lastModifiedBy>Kate De Clercq (DHHS)</cp:lastModifiedBy>
  <cp:revision>2</cp:revision>
  <cp:lastPrinted>2020-08-13T04:56:00Z</cp:lastPrinted>
  <dcterms:created xsi:type="dcterms:W3CDTF">2023-05-01T00:50:00Z</dcterms:created>
  <dcterms:modified xsi:type="dcterms:W3CDTF">2023-05-01T00:50:00Z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0x010100F52CBD3403E816419C87646E3C6EEB81</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2023-05-01T00:50:31Z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a5336daf-9a5a-479f-9d06-e4b60afe58bb</vt:lpwstr>
  </property>
  <property fmtid="{D5CDD505-2E9C-101B-9397-08002B2CF9AE}" pid="11" name="MSIP_Label_43e64453-338c-4f93-8a4d-0039a0a41f2a_ContentBits">
    <vt:lpwstr>2</vt:lpwstr>
  </property>
</Properties>
</file>