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76EF" w14:textId="77777777" w:rsidR="002244EE" w:rsidRDefault="002244EE" w:rsidP="00521CA5">
      <w:pPr>
        <w:pStyle w:val="SCVborderabovetitle"/>
        <w:rPr>
          <w:rFonts w:cstheme="minorHAnsi"/>
          <w:sz w:val="22"/>
          <w:szCs w:val="22"/>
        </w:rPr>
      </w:pPr>
    </w:p>
    <w:p w14:paraId="260D3014" w14:textId="4F0FD92D" w:rsidR="0047597E" w:rsidRPr="0047597E" w:rsidRDefault="0047597E" w:rsidP="002E7EA5">
      <w:pPr>
        <w:pStyle w:val="Heading1"/>
        <w:rPr>
          <w:sz w:val="40"/>
          <w:szCs w:val="40"/>
        </w:rPr>
      </w:pPr>
      <w:r w:rsidRPr="0047597E">
        <w:rPr>
          <w:sz w:val="40"/>
          <w:szCs w:val="40"/>
        </w:rPr>
        <w:t>Statutory Duty of Candour Data Collection</w:t>
      </w:r>
    </w:p>
    <w:p w14:paraId="0815145B" w14:textId="69ACBAFE" w:rsidR="0047597E" w:rsidRDefault="00DA762C" w:rsidP="0047597E">
      <w:pPr>
        <w:pStyle w:val="Heading2"/>
      </w:pPr>
      <w:r>
        <w:t xml:space="preserve">Reporting </w:t>
      </w:r>
      <w:r w:rsidR="0041350D">
        <w:t>G</w:t>
      </w:r>
      <w:r>
        <w:t>uideline</w:t>
      </w:r>
      <w:r w:rsidR="00BB0455">
        <w:t>s</w:t>
      </w:r>
    </w:p>
    <w:p w14:paraId="366DD919" w14:textId="7901ECF5" w:rsidR="000C6C4B" w:rsidRPr="0047597E" w:rsidRDefault="00D74854" w:rsidP="0047597E">
      <w:pPr>
        <w:pStyle w:val="SCVbody"/>
      </w:pPr>
      <w:r>
        <w:fldChar w:fldCharType="begin"/>
      </w:r>
      <w:r>
        <w:instrText>FILLIN  "Type the protective marking" \d OFFICIAL \o  \* MERGEFORMAT</w:instrText>
      </w:r>
      <w:r>
        <w:fldChar w:fldCharType="separate"/>
      </w:r>
      <w:r w:rsidR="00767BC5">
        <w:t>OFFICIAL</w:t>
      </w:r>
      <w:r>
        <w:fldChar w:fldCharType="end"/>
      </w:r>
    </w:p>
    <w:p w14:paraId="4F3E10A8" w14:textId="6FAEF580" w:rsidR="002E7EA5" w:rsidRDefault="002E7EA5" w:rsidP="002E7EA5">
      <w:pPr>
        <w:pStyle w:val="Heading1"/>
      </w:pPr>
      <w:r>
        <w:t>Introduction</w:t>
      </w:r>
    </w:p>
    <w:p w14:paraId="5D4A776B" w14:textId="785C0109" w:rsidR="009F2F4B" w:rsidRPr="009F2F4B" w:rsidRDefault="009F2F4B" w:rsidP="009F2F4B">
      <w:pPr>
        <w:pStyle w:val="SCVbody"/>
      </w:pPr>
      <w:r w:rsidRPr="009F2F4B">
        <w:t xml:space="preserve">Effective from 30 November 2022, the </w:t>
      </w:r>
      <w:r w:rsidRPr="00897781">
        <w:rPr>
          <w:i/>
          <w:iCs/>
        </w:rPr>
        <w:t>Health Legislation Amendment (Quality and Safety) Act 2022</w:t>
      </w:r>
      <w:r w:rsidRPr="009F2F4B">
        <w:t xml:space="preserve"> requires relevant health service entities to undertake Statutory Duty of Candour (SDC) processes within 50-75 working days of the occurrence identification of a ‘serious adverse patient safety event’ (SAPSE). The SDC has been outlined in the </w:t>
      </w:r>
      <w:r w:rsidRPr="009F2F4B">
        <w:rPr>
          <w:i/>
          <w:iCs/>
        </w:rPr>
        <w:t>Health Services Act 1988</w:t>
      </w:r>
      <w:r w:rsidRPr="009F2F4B">
        <w:t xml:space="preserve">, the </w:t>
      </w:r>
      <w:r w:rsidRPr="009F2F4B">
        <w:rPr>
          <w:i/>
          <w:iCs/>
        </w:rPr>
        <w:t>Mental Health Act 2014</w:t>
      </w:r>
      <w:r w:rsidRPr="009F2F4B">
        <w:t xml:space="preserve"> and the </w:t>
      </w:r>
      <w:r w:rsidRPr="009F2F4B">
        <w:rPr>
          <w:i/>
          <w:iCs/>
        </w:rPr>
        <w:t>Ambulance Services Act 1986</w:t>
      </w:r>
      <w:r w:rsidRPr="009F2F4B">
        <w:t xml:space="preserve">. The </w:t>
      </w:r>
      <w:hyperlink r:id="rId11" w:history="1">
        <w:r w:rsidRPr="0011204C">
          <w:rPr>
            <w:rStyle w:val="Hyperlink"/>
            <w:i/>
            <w:iCs/>
          </w:rPr>
          <w:t>Victorian Duty of Candour Guidelines</w:t>
        </w:r>
      </w:hyperlink>
      <w:r w:rsidRPr="009F2F4B">
        <w:t xml:space="preserve"> (legislative instrument) provides information on the timelines and requirements. </w:t>
      </w:r>
    </w:p>
    <w:p w14:paraId="44F12DD6" w14:textId="6F5CAFA9" w:rsidR="009F2F4B" w:rsidRPr="009F2F4B" w:rsidRDefault="009F2F4B" w:rsidP="009F2F4B">
      <w:pPr>
        <w:pStyle w:val="SCVbody"/>
      </w:pPr>
      <w:r w:rsidRPr="009F2F4B">
        <w:t xml:space="preserve">The SDC builds on the mandatory obligations of the </w:t>
      </w:r>
      <w:hyperlink r:id="rId12" w:history="1">
        <w:r w:rsidRPr="00897781">
          <w:rPr>
            <w:rStyle w:val="Hyperlink"/>
          </w:rPr>
          <w:t>Australian Open Disclosure Framework</w:t>
        </w:r>
      </w:hyperlink>
      <w:r w:rsidRPr="009F2F4B">
        <w:t xml:space="preserve">, ensuring patients, their families or carers </w:t>
      </w:r>
      <w:r w:rsidR="00671E44">
        <w:t>receive an</w:t>
      </w:r>
      <w:r w:rsidR="00671E44" w:rsidRPr="009F2F4B">
        <w:t xml:space="preserve"> </w:t>
      </w:r>
      <w:r w:rsidRPr="009F2F4B">
        <w:t>apolog</w:t>
      </w:r>
      <w:r w:rsidR="00671E44">
        <w:t>y</w:t>
      </w:r>
      <w:r w:rsidRPr="009F2F4B">
        <w:t xml:space="preserve"> and open</w:t>
      </w:r>
      <w:r w:rsidR="00981D96">
        <w:t>,</w:t>
      </w:r>
      <w:r w:rsidRPr="009F2F4B">
        <w:t xml:space="preserve"> honest</w:t>
      </w:r>
      <w:r w:rsidR="00981D96">
        <w:t xml:space="preserve"> communication</w:t>
      </w:r>
      <w:r w:rsidRPr="009F2F4B">
        <w:t xml:space="preserve"> when a SAPSE has occurred. The </w:t>
      </w:r>
      <w:r w:rsidRPr="00897781">
        <w:t>Australian Open Disclosure Framework</w:t>
      </w:r>
      <w:r w:rsidRPr="009F2F4B">
        <w:t xml:space="preserve"> must be followed for all other cases of harm that do not meet the SAPSE definition. </w:t>
      </w:r>
    </w:p>
    <w:p w14:paraId="65FD700B" w14:textId="6012ECD7" w:rsidR="009F2F4B" w:rsidRPr="009F2F4B" w:rsidRDefault="009F2F4B" w:rsidP="009F2F4B">
      <w:pPr>
        <w:pStyle w:val="SCVbody"/>
      </w:pPr>
      <w:r w:rsidRPr="00017402">
        <w:t>The SDC data collection will report key performance metrics to allow relevant health service entities to monitor compliance with their legal obligations. Safer Care Victoria will monitor the uptake of SDC practice</w:t>
      </w:r>
      <w:r w:rsidR="00950402" w:rsidRPr="00017402">
        <w:t>s</w:t>
      </w:r>
      <w:r w:rsidRPr="00017402">
        <w:t xml:space="preserve"> using this data collection.</w:t>
      </w:r>
      <w:r w:rsidRPr="009F2F4B">
        <w:t xml:space="preserve"> </w:t>
      </w:r>
    </w:p>
    <w:p w14:paraId="4E377FEA" w14:textId="76B29F93" w:rsidR="009F2F4B" w:rsidRDefault="009F2F4B" w:rsidP="009F2F4B">
      <w:pPr>
        <w:pStyle w:val="SCVbody"/>
        <w:rPr>
          <w:b/>
          <w:bCs/>
        </w:rPr>
      </w:pPr>
      <w:r w:rsidRPr="009F2F4B">
        <w:t xml:space="preserve">For SAPSE events identified on and from 1 January 2023, reporting of SDC processes is voluntary/optional but any reporting completed from this date must be consistent with these specifications. For SAPSEs identified on and from 1 July 2023, reporting of SDC aligned performance measures </w:t>
      </w:r>
      <w:r w:rsidR="30BC9CD9">
        <w:t>using the</w:t>
      </w:r>
      <w:r w:rsidR="00EE76FA">
        <w:t xml:space="preserve"> Agency Information Management System</w:t>
      </w:r>
      <w:r w:rsidR="30BC9CD9">
        <w:t xml:space="preserve"> </w:t>
      </w:r>
      <w:r w:rsidR="00EE76FA">
        <w:t>(</w:t>
      </w:r>
      <w:r w:rsidR="30BC9CD9">
        <w:t>AIMS</w:t>
      </w:r>
      <w:r w:rsidR="00EE76FA">
        <w:t>)</w:t>
      </w:r>
      <w:r w:rsidR="30BC9CD9">
        <w:t xml:space="preserve"> Statutory Duty of Candour reporting webform</w:t>
      </w:r>
      <w:r>
        <w:t xml:space="preserve"> </w:t>
      </w:r>
      <w:r w:rsidRPr="009F2F4B">
        <w:t xml:space="preserve">is mandatory for relevant health service entities.  </w:t>
      </w:r>
    </w:p>
    <w:p w14:paraId="0103F617" w14:textId="2EF027E6" w:rsidR="00EA5610" w:rsidRDefault="00EA5610" w:rsidP="009F2F4B">
      <w:pPr>
        <w:pStyle w:val="Heading1"/>
      </w:pPr>
      <w:r>
        <w:t>Scope</w:t>
      </w:r>
    </w:p>
    <w:p w14:paraId="6ACE9A5E" w14:textId="61ADF200" w:rsidR="00B64EC8" w:rsidRDefault="00B64EC8" w:rsidP="00B64EC8">
      <w:pPr>
        <w:pStyle w:val="SCVbody"/>
      </w:pPr>
      <w:r>
        <w:t>The scope of the SDC includes relevant health service entities:</w:t>
      </w:r>
    </w:p>
    <w:p w14:paraId="1304F745" w14:textId="698DD9B3" w:rsidR="00B64EC8" w:rsidRDefault="00B64EC8" w:rsidP="00B64EC8">
      <w:pPr>
        <w:pStyle w:val="SCVbullet1"/>
      </w:pPr>
      <w:r>
        <w:t>a public health service</w:t>
      </w:r>
    </w:p>
    <w:p w14:paraId="408ED3EE" w14:textId="5DE4A59C" w:rsidR="00B64EC8" w:rsidRDefault="00B64EC8" w:rsidP="00B64EC8">
      <w:pPr>
        <w:pStyle w:val="SCVbullet1"/>
      </w:pPr>
      <w:r>
        <w:t>a public hospital</w:t>
      </w:r>
    </w:p>
    <w:p w14:paraId="42651E56" w14:textId="5CA0C193" w:rsidR="00B64EC8" w:rsidRDefault="00B64EC8" w:rsidP="00B64EC8">
      <w:pPr>
        <w:pStyle w:val="SCVbullet1"/>
      </w:pPr>
      <w:r>
        <w:t>a multi</w:t>
      </w:r>
      <w:r w:rsidR="00466DC9">
        <w:t>-</w:t>
      </w:r>
      <w:r>
        <w:t xml:space="preserve">purpose </w:t>
      </w:r>
      <w:proofErr w:type="gramStart"/>
      <w:r>
        <w:t>service</w:t>
      </w:r>
      <w:proofErr w:type="gramEnd"/>
    </w:p>
    <w:p w14:paraId="3C49B105" w14:textId="05E0E80C" w:rsidR="00B64EC8" w:rsidRDefault="00B64EC8" w:rsidP="00B64EC8">
      <w:pPr>
        <w:pStyle w:val="SCVbullet1"/>
      </w:pPr>
      <w:r>
        <w:t>a denominational hospital</w:t>
      </w:r>
    </w:p>
    <w:p w14:paraId="7218D63E" w14:textId="593736BF" w:rsidR="00B64EC8" w:rsidRDefault="00B64EC8" w:rsidP="00B64EC8">
      <w:pPr>
        <w:pStyle w:val="SCVbullet1"/>
      </w:pPr>
      <w:r>
        <w:t>a private hospital</w:t>
      </w:r>
    </w:p>
    <w:p w14:paraId="1B670DD1" w14:textId="3C39A7E3" w:rsidR="00EA5610" w:rsidRDefault="00B64EC8" w:rsidP="00B64EC8">
      <w:pPr>
        <w:pStyle w:val="SCVbullet1"/>
      </w:pPr>
      <w:r>
        <w:t>a day procedure centre</w:t>
      </w:r>
    </w:p>
    <w:p w14:paraId="7012876B" w14:textId="2A0EC5B9" w:rsidR="003146BE" w:rsidRDefault="003146BE" w:rsidP="00B64EC8">
      <w:pPr>
        <w:pStyle w:val="SCVbullet1"/>
      </w:pPr>
      <w:r w:rsidRPr="003146BE">
        <w:t xml:space="preserve">an ambulance service within the meaning of the </w:t>
      </w:r>
      <w:r w:rsidRPr="003146BE">
        <w:rPr>
          <w:i/>
          <w:iCs/>
        </w:rPr>
        <w:t>Ambulance Services Act 1986</w:t>
      </w:r>
    </w:p>
    <w:p w14:paraId="66A1F24A" w14:textId="48968FB1" w:rsidR="003146BE" w:rsidRPr="00BA23E6" w:rsidRDefault="00BA23E6" w:rsidP="00B64EC8">
      <w:pPr>
        <w:pStyle w:val="SCVbullet1"/>
      </w:pPr>
      <w:r w:rsidRPr="00BA23E6">
        <w:t xml:space="preserve">the Victorian Institute of Forensic Mental Health established by section 328 of the </w:t>
      </w:r>
      <w:r w:rsidRPr="00BA23E6">
        <w:rPr>
          <w:i/>
          <w:iCs/>
        </w:rPr>
        <w:t>Mental Health Act 2014.</w:t>
      </w:r>
    </w:p>
    <w:p w14:paraId="287D5156" w14:textId="676D57E1" w:rsidR="00BA23E6" w:rsidRDefault="00BA23E6" w:rsidP="00BA23E6">
      <w:pPr>
        <w:pStyle w:val="SCVbullet1"/>
        <w:numPr>
          <w:ilvl w:val="0"/>
          <w:numId w:val="0"/>
        </w:numPr>
      </w:pPr>
      <w:r w:rsidRPr="00BA23E6">
        <w:t>Non-Emergency Patient Transport (NEPT) services</w:t>
      </w:r>
      <w:r w:rsidR="00A54E63">
        <w:t xml:space="preserve"> within the meaning of the </w:t>
      </w:r>
      <w:r w:rsidR="00A54E63" w:rsidRPr="00A54E63">
        <w:rPr>
          <w:i/>
          <w:iCs/>
        </w:rPr>
        <w:t>Non-Emergency Patient Transport and First Aid Services Act 2003</w:t>
      </w:r>
      <w:r w:rsidRPr="00A54E63">
        <w:rPr>
          <w:i/>
          <w:iCs/>
        </w:rPr>
        <w:t>,</w:t>
      </w:r>
      <w:r w:rsidRPr="00BA23E6">
        <w:t xml:space="preserve"> although required to comply with the SDC, will not be required to report their data via this AIMS form. </w:t>
      </w:r>
    </w:p>
    <w:p w14:paraId="266957FD" w14:textId="77777777" w:rsidR="001745A8" w:rsidRDefault="001745A8" w:rsidP="00BA23E6">
      <w:pPr>
        <w:pStyle w:val="SCVbullet1"/>
        <w:numPr>
          <w:ilvl w:val="0"/>
          <w:numId w:val="0"/>
        </w:numPr>
      </w:pPr>
    </w:p>
    <w:p w14:paraId="372A11AD" w14:textId="594BFB3C" w:rsidR="00BA23E6" w:rsidRDefault="002719C0" w:rsidP="00BA23E6">
      <w:pPr>
        <w:pStyle w:val="Heading1"/>
      </w:pPr>
      <w:r w:rsidRPr="002719C0">
        <w:lastRenderedPageBreak/>
        <w:t>Agency level for SDC reporting</w:t>
      </w:r>
    </w:p>
    <w:p w14:paraId="5C49ABA3" w14:textId="1338EDCC" w:rsidR="00747504" w:rsidRPr="00747504" w:rsidRDefault="00577B07" w:rsidP="004123BE">
      <w:pPr>
        <w:pStyle w:val="SCVbody"/>
      </w:pPr>
      <w:r>
        <w:t>Agency level for SDC reporting includes:</w:t>
      </w:r>
    </w:p>
    <w:p w14:paraId="0DC1B847" w14:textId="15DB68FC" w:rsidR="002719C0" w:rsidRDefault="002719C0" w:rsidP="002719C0">
      <w:pPr>
        <w:pStyle w:val="SCVbullet1"/>
        <w:rPr>
          <w:rFonts w:eastAsia="Times New Roman"/>
        </w:rPr>
      </w:pPr>
      <w:r w:rsidRPr="002719C0" w:rsidDel="00577B07">
        <w:rPr>
          <w:rFonts w:eastAsia="Times New Roman"/>
        </w:rPr>
        <w:t>at</w:t>
      </w:r>
      <w:r w:rsidR="00577B07">
        <w:rPr>
          <w:rFonts w:eastAsia="Times New Roman"/>
        </w:rPr>
        <w:t xml:space="preserve"> </w:t>
      </w:r>
      <w:r w:rsidRPr="00DB5053">
        <w:rPr>
          <w:rFonts w:eastAsia="Times New Roman"/>
          <w:b/>
          <w:bCs/>
        </w:rPr>
        <w:t>campus level</w:t>
      </w:r>
      <w:r w:rsidRPr="002719C0">
        <w:rPr>
          <w:rFonts w:eastAsia="Times New Roman"/>
        </w:rPr>
        <w:t xml:space="preserve"> for Victorian public hospitals and health services, including denominational and multi-purpose hospitals, and private hospitals and registered day procedure centres </w:t>
      </w:r>
    </w:p>
    <w:p w14:paraId="01174BE3" w14:textId="2021B32B" w:rsidR="002719C0" w:rsidRPr="002719C0" w:rsidRDefault="002719C0" w:rsidP="002719C0">
      <w:pPr>
        <w:pStyle w:val="SCVbullet1"/>
        <w:rPr>
          <w:rFonts w:eastAsia="Times New Roman"/>
        </w:rPr>
      </w:pPr>
      <w:r w:rsidRPr="002719C0">
        <w:rPr>
          <w:rFonts w:eastAsia="Times New Roman"/>
        </w:rPr>
        <w:t>relevant health service entit</w:t>
      </w:r>
      <w:r w:rsidR="006E1E92">
        <w:rPr>
          <w:rFonts w:eastAsia="Times New Roman"/>
        </w:rPr>
        <w:t>ies that have</w:t>
      </w:r>
      <w:r w:rsidRPr="002719C0">
        <w:rPr>
          <w:rFonts w:eastAsia="Times New Roman"/>
        </w:rPr>
        <w:t xml:space="preserve"> any other service under its governance, including but not limited to residential aged care or community services</w:t>
      </w:r>
      <w:r w:rsidR="00F629AB">
        <w:rPr>
          <w:rFonts w:eastAsia="Times New Roman"/>
        </w:rPr>
        <w:t>.</w:t>
      </w:r>
      <w:r w:rsidRPr="002719C0">
        <w:rPr>
          <w:rFonts w:eastAsia="Times New Roman"/>
        </w:rPr>
        <w:t xml:space="preserve"> </w:t>
      </w:r>
      <w:r w:rsidR="00F629AB">
        <w:rPr>
          <w:rFonts w:eastAsia="Times New Roman"/>
        </w:rPr>
        <w:t>T</w:t>
      </w:r>
      <w:r w:rsidRPr="002719C0">
        <w:rPr>
          <w:rFonts w:eastAsia="Times New Roman"/>
        </w:rPr>
        <w:t xml:space="preserve">hose services must also report SDC data, reporting data separately for each campus, or each aged care or community service, whether co-located on the same site as the acute health service/hospital or separately located </w:t>
      </w:r>
    </w:p>
    <w:p w14:paraId="2A098BFC" w14:textId="74AEC3C1" w:rsidR="002719C0" w:rsidRDefault="002719C0" w:rsidP="00E00ABD">
      <w:pPr>
        <w:pStyle w:val="SCVbullet1"/>
        <w:rPr>
          <w:rFonts w:eastAsia="Times New Roman"/>
        </w:rPr>
      </w:pPr>
      <w:r w:rsidRPr="002719C0" w:rsidDel="00EE61AF">
        <w:rPr>
          <w:rFonts w:eastAsia="Times New Roman"/>
        </w:rPr>
        <w:t xml:space="preserve">at </w:t>
      </w:r>
      <w:r w:rsidRPr="00DB5053">
        <w:rPr>
          <w:rFonts w:eastAsia="Times New Roman"/>
          <w:b/>
          <w:bCs/>
        </w:rPr>
        <w:t>whole-of-entity level</w:t>
      </w:r>
      <w:r w:rsidRPr="002719C0">
        <w:rPr>
          <w:rFonts w:eastAsia="Times New Roman"/>
        </w:rPr>
        <w:t xml:space="preserve"> for</w:t>
      </w:r>
      <w:r>
        <w:rPr>
          <w:rFonts w:eastAsia="Times New Roman"/>
        </w:rPr>
        <w:t xml:space="preserve"> all </w:t>
      </w:r>
      <w:r w:rsidRPr="002719C0">
        <w:rPr>
          <w:rFonts w:eastAsia="Times New Roman"/>
        </w:rPr>
        <w:t xml:space="preserve">other health service entities </w:t>
      </w:r>
      <w:proofErr w:type="gramStart"/>
      <w:r w:rsidR="00E00ABD">
        <w:rPr>
          <w:rFonts w:eastAsia="Times New Roman"/>
        </w:rPr>
        <w:t>required</w:t>
      </w:r>
      <w:proofErr w:type="gramEnd"/>
      <w:r w:rsidR="00E00ABD">
        <w:rPr>
          <w:rFonts w:eastAsia="Times New Roman"/>
        </w:rPr>
        <w:t xml:space="preserve"> </w:t>
      </w:r>
      <w:r w:rsidRPr="002719C0">
        <w:rPr>
          <w:rFonts w:eastAsia="Times New Roman"/>
        </w:rPr>
        <w:t>to undertake SDC processes under the legislation</w:t>
      </w:r>
      <w:r w:rsidR="00EE61AF">
        <w:rPr>
          <w:rFonts w:eastAsia="Times New Roman"/>
        </w:rPr>
        <w:t>,</w:t>
      </w:r>
      <w:r>
        <w:rPr>
          <w:rFonts w:eastAsia="Times New Roman"/>
        </w:rPr>
        <w:t xml:space="preserve"> </w:t>
      </w:r>
      <w:r w:rsidRPr="002719C0">
        <w:rPr>
          <w:rFonts w:eastAsia="Times New Roman"/>
        </w:rPr>
        <w:t>i.e. ambulance services and the Victorian Institute of Forensic Mental Health.</w:t>
      </w:r>
    </w:p>
    <w:p w14:paraId="6FBD5368" w14:textId="11F8C185" w:rsidR="00E00ABD" w:rsidRDefault="004F34D7" w:rsidP="00E00ABD">
      <w:pPr>
        <w:pStyle w:val="Heading1"/>
        <w:rPr>
          <w:rFonts w:eastAsia="Times New Roman"/>
        </w:rPr>
      </w:pPr>
      <w:r w:rsidRPr="004F34D7">
        <w:rPr>
          <w:rFonts w:eastAsia="Times New Roman"/>
        </w:rPr>
        <w:t>Reporting due date, frequency and period</w:t>
      </w:r>
    </w:p>
    <w:p w14:paraId="3290B1CE" w14:textId="7887AA74" w:rsidR="004F34D7" w:rsidRDefault="004F34D7" w:rsidP="004F34D7">
      <w:pPr>
        <w:pStyle w:val="SCVbody"/>
      </w:pPr>
      <w:r>
        <w:t xml:space="preserve">SDC data is to be reported: </w:t>
      </w:r>
    </w:p>
    <w:p w14:paraId="08DABAFA" w14:textId="6CD6139A" w:rsidR="004F34D7" w:rsidRDefault="004F34D7" w:rsidP="004F34D7">
      <w:pPr>
        <w:pStyle w:val="SCVbullet1"/>
      </w:pPr>
      <w:r>
        <w:t xml:space="preserve">at quarterly intervals </w:t>
      </w:r>
    </w:p>
    <w:p w14:paraId="720F24EF" w14:textId="64AE31ED" w:rsidR="004F34D7" w:rsidRDefault="004F34D7" w:rsidP="004F34D7">
      <w:pPr>
        <w:pStyle w:val="SCVbullet1"/>
      </w:pPr>
      <w:r>
        <w:t>by the 14th day of the month after the end of each calendar quarter (</w:t>
      </w:r>
      <w:r w:rsidR="00B538BF">
        <w:t>e.g.</w:t>
      </w:r>
      <w:r>
        <w:t xml:space="preserve"> by 14 July for SDCs occurring between 1 January and </w:t>
      </w:r>
      <w:r w:rsidR="4E141AF7">
        <w:t>3</w:t>
      </w:r>
      <w:r w:rsidR="052AF3D5">
        <w:t>0</w:t>
      </w:r>
      <w:r w:rsidR="4E141AF7">
        <w:t xml:space="preserve"> </w:t>
      </w:r>
      <w:r w:rsidR="45824893">
        <w:t>June</w:t>
      </w:r>
      <w:r>
        <w:t xml:space="preserve"> inclusive)  </w:t>
      </w:r>
    </w:p>
    <w:p w14:paraId="085D1203" w14:textId="2CB11482" w:rsidR="004F34D7" w:rsidRDefault="004F34D7" w:rsidP="004F34D7">
      <w:pPr>
        <w:pStyle w:val="SCVbullet1"/>
      </w:pPr>
      <w:r>
        <w:t xml:space="preserve">for SAPSEs that are identified in one quarter and the SDCs conducted or opted out of in that quarter and the following quarter, arising from those SAPSEs. </w:t>
      </w:r>
    </w:p>
    <w:p w14:paraId="15949740" w14:textId="239F9853" w:rsidR="004F34D7" w:rsidRDefault="004F34D7" w:rsidP="004F34D7">
      <w:pPr>
        <w:pStyle w:val="SCVbody"/>
      </w:pPr>
      <w:r>
        <w:t xml:space="preserve">Reporting will be voluntary/optional initially, with mandatory reporting to begin with SAPSEs identified from 1 July 2023: </w:t>
      </w:r>
    </w:p>
    <w:p w14:paraId="11518C00" w14:textId="51E92099" w:rsidR="004F34D7" w:rsidRDefault="00EE61AF" w:rsidP="00DB5053">
      <w:pPr>
        <w:pStyle w:val="SCVbullet1"/>
      </w:pPr>
      <w:r>
        <w:rPr>
          <w:b/>
          <w:bCs/>
        </w:rPr>
        <w:t>v</w:t>
      </w:r>
      <w:r w:rsidR="004F34D7" w:rsidRPr="00DB5053">
        <w:rPr>
          <w:b/>
          <w:bCs/>
        </w:rPr>
        <w:t>oluntary/optional</w:t>
      </w:r>
      <w:r w:rsidR="004F34D7">
        <w:t xml:space="preserve"> reporting can commence for SAPSEs identified in January to March 2023 and </w:t>
      </w:r>
      <w:r w:rsidR="00D61E59">
        <w:t xml:space="preserve">related </w:t>
      </w:r>
      <w:r w:rsidR="004F34D7">
        <w:t>SDCs for th</w:t>
      </w:r>
      <w:r w:rsidR="00794B82">
        <w:t>o</w:t>
      </w:r>
      <w:r w:rsidR="004F34D7">
        <w:t>se conducted or opted out of during January to June 2023 to be reported by 14 July 2023</w:t>
      </w:r>
    </w:p>
    <w:p w14:paraId="15A2369D" w14:textId="1AFC2D96" w:rsidR="004F34D7" w:rsidRDefault="00794B82" w:rsidP="00DB5053">
      <w:pPr>
        <w:pStyle w:val="SCVbullet1"/>
      </w:pPr>
      <w:r>
        <w:rPr>
          <w:b/>
          <w:bCs/>
        </w:rPr>
        <w:t>v</w:t>
      </w:r>
      <w:r w:rsidR="004F34D7" w:rsidRPr="00DB5053">
        <w:rPr>
          <w:b/>
          <w:bCs/>
        </w:rPr>
        <w:t>oluntary/optional</w:t>
      </w:r>
      <w:r w:rsidR="004F34D7">
        <w:t xml:space="preserve"> reporting can also be submitted for SAPSEs identified in April to June 2023 and </w:t>
      </w:r>
      <w:r w:rsidR="0032192B">
        <w:t xml:space="preserve">related </w:t>
      </w:r>
      <w:r w:rsidR="004F34D7">
        <w:t>SDCs for th</w:t>
      </w:r>
      <w:r w:rsidR="004D7A55">
        <w:t>o</w:t>
      </w:r>
      <w:r w:rsidR="004F34D7">
        <w:t>se conducted or opted out of during April to September 2023 to be reported by 14 October 2023</w:t>
      </w:r>
    </w:p>
    <w:p w14:paraId="616BF7D3" w14:textId="0473E077" w:rsidR="004F34D7" w:rsidRDefault="004D7A55" w:rsidP="00DB5053">
      <w:pPr>
        <w:pStyle w:val="SCVbullet1"/>
      </w:pPr>
      <w:r>
        <w:rPr>
          <w:b/>
          <w:bCs/>
        </w:rPr>
        <w:t>m</w:t>
      </w:r>
      <w:r w:rsidR="004F34D7" w:rsidRPr="00DB5053">
        <w:rPr>
          <w:b/>
          <w:bCs/>
        </w:rPr>
        <w:t>andatory reporting</w:t>
      </w:r>
      <w:r w:rsidR="004F34D7">
        <w:t xml:space="preserve"> to commence for SAPSEs identified in July to September 2023 and </w:t>
      </w:r>
      <w:r w:rsidR="0032192B">
        <w:t>related</w:t>
      </w:r>
      <w:r w:rsidR="004F34D7">
        <w:t xml:space="preserve"> SDCs for th</w:t>
      </w:r>
      <w:r>
        <w:t>o</w:t>
      </w:r>
      <w:r w:rsidR="004F34D7">
        <w:t>se conducted or opted out of during July to December 2023 to be reported by 14 January 2024</w:t>
      </w:r>
    </w:p>
    <w:p w14:paraId="13477A6D" w14:textId="15460538" w:rsidR="004F34D7" w:rsidRDefault="004D7A55" w:rsidP="00DB5053">
      <w:pPr>
        <w:pStyle w:val="SCVbullet1"/>
      </w:pPr>
      <w:r>
        <w:rPr>
          <w:b/>
          <w:bCs/>
        </w:rPr>
        <w:t>m</w:t>
      </w:r>
      <w:r w:rsidR="004F34D7" w:rsidRPr="00DB5053">
        <w:rPr>
          <w:b/>
          <w:bCs/>
        </w:rPr>
        <w:t>andatory reporting</w:t>
      </w:r>
      <w:r w:rsidR="004F34D7">
        <w:t xml:space="preserve"> to continue </w:t>
      </w:r>
      <w:r w:rsidR="00DB5053">
        <w:t xml:space="preserve">thereafter </w:t>
      </w:r>
      <w:r w:rsidR="004F34D7">
        <w:t xml:space="preserve">for all relevant agencies for SAPSEs identified within each calendar quarter, and for the </w:t>
      </w:r>
      <w:r w:rsidR="0032192B">
        <w:t xml:space="preserve">related </w:t>
      </w:r>
      <w:r w:rsidR="004F34D7">
        <w:t>SDCs for SAPSEs conducted or opted out of in the six months beginning on the first day of the calendar quarter, to be reported by the 14th day of the month after the end of the 6-month SDC reporting period.</w:t>
      </w:r>
    </w:p>
    <w:p w14:paraId="20EEB307" w14:textId="7E7DCB14" w:rsidR="008E39E5" w:rsidRPr="008E39E5" w:rsidRDefault="008E39E5" w:rsidP="00232BAE">
      <w:pPr>
        <w:pStyle w:val="SCV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195"/>
        <w:gridCol w:w="1843"/>
        <w:gridCol w:w="1276"/>
        <w:gridCol w:w="1701"/>
        <w:gridCol w:w="1638"/>
      </w:tblGrid>
      <w:tr w:rsidR="00B51E78" w14:paraId="30339DF0" w14:textId="77777777" w:rsidTr="005C7862">
        <w:trPr>
          <w:trHeight w:val="20"/>
        </w:trPr>
        <w:tc>
          <w:tcPr>
            <w:tcW w:w="1769" w:type="dxa"/>
            <w:shd w:val="clear" w:color="auto" w:fill="CCE2E8" w:themeFill="background2" w:themeFillShade="E6"/>
          </w:tcPr>
          <w:p w14:paraId="6D30F4C9" w14:textId="77777777" w:rsidR="00B51E78" w:rsidRPr="00FC2AF6" w:rsidRDefault="00B51E78" w:rsidP="007D7995">
            <w:pPr>
              <w:pStyle w:val="SCVbody"/>
              <w:spacing w:before="0" w:line="240" w:lineRule="auto"/>
              <w:rPr>
                <w:b/>
                <w:bCs/>
              </w:rPr>
            </w:pPr>
            <w:r w:rsidRPr="00FC2AF6">
              <w:rPr>
                <w:b/>
                <w:bCs/>
              </w:rPr>
              <w:t>Quarter SAPSE identified</w:t>
            </w:r>
          </w:p>
        </w:tc>
        <w:tc>
          <w:tcPr>
            <w:tcW w:w="2195" w:type="dxa"/>
            <w:shd w:val="clear" w:color="auto" w:fill="CCE2E8" w:themeFill="background2" w:themeFillShade="E6"/>
          </w:tcPr>
          <w:p w14:paraId="0A2BABB3" w14:textId="77777777" w:rsidR="00B51E78" w:rsidRPr="00FC2AF6" w:rsidRDefault="00B51E78" w:rsidP="007D7995">
            <w:pPr>
              <w:pStyle w:val="SCVbody"/>
              <w:spacing w:before="0" w:line="240" w:lineRule="auto"/>
              <w:rPr>
                <w:b/>
                <w:bCs/>
              </w:rPr>
            </w:pPr>
            <w:r w:rsidRPr="00FC2AF6">
              <w:rPr>
                <w:b/>
                <w:bCs/>
              </w:rPr>
              <w:t>6-month period of SDC process</w:t>
            </w:r>
          </w:p>
        </w:tc>
        <w:tc>
          <w:tcPr>
            <w:tcW w:w="1843" w:type="dxa"/>
            <w:shd w:val="clear" w:color="auto" w:fill="CCE2E8" w:themeFill="background2" w:themeFillShade="E6"/>
          </w:tcPr>
          <w:p w14:paraId="48669C10" w14:textId="7E9B908B" w:rsidR="00B51E78" w:rsidRPr="00FC2AF6" w:rsidRDefault="00B51E78" w:rsidP="007D7995">
            <w:pPr>
              <w:pStyle w:val="SCVbody"/>
              <w:spacing w:before="0" w:line="240" w:lineRule="auto"/>
              <w:rPr>
                <w:b/>
                <w:bCs/>
              </w:rPr>
            </w:pPr>
            <w:r w:rsidRPr="00FC2AF6">
              <w:rPr>
                <w:b/>
                <w:bCs/>
              </w:rPr>
              <w:t>Due date for submission</w:t>
            </w:r>
          </w:p>
        </w:tc>
        <w:tc>
          <w:tcPr>
            <w:tcW w:w="1276" w:type="dxa"/>
            <w:shd w:val="clear" w:color="auto" w:fill="CCE2E8" w:themeFill="background2" w:themeFillShade="E6"/>
          </w:tcPr>
          <w:p w14:paraId="1835CE46" w14:textId="1D2A5ECE" w:rsidR="00B51E78" w:rsidRPr="00FC2AF6" w:rsidRDefault="00B51E78" w:rsidP="007D7995">
            <w:pPr>
              <w:pStyle w:val="SCVbody"/>
              <w:spacing w:before="0" w:line="240" w:lineRule="auto"/>
              <w:rPr>
                <w:b/>
                <w:bCs/>
              </w:rPr>
            </w:pPr>
            <w:r>
              <w:rPr>
                <w:b/>
                <w:bCs/>
              </w:rPr>
              <w:t>Reporting status</w:t>
            </w:r>
          </w:p>
        </w:tc>
        <w:tc>
          <w:tcPr>
            <w:tcW w:w="1701" w:type="dxa"/>
            <w:shd w:val="clear" w:color="auto" w:fill="CCE2E8" w:themeFill="background2" w:themeFillShade="E6"/>
          </w:tcPr>
          <w:p w14:paraId="3824F230" w14:textId="6C7F6D6E" w:rsidR="00B51E78" w:rsidRPr="00FC2AF6" w:rsidRDefault="00B51E78" w:rsidP="007D7995">
            <w:pPr>
              <w:pStyle w:val="SCVbody"/>
              <w:spacing w:before="0" w:line="240" w:lineRule="auto"/>
              <w:rPr>
                <w:b/>
                <w:bCs/>
              </w:rPr>
            </w:pPr>
            <w:r>
              <w:rPr>
                <w:b/>
                <w:bCs/>
              </w:rPr>
              <w:t>AIMS Selector: Year</w:t>
            </w:r>
          </w:p>
        </w:tc>
        <w:tc>
          <w:tcPr>
            <w:tcW w:w="1638" w:type="dxa"/>
            <w:shd w:val="clear" w:color="auto" w:fill="CCE2E8" w:themeFill="background2" w:themeFillShade="E6"/>
          </w:tcPr>
          <w:p w14:paraId="237DE7D5" w14:textId="78B2D7CE" w:rsidR="00B51E78" w:rsidRPr="00FC2AF6" w:rsidRDefault="00B51E78" w:rsidP="007D7995">
            <w:pPr>
              <w:pStyle w:val="SCVbody"/>
              <w:spacing w:before="0" w:line="240" w:lineRule="auto"/>
              <w:rPr>
                <w:b/>
                <w:bCs/>
              </w:rPr>
            </w:pPr>
            <w:r>
              <w:rPr>
                <w:b/>
                <w:bCs/>
              </w:rPr>
              <w:t>AIMS Selector: Period</w:t>
            </w:r>
          </w:p>
        </w:tc>
      </w:tr>
      <w:tr w:rsidR="00B51E78" w14:paraId="3D5D9807" w14:textId="77777777" w:rsidTr="005C7862">
        <w:trPr>
          <w:trHeight w:val="20"/>
        </w:trPr>
        <w:tc>
          <w:tcPr>
            <w:tcW w:w="1769" w:type="dxa"/>
          </w:tcPr>
          <w:p w14:paraId="4E2E5385" w14:textId="4D1B21F7" w:rsidR="00B51E78" w:rsidRDefault="00B51E78" w:rsidP="007D7995">
            <w:pPr>
              <w:pStyle w:val="SCVbody"/>
              <w:spacing w:before="0" w:line="240" w:lineRule="auto"/>
            </w:pPr>
            <w:r>
              <w:t>Apr - Jun 2023</w:t>
            </w:r>
          </w:p>
        </w:tc>
        <w:tc>
          <w:tcPr>
            <w:tcW w:w="2195" w:type="dxa"/>
          </w:tcPr>
          <w:p w14:paraId="6246FB38" w14:textId="1DD7EAE1" w:rsidR="00B51E78" w:rsidRDefault="00B51E78" w:rsidP="007D7995">
            <w:pPr>
              <w:pStyle w:val="SCVbody"/>
              <w:spacing w:before="0" w:line="240" w:lineRule="auto"/>
            </w:pPr>
            <w:r>
              <w:t>Apr – Sep 2023</w:t>
            </w:r>
          </w:p>
        </w:tc>
        <w:tc>
          <w:tcPr>
            <w:tcW w:w="1843" w:type="dxa"/>
          </w:tcPr>
          <w:p w14:paraId="58206E61" w14:textId="4A59055F" w:rsidR="00B51E78" w:rsidRDefault="00B51E78" w:rsidP="007D7995">
            <w:pPr>
              <w:pStyle w:val="SCVbody"/>
              <w:spacing w:before="0" w:line="240" w:lineRule="auto"/>
            </w:pPr>
            <w:r>
              <w:t>1 – 14 Oct 2023</w:t>
            </w:r>
          </w:p>
        </w:tc>
        <w:tc>
          <w:tcPr>
            <w:tcW w:w="1276" w:type="dxa"/>
          </w:tcPr>
          <w:p w14:paraId="37A3CB8D" w14:textId="2DFB8CFB" w:rsidR="00B51E78" w:rsidRPr="0082344F" w:rsidRDefault="00B51E78" w:rsidP="007D7995">
            <w:pPr>
              <w:pStyle w:val="SCVbody"/>
              <w:spacing w:before="0" w:line="240" w:lineRule="auto"/>
              <w:rPr>
                <w:i/>
                <w:iCs/>
                <w:color w:val="007586" w:themeColor="text2"/>
              </w:rPr>
            </w:pPr>
            <w:r w:rsidRPr="0082344F">
              <w:rPr>
                <w:i/>
                <w:iCs/>
                <w:color w:val="007586" w:themeColor="text2"/>
              </w:rPr>
              <w:t>Voluntary</w:t>
            </w:r>
          </w:p>
        </w:tc>
        <w:tc>
          <w:tcPr>
            <w:tcW w:w="1701" w:type="dxa"/>
          </w:tcPr>
          <w:p w14:paraId="6049D342" w14:textId="30879EED" w:rsidR="00B51E78" w:rsidRPr="008E39E5" w:rsidRDefault="00B51E78" w:rsidP="007D7995">
            <w:pPr>
              <w:pStyle w:val="SCVbody"/>
              <w:spacing w:before="0" w:line="240" w:lineRule="auto"/>
              <w:rPr>
                <w:b/>
                <w:bCs/>
                <w:color w:val="007586" w:themeColor="text2"/>
              </w:rPr>
            </w:pPr>
            <w:r>
              <w:rPr>
                <w:b/>
                <w:bCs/>
                <w:color w:val="007586" w:themeColor="text2"/>
              </w:rPr>
              <w:t>2022-23</w:t>
            </w:r>
          </w:p>
        </w:tc>
        <w:tc>
          <w:tcPr>
            <w:tcW w:w="1638" w:type="dxa"/>
          </w:tcPr>
          <w:p w14:paraId="6F3773AD" w14:textId="30086FDF" w:rsidR="00B51E78" w:rsidRPr="008E39E5" w:rsidRDefault="00B51E78" w:rsidP="007D7995">
            <w:pPr>
              <w:pStyle w:val="SCVbody"/>
              <w:spacing w:before="0" w:line="240" w:lineRule="auto"/>
              <w:rPr>
                <w:b/>
                <w:bCs/>
              </w:rPr>
            </w:pPr>
            <w:r>
              <w:rPr>
                <w:b/>
                <w:bCs/>
                <w:color w:val="007586" w:themeColor="text2"/>
              </w:rPr>
              <w:t>4</w:t>
            </w:r>
            <w:r w:rsidRPr="00B51E78">
              <w:rPr>
                <w:b/>
                <w:bCs/>
                <w:color w:val="007586" w:themeColor="text2"/>
                <w:vertAlign w:val="superscript"/>
              </w:rPr>
              <w:t>th</w:t>
            </w:r>
            <w:r>
              <w:rPr>
                <w:b/>
                <w:bCs/>
                <w:color w:val="007586" w:themeColor="text2"/>
              </w:rPr>
              <w:t xml:space="preserve"> Quarter</w:t>
            </w:r>
          </w:p>
        </w:tc>
      </w:tr>
      <w:tr w:rsidR="00B51E78" w14:paraId="2B1AB6A9" w14:textId="77777777" w:rsidTr="005C7862">
        <w:trPr>
          <w:trHeight w:val="20"/>
        </w:trPr>
        <w:tc>
          <w:tcPr>
            <w:tcW w:w="1769" w:type="dxa"/>
          </w:tcPr>
          <w:p w14:paraId="2E2BB0D8" w14:textId="68606BAB" w:rsidR="00B51E78" w:rsidRDefault="00B51E78" w:rsidP="007D7995">
            <w:pPr>
              <w:pStyle w:val="SCVbody"/>
              <w:spacing w:before="0" w:line="240" w:lineRule="auto"/>
            </w:pPr>
            <w:r>
              <w:t>Jul – Sep 2023</w:t>
            </w:r>
          </w:p>
        </w:tc>
        <w:tc>
          <w:tcPr>
            <w:tcW w:w="2195" w:type="dxa"/>
          </w:tcPr>
          <w:p w14:paraId="5D2C25E9" w14:textId="47B3FFE3" w:rsidR="00B51E78" w:rsidRDefault="00B51E78" w:rsidP="007D7995">
            <w:pPr>
              <w:pStyle w:val="SCVbody"/>
              <w:spacing w:before="0" w:line="240" w:lineRule="auto"/>
            </w:pPr>
            <w:r>
              <w:t>Jul – Dec 2023</w:t>
            </w:r>
          </w:p>
        </w:tc>
        <w:tc>
          <w:tcPr>
            <w:tcW w:w="1843" w:type="dxa"/>
          </w:tcPr>
          <w:p w14:paraId="01B73483" w14:textId="51B528A7" w:rsidR="00B51E78" w:rsidRDefault="00B51E78" w:rsidP="007D7995">
            <w:pPr>
              <w:pStyle w:val="SCVbody"/>
              <w:spacing w:before="0" w:line="240" w:lineRule="auto"/>
            </w:pPr>
            <w:r>
              <w:t>1 – 14 Jan 2024</w:t>
            </w:r>
          </w:p>
        </w:tc>
        <w:tc>
          <w:tcPr>
            <w:tcW w:w="1276" w:type="dxa"/>
          </w:tcPr>
          <w:p w14:paraId="424CA536" w14:textId="0E473D2A" w:rsidR="00B51E78" w:rsidRPr="008E39E5" w:rsidRDefault="00B51E78" w:rsidP="007D7995">
            <w:pPr>
              <w:pStyle w:val="SCVbody"/>
              <w:spacing w:before="0" w:line="240" w:lineRule="auto"/>
              <w:rPr>
                <w:b/>
                <w:bCs/>
                <w:color w:val="007586" w:themeColor="text2"/>
              </w:rPr>
            </w:pPr>
            <w:r>
              <w:rPr>
                <w:b/>
                <w:bCs/>
                <w:color w:val="007586" w:themeColor="text2"/>
              </w:rPr>
              <w:t>Mandatory</w:t>
            </w:r>
          </w:p>
        </w:tc>
        <w:tc>
          <w:tcPr>
            <w:tcW w:w="1701" w:type="dxa"/>
          </w:tcPr>
          <w:p w14:paraId="6DB0415B" w14:textId="16ADE2FF" w:rsidR="00B51E78" w:rsidRPr="008E39E5" w:rsidRDefault="00B51E78" w:rsidP="007D7995">
            <w:pPr>
              <w:pStyle w:val="SCVbody"/>
              <w:spacing w:before="0" w:line="240" w:lineRule="auto"/>
              <w:rPr>
                <w:b/>
                <w:bCs/>
                <w:color w:val="007586" w:themeColor="text2"/>
              </w:rPr>
            </w:pPr>
            <w:r>
              <w:rPr>
                <w:b/>
                <w:bCs/>
                <w:color w:val="007586" w:themeColor="text2"/>
              </w:rPr>
              <w:t>2023-24</w:t>
            </w:r>
          </w:p>
        </w:tc>
        <w:tc>
          <w:tcPr>
            <w:tcW w:w="1638" w:type="dxa"/>
          </w:tcPr>
          <w:p w14:paraId="6C664966" w14:textId="6DCC2E5A" w:rsidR="00B51E78" w:rsidRPr="008E39E5" w:rsidRDefault="00B51E78" w:rsidP="007D7995">
            <w:pPr>
              <w:pStyle w:val="SCVbody"/>
              <w:spacing w:before="0" w:line="240" w:lineRule="auto"/>
              <w:rPr>
                <w:b/>
                <w:bCs/>
              </w:rPr>
            </w:pPr>
            <w:r>
              <w:rPr>
                <w:b/>
                <w:bCs/>
                <w:color w:val="007586" w:themeColor="text2"/>
              </w:rPr>
              <w:t>1</w:t>
            </w:r>
            <w:r w:rsidRPr="00B51E78">
              <w:rPr>
                <w:b/>
                <w:bCs/>
                <w:color w:val="007586" w:themeColor="text2"/>
                <w:vertAlign w:val="superscript"/>
              </w:rPr>
              <w:t>st</w:t>
            </w:r>
            <w:r>
              <w:rPr>
                <w:b/>
                <w:bCs/>
                <w:color w:val="007586" w:themeColor="text2"/>
              </w:rPr>
              <w:t xml:space="preserve"> Quarter</w:t>
            </w:r>
          </w:p>
        </w:tc>
      </w:tr>
      <w:tr w:rsidR="00B51E78" w14:paraId="0017451E" w14:textId="77777777" w:rsidTr="005C7862">
        <w:trPr>
          <w:trHeight w:val="20"/>
        </w:trPr>
        <w:tc>
          <w:tcPr>
            <w:tcW w:w="1769" w:type="dxa"/>
          </w:tcPr>
          <w:p w14:paraId="7836454D" w14:textId="266880B5" w:rsidR="00B51E78" w:rsidRDefault="00B51E78" w:rsidP="007D7995">
            <w:pPr>
              <w:pStyle w:val="SCVbody"/>
              <w:spacing w:before="0" w:line="240" w:lineRule="auto"/>
            </w:pPr>
            <w:r>
              <w:t>Oct – Dec 2023</w:t>
            </w:r>
          </w:p>
        </w:tc>
        <w:tc>
          <w:tcPr>
            <w:tcW w:w="2195" w:type="dxa"/>
          </w:tcPr>
          <w:p w14:paraId="550D8957" w14:textId="6EF855C5" w:rsidR="00B51E78" w:rsidRDefault="00B51E78" w:rsidP="007D7995">
            <w:pPr>
              <w:pStyle w:val="SCVbody"/>
              <w:spacing w:before="0" w:line="240" w:lineRule="auto"/>
            </w:pPr>
            <w:r>
              <w:t>Oct 2023 – Mar 2024</w:t>
            </w:r>
          </w:p>
        </w:tc>
        <w:tc>
          <w:tcPr>
            <w:tcW w:w="1843" w:type="dxa"/>
          </w:tcPr>
          <w:p w14:paraId="035ABDE1" w14:textId="7CEF42B5" w:rsidR="00B51E78" w:rsidRDefault="00B51E78" w:rsidP="007D7995">
            <w:pPr>
              <w:pStyle w:val="SCVbody"/>
              <w:spacing w:before="0" w:line="240" w:lineRule="auto"/>
            </w:pPr>
            <w:r>
              <w:t>1 – 14 Apr 2024</w:t>
            </w:r>
          </w:p>
        </w:tc>
        <w:tc>
          <w:tcPr>
            <w:tcW w:w="1276" w:type="dxa"/>
          </w:tcPr>
          <w:p w14:paraId="7AB2B1F2" w14:textId="2AAFF598" w:rsidR="00B51E78" w:rsidRPr="008E39E5" w:rsidRDefault="00B51E78" w:rsidP="007D7995">
            <w:pPr>
              <w:pStyle w:val="SCVbody"/>
              <w:spacing w:before="0" w:line="240" w:lineRule="auto"/>
              <w:rPr>
                <w:b/>
                <w:bCs/>
                <w:color w:val="007586" w:themeColor="text2"/>
              </w:rPr>
            </w:pPr>
            <w:r>
              <w:rPr>
                <w:b/>
                <w:bCs/>
                <w:color w:val="007586" w:themeColor="text2"/>
              </w:rPr>
              <w:t>Mandatory</w:t>
            </w:r>
          </w:p>
        </w:tc>
        <w:tc>
          <w:tcPr>
            <w:tcW w:w="1701" w:type="dxa"/>
          </w:tcPr>
          <w:p w14:paraId="5054454A" w14:textId="4EE164F3" w:rsidR="00B51E78" w:rsidRPr="008E39E5" w:rsidRDefault="00B51E78" w:rsidP="007D7995">
            <w:pPr>
              <w:pStyle w:val="SCVbody"/>
              <w:spacing w:before="0" w:line="240" w:lineRule="auto"/>
              <w:rPr>
                <w:b/>
                <w:bCs/>
                <w:color w:val="007586" w:themeColor="text2"/>
              </w:rPr>
            </w:pPr>
            <w:r>
              <w:rPr>
                <w:b/>
                <w:bCs/>
                <w:color w:val="007586" w:themeColor="text2"/>
              </w:rPr>
              <w:t>2023-24</w:t>
            </w:r>
          </w:p>
        </w:tc>
        <w:tc>
          <w:tcPr>
            <w:tcW w:w="1638" w:type="dxa"/>
          </w:tcPr>
          <w:p w14:paraId="4B330A19" w14:textId="5C4C999B" w:rsidR="00B51E78" w:rsidRPr="008E39E5" w:rsidRDefault="00B51E78" w:rsidP="007D7995">
            <w:pPr>
              <w:pStyle w:val="SCVbody"/>
              <w:spacing w:before="0" w:line="240" w:lineRule="auto"/>
              <w:rPr>
                <w:b/>
                <w:bCs/>
              </w:rPr>
            </w:pPr>
            <w:r w:rsidRPr="00B51E78">
              <w:rPr>
                <w:b/>
                <w:bCs/>
                <w:color w:val="007586" w:themeColor="text2"/>
              </w:rPr>
              <w:t>2</w:t>
            </w:r>
            <w:r w:rsidRPr="00B51E78">
              <w:rPr>
                <w:b/>
                <w:bCs/>
                <w:color w:val="007586" w:themeColor="text2"/>
                <w:vertAlign w:val="superscript"/>
              </w:rPr>
              <w:t>nd</w:t>
            </w:r>
            <w:r w:rsidRPr="00B51E78">
              <w:rPr>
                <w:b/>
                <w:bCs/>
                <w:color w:val="007586" w:themeColor="text2"/>
              </w:rPr>
              <w:t xml:space="preserve"> Quarter</w:t>
            </w:r>
          </w:p>
        </w:tc>
      </w:tr>
      <w:tr w:rsidR="00B51E78" w14:paraId="7B1C1CC7" w14:textId="77777777" w:rsidTr="005C7862">
        <w:trPr>
          <w:trHeight w:val="20"/>
        </w:trPr>
        <w:tc>
          <w:tcPr>
            <w:tcW w:w="1769" w:type="dxa"/>
          </w:tcPr>
          <w:p w14:paraId="360E4D4E" w14:textId="3A7A10F1" w:rsidR="00B51E78" w:rsidRDefault="00B51E78" w:rsidP="007D7995">
            <w:pPr>
              <w:pStyle w:val="SCVbody"/>
              <w:spacing w:before="0" w:line="240" w:lineRule="auto"/>
            </w:pPr>
            <w:r>
              <w:t>Jan – Mar 2024</w:t>
            </w:r>
          </w:p>
        </w:tc>
        <w:tc>
          <w:tcPr>
            <w:tcW w:w="2195" w:type="dxa"/>
          </w:tcPr>
          <w:p w14:paraId="5DB86B71" w14:textId="07D663EA" w:rsidR="00B51E78" w:rsidRDefault="00B51E78" w:rsidP="007D7995">
            <w:pPr>
              <w:pStyle w:val="SCVbody"/>
              <w:spacing w:before="0" w:line="240" w:lineRule="auto"/>
            </w:pPr>
            <w:r>
              <w:t>Jan – Jun 2024</w:t>
            </w:r>
          </w:p>
        </w:tc>
        <w:tc>
          <w:tcPr>
            <w:tcW w:w="1843" w:type="dxa"/>
          </w:tcPr>
          <w:p w14:paraId="06FEA7F8" w14:textId="1EACE09B" w:rsidR="00B51E78" w:rsidRDefault="00B51E78" w:rsidP="007D7995">
            <w:pPr>
              <w:pStyle w:val="SCVbody"/>
              <w:spacing w:before="0" w:line="240" w:lineRule="auto"/>
            </w:pPr>
            <w:r>
              <w:t>1 – 14 Jul 2024</w:t>
            </w:r>
          </w:p>
        </w:tc>
        <w:tc>
          <w:tcPr>
            <w:tcW w:w="1276" w:type="dxa"/>
          </w:tcPr>
          <w:p w14:paraId="6BA6C0F9" w14:textId="501473EB" w:rsidR="00B51E78" w:rsidRPr="008E39E5" w:rsidRDefault="00B51E78" w:rsidP="007D7995">
            <w:pPr>
              <w:pStyle w:val="SCVbody"/>
              <w:spacing w:before="0" w:line="240" w:lineRule="auto"/>
              <w:rPr>
                <w:b/>
                <w:bCs/>
                <w:color w:val="007586" w:themeColor="text2"/>
              </w:rPr>
            </w:pPr>
            <w:r>
              <w:rPr>
                <w:b/>
                <w:bCs/>
                <w:color w:val="007586" w:themeColor="text2"/>
              </w:rPr>
              <w:t>Mandatory</w:t>
            </w:r>
          </w:p>
        </w:tc>
        <w:tc>
          <w:tcPr>
            <w:tcW w:w="1701" w:type="dxa"/>
          </w:tcPr>
          <w:p w14:paraId="50BC7D98" w14:textId="37EA97D1" w:rsidR="00B51E78" w:rsidRPr="008E39E5" w:rsidRDefault="00B51E78" w:rsidP="007D7995">
            <w:pPr>
              <w:pStyle w:val="SCVbody"/>
              <w:spacing w:before="0" w:line="240" w:lineRule="auto"/>
              <w:rPr>
                <w:b/>
                <w:bCs/>
                <w:color w:val="007586" w:themeColor="text2"/>
              </w:rPr>
            </w:pPr>
            <w:r>
              <w:rPr>
                <w:b/>
                <w:bCs/>
                <w:color w:val="007586" w:themeColor="text2"/>
              </w:rPr>
              <w:t>2023-24</w:t>
            </w:r>
          </w:p>
        </w:tc>
        <w:tc>
          <w:tcPr>
            <w:tcW w:w="1638" w:type="dxa"/>
          </w:tcPr>
          <w:p w14:paraId="727E875E" w14:textId="4498F19E" w:rsidR="00B51E78" w:rsidRPr="008E39E5" w:rsidRDefault="00B51E78" w:rsidP="007D7995">
            <w:pPr>
              <w:pStyle w:val="SCVbody"/>
              <w:spacing w:before="0" w:line="240" w:lineRule="auto"/>
              <w:rPr>
                <w:b/>
                <w:bCs/>
              </w:rPr>
            </w:pPr>
            <w:r>
              <w:rPr>
                <w:b/>
                <w:bCs/>
                <w:color w:val="007586" w:themeColor="text2"/>
              </w:rPr>
              <w:t>3</w:t>
            </w:r>
            <w:r w:rsidRPr="00B51E78">
              <w:rPr>
                <w:b/>
                <w:bCs/>
                <w:color w:val="007586" w:themeColor="text2"/>
                <w:vertAlign w:val="superscript"/>
              </w:rPr>
              <w:t>rd</w:t>
            </w:r>
            <w:r>
              <w:rPr>
                <w:b/>
                <w:bCs/>
                <w:color w:val="007586" w:themeColor="text2"/>
              </w:rPr>
              <w:t xml:space="preserve"> Quarter</w:t>
            </w:r>
          </w:p>
        </w:tc>
      </w:tr>
    </w:tbl>
    <w:p w14:paraId="18B7A08A" w14:textId="16652D02" w:rsidR="002E7EA5" w:rsidRDefault="009B15CD" w:rsidP="005B1AE9">
      <w:pPr>
        <w:pStyle w:val="Heading1"/>
      </w:pPr>
      <w:r>
        <w:lastRenderedPageBreak/>
        <w:t>Data to be reported</w:t>
      </w:r>
    </w:p>
    <w:p w14:paraId="73A084F1" w14:textId="682389F3" w:rsidR="00EC2054" w:rsidRPr="00EC2054" w:rsidRDefault="009B44F1" w:rsidP="00EC2054">
      <w:pPr>
        <w:pStyle w:val="SCVbody"/>
      </w:pPr>
      <w:r>
        <w:t>Data is to be reported f</w:t>
      </w:r>
      <w:r w:rsidR="00EC2054" w:rsidRPr="00EC2054">
        <w:t xml:space="preserve">or the following metrics </w:t>
      </w:r>
      <w:r w:rsidR="002A6FFA">
        <w:t>(</w:t>
      </w:r>
      <w:r w:rsidR="00EC2054" w:rsidRPr="00EC2054">
        <w:t>further defined under Data definitions</w:t>
      </w:r>
      <w:r w:rsidR="002A6FFA">
        <w:t>)</w:t>
      </w:r>
      <w:r w:rsidR="00EC2054" w:rsidRPr="00EC2054">
        <w:t>: </w:t>
      </w:r>
    </w:p>
    <w:p w14:paraId="70190370" w14:textId="36701CD3" w:rsidR="00EC2054" w:rsidRPr="00EC2054" w:rsidRDefault="002A6FFA" w:rsidP="00A243C0">
      <w:pPr>
        <w:pStyle w:val="SCVbullet1"/>
      </w:pPr>
      <w:r>
        <w:t>n</w:t>
      </w:r>
      <w:r w:rsidR="00EC2054" w:rsidRPr="00EC2054">
        <w:t>umber of SAPSE identified within the quarter being reported </w:t>
      </w:r>
    </w:p>
    <w:p w14:paraId="0AA5E37D" w14:textId="060E9390" w:rsidR="00EC2054" w:rsidRPr="00EC2054" w:rsidRDefault="00FE385F" w:rsidP="00A243C0">
      <w:pPr>
        <w:pStyle w:val="SCVbullet1"/>
      </w:pPr>
      <w:r>
        <w:t>f</w:t>
      </w:r>
      <w:r w:rsidR="00EC2054" w:rsidRPr="00EC2054">
        <w:t>or these SAPSE: </w:t>
      </w:r>
    </w:p>
    <w:p w14:paraId="1914F95F" w14:textId="783FA4AB" w:rsidR="00EC2054" w:rsidRPr="00EC2054" w:rsidRDefault="00FE385F" w:rsidP="00A243C0">
      <w:pPr>
        <w:pStyle w:val="SCVbullet2"/>
      </w:pPr>
      <w:r>
        <w:t>i</w:t>
      </w:r>
      <w:r w:rsidR="00EC2054" w:rsidRPr="00EC2054">
        <w:t>nstances where the SDC was commenced within the 6-month reporting period </w:t>
      </w:r>
    </w:p>
    <w:p w14:paraId="54AF6583" w14:textId="7774144F" w:rsidR="00EC2054" w:rsidRPr="00EC2054" w:rsidRDefault="00FE385F" w:rsidP="00A243C0">
      <w:pPr>
        <w:pStyle w:val="SCVbullet2"/>
      </w:pPr>
      <w:r>
        <w:t>i</w:t>
      </w:r>
      <w:r w:rsidR="00EC2054" w:rsidRPr="00EC2054">
        <w:t>nstances where the SDC report was provided by the health service entity within the 6-month reporting period </w:t>
      </w:r>
    </w:p>
    <w:p w14:paraId="67D62EAD" w14:textId="3B3C0A0B" w:rsidR="00EC2054" w:rsidRDefault="00FE385F" w:rsidP="00A243C0">
      <w:pPr>
        <w:pStyle w:val="SCVbullet2"/>
      </w:pPr>
      <w:r>
        <w:t>i</w:t>
      </w:r>
      <w:r w:rsidR="00EC2054" w:rsidRPr="00EC2054">
        <w:t>nstances where the patient/NOK/carer opted out of that SDC within the 6-month reporting period</w:t>
      </w:r>
      <w:r>
        <w:t>.</w:t>
      </w:r>
      <w:r w:rsidR="00EC2054" w:rsidRPr="00EC2054">
        <w:t> </w:t>
      </w:r>
    </w:p>
    <w:p w14:paraId="36053DFF" w14:textId="77777777" w:rsidR="007A7489" w:rsidRDefault="007A7489" w:rsidP="007A7489">
      <w:pPr>
        <w:pStyle w:val="SCVbullet2"/>
        <w:numPr>
          <w:ilvl w:val="0"/>
          <w:numId w:val="0"/>
        </w:numPr>
      </w:pPr>
    </w:p>
    <w:p w14:paraId="2D25D2C4" w14:textId="13941A04" w:rsidR="004C1567" w:rsidRDefault="004C1567" w:rsidP="004C1567">
      <w:pPr>
        <w:pStyle w:val="Heading1"/>
      </w:pPr>
      <w:r>
        <w:t>Data definitions</w:t>
      </w:r>
    </w:p>
    <w:p w14:paraId="4983F3FE" w14:textId="77777777" w:rsidR="00D35DBF" w:rsidRDefault="00645F34" w:rsidP="00E80E3C">
      <w:pPr>
        <w:pStyle w:val="SCVbullet1"/>
        <w:rPr>
          <w:b/>
        </w:rPr>
      </w:pPr>
      <w:r w:rsidRPr="00C257A4">
        <w:rPr>
          <w:b/>
        </w:rPr>
        <w:t>Number of SAPSE identified </w:t>
      </w:r>
    </w:p>
    <w:p w14:paraId="244529AD" w14:textId="100174A7" w:rsidR="00FA427D" w:rsidRDefault="00645F34" w:rsidP="00A4744B">
      <w:pPr>
        <w:pStyle w:val="SCVbullet2"/>
        <w:rPr>
          <w:b/>
        </w:rPr>
      </w:pPr>
      <w:r w:rsidRPr="00FE385F">
        <w:t xml:space="preserve">Total number of SAPSE identified by the health service entity within the quarter. The events to be reported within the quarter will depend on when the events are identified by the health service entity as being SAPSEs. </w:t>
      </w:r>
    </w:p>
    <w:p w14:paraId="11497CA2" w14:textId="7CFD80DA" w:rsidR="00645F34" w:rsidRPr="00FE385F" w:rsidRDefault="00645F34" w:rsidP="00A4744B">
      <w:pPr>
        <w:pStyle w:val="SCVbullet2"/>
      </w:pPr>
      <w:r w:rsidRPr="00FE385F">
        <w:t>A significant portion of SAPSE will be identified on the date on which they occur. Other events may be determined/confirmed to be a SAPSE after further review of the event. </w:t>
      </w:r>
    </w:p>
    <w:p w14:paraId="79644D30" w14:textId="77777777" w:rsidR="00D35DBF" w:rsidRPr="00D35DBF" w:rsidRDefault="00645F34" w:rsidP="00E80E3C">
      <w:pPr>
        <w:pStyle w:val="SCVbullet1"/>
      </w:pPr>
      <w:r w:rsidRPr="00795AEC">
        <w:rPr>
          <w:b/>
          <w:bCs/>
        </w:rPr>
        <w:t>Instances where the SDC was commenced </w:t>
      </w:r>
    </w:p>
    <w:p w14:paraId="7698AD8A" w14:textId="759BFA81" w:rsidR="00FA427D" w:rsidRDefault="00645F34" w:rsidP="00A4744B">
      <w:pPr>
        <w:pStyle w:val="SCVbullet2"/>
      </w:pPr>
      <w:r w:rsidRPr="00795AEC">
        <w:t>Of</w:t>
      </w:r>
      <w:r w:rsidRPr="00645F34">
        <w:t xml:space="preserve"> the total number of SAPSE that were identified in the quarter being reported, the total number for which the SDC had commenced with the patient or their next-of-kin/family/carer by the end of the quarter after the quarter in which the SAPSE was identified. </w:t>
      </w:r>
    </w:p>
    <w:p w14:paraId="4D3E668A" w14:textId="2EF7E1A8" w:rsidR="00645F34" w:rsidRPr="00645F34" w:rsidRDefault="00645F34" w:rsidP="00A4744B">
      <w:pPr>
        <w:pStyle w:val="SCVbullet2"/>
      </w:pPr>
      <w:r w:rsidRPr="00645F34">
        <w:t>An SDC commencement for the purposes of this reporting occurs when the health service entity provides the initial apology and acknowledgment to the patient or their next-of-kin/family/carer. </w:t>
      </w:r>
    </w:p>
    <w:p w14:paraId="41CA96C5" w14:textId="77777777" w:rsidR="00D35DBF" w:rsidRDefault="00645F34" w:rsidP="00E80E3C">
      <w:pPr>
        <w:pStyle w:val="SCVbullet1"/>
      </w:pPr>
      <w:r w:rsidRPr="002A4615">
        <w:rPr>
          <w:b/>
          <w:bCs/>
        </w:rPr>
        <w:t>Instances where the SDC report was provided by the health service entity</w:t>
      </w:r>
      <w:r w:rsidRPr="00645F34">
        <w:t> </w:t>
      </w:r>
    </w:p>
    <w:p w14:paraId="7F2AC49C" w14:textId="693D1A22" w:rsidR="00FA427D" w:rsidRDefault="00645F34" w:rsidP="00A4744B">
      <w:pPr>
        <w:pStyle w:val="SCVbullet2"/>
      </w:pPr>
      <w:r w:rsidRPr="002A4615">
        <w:t>Of</w:t>
      </w:r>
      <w:r w:rsidRPr="00645F34">
        <w:t xml:space="preserve"> the total number of SAPSE that were identified in the quarter being reported, the total number for which the patient or their next-of-kin/family/carer is first presented with the SDC report produced post the review of the SAPSE, by the end of the quarter after the quarter in which the SAPSE was identified. </w:t>
      </w:r>
    </w:p>
    <w:p w14:paraId="41A7E3C7" w14:textId="1096AAFF" w:rsidR="00645F34" w:rsidRDefault="00645F34" w:rsidP="00A4744B">
      <w:pPr>
        <w:pStyle w:val="SCVbullet2"/>
      </w:pPr>
      <w:r w:rsidRPr="00645F34">
        <w:t>The patient or their next-of-kin/family/carer may seek further discussion of the report, but it is the timing of the first presentation of the SDC report that is to be reported. </w:t>
      </w:r>
    </w:p>
    <w:p w14:paraId="007370A7" w14:textId="281E517F" w:rsidR="00D012F9" w:rsidRPr="00645F34" w:rsidRDefault="00D012F9" w:rsidP="00A4744B">
      <w:pPr>
        <w:pStyle w:val="SCVbullet2"/>
      </w:pPr>
      <w:r>
        <w:t xml:space="preserve">This is </w:t>
      </w:r>
      <w:r w:rsidRPr="00D012F9">
        <w:rPr>
          <w:u w:val="single"/>
        </w:rPr>
        <w:t>not</w:t>
      </w:r>
      <w:r>
        <w:t xml:space="preserve"> the SDC meeting report, but the report provided following the review of the SAPSE.</w:t>
      </w:r>
    </w:p>
    <w:p w14:paraId="68D2B4A5" w14:textId="77777777" w:rsidR="00D35DBF" w:rsidRPr="00D35DBF" w:rsidRDefault="00645F34" w:rsidP="00E80E3C">
      <w:pPr>
        <w:pStyle w:val="SCVbullet1"/>
      </w:pPr>
      <w:r w:rsidRPr="00C257A4">
        <w:rPr>
          <w:b/>
        </w:rPr>
        <w:t>Instances where the patient/NOK/carer opted out of the SDC </w:t>
      </w:r>
    </w:p>
    <w:p w14:paraId="5079638C" w14:textId="07208FB3" w:rsidR="00FA427D" w:rsidRDefault="00645F34" w:rsidP="00A4744B">
      <w:pPr>
        <w:pStyle w:val="SCVbullet2"/>
      </w:pPr>
      <w:r w:rsidRPr="00114D7D">
        <w:t xml:space="preserve">Of the total number of SAPSE that were identified in the quarter being reported, the total number for which the patient or their next-of-kin/family/carer opted out of the SDC process by signed statement, by the end of the quarter after the quarter in which the SAPSE was identified. </w:t>
      </w:r>
    </w:p>
    <w:p w14:paraId="28CB0052" w14:textId="3B866C84" w:rsidR="00645F34" w:rsidRPr="00114D7D" w:rsidRDefault="00645F34" w:rsidP="00A4744B">
      <w:pPr>
        <w:pStyle w:val="SCVbullet2"/>
      </w:pPr>
      <w:r w:rsidRPr="00114D7D">
        <w:t>Where the patient or their next-of-kin/family/carer verbally declines involvement but does not provide the health service entity with a signed statement to opt out, the SDC remains open and is not reported as an opt out, because the patient or their next-of-kin/family/carer may subsequently decide to engage in the SDC process</w:t>
      </w:r>
      <w:r w:rsidR="71427571">
        <w:t>:</w:t>
      </w:r>
      <w:r w:rsidR="14DF3D02">
        <w:t xml:space="preserve"> </w:t>
      </w:r>
      <w:r w:rsidR="55BDEB3F">
        <w:t>i</w:t>
      </w:r>
      <w:r w:rsidR="14DF3D02">
        <w:t>f</w:t>
      </w:r>
      <w:r w:rsidRPr="00114D7D">
        <w:t xml:space="preserve"> they do so, that would be reported as a SDC commencement only if the decision is made within the six</w:t>
      </w:r>
      <w:r w:rsidR="00EC16C5" w:rsidRPr="00114D7D">
        <w:t xml:space="preserve"> </w:t>
      </w:r>
      <w:r w:rsidRPr="00114D7D">
        <w:t>months for reporting SDC activity related to that SAPSE. </w:t>
      </w:r>
    </w:p>
    <w:p w14:paraId="0ED82308" w14:textId="2529E954" w:rsidR="00645F34" w:rsidRDefault="00645F34" w:rsidP="00E80E3C">
      <w:pPr>
        <w:pStyle w:val="SCVbullet2"/>
      </w:pPr>
      <w:r w:rsidRPr="00645F34">
        <w:t>Where the patient lacks capacity or has died, a decision to opt out of the SDC made by the patient’s immediate family, carer, next-of-kin, or a person nominated by the patient</w:t>
      </w:r>
      <w:r w:rsidR="00D234B2">
        <w:t xml:space="preserve"> is reported here</w:t>
      </w:r>
      <w:r w:rsidRPr="00645F34">
        <w:t>. </w:t>
      </w:r>
    </w:p>
    <w:p w14:paraId="24A7626E" w14:textId="667FF3A4" w:rsidR="00423927" w:rsidRPr="00645F34" w:rsidRDefault="00423927" w:rsidP="00423927">
      <w:pPr>
        <w:pStyle w:val="Heading1"/>
      </w:pPr>
      <w:r>
        <w:lastRenderedPageBreak/>
        <w:t>Reporting guidelines</w:t>
      </w:r>
    </w:p>
    <w:p w14:paraId="19B4000D" w14:textId="77777777" w:rsidR="007B0820" w:rsidRDefault="00EF3803" w:rsidP="00EF3803">
      <w:pPr>
        <w:pStyle w:val="SCVbullet1"/>
        <w:numPr>
          <w:ilvl w:val="0"/>
          <w:numId w:val="0"/>
        </w:numPr>
      </w:pPr>
      <w:r w:rsidRPr="00EF3803">
        <w:t xml:space="preserve">To be reported as a SAPSE, the event must meet the definition of </w:t>
      </w:r>
      <w:r w:rsidR="00F3636E">
        <w:t xml:space="preserve">a </w:t>
      </w:r>
      <w:r w:rsidRPr="00EF3803">
        <w:t xml:space="preserve">SAPSE within the </w:t>
      </w:r>
      <w:r w:rsidRPr="00EF3803">
        <w:rPr>
          <w:i/>
          <w:iCs/>
        </w:rPr>
        <w:t>Health Services (Quality and Safety) Regulations 2020</w:t>
      </w:r>
      <w:r w:rsidRPr="00EF3803">
        <w:t xml:space="preserve"> </w:t>
      </w:r>
      <w:r w:rsidR="004E5825">
        <w:t xml:space="preserve">(the Regulations) </w:t>
      </w:r>
      <w:r w:rsidRPr="00EF3803">
        <w:t xml:space="preserve">under the </w:t>
      </w:r>
      <w:r w:rsidRPr="00EF3803">
        <w:rPr>
          <w:i/>
          <w:iCs/>
        </w:rPr>
        <w:t xml:space="preserve">Health Services Act 1988. </w:t>
      </w:r>
      <w:r w:rsidRPr="00EF3803">
        <w:t>The Regulations include the following definition of a SAPSE</w:t>
      </w:r>
      <w:r w:rsidR="00F3636E">
        <w:t xml:space="preserve"> under Regulation 3B</w:t>
      </w:r>
      <w:r w:rsidRPr="00EF3803">
        <w:t>: </w:t>
      </w:r>
    </w:p>
    <w:p w14:paraId="0560AEC5" w14:textId="69987B03" w:rsidR="004E5825" w:rsidRDefault="00EF3803" w:rsidP="00D35DBF">
      <w:pPr>
        <w:pStyle w:val="SCVbullet1"/>
        <w:numPr>
          <w:ilvl w:val="0"/>
          <w:numId w:val="0"/>
        </w:numPr>
        <w:ind w:left="284"/>
      </w:pPr>
      <w:r w:rsidRPr="00EF3803">
        <w:br/>
      </w:r>
      <w:r w:rsidRPr="00EF3803">
        <w:rPr>
          <w:b/>
          <w:bCs/>
        </w:rPr>
        <w:t>Serious adverse patient safety event</w:t>
      </w:r>
      <w:r w:rsidRPr="00EF3803">
        <w:t> </w:t>
      </w:r>
    </w:p>
    <w:p w14:paraId="060B069E" w14:textId="77777777" w:rsidR="004E5825" w:rsidRDefault="00EF3803" w:rsidP="00D35DBF">
      <w:pPr>
        <w:pStyle w:val="SCVbullet1"/>
        <w:numPr>
          <w:ilvl w:val="0"/>
          <w:numId w:val="0"/>
        </w:numPr>
        <w:ind w:left="284"/>
      </w:pPr>
      <w:r w:rsidRPr="00EF3803">
        <w:t xml:space="preserve">(1) For the purposes of the definition of a </w:t>
      </w:r>
      <w:r w:rsidRPr="00EF3803">
        <w:rPr>
          <w:i/>
          <w:iCs/>
        </w:rPr>
        <w:t>serious adverse patient safety event</w:t>
      </w:r>
      <w:r w:rsidRPr="00EF3803">
        <w:t xml:space="preserve"> in Section 3(1) of the </w:t>
      </w:r>
      <w:r w:rsidRPr="00EF3803">
        <w:rPr>
          <w:i/>
          <w:iCs/>
        </w:rPr>
        <w:t>Health Services Act 1988</w:t>
      </w:r>
      <w:r w:rsidRPr="00EF3803">
        <w:t>, a prescribed class or category is an event that -  </w:t>
      </w:r>
    </w:p>
    <w:p w14:paraId="48A1FB58" w14:textId="77777777" w:rsidR="004E5825" w:rsidRDefault="00EF3803" w:rsidP="004E5825">
      <w:pPr>
        <w:pStyle w:val="SCVbullet1"/>
        <w:numPr>
          <w:ilvl w:val="0"/>
          <w:numId w:val="31"/>
        </w:numPr>
      </w:pPr>
      <w:r w:rsidRPr="00EF3803">
        <w:t>occurred while the patient was receiving health services from a health service entity; and  </w:t>
      </w:r>
    </w:p>
    <w:p w14:paraId="7FB1D8C7" w14:textId="77777777" w:rsidR="004E5825" w:rsidRDefault="00EF3803" w:rsidP="004E5825">
      <w:pPr>
        <w:pStyle w:val="SCVbullet1"/>
        <w:numPr>
          <w:ilvl w:val="0"/>
          <w:numId w:val="31"/>
        </w:numPr>
      </w:pPr>
      <w:r w:rsidRPr="00EF3803">
        <w:t xml:space="preserve">in the reasonable opinion of a registered health practitioner, has resulted in, or is likely to result in, unintended or unexpected </w:t>
      </w:r>
      <w:r w:rsidRPr="00EF3803">
        <w:rPr>
          <w:i/>
          <w:iCs/>
        </w:rPr>
        <w:t xml:space="preserve">harm </w:t>
      </w:r>
      <w:r w:rsidRPr="00EF3803">
        <w:t>being suffered by the patient. </w:t>
      </w:r>
    </w:p>
    <w:p w14:paraId="692CCFE7" w14:textId="4C80AE77" w:rsidR="00EF3803" w:rsidRPr="00EF3803" w:rsidRDefault="00EF3803" w:rsidP="00D35DBF">
      <w:pPr>
        <w:pStyle w:val="SCVbullet1"/>
        <w:numPr>
          <w:ilvl w:val="0"/>
          <w:numId w:val="0"/>
        </w:numPr>
        <w:ind w:left="284"/>
      </w:pPr>
      <w:r w:rsidRPr="00EF3803">
        <w:t>(2) To avoid doubt, an event in sub-regulation (1) includes an event that is identified following discharge from the health service entity. </w:t>
      </w:r>
    </w:p>
    <w:p w14:paraId="7730CF8B" w14:textId="77777777" w:rsidR="00EF3803" w:rsidRPr="00EF3803" w:rsidRDefault="00EF3803" w:rsidP="007B5CD2">
      <w:pPr>
        <w:pStyle w:val="SCVbullet1"/>
      </w:pPr>
      <w:r w:rsidRPr="007B5CD2">
        <w:rPr>
          <w:i/>
          <w:iCs/>
        </w:rPr>
        <w:t>Harm</w:t>
      </w:r>
      <w:r w:rsidRPr="00EF3803">
        <w:t xml:space="preserve"> includes </w:t>
      </w:r>
      <w:r w:rsidRPr="00293012">
        <w:rPr>
          <w:i/>
        </w:rPr>
        <w:t>moderate harm</w:t>
      </w:r>
      <w:r w:rsidRPr="00EF3803">
        <w:t xml:space="preserve">, </w:t>
      </w:r>
      <w:r w:rsidRPr="00293012">
        <w:rPr>
          <w:i/>
        </w:rPr>
        <w:t>severe harm</w:t>
      </w:r>
      <w:r w:rsidRPr="00EF3803">
        <w:t xml:space="preserve"> and </w:t>
      </w:r>
      <w:r w:rsidRPr="00293012">
        <w:rPr>
          <w:i/>
        </w:rPr>
        <w:t xml:space="preserve">prolonged psychological </w:t>
      </w:r>
      <w:proofErr w:type="gramStart"/>
      <w:r w:rsidRPr="00293012">
        <w:rPr>
          <w:i/>
        </w:rPr>
        <w:t>harm</w:t>
      </w:r>
      <w:r w:rsidRPr="00EF3803">
        <w:t>;</w:t>
      </w:r>
      <w:proofErr w:type="gramEnd"/>
      <w:r w:rsidRPr="00EF3803">
        <w:t>  </w:t>
      </w:r>
    </w:p>
    <w:p w14:paraId="269706A7" w14:textId="77777777" w:rsidR="00EF3803" w:rsidRPr="00EF3803" w:rsidRDefault="00EF3803" w:rsidP="007B5CD2">
      <w:pPr>
        <w:pStyle w:val="SCVbullet1"/>
      </w:pPr>
      <w:r w:rsidRPr="007B5CD2">
        <w:rPr>
          <w:i/>
          <w:iCs/>
        </w:rPr>
        <w:t>Moderate harm</w:t>
      </w:r>
      <w:r w:rsidRPr="00EF3803">
        <w:t xml:space="preserve"> means harm that requires a moderate increase in treatment to a patient, such as an unplanned or unexpected return to surgery, but does not include harm that causes permanent damage or injury to an </w:t>
      </w:r>
      <w:proofErr w:type="gramStart"/>
      <w:r w:rsidRPr="00EF3803">
        <w:t>individual;</w:t>
      </w:r>
      <w:proofErr w:type="gramEnd"/>
      <w:r w:rsidRPr="00EF3803">
        <w:t>  </w:t>
      </w:r>
    </w:p>
    <w:p w14:paraId="0AE6F197" w14:textId="77777777" w:rsidR="00EF3803" w:rsidRPr="00EF3803" w:rsidRDefault="00EF3803" w:rsidP="007B5CD2">
      <w:pPr>
        <w:pStyle w:val="SCVbullet1"/>
      </w:pPr>
      <w:r w:rsidRPr="007B5CD2">
        <w:rPr>
          <w:i/>
          <w:iCs/>
        </w:rPr>
        <w:t>Prolonged psychological harm</w:t>
      </w:r>
      <w:r w:rsidRPr="00EF3803">
        <w:t xml:space="preserve"> means psychological harm which a patient has experience, or is likely to experience, for a continuous period of at least 28 </w:t>
      </w:r>
      <w:proofErr w:type="gramStart"/>
      <w:r w:rsidRPr="00EF3803">
        <w:t>days;</w:t>
      </w:r>
      <w:proofErr w:type="gramEnd"/>
      <w:r w:rsidRPr="00EF3803">
        <w:t> </w:t>
      </w:r>
    </w:p>
    <w:p w14:paraId="31A5EBC4" w14:textId="20FE032D" w:rsidR="001A67A2" w:rsidRDefault="00EF3803" w:rsidP="00852BDF">
      <w:pPr>
        <w:pStyle w:val="SCVbullet1"/>
      </w:pPr>
      <w:r w:rsidRPr="007B5CD2">
        <w:rPr>
          <w:i/>
          <w:iCs/>
        </w:rPr>
        <w:t>Severe harm</w:t>
      </w:r>
      <w:r w:rsidRPr="00EF3803">
        <w:t xml:space="preserve"> means harm that causes a permanent lessening in the functioning of an individual that is unrelated to the natural course of a person’s illness or underlying condition including harm that can lead to a person experiencing a permanent impairment or disability, or death.</w:t>
      </w:r>
    </w:p>
    <w:p w14:paraId="5A3AC810" w14:textId="091348D8" w:rsidR="00571100" w:rsidRPr="00571100" w:rsidRDefault="00571100" w:rsidP="00FC1444">
      <w:pPr>
        <w:pStyle w:val="Heading3"/>
      </w:pPr>
    </w:p>
    <w:tbl>
      <w:tblPr>
        <w:tblStyle w:val="TableGrid"/>
        <w:tblW w:w="0" w:type="auto"/>
        <w:tblLook w:val="04A0" w:firstRow="1" w:lastRow="0" w:firstColumn="1" w:lastColumn="0" w:noHBand="0" w:noVBand="1"/>
      </w:tblPr>
      <w:tblGrid>
        <w:gridCol w:w="10148"/>
      </w:tblGrid>
      <w:tr w:rsidR="007D6B5D" w:rsidRPr="00FF07E1" w14:paraId="05CA5C12" w14:textId="77777777" w:rsidTr="00E95915">
        <w:trPr>
          <w:cnfStyle w:val="100000000000" w:firstRow="1" w:lastRow="0" w:firstColumn="0" w:lastColumn="0" w:oddVBand="0" w:evenVBand="0" w:oddHBand="0" w:evenHBand="0" w:firstRowFirstColumn="0" w:firstRowLastColumn="0" w:lastRowFirstColumn="0" w:lastRowLastColumn="0"/>
        </w:trPr>
        <w:tc>
          <w:tcPr>
            <w:tcW w:w="10148" w:type="dxa"/>
          </w:tcPr>
          <w:p w14:paraId="4732E00E" w14:textId="783F6371" w:rsidR="007D6B5D" w:rsidRPr="00E95915" w:rsidRDefault="007D6B5D" w:rsidP="00E95915">
            <w:pPr>
              <w:pStyle w:val="SCVtablerowhead"/>
              <w:rPr>
                <w:sz w:val="20"/>
                <w:szCs w:val="20"/>
              </w:rPr>
            </w:pPr>
            <w:r w:rsidRPr="00E95915">
              <w:rPr>
                <w:sz w:val="20"/>
                <w:szCs w:val="20"/>
              </w:rPr>
              <w:t xml:space="preserve">SAPSE </w:t>
            </w:r>
            <w:r w:rsidR="001D256F" w:rsidRPr="00E95915">
              <w:rPr>
                <w:sz w:val="20"/>
                <w:szCs w:val="20"/>
              </w:rPr>
              <w:t>identification</w:t>
            </w:r>
          </w:p>
        </w:tc>
      </w:tr>
      <w:tr w:rsidR="007D6B5D" w:rsidRPr="00FF07E1" w14:paraId="4E4A189E" w14:textId="77777777" w:rsidTr="00E95915">
        <w:tc>
          <w:tcPr>
            <w:tcW w:w="10148" w:type="dxa"/>
          </w:tcPr>
          <w:p w14:paraId="3F3ACFFE" w14:textId="456DCF93" w:rsidR="007D6B5D" w:rsidRPr="00E95915" w:rsidRDefault="007D6B5D" w:rsidP="00E95915">
            <w:pPr>
              <w:pStyle w:val="SCVtablebody"/>
              <w:rPr>
                <w:sz w:val="20"/>
                <w:szCs w:val="22"/>
              </w:rPr>
            </w:pPr>
            <w:r w:rsidRPr="00E95915">
              <w:rPr>
                <w:sz w:val="20"/>
                <w:szCs w:val="22"/>
              </w:rPr>
              <w:t>A SAPSE is a</w:t>
            </w:r>
            <w:r w:rsidR="00591862">
              <w:rPr>
                <w:sz w:val="20"/>
                <w:szCs w:val="22"/>
              </w:rPr>
              <w:t xml:space="preserve">n </w:t>
            </w:r>
            <w:r w:rsidR="003150F6">
              <w:rPr>
                <w:sz w:val="20"/>
                <w:szCs w:val="22"/>
              </w:rPr>
              <w:t>adverse patient safety event</w:t>
            </w:r>
            <w:r w:rsidRPr="00E95915">
              <w:rPr>
                <w:sz w:val="20"/>
                <w:szCs w:val="22"/>
              </w:rPr>
              <w:t xml:space="preserve"> with an Incident Severity Rating (ISR) of 1 </w:t>
            </w:r>
            <w:r w:rsidR="00FB20AC">
              <w:rPr>
                <w:sz w:val="20"/>
                <w:szCs w:val="22"/>
              </w:rPr>
              <w:t>or</w:t>
            </w:r>
            <w:r w:rsidRPr="00E95915">
              <w:rPr>
                <w:sz w:val="20"/>
                <w:szCs w:val="22"/>
              </w:rPr>
              <w:t xml:space="preserve"> 2, severe </w:t>
            </w:r>
            <w:r w:rsidR="00FB20AC">
              <w:rPr>
                <w:sz w:val="20"/>
                <w:szCs w:val="22"/>
              </w:rPr>
              <w:t>or</w:t>
            </w:r>
            <w:r w:rsidRPr="00E95915">
              <w:rPr>
                <w:sz w:val="20"/>
                <w:szCs w:val="22"/>
              </w:rPr>
              <w:t xml:space="preserve"> moderate harm, in </w:t>
            </w:r>
            <w:r w:rsidR="00FB20AC">
              <w:rPr>
                <w:sz w:val="20"/>
                <w:szCs w:val="22"/>
              </w:rPr>
              <w:t xml:space="preserve">the </w:t>
            </w:r>
            <w:r w:rsidRPr="00E95915">
              <w:rPr>
                <w:sz w:val="20"/>
                <w:szCs w:val="22"/>
              </w:rPr>
              <w:t xml:space="preserve">Victorian Health Incident Management System (VHIMS), whilst also meeting the SAPSE definition.  </w:t>
            </w:r>
          </w:p>
        </w:tc>
      </w:tr>
      <w:tr w:rsidR="001D256F" w:rsidRPr="00FF07E1" w14:paraId="650A39FD" w14:textId="77777777" w:rsidTr="00E95915">
        <w:tc>
          <w:tcPr>
            <w:tcW w:w="10148" w:type="dxa"/>
          </w:tcPr>
          <w:p w14:paraId="467A8341" w14:textId="545F95E5" w:rsidR="001D256F" w:rsidRPr="00E95915" w:rsidRDefault="001D256F" w:rsidP="00E95915">
            <w:pPr>
              <w:pStyle w:val="SCVtablebody"/>
              <w:ind w:left="38"/>
              <w:rPr>
                <w:sz w:val="20"/>
                <w:szCs w:val="22"/>
              </w:rPr>
            </w:pPr>
            <w:r w:rsidRPr="00E95915">
              <w:rPr>
                <w:sz w:val="20"/>
                <w:szCs w:val="22"/>
              </w:rPr>
              <w:t>The timing of the initial apology and acknowledgement is not influenced by public holidays and weekends.</w:t>
            </w:r>
          </w:p>
        </w:tc>
      </w:tr>
      <w:tr w:rsidR="007D6B5D" w:rsidRPr="00FF07E1" w14:paraId="76A60033" w14:textId="77777777" w:rsidTr="00E95915">
        <w:tc>
          <w:tcPr>
            <w:tcW w:w="10148" w:type="dxa"/>
          </w:tcPr>
          <w:p w14:paraId="0B9F3AF8" w14:textId="23A509FB" w:rsidR="007D6B5D" w:rsidRPr="00E95915" w:rsidRDefault="001D256F" w:rsidP="00E95915">
            <w:pPr>
              <w:pStyle w:val="SCVtablebody"/>
              <w:rPr>
                <w:sz w:val="20"/>
                <w:szCs w:val="22"/>
              </w:rPr>
            </w:pPr>
            <w:r w:rsidRPr="00E95915">
              <w:rPr>
                <w:sz w:val="20"/>
                <w:szCs w:val="22"/>
              </w:rPr>
              <w:t>Where more than one SAPSE is identified for a single patient, each individual SAPSE identified in the quarter must be counted and reported, and the SDC actions that occur in the 6-month reporting period associated with each individual SAPSE must also be counted and reported.</w:t>
            </w:r>
          </w:p>
        </w:tc>
      </w:tr>
      <w:tr w:rsidR="007D6B5D" w:rsidRPr="00FF07E1" w14:paraId="38FA443C" w14:textId="77777777" w:rsidTr="00E95915">
        <w:tc>
          <w:tcPr>
            <w:tcW w:w="10148" w:type="dxa"/>
          </w:tcPr>
          <w:p w14:paraId="5962A900" w14:textId="6E48B180" w:rsidR="007D6B5D" w:rsidRPr="00E95915" w:rsidRDefault="001D256F" w:rsidP="00E95915">
            <w:pPr>
              <w:pStyle w:val="SCVtablebody"/>
              <w:rPr>
                <w:sz w:val="20"/>
                <w:szCs w:val="22"/>
              </w:rPr>
            </w:pPr>
            <w:r w:rsidRPr="00E95915">
              <w:rPr>
                <w:sz w:val="20"/>
                <w:szCs w:val="22"/>
              </w:rPr>
              <w:t xml:space="preserve">Upon identification of a SAPSE, the health service must make reasonable efforts to contact the patient/next-of-kin/family/carer, however where they cannot be contacted, including where this continues for some time, the health service should proceed to review the circumstances of the SAPSE, and document </w:t>
            </w:r>
            <w:r w:rsidR="008022F6" w:rsidRPr="00E95915">
              <w:rPr>
                <w:sz w:val="20"/>
                <w:szCs w:val="22"/>
              </w:rPr>
              <w:t xml:space="preserve">their efforts to make contact </w:t>
            </w:r>
            <w:r w:rsidRPr="00E95915">
              <w:rPr>
                <w:sz w:val="20"/>
                <w:szCs w:val="22"/>
              </w:rPr>
              <w:t xml:space="preserve">in the patient record. Where the health service entity cannot contact the patient/next-of-kin/family/carer during the 6-month SDC period for the SAPSE, the SAPSE identified by the health service entity is reported, but no data is reported for the three SDC items </w:t>
            </w:r>
            <w:r w:rsidR="008022F6" w:rsidRPr="00E95915">
              <w:rPr>
                <w:sz w:val="20"/>
                <w:szCs w:val="22"/>
              </w:rPr>
              <w:t>–</w:t>
            </w:r>
            <w:r w:rsidRPr="00E95915" w:rsidDel="008022F6">
              <w:rPr>
                <w:sz w:val="20"/>
                <w:szCs w:val="22"/>
              </w:rPr>
              <w:t xml:space="preserve"> </w:t>
            </w:r>
            <w:r w:rsidRPr="00E95915">
              <w:rPr>
                <w:sz w:val="20"/>
                <w:szCs w:val="22"/>
              </w:rPr>
              <w:t xml:space="preserve">SDC commenced, SDC report provided and SDC opted out.  </w:t>
            </w:r>
          </w:p>
        </w:tc>
      </w:tr>
      <w:tr w:rsidR="001D256F" w:rsidRPr="00E95915" w14:paraId="52D4630E" w14:textId="77777777" w:rsidTr="00E95915">
        <w:tc>
          <w:tcPr>
            <w:tcW w:w="10148" w:type="dxa"/>
          </w:tcPr>
          <w:p w14:paraId="3FDB157E" w14:textId="3376D986" w:rsidR="001D256F" w:rsidRPr="006F2175" w:rsidRDefault="001D256F" w:rsidP="00E95915">
            <w:pPr>
              <w:pStyle w:val="SCVtablebody"/>
              <w:rPr>
                <w:sz w:val="20"/>
                <w:szCs w:val="20"/>
              </w:rPr>
            </w:pPr>
            <w:r w:rsidRPr="00E95915">
              <w:rPr>
                <w:sz w:val="20"/>
                <w:szCs w:val="22"/>
              </w:rPr>
              <w:t xml:space="preserve">There may be instances where the SAPSE being identified and the SDC commencement is within the reporting period, however the date that the SDC report was provided to the family is not, and therefore is extended beyond the reporting period of six months. </w:t>
            </w:r>
            <w:r w:rsidRPr="006F2175">
              <w:rPr>
                <w:sz w:val="20"/>
                <w:szCs w:val="20"/>
              </w:rPr>
              <w:t>In this situation, the date the report is provided to the family is not captured in this reporting timeframe.</w:t>
            </w:r>
            <w:r w:rsidR="00DB27AD" w:rsidRPr="006F2175">
              <w:rPr>
                <w:sz w:val="20"/>
                <w:szCs w:val="20"/>
              </w:rPr>
              <w:t xml:space="preserve"> </w:t>
            </w:r>
            <w:r w:rsidR="00020FFA" w:rsidRPr="006F2175">
              <w:rPr>
                <w:sz w:val="20"/>
                <w:szCs w:val="20"/>
              </w:rPr>
              <w:t>Similarly,</w:t>
            </w:r>
            <w:r w:rsidR="00DB27AD" w:rsidRPr="006F2175">
              <w:rPr>
                <w:sz w:val="20"/>
                <w:szCs w:val="20"/>
              </w:rPr>
              <w:t xml:space="preserve"> if the SDC commencement was outside </w:t>
            </w:r>
            <w:r w:rsidR="006F2175">
              <w:rPr>
                <w:sz w:val="20"/>
                <w:szCs w:val="20"/>
              </w:rPr>
              <w:t>of</w:t>
            </w:r>
            <w:r w:rsidR="00CD4294">
              <w:rPr>
                <w:sz w:val="20"/>
                <w:szCs w:val="20"/>
              </w:rPr>
              <w:t xml:space="preserve"> the</w:t>
            </w:r>
            <w:r w:rsidR="006F2175">
              <w:rPr>
                <w:sz w:val="20"/>
                <w:szCs w:val="20"/>
              </w:rPr>
              <w:t xml:space="preserve"> </w:t>
            </w:r>
            <w:proofErr w:type="gramStart"/>
            <w:r w:rsidR="006F2175">
              <w:rPr>
                <w:sz w:val="20"/>
                <w:szCs w:val="20"/>
              </w:rPr>
              <w:t>six month</w:t>
            </w:r>
            <w:proofErr w:type="gramEnd"/>
            <w:r w:rsidR="00CD4294">
              <w:rPr>
                <w:sz w:val="20"/>
                <w:szCs w:val="20"/>
              </w:rPr>
              <w:t xml:space="preserve"> reporting period</w:t>
            </w:r>
            <w:r w:rsidR="006F2175">
              <w:rPr>
                <w:sz w:val="20"/>
                <w:szCs w:val="20"/>
              </w:rPr>
              <w:t xml:space="preserve"> due to </w:t>
            </w:r>
            <w:r w:rsidR="00CD4294">
              <w:rPr>
                <w:sz w:val="20"/>
                <w:szCs w:val="20"/>
              </w:rPr>
              <w:t xml:space="preserve">a </w:t>
            </w:r>
            <w:r w:rsidR="006F2175">
              <w:rPr>
                <w:sz w:val="20"/>
                <w:szCs w:val="20"/>
              </w:rPr>
              <w:t>delay, this would not be captured.</w:t>
            </w:r>
            <w:r w:rsidRPr="006F2175">
              <w:rPr>
                <w:sz w:val="20"/>
                <w:szCs w:val="20"/>
              </w:rPr>
              <w:t xml:space="preserve"> </w:t>
            </w:r>
            <w:r w:rsidRPr="00A1415E">
              <w:rPr>
                <w:b/>
                <w:bCs/>
                <w:color w:val="FF0000"/>
                <w:sz w:val="20"/>
                <w:szCs w:val="20"/>
              </w:rPr>
              <w:t xml:space="preserve">In summary, no data </w:t>
            </w:r>
            <w:r w:rsidR="00020FFA" w:rsidRPr="00A1415E">
              <w:rPr>
                <w:b/>
                <w:bCs/>
                <w:color w:val="FF0000"/>
                <w:sz w:val="20"/>
                <w:szCs w:val="20"/>
              </w:rPr>
              <w:t>relating to</w:t>
            </w:r>
            <w:r w:rsidRPr="00A1415E">
              <w:rPr>
                <w:b/>
                <w:bCs/>
                <w:color w:val="FF0000"/>
                <w:sz w:val="20"/>
                <w:szCs w:val="20"/>
              </w:rPr>
              <w:t xml:space="preserve"> prior quarters’ SAPSE </w:t>
            </w:r>
            <w:r w:rsidR="00020FFA" w:rsidRPr="00A1415E">
              <w:rPr>
                <w:b/>
                <w:bCs/>
                <w:color w:val="FF0000"/>
                <w:sz w:val="20"/>
                <w:szCs w:val="20"/>
              </w:rPr>
              <w:t>should be</w:t>
            </w:r>
            <w:r w:rsidRPr="00A1415E">
              <w:rPr>
                <w:b/>
                <w:bCs/>
                <w:color w:val="FF0000"/>
                <w:sz w:val="20"/>
                <w:szCs w:val="20"/>
              </w:rPr>
              <w:t xml:space="preserve"> included in subsequent reporting periods.</w:t>
            </w:r>
            <w:r w:rsidR="00F277DC" w:rsidRPr="00A1415E">
              <w:rPr>
                <w:color w:val="FF0000"/>
                <w:sz w:val="20"/>
                <w:szCs w:val="22"/>
              </w:rPr>
              <w:t xml:space="preserve"> </w:t>
            </w:r>
          </w:p>
        </w:tc>
      </w:tr>
    </w:tbl>
    <w:tbl>
      <w:tblPr>
        <w:tblStyle w:val="TableGrid"/>
        <w:tblpPr w:leftFromText="180" w:rightFromText="180" w:vertAnchor="text" w:tblpY="54"/>
        <w:tblW w:w="0" w:type="auto"/>
        <w:tblLook w:val="04A0" w:firstRow="1" w:lastRow="0" w:firstColumn="1" w:lastColumn="0" w:noHBand="0" w:noVBand="1"/>
      </w:tblPr>
      <w:tblGrid>
        <w:gridCol w:w="10206"/>
      </w:tblGrid>
      <w:tr w:rsidR="00587916" w:rsidRPr="00FF07E1" w14:paraId="22CAC6EB" w14:textId="77777777" w:rsidTr="00587916">
        <w:trPr>
          <w:cnfStyle w:val="100000000000" w:firstRow="1" w:lastRow="0" w:firstColumn="0" w:lastColumn="0" w:oddVBand="0" w:evenVBand="0" w:oddHBand="0" w:evenHBand="0" w:firstRowFirstColumn="0" w:firstRowLastColumn="0" w:lastRowFirstColumn="0" w:lastRowLastColumn="0"/>
        </w:trPr>
        <w:tc>
          <w:tcPr>
            <w:tcW w:w="10206" w:type="dxa"/>
          </w:tcPr>
          <w:p w14:paraId="5DE484E2" w14:textId="77777777" w:rsidR="00587916" w:rsidRPr="00E95915" w:rsidRDefault="00587916" w:rsidP="00587916">
            <w:pPr>
              <w:pStyle w:val="SCVtablecolhead"/>
              <w:rPr>
                <w:sz w:val="20"/>
                <w:szCs w:val="20"/>
              </w:rPr>
            </w:pPr>
            <w:r w:rsidRPr="00E95915">
              <w:rPr>
                <w:sz w:val="20"/>
                <w:szCs w:val="20"/>
              </w:rPr>
              <w:lastRenderedPageBreak/>
              <w:t>Apology and SDC meeting</w:t>
            </w:r>
          </w:p>
        </w:tc>
      </w:tr>
      <w:tr w:rsidR="00587916" w:rsidRPr="00FF07E1" w14:paraId="58BA62BC" w14:textId="77777777" w:rsidTr="00587916">
        <w:tc>
          <w:tcPr>
            <w:tcW w:w="10206" w:type="dxa"/>
          </w:tcPr>
          <w:p w14:paraId="583DDFAA" w14:textId="77777777" w:rsidR="00587916" w:rsidRPr="00E95915" w:rsidRDefault="00587916" w:rsidP="00587916">
            <w:pPr>
              <w:pStyle w:val="SCVtablebody"/>
              <w:rPr>
                <w:sz w:val="20"/>
                <w:szCs w:val="22"/>
              </w:rPr>
            </w:pPr>
            <w:r w:rsidRPr="00E95915">
              <w:rPr>
                <w:sz w:val="20"/>
                <w:szCs w:val="22"/>
              </w:rPr>
              <w:t>The initial apology should be provided verbally and in person</w:t>
            </w:r>
            <w:r>
              <w:rPr>
                <w:sz w:val="20"/>
                <w:szCs w:val="22"/>
              </w:rPr>
              <w:t>,</w:t>
            </w:r>
            <w:r w:rsidRPr="00E95915">
              <w:rPr>
                <w:sz w:val="20"/>
                <w:szCs w:val="22"/>
              </w:rPr>
              <w:t xml:space="preserve"> where able, by a suitably qualified health professional. It is recommended that evidence of this apology is documented within the clinical incident management system, and/or the patient’s medical record, as well as </w:t>
            </w:r>
            <w:r>
              <w:rPr>
                <w:sz w:val="20"/>
                <w:szCs w:val="22"/>
              </w:rPr>
              <w:t xml:space="preserve">to </w:t>
            </w:r>
            <w:r w:rsidRPr="00E95915">
              <w:rPr>
                <w:sz w:val="20"/>
                <w:szCs w:val="22"/>
              </w:rPr>
              <w:t>who</w:t>
            </w:r>
            <w:r>
              <w:rPr>
                <w:sz w:val="20"/>
                <w:szCs w:val="22"/>
              </w:rPr>
              <w:t>m</w:t>
            </w:r>
            <w:r w:rsidRPr="00E95915">
              <w:rPr>
                <w:sz w:val="20"/>
                <w:szCs w:val="22"/>
              </w:rPr>
              <w:t xml:space="preserve"> it was delivered.</w:t>
            </w:r>
          </w:p>
        </w:tc>
      </w:tr>
      <w:tr w:rsidR="00587916" w:rsidRPr="00FF07E1" w14:paraId="73C7824A" w14:textId="77777777" w:rsidTr="00587916">
        <w:tc>
          <w:tcPr>
            <w:tcW w:w="10206" w:type="dxa"/>
          </w:tcPr>
          <w:p w14:paraId="016AA84F" w14:textId="77777777" w:rsidR="00587916" w:rsidRPr="00E95915" w:rsidRDefault="00587916" w:rsidP="00587916">
            <w:pPr>
              <w:pStyle w:val="SCVtablebody"/>
              <w:rPr>
                <w:sz w:val="20"/>
                <w:szCs w:val="22"/>
              </w:rPr>
            </w:pPr>
            <w:r w:rsidRPr="00E95915">
              <w:rPr>
                <w:sz w:val="20"/>
                <w:szCs w:val="22"/>
              </w:rPr>
              <w:t xml:space="preserve">The meeting with the patient/next-of-kin/family/carer to acknowledge and apologise for the SAPSE can be conducted </w:t>
            </w:r>
            <w:r>
              <w:rPr>
                <w:sz w:val="20"/>
                <w:szCs w:val="22"/>
              </w:rPr>
              <w:t xml:space="preserve">in person, </w:t>
            </w:r>
            <w:r w:rsidRPr="00E95915">
              <w:rPr>
                <w:sz w:val="20"/>
                <w:szCs w:val="22"/>
              </w:rPr>
              <w:t>by telephone</w:t>
            </w:r>
            <w:r>
              <w:rPr>
                <w:sz w:val="20"/>
                <w:szCs w:val="22"/>
              </w:rPr>
              <w:t>,</w:t>
            </w:r>
            <w:r w:rsidRPr="00E95915">
              <w:rPr>
                <w:sz w:val="20"/>
                <w:szCs w:val="22"/>
              </w:rPr>
              <w:t xml:space="preserve"> or via </w:t>
            </w:r>
            <w:r>
              <w:rPr>
                <w:sz w:val="20"/>
                <w:szCs w:val="22"/>
              </w:rPr>
              <w:t xml:space="preserve">a teleconference </w:t>
            </w:r>
            <w:r w:rsidRPr="00E95915">
              <w:rPr>
                <w:sz w:val="20"/>
                <w:szCs w:val="22"/>
              </w:rPr>
              <w:t>platform, with the preference of the patient/next-of-kin/family/carer to be considered in determining the medium used. The health service should document this preference, including instances where a face-to-face meeting is declined by the patient/next-of-kin/family/carer.</w:t>
            </w:r>
          </w:p>
        </w:tc>
      </w:tr>
    </w:tbl>
    <w:p w14:paraId="56D05F0D" w14:textId="77777777" w:rsidR="00FC1444" w:rsidRDefault="00FC1444" w:rsidP="00515BBB">
      <w:pPr>
        <w:pStyle w:val="SCVbullet1"/>
        <w:numPr>
          <w:ilvl w:val="0"/>
          <w:numId w:val="0"/>
        </w:numPr>
      </w:pPr>
    </w:p>
    <w:tbl>
      <w:tblPr>
        <w:tblStyle w:val="TableGrid"/>
        <w:tblW w:w="0" w:type="auto"/>
        <w:tblLook w:val="04A0" w:firstRow="1" w:lastRow="0" w:firstColumn="1" w:lastColumn="0" w:noHBand="0" w:noVBand="1"/>
      </w:tblPr>
      <w:tblGrid>
        <w:gridCol w:w="10148"/>
      </w:tblGrid>
      <w:tr w:rsidR="0061091B" w14:paraId="392C39C6" w14:textId="77777777" w:rsidTr="00E95915">
        <w:trPr>
          <w:cnfStyle w:val="100000000000" w:firstRow="1" w:lastRow="0" w:firstColumn="0" w:lastColumn="0" w:oddVBand="0" w:evenVBand="0" w:oddHBand="0" w:evenHBand="0" w:firstRowFirstColumn="0" w:firstRowLastColumn="0" w:lastRowFirstColumn="0" w:lastRowLastColumn="0"/>
        </w:trPr>
        <w:tc>
          <w:tcPr>
            <w:tcW w:w="10148" w:type="dxa"/>
          </w:tcPr>
          <w:p w14:paraId="2F966EFA" w14:textId="6433F642" w:rsidR="0061091B" w:rsidRPr="00662CEE" w:rsidRDefault="0061091B" w:rsidP="00E95915">
            <w:pPr>
              <w:pStyle w:val="SCVtablerowhead"/>
              <w:rPr>
                <w:b w:val="0"/>
                <w:sz w:val="20"/>
                <w:szCs w:val="20"/>
              </w:rPr>
            </w:pPr>
            <w:r w:rsidRPr="00662CEE">
              <w:rPr>
                <w:sz w:val="20"/>
                <w:szCs w:val="20"/>
              </w:rPr>
              <w:t>Opting out or declining</w:t>
            </w:r>
          </w:p>
        </w:tc>
      </w:tr>
      <w:tr w:rsidR="0061091B" w14:paraId="578AA75F" w14:textId="77777777" w:rsidTr="00E95915">
        <w:tc>
          <w:tcPr>
            <w:tcW w:w="10148" w:type="dxa"/>
          </w:tcPr>
          <w:p w14:paraId="70B1294F" w14:textId="3F6FDAA6" w:rsidR="0061091B" w:rsidRPr="00E95915" w:rsidRDefault="0061091B" w:rsidP="00E95915">
            <w:pPr>
              <w:pStyle w:val="SCVtablebody"/>
              <w:ind w:left="38"/>
              <w:rPr>
                <w:sz w:val="20"/>
                <w:szCs w:val="20"/>
              </w:rPr>
            </w:pPr>
            <w:r w:rsidRPr="00E95915">
              <w:rPr>
                <w:sz w:val="20"/>
                <w:szCs w:val="20"/>
              </w:rPr>
              <w:t xml:space="preserve">Where the patient/next-of-kin/family/carer verbally declines to participate in the SDC process and/or declines to provide the health service entity with a signed statement to opt out, the health service may make e-forms available, but if the patient/next-of-kin/family/carer decline to sign, the SDC process remains open.  </w:t>
            </w:r>
          </w:p>
        </w:tc>
      </w:tr>
      <w:tr w:rsidR="0061091B" w14:paraId="2B7A2A13" w14:textId="77777777" w:rsidTr="00E95915">
        <w:tc>
          <w:tcPr>
            <w:tcW w:w="10148" w:type="dxa"/>
          </w:tcPr>
          <w:p w14:paraId="7D43C219" w14:textId="58CEC046" w:rsidR="0061091B" w:rsidRPr="00E95915" w:rsidRDefault="001D256F" w:rsidP="00E95915">
            <w:pPr>
              <w:pStyle w:val="SCVtablebody"/>
              <w:ind w:left="38"/>
              <w:rPr>
                <w:sz w:val="20"/>
                <w:szCs w:val="20"/>
              </w:rPr>
            </w:pPr>
            <w:r w:rsidRPr="00E95915">
              <w:rPr>
                <w:sz w:val="20"/>
                <w:szCs w:val="20"/>
              </w:rPr>
              <w:t xml:space="preserve">If the patient/next-of-kin/family/carer declines a meeting with the health service entity but would like a copy of the report, this is not opting out of the SDC process, so is included in the counts of SDC processes commenced and SDCs where a report was provided. It is not included in the count of </w:t>
            </w:r>
            <w:r w:rsidR="00943F88">
              <w:rPr>
                <w:sz w:val="20"/>
                <w:szCs w:val="20"/>
              </w:rPr>
              <w:t>i</w:t>
            </w:r>
            <w:r w:rsidRPr="00E95915">
              <w:rPr>
                <w:sz w:val="20"/>
                <w:szCs w:val="20"/>
              </w:rPr>
              <w:t xml:space="preserve">nstances opted out of the SDC.  </w:t>
            </w:r>
          </w:p>
        </w:tc>
      </w:tr>
      <w:tr w:rsidR="001D256F" w14:paraId="117E7551" w14:textId="77777777" w:rsidTr="00E95915">
        <w:tc>
          <w:tcPr>
            <w:tcW w:w="10148" w:type="dxa"/>
          </w:tcPr>
          <w:p w14:paraId="4B4E2F6E" w14:textId="3B675C8C" w:rsidR="001D256F" w:rsidRPr="00E95915" w:rsidRDefault="001D256F" w:rsidP="00E95915">
            <w:pPr>
              <w:pStyle w:val="SCVtablebody"/>
              <w:ind w:left="38"/>
              <w:rPr>
                <w:sz w:val="20"/>
                <w:szCs w:val="20"/>
              </w:rPr>
            </w:pPr>
            <w:r w:rsidRPr="00E95915">
              <w:rPr>
                <w:sz w:val="20"/>
                <w:szCs w:val="20"/>
              </w:rPr>
              <w:t xml:space="preserve">Where the patient/next-of-kin/family/carer formally opts out of the SDC process by providing the health service entity with a signed statement to opt out, the health service entity is not required to offer them a copy of the report.  </w:t>
            </w:r>
          </w:p>
        </w:tc>
      </w:tr>
    </w:tbl>
    <w:p w14:paraId="0B40853C" w14:textId="77777777" w:rsidR="0061091B" w:rsidRDefault="0061091B" w:rsidP="001A67A2">
      <w:pPr>
        <w:pStyle w:val="SCVbullet1"/>
        <w:numPr>
          <w:ilvl w:val="0"/>
          <w:numId w:val="0"/>
        </w:numPr>
        <w:ind w:left="284" w:hanging="284"/>
      </w:pPr>
    </w:p>
    <w:tbl>
      <w:tblPr>
        <w:tblStyle w:val="TableGrid"/>
        <w:tblW w:w="0" w:type="auto"/>
        <w:tblLook w:val="04A0" w:firstRow="1" w:lastRow="0" w:firstColumn="1" w:lastColumn="0" w:noHBand="0" w:noVBand="1"/>
      </w:tblPr>
      <w:tblGrid>
        <w:gridCol w:w="10148"/>
      </w:tblGrid>
      <w:tr w:rsidR="001D256F" w14:paraId="6F0F550E" w14:textId="77777777" w:rsidTr="00E95915">
        <w:trPr>
          <w:cnfStyle w:val="100000000000" w:firstRow="1" w:lastRow="0" w:firstColumn="0" w:lastColumn="0" w:oddVBand="0" w:evenVBand="0" w:oddHBand="0" w:evenHBand="0" w:firstRowFirstColumn="0" w:firstRowLastColumn="0" w:lastRowFirstColumn="0" w:lastRowLastColumn="0"/>
        </w:trPr>
        <w:tc>
          <w:tcPr>
            <w:tcW w:w="10148" w:type="dxa"/>
          </w:tcPr>
          <w:p w14:paraId="6B2B169C" w14:textId="01B0E99C" w:rsidR="001D256F" w:rsidRPr="00E95915" w:rsidRDefault="001D256F" w:rsidP="00E95915">
            <w:pPr>
              <w:pStyle w:val="SCVtablecolhead"/>
              <w:rPr>
                <w:sz w:val="20"/>
                <w:szCs w:val="20"/>
              </w:rPr>
            </w:pPr>
            <w:r w:rsidRPr="00E95915">
              <w:rPr>
                <w:sz w:val="20"/>
                <w:szCs w:val="20"/>
              </w:rPr>
              <w:t>Multiple health service entities</w:t>
            </w:r>
          </w:p>
        </w:tc>
      </w:tr>
      <w:tr w:rsidR="001D256F" w14:paraId="1D093B26" w14:textId="77777777" w:rsidTr="00E95915">
        <w:tc>
          <w:tcPr>
            <w:tcW w:w="10148" w:type="dxa"/>
          </w:tcPr>
          <w:p w14:paraId="3A3EF9FD" w14:textId="04B9CA87" w:rsidR="001D256F" w:rsidRPr="00E95915" w:rsidRDefault="001D256F" w:rsidP="00E95915">
            <w:pPr>
              <w:pStyle w:val="SCVtablebody"/>
              <w:rPr>
                <w:sz w:val="20"/>
                <w:szCs w:val="20"/>
              </w:rPr>
            </w:pPr>
            <w:r w:rsidRPr="00E95915">
              <w:rPr>
                <w:sz w:val="20"/>
                <w:szCs w:val="20"/>
              </w:rPr>
              <w:t xml:space="preserve">If the SAPSE occurs across 2 or more health service entities (i.e. </w:t>
            </w:r>
            <w:r w:rsidR="00285078">
              <w:rPr>
                <w:sz w:val="20"/>
                <w:szCs w:val="20"/>
              </w:rPr>
              <w:t>events at each entity likely</w:t>
            </w:r>
            <w:r w:rsidRPr="00E95915">
              <w:rPr>
                <w:sz w:val="20"/>
                <w:szCs w:val="20"/>
              </w:rPr>
              <w:t xml:space="preserve"> contributed to the harm), it should be discussed how the SDC process would </w:t>
            </w:r>
            <w:r w:rsidR="0027775E">
              <w:rPr>
                <w:sz w:val="20"/>
                <w:szCs w:val="20"/>
              </w:rPr>
              <w:t>be conducte</w:t>
            </w:r>
            <w:r w:rsidR="00515BBB">
              <w:rPr>
                <w:sz w:val="20"/>
                <w:szCs w:val="20"/>
              </w:rPr>
              <w:t xml:space="preserve">d, but all entities must </w:t>
            </w:r>
            <w:proofErr w:type="gramStart"/>
            <w:r w:rsidR="00515BBB">
              <w:rPr>
                <w:sz w:val="20"/>
                <w:szCs w:val="20"/>
              </w:rPr>
              <w:t>participate</w:t>
            </w:r>
            <w:proofErr w:type="gramEnd"/>
            <w:r w:rsidRPr="00E95915">
              <w:rPr>
                <w:sz w:val="20"/>
                <w:szCs w:val="20"/>
              </w:rPr>
              <w:t xml:space="preserve">. However, it will be the responsibility of </w:t>
            </w:r>
            <w:r w:rsidR="00515BBB">
              <w:rPr>
                <w:sz w:val="20"/>
                <w:szCs w:val="20"/>
              </w:rPr>
              <w:t>each</w:t>
            </w:r>
            <w:r w:rsidRPr="00E95915">
              <w:rPr>
                <w:sz w:val="20"/>
                <w:szCs w:val="20"/>
              </w:rPr>
              <w:t xml:space="preserve"> </w:t>
            </w:r>
            <w:r w:rsidR="00515BBB">
              <w:rPr>
                <w:sz w:val="20"/>
                <w:szCs w:val="20"/>
              </w:rPr>
              <w:t>entity</w:t>
            </w:r>
            <w:r w:rsidRPr="00E95915">
              <w:rPr>
                <w:sz w:val="20"/>
                <w:szCs w:val="20"/>
              </w:rPr>
              <w:t xml:space="preserve"> to report </w:t>
            </w:r>
            <w:r w:rsidR="00515BBB">
              <w:rPr>
                <w:sz w:val="20"/>
                <w:szCs w:val="20"/>
              </w:rPr>
              <w:t xml:space="preserve">their </w:t>
            </w:r>
            <w:r w:rsidRPr="00E95915">
              <w:rPr>
                <w:sz w:val="20"/>
                <w:szCs w:val="20"/>
              </w:rPr>
              <w:t>compliance</w:t>
            </w:r>
            <w:r w:rsidR="00515BBB">
              <w:rPr>
                <w:sz w:val="20"/>
                <w:szCs w:val="20"/>
              </w:rPr>
              <w:t xml:space="preserve"> with the SDC</w:t>
            </w:r>
            <w:r w:rsidRPr="00E95915">
              <w:rPr>
                <w:sz w:val="20"/>
                <w:szCs w:val="20"/>
              </w:rPr>
              <w:t xml:space="preserve">. This is to ensure that the requirement to complete the SDC sits with each health service entity.  </w:t>
            </w:r>
          </w:p>
        </w:tc>
      </w:tr>
      <w:tr w:rsidR="001D256F" w14:paraId="51051820" w14:textId="77777777" w:rsidTr="00E95915">
        <w:tc>
          <w:tcPr>
            <w:tcW w:w="10148" w:type="dxa"/>
          </w:tcPr>
          <w:p w14:paraId="062EEB4A" w14:textId="6CFBBD71" w:rsidR="001D256F" w:rsidRPr="00E95915" w:rsidRDefault="001D256F" w:rsidP="00E95915">
            <w:pPr>
              <w:pStyle w:val="SCVtablebody"/>
              <w:rPr>
                <w:sz w:val="20"/>
                <w:szCs w:val="20"/>
              </w:rPr>
            </w:pPr>
            <w:r w:rsidRPr="00E95915">
              <w:rPr>
                <w:sz w:val="20"/>
                <w:szCs w:val="20"/>
              </w:rPr>
              <w:t>If the SAPSE occurs at one health service entity and the patient is admitted to or transferred to another health service entity for care, it is the responsibility of the health service entity where the event occurred to report the SAPSE and conduct and report on the SDC.</w:t>
            </w:r>
            <w:r w:rsidRPr="00E95915" w:rsidDel="00C0717C">
              <w:rPr>
                <w:sz w:val="20"/>
                <w:szCs w:val="20"/>
              </w:rPr>
              <w:t xml:space="preserve"> </w:t>
            </w:r>
            <w:r w:rsidRPr="00E95915">
              <w:rPr>
                <w:sz w:val="20"/>
                <w:szCs w:val="20"/>
              </w:rPr>
              <w:t xml:space="preserve">See the </w:t>
            </w:r>
            <w:hyperlink r:id="rId13" w:history="1">
              <w:r w:rsidRPr="002D1508">
                <w:rPr>
                  <w:rStyle w:val="Hyperlink"/>
                  <w:sz w:val="20"/>
                  <w:szCs w:val="20"/>
                </w:rPr>
                <w:t>Victorian Duty of Candour Framework</w:t>
              </w:r>
            </w:hyperlink>
            <w:r w:rsidRPr="00E95915">
              <w:rPr>
                <w:sz w:val="20"/>
                <w:szCs w:val="20"/>
              </w:rPr>
              <w:t xml:space="preserve"> for further information, including regarding collaboration between health service entities in such circumstances.</w:t>
            </w:r>
          </w:p>
        </w:tc>
      </w:tr>
    </w:tbl>
    <w:p w14:paraId="2124BB84" w14:textId="77777777" w:rsidR="001D256F" w:rsidRDefault="001D256F" w:rsidP="001A67A2">
      <w:pPr>
        <w:pStyle w:val="SCVbullet1"/>
        <w:numPr>
          <w:ilvl w:val="0"/>
          <w:numId w:val="0"/>
        </w:numPr>
        <w:ind w:left="284" w:hanging="284"/>
      </w:pPr>
    </w:p>
    <w:tbl>
      <w:tblPr>
        <w:tblStyle w:val="TableGrid"/>
        <w:tblW w:w="0" w:type="auto"/>
        <w:tblLook w:val="04A0" w:firstRow="1" w:lastRow="0" w:firstColumn="1" w:lastColumn="0" w:noHBand="0" w:noVBand="1"/>
      </w:tblPr>
      <w:tblGrid>
        <w:gridCol w:w="10148"/>
      </w:tblGrid>
      <w:tr w:rsidR="00B8751E" w14:paraId="19EA545B" w14:textId="77777777" w:rsidTr="00E95915">
        <w:trPr>
          <w:cnfStyle w:val="100000000000" w:firstRow="1" w:lastRow="0" w:firstColumn="0" w:lastColumn="0" w:oddVBand="0" w:evenVBand="0" w:oddHBand="0" w:evenHBand="0" w:firstRowFirstColumn="0" w:firstRowLastColumn="0" w:lastRowFirstColumn="0" w:lastRowLastColumn="0"/>
        </w:trPr>
        <w:tc>
          <w:tcPr>
            <w:tcW w:w="10148" w:type="dxa"/>
          </w:tcPr>
          <w:p w14:paraId="3F9A34DA" w14:textId="7B1E8C1B" w:rsidR="00B8751E" w:rsidRPr="00E95915" w:rsidRDefault="00B8751E" w:rsidP="00E95915">
            <w:pPr>
              <w:pStyle w:val="SCVtablecolhead"/>
              <w:rPr>
                <w:sz w:val="20"/>
                <w:szCs w:val="20"/>
              </w:rPr>
            </w:pPr>
            <w:r w:rsidRPr="00E95915">
              <w:rPr>
                <w:sz w:val="20"/>
                <w:szCs w:val="20"/>
              </w:rPr>
              <w:t xml:space="preserve">No SAPSEs or </w:t>
            </w:r>
            <w:r w:rsidR="00662CEE">
              <w:rPr>
                <w:sz w:val="20"/>
                <w:szCs w:val="20"/>
              </w:rPr>
              <w:t>unsure</w:t>
            </w:r>
          </w:p>
        </w:tc>
      </w:tr>
      <w:tr w:rsidR="00B8751E" w14:paraId="6539801E" w14:textId="77777777" w:rsidTr="00E95915">
        <w:tc>
          <w:tcPr>
            <w:tcW w:w="10148" w:type="dxa"/>
          </w:tcPr>
          <w:p w14:paraId="4DB2F3A3" w14:textId="2719F9E7" w:rsidR="00B8751E" w:rsidRPr="00E95915" w:rsidRDefault="00B8751E" w:rsidP="00E95915">
            <w:pPr>
              <w:pStyle w:val="SCVtablebody"/>
              <w:rPr>
                <w:sz w:val="20"/>
                <w:szCs w:val="20"/>
              </w:rPr>
            </w:pPr>
            <w:r w:rsidRPr="00E95915">
              <w:rPr>
                <w:sz w:val="20"/>
                <w:szCs w:val="20"/>
              </w:rPr>
              <w:t>Where a health service entity has zero SAPSEs to report for that quarter (such as in the case of a mobile service or single operator), they must still complete each data item on the AIMS form and submit the data to ensure compliance with their reporting obligations under the relevant Act.</w:t>
            </w:r>
          </w:p>
        </w:tc>
      </w:tr>
      <w:tr w:rsidR="00B8751E" w14:paraId="712E7C33" w14:textId="77777777" w:rsidTr="00E95915">
        <w:tc>
          <w:tcPr>
            <w:tcW w:w="10148" w:type="dxa"/>
          </w:tcPr>
          <w:p w14:paraId="69F4D8CF" w14:textId="50D8FCFB" w:rsidR="00B8751E" w:rsidRPr="00E95915" w:rsidRDefault="00B8751E" w:rsidP="00E95915">
            <w:pPr>
              <w:pStyle w:val="SCVtablebody"/>
              <w:rPr>
                <w:sz w:val="20"/>
                <w:szCs w:val="20"/>
              </w:rPr>
            </w:pPr>
            <w:r w:rsidRPr="00E95915">
              <w:rPr>
                <w:sz w:val="20"/>
                <w:szCs w:val="20"/>
              </w:rPr>
              <w:t>At times, the severity of the harm may not be clear when the event is entered into the clinical incident management system and requires an external review (including coronial review). In these cases, ‘time zero’ would be when this is identified by the health service entity as a SAPSE post the review. The SAPSE in such instances would be reported in the quarter in which it is identified as a SAPSE.</w:t>
            </w:r>
          </w:p>
        </w:tc>
      </w:tr>
      <w:tr w:rsidR="00B8751E" w14:paraId="30C4C62E" w14:textId="77777777" w:rsidTr="00E95915">
        <w:tc>
          <w:tcPr>
            <w:tcW w:w="10148" w:type="dxa"/>
          </w:tcPr>
          <w:p w14:paraId="2EF60FB1" w14:textId="3A91E8A6" w:rsidR="00B8751E" w:rsidRPr="00E95915" w:rsidRDefault="00B8751E" w:rsidP="00E95915">
            <w:pPr>
              <w:pStyle w:val="SCVtablebody"/>
              <w:rPr>
                <w:sz w:val="20"/>
                <w:szCs w:val="20"/>
              </w:rPr>
            </w:pPr>
            <w:r w:rsidRPr="00E95915">
              <w:rPr>
                <w:sz w:val="20"/>
                <w:szCs w:val="20"/>
              </w:rPr>
              <w:t xml:space="preserve">For harm events that </w:t>
            </w:r>
            <w:r w:rsidR="00C255B7">
              <w:rPr>
                <w:sz w:val="20"/>
                <w:szCs w:val="20"/>
              </w:rPr>
              <w:t>seem</w:t>
            </w:r>
            <w:r w:rsidRPr="00E95915">
              <w:rPr>
                <w:sz w:val="20"/>
                <w:szCs w:val="20"/>
              </w:rPr>
              <w:t xml:space="preserve"> unclear</w:t>
            </w:r>
            <w:r w:rsidRPr="00E95915" w:rsidDel="00EC3DCD">
              <w:rPr>
                <w:sz w:val="20"/>
                <w:szCs w:val="20"/>
              </w:rPr>
              <w:t xml:space="preserve"> </w:t>
            </w:r>
            <w:r w:rsidRPr="00E95915">
              <w:rPr>
                <w:sz w:val="20"/>
                <w:szCs w:val="20"/>
              </w:rPr>
              <w:t xml:space="preserve">whether they meet SAPSE criteria, or for all other harm events, health service entities are encouraged to take a patient-centred approach to ensure that the appropriate steps and communication is being completed. In the case where a service has further questions, they can contact the Safer Care Victoria project team by </w:t>
            </w:r>
            <w:hyperlink r:id="rId14" w:history="1">
              <w:r w:rsidRPr="002D1508">
                <w:rPr>
                  <w:rStyle w:val="Hyperlink"/>
                  <w:sz w:val="20"/>
                  <w:szCs w:val="20"/>
                </w:rPr>
                <w:t>email</w:t>
              </w:r>
            </w:hyperlink>
            <w:r w:rsidRPr="00E95915">
              <w:rPr>
                <w:sz w:val="20"/>
                <w:szCs w:val="20"/>
              </w:rPr>
              <w:t xml:space="preserve"> &lt;dutyofcandour@health.vic.gov.au&gt;.</w:t>
            </w:r>
          </w:p>
        </w:tc>
      </w:tr>
    </w:tbl>
    <w:p w14:paraId="62E498E3" w14:textId="16FC93D4" w:rsidR="00F63AA6" w:rsidRDefault="00F63AA6" w:rsidP="00F63AA6">
      <w:pPr>
        <w:pStyle w:val="Heading1"/>
      </w:pPr>
      <w:r>
        <w:lastRenderedPageBreak/>
        <w:t>Access to HealthCollect</w:t>
      </w:r>
      <w:r w:rsidR="006A3ED5">
        <w:t xml:space="preserve"> </w:t>
      </w:r>
    </w:p>
    <w:p w14:paraId="3D34EFD4" w14:textId="268D4C95" w:rsidR="00AC2278" w:rsidRDefault="00AC2278" w:rsidP="00AC2278">
      <w:pPr>
        <w:pStyle w:val="Body"/>
        <w:rPr>
          <w:sz w:val="20"/>
        </w:rPr>
      </w:pPr>
      <w:r w:rsidRPr="00D866E4">
        <w:rPr>
          <w:sz w:val="20"/>
        </w:rPr>
        <w:t xml:space="preserve">The </w:t>
      </w:r>
      <w:r>
        <w:rPr>
          <w:sz w:val="20"/>
        </w:rPr>
        <w:t>Statutory Duty of Candour</w:t>
      </w:r>
      <w:r w:rsidRPr="00D866E4">
        <w:rPr>
          <w:sz w:val="20"/>
        </w:rPr>
        <w:t xml:space="preserve"> Data Collection </w:t>
      </w:r>
      <w:r w:rsidR="006A3ED5">
        <w:rPr>
          <w:sz w:val="20"/>
        </w:rPr>
        <w:t xml:space="preserve">is </w:t>
      </w:r>
      <w:r w:rsidRPr="00D866E4">
        <w:rPr>
          <w:sz w:val="20"/>
        </w:rPr>
        <w:t>available</w:t>
      </w:r>
      <w:r w:rsidR="006A3ED5">
        <w:rPr>
          <w:sz w:val="20"/>
        </w:rPr>
        <w:t xml:space="preserve"> from </w:t>
      </w:r>
      <w:r w:rsidR="006A3ED5" w:rsidRPr="00744B40">
        <w:rPr>
          <w:b/>
          <w:bCs/>
          <w:sz w:val="20"/>
        </w:rPr>
        <w:t>1 July 2023</w:t>
      </w:r>
      <w:r w:rsidR="006A3ED5">
        <w:rPr>
          <w:sz w:val="20"/>
        </w:rPr>
        <w:t xml:space="preserve"> at</w:t>
      </w:r>
      <w:r w:rsidRPr="00D866E4">
        <w:rPr>
          <w:sz w:val="20"/>
        </w:rPr>
        <w:t xml:space="preserve"> the</w:t>
      </w:r>
      <w:r w:rsidR="00A064A5">
        <w:rPr>
          <w:sz w:val="20"/>
        </w:rPr>
        <w:t xml:space="preserve"> </w:t>
      </w:r>
      <w:hyperlink r:id="rId15" w:history="1">
        <w:r w:rsidR="00A064A5" w:rsidRPr="00A064A5">
          <w:rPr>
            <w:rStyle w:val="Hyperlink"/>
            <w:sz w:val="20"/>
          </w:rPr>
          <w:t>HealthCollect portal</w:t>
        </w:r>
      </w:hyperlink>
      <w:r w:rsidRPr="00D866E4">
        <w:rPr>
          <w:sz w:val="20"/>
        </w:rPr>
        <w:t xml:space="preserve"> </w:t>
      </w:r>
      <w:r w:rsidR="00246096">
        <w:rPr>
          <w:sz w:val="20"/>
        </w:rPr>
        <w:t>&lt;</w:t>
      </w:r>
      <w:r w:rsidR="00C16A56">
        <w:rPr>
          <w:sz w:val="20"/>
        </w:rPr>
        <w:t>www.healthcollect</w:t>
      </w:r>
      <w:r w:rsidR="009A6C71">
        <w:rPr>
          <w:sz w:val="20"/>
        </w:rPr>
        <w:t>.vic.gov.au&gt;.</w:t>
      </w:r>
    </w:p>
    <w:p w14:paraId="64647278" w14:textId="22C272E1" w:rsidR="00DA427D" w:rsidRPr="00210997" w:rsidRDefault="00DA427D" w:rsidP="00AC2278">
      <w:pPr>
        <w:pStyle w:val="Body"/>
        <w:rPr>
          <w:sz w:val="20"/>
        </w:rPr>
      </w:pPr>
      <w:r w:rsidRPr="00DA427D">
        <w:rPr>
          <w:sz w:val="20"/>
        </w:rPr>
        <w:t xml:space="preserve">To request a HealthCollect login for a new user, or to have this new data collection assigned to an existing HealthCollect user, the staff member </w:t>
      </w:r>
      <w:r w:rsidR="00FE227D">
        <w:rPr>
          <w:sz w:val="20"/>
        </w:rPr>
        <w:t>must</w:t>
      </w:r>
      <w:r w:rsidRPr="00DA427D">
        <w:rPr>
          <w:sz w:val="20"/>
        </w:rPr>
        <w:t xml:space="preserve"> complete the </w:t>
      </w:r>
      <w:hyperlink r:id="rId16" w:history="1">
        <w:r w:rsidRPr="00A064A5">
          <w:rPr>
            <w:rStyle w:val="Hyperlink"/>
            <w:sz w:val="20"/>
          </w:rPr>
          <w:t>HealthCollect Portal User Request form</w:t>
        </w:r>
      </w:hyperlink>
      <w:r w:rsidRPr="00DA427D">
        <w:rPr>
          <w:sz w:val="20"/>
        </w:rPr>
        <w:t xml:space="preserve"> &lt;https://forms.office.com/Pages/ResponsePage.aspx?id=</w:t>
      </w:r>
      <w:r w:rsidRPr="00210997">
        <w:rPr>
          <w:sz w:val="20"/>
        </w:rPr>
        <w:t>H2DgwKwPnESciKEExOufKIQCYRhq7MNNvvjya8xeYoZUNzE3UEZWTlpPNlc0WUhaMERaMEw1SjRDSS4u&gt;</w:t>
      </w:r>
      <w:r w:rsidR="00A064A5" w:rsidRPr="00210997">
        <w:rPr>
          <w:sz w:val="20"/>
        </w:rPr>
        <w:t>.</w:t>
      </w:r>
    </w:p>
    <w:p w14:paraId="60BAC582" w14:textId="77777777" w:rsidR="008A423D" w:rsidRDefault="0093632C" w:rsidP="00AC2278">
      <w:pPr>
        <w:pStyle w:val="Body"/>
        <w:rPr>
          <w:rStyle w:val="eop"/>
          <w:rFonts w:cs="Arial"/>
          <w:color w:val="000000"/>
          <w:sz w:val="20"/>
          <w:shd w:val="clear" w:color="auto" w:fill="FFFFFF"/>
        </w:rPr>
      </w:pPr>
      <w:r w:rsidRPr="00210997">
        <w:rPr>
          <w:rStyle w:val="normaltextrun"/>
          <w:rFonts w:cs="Arial"/>
          <w:color w:val="000000"/>
          <w:sz w:val="20"/>
          <w:shd w:val="clear" w:color="auto" w:fill="FFFFFF"/>
        </w:rPr>
        <w:t xml:space="preserve">When completing the HealthCollect User Request Form, at the question ‘Do you need access to </w:t>
      </w:r>
      <w:proofErr w:type="gramStart"/>
      <w:r w:rsidRPr="00210997">
        <w:rPr>
          <w:rStyle w:val="normaltextrun"/>
          <w:rFonts w:cs="Arial"/>
          <w:color w:val="000000"/>
          <w:sz w:val="20"/>
          <w:shd w:val="clear" w:color="auto" w:fill="FFFFFF"/>
        </w:rPr>
        <w:t>AIMS</w:t>
      </w:r>
      <w:proofErr w:type="gramEnd"/>
      <w:r w:rsidRPr="00210997">
        <w:rPr>
          <w:rStyle w:val="normaltextrun"/>
          <w:rFonts w:cs="Arial"/>
          <w:color w:val="000000"/>
          <w:sz w:val="20"/>
          <w:shd w:val="clear" w:color="auto" w:fill="FFFFFF"/>
        </w:rPr>
        <w:t xml:space="preserve"> forms?’, select ‘Yes’, and on the next screen, select </w:t>
      </w:r>
      <w:r w:rsidR="00034165">
        <w:rPr>
          <w:rStyle w:val="normaltextrun"/>
          <w:rFonts w:cs="Arial"/>
          <w:color w:val="000000"/>
          <w:sz w:val="20"/>
          <w:shd w:val="clear" w:color="auto" w:fill="FFFFFF"/>
        </w:rPr>
        <w:t>‘</w:t>
      </w:r>
      <w:r w:rsidRPr="00210997">
        <w:rPr>
          <w:rStyle w:val="normaltextrun"/>
          <w:rFonts w:cs="Arial"/>
          <w:color w:val="000000"/>
          <w:sz w:val="20"/>
          <w:shd w:val="clear" w:color="auto" w:fill="FFFFFF"/>
        </w:rPr>
        <w:t>Statutory Duty of Candour data collection</w:t>
      </w:r>
      <w:r w:rsidR="00034165">
        <w:rPr>
          <w:rStyle w:val="normaltextrun"/>
          <w:rFonts w:cs="Arial"/>
          <w:color w:val="000000"/>
          <w:sz w:val="20"/>
          <w:shd w:val="clear" w:color="auto" w:fill="FFFFFF"/>
        </w:rPr>
        <w:t>’</w:t>
      </w:r>
      <w:r w:rsidRPr="00210997">
        <w:rPr>
          <w:rStyle w:val="normaltextrun"/>
          <w:rFonts w:cs="Arial"/>
          <w:color w:val="000000"/>
          <w:sz w:val="20"/>
          <w:shd w:val="clear" w:color="auto" w:fill="FFFFFF"/>
        </w:rPr>
        <w:t>.</w:t>
      </w:r>
      <w:r w:rsidRPr="00210997">
        <w:rPr>
          <w:rStyle w:val="eop"/>
          <w:rFonts w:cs="Arial"/>
          <w:color w:val="000000"/>
          <w:sz w:val="20"/>
          <w:shd w:val="clear" w:color="auto" w:fill="FFFFFF"/>
        </w:rPr>
        <w:t> </w:t>
      </w:r>
    </w:p>
    <w:p w14:paraId="6ED85F2A" w14:textId="2D92099A" w:rsidR="0093632C" w:rsidRPr="00210997" w:rsidRDefault="008A423D" w:rsidP="00AC2278">
      <w:pPr>
        <w:pStyle w:val="Body"/>
        <w:rPr>
          <w:sz w:val="20"/>
        </w:rPr>
      </w:pPr>
      <w:r>
        <w:rPr>
          <w:rStyle w:val="eop"/>
          <w:rFonts w:cs="Arial"/>
          <w:color w:val="000000"/>
          <w:sz w:val="20"/>
          <w:shd w:val="clear" w:color="auto" w:fill="FFFFFF"/>
        </w:rPr>
        <w:t>T</w:t>
      </w:r>
      <w:r w:rsidR="00E85D42">
        <w:rPr>
          <w:rStyle w:val="eop"/>
          <w:rFonts w:cs="Arial"/>
          <w:color w:val="000000"/>
          <w:sz w:val="20"/>
          <w:shd w:val="clear" w:color="auto" w:fill="FFFFFF"/>
        </w:rPr>
        <w:t>o assign new campuses to your</w:t>
      </w:r>
      <w:r w:rsidR="001A3454">
        <w:rPr>
          <w:rStyle w:val="eop"/>
          <w:rFonts w:cs="Arial"/>
          <w:color w:val="000000"/>
          <w:sz w:val="20"/>
          <w:shd w:val="clear" w:color="auto" w:fill="FFFFFF"/>
        </w:rPr>
        <w:t xml:space="preserve"> user log in, please enter th</w:t>
      </w:r>
      <w:r>
        <w:rPr>
          <w:rStyle w:val="eop"/>
          <w:rFonts w:cs="Arial"/>
          <w:color w:val="000000"/>
          <w:sz w:val="20"/>
          <w:shd w:val="clear" w:color="auto" w:fill="FFFFFF"/>
        </w:rPr>
        <w:t>e names of the campuses</w:t>
      </w:r>
      <w:r w:rsidR="001A3454">
        <w:rPr>
          <w:rStyle w:val="eop"/>
          <w:rFonts w:cs="Arial"/>
          <w:color w:val="000000"/>
          <w:sz w:val="20"/>
          <w:shd w:val="clear" w:color="auto" w:fill="FFFFFF"/>
        </w:rPr>
        <w:t xml:space="preserve"> in the form under </w:t>
      </w:r>
      <w:r>
        <w:rPr>
          <w:rStyle w:val="eop"/>
          <w:rFonts w:cs="Arial"/>
          <w:color w:val="000000"/>
          <w:sz w:val="20"/>
          <w:shd w:val="clear" w:color="auto" w:fill="FFFFFF"/>
        </w:rPr>
        <w:t xml:space="preserve">‘Campuses you will submit data for (if applicable)’. </w:t>
      </w:r>
    </w:p>
    <w:p w14:paraId="46BABE7B" w14:textId="193C7F18" w:rsidR="00083A29" w:rsidRDefault="009E1A6B" w:rsidP="00083A29">
      <w:pPr>
        <w:pStyle w:val="SCVbody"/>
      </w:pPr>
      <w:r>
        <w:t xml:space="preserve">Information on how to access the </w:t>
      </w:r>
      <w:r w:rsidR="00210997">
        <w:t xml:space="preserve">HealthCollect </w:t>
      </w:r>
      <w:r>
        <w:t>portal</w:t>
      </w:r>
      <w:r w:rsidR="00C25EAC">
        <w:t xml:space="preserve"> to submit data</w:t>
      </w:r>
      <w:r>
        <w:t xml:space="preserve">, as well as information </w:t>
      </w:r>
      <w:r w:rsidR="001B65D4">
        <w:t>about</w:t>
      </w:r>
      <w:r>
        <w:t xml:space="preserve"> the SDC AIMS form, is available in the AIMS Manual </w:t>
      </w:r>
      <w:r w:rsidR="00D801DB">
        <w:t>on the</w:t>
      </w:r>
      <w:r>
        <w:t xml:space="preserve"> </w:t>
      </w:r>
      <w:hyperlink r:id="rId17" w:history="1">
        <w:r w:rsidRPr="004C0149">
          <w:rPr>
            <w:rStyle w:val="Hyperlink"/>
          </w:rPr>
          <w:t>Agency Information Management System (AIMS) webpage</w:t>
        </w:r>
      </w:hyperlink>
      <w:r>
        <w:t xml:space="preserve"> &lt;https://www.health.vic.gov.au/data-reporting/agency-information-management-system-aims&gt;. This manual has </w:t>
      </w:r>
      <w:r w:rsidR="000977BD">
        <w:t>been created to assist health service entities</w:t>
      </w:r>
      <w:r w:rsidR="009CC76D">
        <w:t xml:space="preserve"> to obtain access to the secure data portal</w:t>
      </w:r>
      <w:r w:rsidR="000977BD">
        <w:t xml:space="preserve"> and </w:t>
      </w:r>
      <w:r w:rsidR="009CC76D">
        <w:t>complete SDC data reporting</w:t>
      </w:r>
      <w:r w:rsidR="00361222">
        <w:t xml:space="preserve"> </w:t>
      </w:r>
      <w:r w:rsidR="009CC76D">
        <w:t xml:space="preserve">each quarter. </w:t>
      </w:r>
    </w:p>
    <w:p w14:paraId="121A2072" w14:textId="459D6012" w:rsidR="008D357A" w:rsidRDefault="008D357A" w:rsidP="009471BA">
      <w:pPr>
        <w:pStyle w:val="Heading1"/>
      </w:pPr>
      <w:r>
        <w:t xml:space="preserve">Mandatory reporting </w:t>
      </w:r>
      <w:r w:rsidR="0088649A">
        <w:t>obligations</w:t>
      </w:r>
    </w:p>
    <w:p w14:paraId="0EF1B08F" w14:textId="023173EA" w:rsidR="008D357A" w:rsidRDefault="008D357A" w:rsidP="008D357A">
      <w:pPr>
        <w:pStyle w:val="SCVbody"/>
      </w:pPr>
      <w:r>
        <w:t xml:space="preserve">Reporting of the SDC for </w:t>
      </w:r>
      <w:r w:rsidR="00765FC5">
        <w:t xml:space="preserve">publicly funded health service entities has been included in the </w:t>
      </w:r>
      <w:hyperlink r:id="rId18" w:history="1">
        <w:r w:rsidR="00D3586B" w:rsidRPr="0088649A">
          <w:rPr>
            <w:rStyle w:val="Hyperlink"/>
          </w:rPr>
          <w:t xml:space="preserve">Policy </w:t>
        </w:r>
        <w:r w:rsidR="00385FF8" w:rsidRPr="0088649A">
          <w:rPr>
            <w:rStyle w:val="Hyperlink"/>
          </w:rPr>
          <w:t xml:space="preserve">and Funding </w:t>
        </w:r>
        <w:r w:rsidR="00D3586B" w:rsidRPr="0088649A">
          <w:rPr>
            <w:rStyle w:val="Hyperlink"/>
          </w:rPr>
          <w:t>Guide</w:t>
        </w:r>
        <w:r w:rsidR="00385FF8" w:rsidRPr="0088649A">
          <w:rPr>
            <w:rStyle w:val="Hyperlink"/>
          </w:rPr>
          <w:t>lines</w:t>
        </w:r>
      </w:hyperlink>
      <w:r w:rsidR="0088649A">
        <w:t xml:space="preserve"> &lt;</w:t>
      </w:r>
      <w:r w:rsidR="0088649A" w:rsidRPr="0088649A">
        <w:t>https://www.health.vic.gov.au/policy-and-funding-guidelines-for-health-services</w:t>
      </w:r>
      <w:r w:rsidR="0088649A">
        <w:t>&gt;.</w:t>
      </w:r>
    </w:p>
    <w:p w14:paraId="06A1AF17" w14:textId="759ACF10" w:rsidR="008D357A" w:rsidRPr="008D357A" w:rsidRDefault="008D357A" w:rsidP="008D357A">
      <w:pPr>
        <w:pStyle w:val="SCVbody"/>
      </w:pPr>
      <w:r>
        <w:t xml:space="preserve">Reporting of the SDC has been made mandatory for health service establishments (private hospitals and day procedure centres) in the </w:t>
      </w:r>
      <w:hyperlink r:id="rId19" w:history="1">
        <w:r w:rsidRPr="00515738">
          <w:rPr>
            <w:rStyle w:val="Hyperlink"/>
            <w:i/>
            <w:iCs/>
          </w:rPr>
          <w:t>Health Services (Health Service Establishments) Regulations 2013</w:t>
        </w:r>
      </w:hyperlink>
      <w:r w:rsidR="00765FC5">
        <w:rPr>
          <w:i/>
          <w:iCs/>
        </w:rPr>
        <w:t xml:space="preserve"> </w:t>
      </w:r>
      <w:r w:rsidR="00765FC5">
        <w:t>&lt;</w:t>
      </w:r>
      <w:r w:rsidR="00D3586B" w:rsidRPr="00D3586B">
        <w:t>https://www.legislation.vic.gov.au/in-force/statutory-rules/health-services-health-service-establishments-regulations-2013/005</w:t>
      </w:r>
      <w:r w:rsidR="00D3586B">
        <w:t>&gt;</w:t>
      </w:r>
      <w:r>
        <w:t>.</w:t>
      </w:r>
    </w:p>
    <w:p w14:paraId="0379776A" w14:textId="44B5EB8C" w:rsidR="009471BA" w:rsidRDefault="00EF43B4" w:rsidP="009471BA">
      <w:pPr>
        <w:pStyle w:val="Heading1"/>
      </w:pPr>
      <w:r>
        <w:t xml:space="preserve">Further information </w:t>
      </w:r>
    </w:p>
    <w:p w14:paraId="45247963" w14:textId="09EDFC65" w:rsidR="009471BA" w:rsidRDefault="009471BA" w:rsidP="009471BA">
      <w:pPr>
        <w:pStyle w:val="SCVbody"/>
      </w:pPr>
      <w:r>
        <w:t xml:space="preserve">Health service entities should refer to the relevant Act and </w:t>
      </w:r>
      <w:r w:rsidR="00D87CBD">
        <w:t xml:space="preserve">the </w:t>
      </w:r>
      <w:hyperlink r:id="rId20" w:history="1">
        <w:r w:rsidR="00D87CBD" w:rsidRPr="00F54CA2">
          <w:rPr>
            <w:rStyle w:val="Hyperlink"/>
            <w:i/>
            <w:iCs/>
          </w:rPr>
          <w:t>Health Services (Quality and Safety) Regulations 2020</w:t>
        </w:r>
      </w:hyperlink>
      <w:r w:rsidR="00D87CBD">
        <w:t xml:space="preserve"> </w:t>
      </w:r>
      <w:r>
        <w:t xml:space="preserve">for more details </w:t>
      </w:r>
      <w:r w:rsidR="00D87CBD">
        <w:t xml:space="preserve">on the SDC requirements, and the SAPSE definition. </w:t>
      </w:r>
    </w:p>
    <w:p w14:paraId="0F151A09" w14:textId="438E97AC" w:rsidR="009471BA" w:rsidRPr="005F5917" w:rsidRDefault="009471BA" w:rsidP="009471BA">
      <w:pPr>
        <w:pStyle w:val="SCVbody"/>
      </w:pPr>
      <w:r>
        <w:t xml:space="preserve">To support health service entities in establishing SDC processes, Safer Care Victoria has compiled a range of </w:t>
      </w:r>
      <w:hyperlink r:id="rId21" w:history="1">
        <w:r w:rsidRPr="003F3328">
          <w:rPr>
            <w:rStyle w:val="Hyperlink"/>
          </w:rPr>
          <w:t>resources</w:t>
        </w:r>
      </w:hyperlink>
      <w:r>
        <w:t xml:space="preserve"> &lt;https://www.</w:t>
      </w:r>
      <w:r w:rsidRPr="005F5917">
        <w:t xml:space="preserve">safercare.vic.gov.au/support-training/adverse-event-review-and-response/duty-of-candour&gt;.  </w:t>
      </w:r>
    </w:p>
    <w:p w14:paraId="7EE8914B" w14:textId="1895FED6" w:rsidR="006206BB" w:rsidRPr="005F5917" w:rsidRDefault="009471BA" w:rsidP="009949A7">
      <w:pPr>
        <w:pStyle w:val="SCVbody"/>
      </w:pPr>
      <w:r w:rsidRPr="005F5917">
        <w:t xml:space="preserve">Questions regarding definitions or data to be reported to the SDC data collection can be directed to the Safer Care Victoria project team by </w:t>
      </w:r>
      <w:hyperlink r:id="rId22">
        <w:r w:rsidR="53853A38" w:rsidRPr="0CC65215">
          <w:rPr>
            <w:rStyle w:val="Hyperlink"/>
          </w:rPr>
          <w:t>email</w:t>
        </w:r>
      </w:hyperlink>
      <w:r w:rsidRPr="005F5917">
        <w:t xml:space="preserve"> </w:t>
      </w:r>
      <w:r w:rsidR="001A67A2" w:rsidRPr="005F5917">
        <w:t>&lt;dutyofcandour@health.vic.gov.au</w:t>
      </w:r>
      <w:r w:rsidR="00DE0058" w:rsidRPr="005F5917">
        <w:t>&gt;</w:t>
      </w:r>
      <w:r w:rsidR="009949A7" w:rsidRPr="005F5917">
        <w:t>.</w:t>
      </w:r>
    </w:p>
    <w:p w14:paraId="48FE890F" w14:textId="33C7ECD4" w:rsidR="00634C13" w:rsidRDefault="00634C13" w:rsidP="009949A7">
      <w:pPr>
        <w:pStyle w:val="SCVbody"/>
        <w:rPr>
          <w:rFonts w:cstheme="minorHAnsi"/>
          <w:lang w:val="en-US"/>
        </w:rPr>
      </w:pPr>
      <w:r w:rsidRPr="005F5917">
        <w:rPr>
          <w:rFonts w:cstheme="minorHAnsi"/>
          <w:lang w:val="en-US"/>
        </w:rPr>
        <w:t xml:space="preserve">Questions about accessing the HealthCollect portal can be emailed to the </w:t>
      </w:r>
      <w:hyperlink r:id="rId23" w:history="1">
        <w:r w:rsidRPr="005F5917">
          <w:rPr>
            <w:rStyle w:val="Hyperlink"/>
            <w:rFonts w:cstheme="minorHAnsi"/>
            <w:lang w:val="en-US"/>
          </w:rPr>
          <w:t>HDSS HelpDesk</w:t>
        </w:r>
      </w:hyperlink>
      <w:r w:rsidRPr="005F5917">
        <w:rPr>
          <w:rFonts w:cstheme="minorHAnsi"/>
          <w:lang w:val="en-US"/>
        </w:rPr>
        <w:t xml:space="preserve"> &lt;hdss.helpdesk@health.vic.gov.au&gt;</w:t>
      </w:r>
      <w:r w:rsidR="00D11BB6">
        <w:rPr>
          <w:rFonts w:cstheme="minorHAnsi"/>
          <w:lang w:val="en-US"/>
        </w:rPr>
        <w:t>.</w:t>
      </w:r>
    </w:p>
    <w:p w14:paraId="7CC3567A" w14:textId="77777777" w:rsidR="00D11BB6" w:rsidRDefault="00D11BB6" w:rsidP="009949A7">
      <w:pPr>
        <w:pStyle w:val="SCVbody"/>
        <w:rPr>
          <w:rFonts w:cstheme="minorHAnsi"/>
          <w:lang w:val="en-US"/>
        </w:rPr>
      </w:pPr>
    </w:p>
    <w:p w14:paraId="4DC99507" w14:textId="77777777" w:rsidR="00E46B42" w:rsidRDefault="00E46B42" w:rsidP="009949A7">
      <w:pPr>
        <w:pStyle w:val="SCVbody"/>
        <w:rPr>
          <w:rFonts w:cstheme="minorHAnsi"/>
          <w:lang w:val="en-US"/>
        </w:rPr>
      </w:pPr>
    </w:p>
    <w:tbl>
      <w:tblPr>
        <w:tblStyle w:val="SCVInformationTable"/>
        <w:tblW w:w="10206" w:type="dxa"/>
        <w:tblLook w:val="0600" w:firstRow="0" w:lastRow="0" w:firstColumn="0" w:lastColumn="0" w:noHBand="1" w:noVBand="1"/>
      </w:tblPr>
      <w:tblGrid>
        <w:gridCol w:w="10206"/>
      </w:tblGrid>
      <w:tr w:rsidR="009670DA" w:rsidRPr="00876171" w14:paraId="5F56A8FA" w14:textId="77777777">
        <w:trPr>
          <w:cantSplit/>
        </w:trPr>
        <w:tc>
          <w:tcPr>
            <w:tcW w:w="10206" w:type="dxa"/>
          </w:tcPr>
          <w:p w14:paraId="421483E6" w14:textId="77777777" w:rsidR="009670DA" w:rsidRPr="00876171" w:rsidRDefault="009670DA">
            <w:pPr>
              <w:pStyle w:val="SCVaccessibilitypara"/>
            </w:pPr>
            <w:r w:rsidRPr="00876171">
              <w:lastRenderedPageBreak/>
              <w:t xml:space="preserve">To receive this publication in an accessible format phone 03 9096 1384, </w:t>
            </w:r>
            <w:r w:rsidRPr="00876171">
              <w:br/>
              <w:t xml:space="preserve">using the National Relay Service 13 36 </w:t>
            </w:r>
            <w:r w:rsidRPr="00876171">
              <w:rPr>
                <w:spacing w:val="-2"/>
              </w:rPr>
              <w:t xml:space="preserve">77 if required, or </w:t>
            </w:r>
            <w:hyperlink r:id="rId24" w:history="1">
              <w:r w:rsidRPr="00876171">
                <w:rPr>
                  <w:rStyle w:val="Hyperlink"/>
                </w:rPr>
                <w:t>email Safer Care Victoria</w:t>
              </w:r>
            </w:hyperlink>
            <w:r w:rsidRPr="00876171">
              <w:t xml:space="preserve"> &lt;info@</w:t>
            </w:r>
            <w:hyperlink r:id="rId25" w:history="1">
              <w:r w:rsidRPr="00876171">
                <w:t>safercare.vic</w:t>
              </w:r>
            </w:hyperlink>
            <w:r w:rsidRPr="00876171">
              <w:t>.gov.au&gt;</w:t>
            </w:r>
          </w:p>
          <w:p w14:paraId="2814F4D5" w14:textId="77777777" w:rsidR="009670DA" w:rsidRPr="00876171" w:rsidRDefault="009670DA">
            <w:pPr>
              <w:pStyle w:val="SCVimprint"/>
            </w:pPr>
            <w:r w:rsidRPr="00876171">
              <w:t xml:space="preserve">Authorised and </w:t>
            </w:r>
            <w:r w:rsidRPr="00876171">
              <w:rPr>
                <w:spacing w:val="-2"/>
              </w:rPr>
              <w:t>published by the Victorian</w:t>
            </w:r>
            <w:r w:rsidRPr="00876171">
              <w:t xml:space="preserve"> Government, 1 Treasury Place, Melbourne.</w:t>
            </w:r>
          </w:p>
          <w:p w14:paraId="470166E5" w14:textId="1A69CF07" w:rsidR="009670DA" w:rsidRPr="00876171" w:rsidRDefault="009670DA">
            <w:pPr>
              <w:pStyle w:val="SCVimprint"/>
            </w:pPr>
            <w:r w:rsidRPr="00876171">
              <w:t xml:space="preserve">© State of Victoria, Australia, Safer Care Victoria, </w:t>
            </w:r>
            <w:r w:rsidR="00F76B67">
              <w:t>November</w:t>
            </w:r>
            <w:r w:rsidRPr="009670DA">
              <w:t xml:space="preserve"> 2023</w:t>
            </w:r>
          </w:p>
          <w:p w14:paraId="5EDFAF3B" w14:textId="77777777" w:rsidR="009670DA" w:rsidRPr="00876171" w:rsidRDefault="009670DA">
            <w:pPr>
              <w:pStyle w:val="SCVimprint"/>
            </w:pPr>
            <w:r w:rsidRPr="00876171">
              <w:t xml:space="preserve">Available at the </w:t>
            </w:r>
            <w:hyperlink r:id="rId26" w:history="1">
              <w:r w:rsidRPr="00876171">
                <w:rPr>
                  <w:rStyle w:val="Hyperlink"/>
                </w:rPr>
                <w:t>Safer Care Victoria website</w:t>
              </w:r>
            </w:hyperlink>
            <w:r w:rsidRPr="00876171">
              <w:t xml:space="preserve"> &lt;https://</w:t>
            </w:r>
            <w:hyperlink r:id="rId27" w:history="1">
              <w:r w:rsidRPr="00876171">
                <w:t>www.safercare.vic</w:t>
              </w:r>
            </w:hyperlink>
            <w:r w:rsidRPr="00876171">
              <w:t>.gov.au&gt;</w:t>
            </w:r>
          </w:p>
          <w:p w14:paraId="46525368" w14:textId="77777777" w:rsidR="009670DA" w:rsidRPr="00876171" w:rsidRDefault="009670DA">
            <w:pPr>
              <w:pStyle w:val="SCVbody"/>
              <w:jc w:val="right"/>
            </w:pPr>
            <w:r w:rsidRPr="00876171">
              <w:rPr>
                <w:noProof/>
              </w:rPr>
              <w:drawing>
                <wp:inline distT="0" distB="0" distL="0" distR="0" wp14:anchorId="1A9D63C0" wp14:editId="230889EE">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66EA5C53" w14:textId="77777777" w:rsidR="00D11BB6" w:rsidRPr="005F5917" w:rsidRDefault="00D11BB6" w:rsidP="009949A7">
      <w:pPr>
        <w:pStyle w:val="SCVbody"/>
        <w:rPr>
          <w:rFonts w:cstheme="minorHAnsi"/>
          <w:lang w:val="en-US"/>
        </w:rPr>
      </w:pPr>
    </w:p>
    <w:sectPr w:rsidR="00D11BB6" w:rsidRPr="005F5917" w:rsidSect="00A3151B">
      <w:headerReference w:type="default" r:id="rId29"/>
      <w:footerReference w:type="first" r:id="rId30"/>
      <w:pgSz w:w="11906" w:h="16838" w:code="9"/>
      <w:pgMar w:top="2438" w:right="737" w:bottom="1361" w:left="737" w:header="0"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F6DF" w14:textId="77777777" w:rsidR="00435500" w:rsidRDefault="00435500" w:rsidP="002D711A">
      <w:pPr>
        <w:spacing w:after="0" w:line="240" w:lineRule="auto"/>
      </w:pPr>
      <w:r>
        <w:separator/>
      </w:r>
    </w:p>
  </w:endnote>
  <w:endnote w:type="continuationSeparator" w:id="0">
    <w:p w14:paraId="15BB1789" w14:textId="77777777" w:rsidR="00435500" w:rsidRDefault="00435500" w:rsidP="002D711A">
      <w:pPr>
        <w:spacing w:after="0" w:line="240" w:lineRule="auto"/>
      </w:pPr>
      <w:r>
        <w:continuationSeparator/>
      </w:r>
    </w:p>
  </w:endnote>
  <w:endnote w:type="continuationNotice" w:id="1">
    <w:p w14:paraId="3DC7E0B0" w14:textId="77777777" w:rsidR="00435500" w:rsidRDefault="004355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75"/>
      <w:gridCol w:w="3475"/>
      <w:gridCol w:w="3475"/>
    </w:tblGrid>
    <w:tr w:rsidR="625C157C" w14:paraId="50EF9830" w14:textId="77777777" w:rsidTr="625C157C">
      <w:trPr>
        <w:trHeight w:val="300"/>
      </w:trPr>
      <w:tc>
        <w:tcPr>
          <w:tcW w:w="3475" w:type="dxa"/>
        </w:tcPr>
        <w:p w14:paraId="1CF63EBE" w14:textId="26744FD5" w:rsidR="625C157C" w:rsidRDefault="625C157C" w:rsidP="625C157C">
          <w:pPr>
            <w:pStyle w:val="Header"/>
            <w:ind w:left="-115"/>
          </w:pPr>
        </w:p>
      </w:tc>
      <w:tc>
        <w:tcPr>
          <w:tcW w:w="3475" w:type="dxa"/>
        </w:tcPr>
        <w:p w14:paraId="7432AA8D" w14:textId="0E91C9B0" w:rsidR="625C157C" w:rsidRDefault="625C157C" w:rsidP="625C157C">
          <w:pPr>
            <w:pStyle w:val="Header"/>
            <w:jc w:val="center"/>
          </w:pPr>
        </w:p>
      </w:tc>
      <w:tc>
        <w:tcPr>
          <w:tcW w:w="3475" w:type="dxa"/>
        </w:tcPr>
        <w:p w14:paraId="47723EAB" w14:textId="0FA276AA" w:rsidR="625C157C" w:rsidRDefault="625C157C" w:rsidP="625C157C">
          <w:pPr>
            <w:pStyle w:val="Header"/>
            <w:ind w:right="-115"/>
            <w:jc w:val="right"/>
          </w:pPr>
        </w:p>
      </w:tc>
    </w:tr>
  </w:tbl>
  <w:p w14:paraId="13E32A9A" w14:textId="573AAD2B" w:rsidR="625C157C" w:rsidRDefault="625C157C" w:rsidP="625C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45EA" w14:textId="77777777" w:rsidR="00435500" w:rsidRDefault="00435500" w:rsidP="00E33E08">
      <w:pPr>
        <w:spacing w:before="0" w:after="0" w:line="240" w:lineRule="auto"/>
      </w:pPr>
    </w:p>
  </w:footnote>
  <w:footnote w:type="continuationSeparator" w:id="0">
    <w:p w14:paraId="30D31050" w14:textId="77777777" w:rsidR="00435500" w:rsidRDefault="00435500" w:rsidP="00E33E08">
      <w:pPr>
        <w:spacing w:before="0" w:after="0" w:line="240" w:lineRule="auto"/>
      </w:pPr>
    </w:p>
  </w:footnote>
  <w:footnote w:type="continuationNotice" w:id="1">
    <w:p w14:paraId="38E2FBB9" w14:textId="77777777" w:rsidR="00435500" w:rsidRDefault="004355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D90A" w14:textId="05FFDCB3" w:rsidR="009C2953" w:rsidRDefault="009C2953">
    <w:pPr>
      <w:pStyle w:val="Header"/>
    </w:pPr>
    <w:r>
      <w:rPr>
        <w:noProof/>
      </w:rPr>
      <w:drawing>
        <wp:anchor distT="0" distB="0" distL="114300" distR="114300" simplePos="0" relativeHeight="251658240" behindDoc="1" locked="1" layoutInCell="1" allowOverlap="1" wp14:anchorId="43C26B89" wp14:editId="3C1AF88E">
          <wp:simplePos x="0" y="0"/>
          <wp:positionH relativeFrom="page">
            <wp:posOffset>0</wp:posOffset>
          </wp:positionH>
          <wp:positionV relativeFrom="page">
            <wp:posOffset>0</wp:posOffset>
          </wp:positionV>
          <wp:extent cx="1522730" cy="1205865"/>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73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219"/>
    <w:multiLevelType w:val="multilevel"/>
    <w:tmpl w:val="108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84D9D"/>
    <w:multiLevelType w:val="multilevel"/>
    <w:tmpl w:val="79D66B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BB0749"/>
    <w:multiLevelType w:val="multilevel"/>
    <w:tmpl w:val="3366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44D95"/>
    <w:multiLevelType w:val="multilevel"/>
    <w:tmpl w:val="2B4C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3BF076D"/>
    <w:multiLevelType w:val="multilevel"/>
    <w:tmpl w:val="2DFC6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96BCA"/>
    <w:multiLevelType w:val="hybridMultilevel"/>
    <w:tmpl w:val="DCA0A0B0"/>
    <w:lvl w:ilvl="0" w:tplc="23105E66">
      <w:start w:val="2"/>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B30E10"/>
    <w:multiLevelType w:val="multilevel"/>
    <w:tmpl w:val="6490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157385"/>
    <w:multiLevelType w:val="multilevel"/>
    <w:tmpl w:val="0CCC5B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FF91E55"/>
    <w:multiLevelType w:val="hybridMultilevel"/>
    <w:tmpl w:val="C256DDA4"/>
    <w:lvl w:ilvl="0" w:tplc="18444936">
      <w:start w:val="1"/>
      <w:numFmt w:val="lowerLetter"/>
      <w:lvlText w:val="%1)"/>
      <w:lvlJc w:val="left"/>
      <w:pPr>
        <w:ind w:left="1080" w:hanging="360"/>
      </w:pPr>
    </w:lvl>
    <w:lvl w:ilvl="1" w:tplc="13AE6F84" w:tentative="1">
      <w:start w:val="1"/>
      <w:numFmt w:val="lowerLetter"/>
      <w:lvlText w:val="%2."/>
      <w:lvlJc w:val="left"/>
      <w:pPr>
        <w:ind w:left="1800" w:hanging="360"/>
      </w:pPr>
    </w:lvl>
    <w:lvl w:ilvl="2" w:tplc="A0D69904" w:tentative="1">
      <w:start w:val="1"/>
      <w:numFmt w:val="lowerRoman"/>
      <w:lvlText w:val="%3."/>
      <w:lvlJc w:val="right"/>
      <w:pPr>
        <w:ind w:left="2520" w:hanging="180"/>
      </w:pPr>
    </w:lvl>
    <w:lvl w:ilvl="3" w:tplc="A904AA2C" w:tentative="1">
      <w:start w:val="1"/>
      <w:numFmt w:val="decimal"/>
      <w:lvlText w:val="%4."/>
      <w:lvlJc w:val="left"/>
      <w:pPr>
        <w:ind w:left="3240" w:hanging="360"/>
      </w:pPr>
    </w:lvl>
    <w:lvl w:ilvl="4" w:tplc="E22A10E2" w:tentative="1">
      <w:start w:val="1"/>
      <w:numFmt w:val="lowerLetter"/>
      <w:lvlText w:val="%5."/>
      <w:lvlJc w:val="left"/>
      <w:pPr>
        <w:ind w:left="3960" w:hanging="360"/>
      </w:pPr>
    </w:lvl>
    <w:lvl w:ilvl="5" w:tplc="03D668B6" w:tentative="1">
      <w:start w:val="1"/>
      <w:numFmt w:val="lowerRoman"/>
      <w:lvlText w:val="%6."/>
      <w:lvlJc w:val="right"/>
      <w:pPr>
        <w:ind w:left="4680" w:hanging="180"/>
      </w:pPr>
    </w:lvl>
    <w:lvl w:ilvl="6" w:tplc="AAB0CB28" w:tentative="1">
      <w:start w:val="1"/>
      <w:numFmt w:val="decimal"/>
      <w:lvlText w:val="%7."/>
      <w:lvlJc w:val="left"/>
      <w:pPr>
        <w:ind w:left="5400" w:hanging="360"/>
      </w:pPr>
    </w:lvl>
    <w:lvl w:ilvl="7" w:tplc="50589B5E" w:tentative="1">
      <w:start w:val="1"/>
      <w:numFmt w:val="lowerLetter"/>
      <w:lvlText w:val="%8."/>
      <w:lvlJc w:val="left"/>
      <w:pPr>
        <w:ind w:left="6120" w:hanging="360"/>
      </w:pPr>
    </w:lvl>
    <w:lvl w:ilvl="8" w:tplc="0F464178" w:tentative="1">
      <w:start w:val="1"/>
      <w:numFmt w:val="lowerRoman"/>
      <w:lvlText w:val="%9."/>
      <w:lvlJc w:val="right"/>
      <w:pPr>
        <w:ind w:left="6840" w:hanging="180"/>
      </w:pPr>
    </w:lvl>
  </w:abstractNum>
  <w:abstractNum w:abstractNumId="10" w15:restartNumberingAfterBreak="0">
    <w:nsid w:val="30BA1B02"/>
    <w:multiLevelType w:val="hybridMultilevel"/>
    <w:tmpl w:val="B18C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63FFE"/>
    <w:multiLevelType w:val="hybridMultilevel"/>
    <w:tmpl w:val="5F9EB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2117FF"/>
    <w:multiLevelType w:val="multilevel"/>
    <w:tmpl w:val="6A5E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4" w15:restartNumberingAfterBreak="0">
    <w:nsid w:val="3A156817"/>
    <w:multiLevelType w:val="multilevel"/>
    <w:tmpl w:val="2362CE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6" w15:restartNumberingAfterBreak="0">
    <w:nsid w:val="406B086D"/>
    <w:multiLevelType w:val="multilevel"/>
    <w:tmpl w:val="2362CE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7E592F"/>
    <w:multiLevelType w:val="hybridMultilevel"/>
    <w:tmpl w:val="6694A3EC"/>
    <w:lvl w:ilvl="0" w:tplc="23105E66">
      <w:start w:val="2"/>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C255DC"/>
    <w:multiLevelType w:val="multilevel"/>
    <w:tmpl w:val="206A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1" w15:restartNumberingAfterBreak="0">
    <w:nsid w:val="5ACF09D5"/>
    <w:multiLevelType w:val="hybridMultilevel"/>
    <w:tmpl w:val="E3362162"/>
    <w:lvl w:ilvl="0" w:tplc="23105E66">
      <w:start w:val="2"/>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4520A9"/>
    <w:multiLevelType w:val="multilevel"/>
    <w:tmpl w:val="49F2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D77350"/>
    <w:multiLevelType w:val="multilevel"/>
    <w:tmpl w:val="354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6" w15:restartNumberingAfterBreak="0">
    <w:nsid w:val="709D0921"/>
    <w:multiLevelType w:val="multilevel"/>
    <w:tmpl w:val="2362CE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28213F"/>
    <w:multiLevelType w:val="multilevel"/>
    <w:tmpl w:val="4538D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73D9B"/>
    <w:multiLevelType w:val="hybridMultilevel"/>
    <w:tmpl w:val="0448A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B0260A"/>
    <w:multiLevelType w:val="hybridMultilevel"/>
    <w:tmpl w:val="F700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235044578">
    <w:abstractNumId w:val="24"/>
  </w:num>
  <w:num w:numId="2" w16cid:durableId="1539314929">
    <w:abstractNumId w:val="15"/>
  </w:num>
  <w:num w:numId="3" w16cid:durableId="1205173939">
    <w:abstractNumId w:val="25"/>
  </w:num>
  <w:num w:numId="4" w16cid:durableId="421100566">
    <w:abstractNumId w:val="20"/>
  </w:num>
  <w:num w:numId="5" w16cid:durableId="135416986">
    <w:abstractNumId w:val="19"/>
  </w:num>
  <w:num w:numId="6" w16cid:durableId="899947116">
    <w:abstractNumId w:val="30"/>
  </w:num>
  <w:num w:numId="7" w16cid:durableId="1265578872">
    <w:abstractNumId w:val="4"/>
  </w:num>
  <w:num w:numId="8" w16cid:durableId="128941359">
    <w:abstractNumId w:val="28"/>
  </w:num>
  <w:num w:numId="9" w16cid:durableId="1291211039">
    <w:abstractNumId w:val="29"/>
  </w:num>
  <w:num w:numId="10" w16cid:durableId="662126066">
    <w:abstractNumId w:val="24"/>
  </w:num>
  <w:num w:numId="11" w16cid:durableId="922300686">
    <w:abstractNumId w:val="10"/>
  </w:num>
  <w:num w:numId="12" w16cid:durableId="161243426">
    <w:abstractNumId w:val="16"/>
  </w:num>
  <w:num w:numId="13" w16cid:durableId="1536579127">
    <w:abstractNumId w:val="5"/>
  </w:num>
  <w:num w:numId="14" w16cid:durableId="1465582189">
    <w:abstractNumId w:val="11"/>
  </w:num>
  <w:num w:numId="15" w16cid:durableId="2029944650">
    <w:abstractNumId w:val="14"/>
  </w:num>
  <w:num w:numId="16" w16cid:durableId="60452056">
    <w:abstractNumId w:val="0"/>
  </w:num>
  <w:num w:numId="17" w16cid:durableId="1807893550">
    <w:abstractNumId w:val="26"/>
  </w:num>
  <w:num w:numId="18" w16cid:durableId="1612395710">
    <w:abstractNumId w:val="2"/>
  </w:num>
  <w:num w:numId="19" w16cid:durableId="1271430692">
    <w:abstractNumId w:val="7"/>
  </w:num>
  <w:num w:numId="20" w16cid:durableId="1846280911">
    <w:abstractNumId w:val="1"/>
  </w:num>
  <w:num w:numId="21" w16cid:durableId="1584752158">
    <w:abstractNumId w:val="27"/>
  </w:num>
  <w:num w:numId="22" w16cid:durableId="2096851881">
    <w:abstractNumId w:val="18"/>
  </w:num>
  <w:num w:numId="23" w16cid:durableId="119420198">
    <w:abstractNumId w:val="23"/>
  </w:num>
  <w:num w:numId="24" w16cid:durableId="1062217874">
    <w:abstractNumId w:val="22"/>
  </w:num>
  <w:num w:numId="25" w16cid:durableId="625893694">
    <w:abstractNumId w:val="12"/>
  </w:num>
  <w:num w:numId="26" w16cid:durableId="1819759883">
    <w:abstractNumId w:val="17"/>
  </w:num>
  <w:num w:numId="27" w16cid:durableId="207885431">
    <w:abstractNumId w:val="21"/>
  </w:num>
  <w:num w:numId="28" w16cid:durableId="900287640">
    <w:abstractNumId w:val="6"/>
  </w:num>
  <w:num w:numId="29" w16cid:durableId="1056197566">
    <w:abstractNumId w:val="3"/>
  </w:num>
  <w:num w:numId="30" w16cid:durableId="219951102">
    <w:abstractNumId w:val="8"/>
  </w:num>
  <w:num w:numId="31" w16cid:durableId="19993843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A5"/>
    <w:rsid w:val="00002920"/>
    <w:rsid w:val="00012F6F"/>
    <w:rsid w:val="00014213"/>
    <w:rsid w:val="00014B55"/>
    <w:rsid w:val="00017402"/>
    <w:rsid w:val="00017C34"/>
    <w:rsid w:val="00020E3E"/>
    <w:rsid w:val="00020FFA"/>
    <w:rsid w:val="0002328B"/>
    <w:rsid w:val="00023BF3"/>
    <w:rsid w:val="00024184"/>
    <w:rsid w:val="00026811"/>
    <w:rsid w:val="00034165"/>
    <w:rsid w:val="0004185E"/>
    <w:rsid w:val="0004698F"/>
    <w:rsid w:val="000477DC"/>
    <w:rsid w:val="00056988"/>
    <w:rsid w:val="00057062"/>
    <w:rsid w:val="00057D73"/>
    <w:rsid w:val="00067B2C"/>
    <w:rsid w:val="00072279"/>
    <w:rsid w:val="00075895"/>
    <w:rsid w:val="00075AF3"/>
    <w:rsid w:val="00075E6C"/>
    <w:rsid w:val="00081C12"/>
    <w:rsid w:val="00083A29"/>
    <w:rsid w:val="00087D42"/>
    <w:rsid w:val="000925E5"/>
    <w:rsid w:val="00096C79"/>
    <w:rsid w:val="000977BD"/>
    <w:rsid w:val="000A2620"/>
    <w:rsid w:val="000B23CB"/>
    <w:rsid w:val="000B29AD"/>
    <w:rsid w:val="000C08C8"/>
    <w:rsid w:val="000C4446"/>
    <w:rsid w:val="000C4902"/>
    <w:rsid w:val="000C6372"/>
    <w:rsid w:val="000C6C4B"/>
    <w:rsid w:val="000D0B52"/>
    <w:rsid w:val="000D1042"/>
    <w:rsid w:val="000D28F7"/>
    <w:rsid w:val="000D7841"/>
    <w:rsid w:val="000E392D"/>
    <w:rsid w:val="000E39B6"/>
    <w:rsid w:val="000E3D05"/>
    <w:rsid w:val="000F4288"/>
    <w:rsid w:val="000F7165"/>
    <w:rsid w:val="000F7B0C"/>
    <w:rsid w:val="00100361"/>
    <w:rsid w:val="00102379"/>
    <w:rsid w:val="00103722"/>
    <w:rsid w:val="00105EB8"/>
    <w:rsid w:val="001065D6"/>
    <w:rsid w:val="001068D5"/>
    <w:rsid w:val="0011204C"/>
    <w:rsid w:val="00114D7D"/>
    <w:rsid w:val="00121252"/>
    <w:rsid w:val="00124609"/>
    <w:rsid w:val="001254CE"/>
    <w:rsid w:val="0013753B"/>
    <w:rsid w:val="001422CC"/>
    <w:rsid w:val="00142CC3"/>
    <w:rsid w:val="00145346"/>
    <w:rsid w:val="00150333"/>
    <w:rsid w:val="0015092E"/>
    <w:rsid w:val="001617B6"/>
    <w:rsid w:val="00164D95"/>
    <w:rsid w:val="001657E8"/>
    <w:rsid w:val="00165E66"/>
    <w:rsid w:val="001745A8"/>
    <w:rsid w:val="00174F38"/>
    <w:rsid w:val="00175C17"/>
    <w:rsid w:val="00177048"/>
    <w:rsid w:val="001849FD"/>
    <w:rsid w:val="0019351B"/>
    <w:rsid w:val="00194B79"/>
    <w:rsid w:val="00196143"/>
    <w:rsid w:val="0019637D"/>
    <w:rsid w:val="001A24FC"/>
    <w:rsid w:val="001A3454"/>
    <w:rsid w:val="001A3C4F"/>
    <w:rsid w:val="001A67A2"/>
    <w:rsid w:val="001B65D4"/>
    <w:rsid w:val="001C7BAE"/>
    <w:rsid w:val="001D256F"/>
    <w:rsid w:val="001E3058"/>
    <w:rsid w:val="001E31FA"/>
    <w:rsid w:val="001E48F9"/>
    <w:rsid w:val="001E64F6"/>
    <w:rsid w:val="001E69BC"/>
    <w:rsid w:val="001E7AEB"/>
    <w:rsid w:val="00204B82"/>
    <w:rsid w:val="00205C68"/>
    <w:rsid w:val="002065C6"/>
    <w:rsid w:val="00206F7A"/>
    <w:rsid w:val="00210997"/>
    <w:rsid w:val="00211C43"/>
    <w:rsid w:val="00221C19"/>
    <w:rsid w:val="00222BEB"/>
    <w:rsid w:val="00223217"/>
    <w:rsid w:val="00223CA8"/>
    <w:rsid w:val="002244EE"/>
    <w:rsid w:val="00225E60"/>
    <w:rsid w:val="00226C76"/>
    <w:rsid w:val="00230BBB"/>
    <w:rsid w:val="0023202C"/>
    <w:rsid w:val="00232BAE"/>
    <w:rsid w:val="00234253"/>
    <w:rsid w:val="00234619"/>
    <w:rsid w:val="002374EC"/>
    <w:rsid w:val="00245043"/>
    <w:rsid w:val="00246096"/>
    <w:rsid w:val="0025578B"/>
    <w:rsid w:val="002570BD"/>
    <w:rsid w:val="0026028E"/>
    <w:rsid w:val="00265B9D"/>
    <w:rsid w:val="00266374"/>
    <w:rsid w:val="00267D39"/>
    <w:rsid w:val="002719C0"/>
    <w:rsid w:val="00272EC4"/>
    <w:rsid w:val="00276717"/>
    <w:rsid w:val="0027775E"/>
    <w:rsid w:val="00282118"/>
    <w:rsid w:val="00284FA2"/>
    <w:rsid w:val="00285078"/>
    <w:rsid w:val="00286657"/>
    <w:rsid w:val="002900BA"/>
    <w:rsid w:val="00292D36"/>
    <w:rsid w:val="00293012"/>
    <w:rsid w:val="002934BE"/>
    <w:rsid w:val="00294A5A"/>
    <w:rsid w:val="00297281"/>
    <w:rsid w:val="00297A47"/>
    <w:rsid w:val="002A4615"/>
    <w:rsid w:val="002A4AD5"/>
    <w:rsid w:val="002A5891"/>
    <w:rsid w:val="002A6FFA"/>
    <w:rsid w:val="002B03F1"/>
    <w:rsid w:val="002B5E2B"/>
    <w:rsid w:val="002B6DAA"/>
    <w:rsid w:val="002B7C73"/>
    <w:rsid w:val="002C1894"/>
    <w:rsid w:val="002C462C"/>
    <w:rsid w:val="002D1508"/>
    <w:rsid w:val="002D187C"/>
    <w:rsid w:val="002D6F3C"/>
    <w:rsid w:val="002D70F7"/>
    <w:rsid w:val="002D711A"/>
    <w:rsid w:val="002D7336"/>
    <w:rsid w:val="002E3396"/>
    <w:rsid w:val="002E7EA5"/>
    <w:rsid w:val="002F2953"/>
    <w:rsid w:val="002F301A"/>
    <w:rsid w:val="002F4173"/>
    <w:rsid w:val="00303E66"/>
    <w:rsid w:val="00304838"/>
    <w:rsid w:val="0031149C"/>
    <w:rsid w:val="00311FF5"/>
    <w:rsid w:val="003146BE"/>
    <w:rsid w:val="003150F6"/>
    <w:rsid w:val="00315B8F"/>
    <w:rsid w:val="00316FC9"/>
    <w:rsid w:val="0032192B"/>
    <w:rsid w:val="00322273"/>
    <w:rsid w:val="00325E21"/>
    <w:rsid w:val="003276FE"/>
    <w:rsid w:val="00330164"/>
    <w:rsid w:val="0033301B"/>
    <w:rsid w:val="00333447"/>
    <w:rsid w:val="003442C2"/>
    <w:rsid w:val="00345B45"/>
    <w:rsid w:val="00345F0B"/>
    <w:rsid w:val="00350441"/>
    <w:rsid w:val="00350F4B"/>
    <w:rsid w:val="00354D98"/>
    <w:rsid w:val="00361222"/>
    <w:rsid w:val="003644A9"/>
    <w:rsid w:val="00365968"/>
    <w:rsid w:val="0036778F"/>
    <w:rsid w:val="00385D03"/>
    <w:rsid w:val="00385FF8"/>
    <w:rsid w:val="0038771C"/>
    <w:rsid w:val="003A290F"/>
    <w:rsid w:val="003A430B"/>
    <w:rsid w:val="003A4A61"/>
    <w:rsid w:val="003A541A"/>
    <w:rsid w:val="003A6923"/>
    <w:rsid w:val="003B5B2E"/>
    <w:rsid w:val="003C0EEB"/>
    <w:rsid w:val="003C2C67"/>
    <w:rsid w:val="003C2D4C"/>
    <w:rsid w:val="003C2EC2"/>
    <w:rsid w:val="003C3B3A"/>
    <w:rsid w:val="003C5BA4"/>
    <w:rsid w:val="003D0598"/>
    <w:rsid w:val="003D1161"/>
    <w:rsid w:val="003E0F7C"/>
    <w:rsid w:val="003E3E26"/>
    <w:rsid w:val="003F1295"/>
    <w:rsid w:val="003F3328"/>
    <w:rsid w:val="003F396A"/>
    <w:rsid w:val="003F5102"/>
    <w:rsid w:val="003F76FC"/>
    <w:rsid w:val="004002EB"/>
    <w:rsid w:val="00404C48"/>
    <w:rsid w:val="00407A79"/>
    <w:rsid w:val="004108A6"/>
    <w:rsid w:val="004123BE"/>
    <w:rsid w:val="0041350D"/>
    <w:rsid w:val="004152F9"/>
    <w:rsid w:val="00422DDC"/>
    <w:rsid w:val="004231B5"/>
    <w:rsid w:val="004236C8"/>
    <w:rsid w:val="00423927"/>
    <w:rsid w:val="00427681"/>
    <w:rsid w:val="00433DB7"/>
    <w:rsid w:val="00434CFE"/>
    <w:rsid w:val="00435500"/>
    <w:rsid w:val="0043696B"/>
    <w:rsid w:val="00441016"/>
    <w:rsid w:val="004432F5"/>
    <w:rsid w:val="004472C6"/>
    <w:rsid w:val="00453750"/>
    <w:rsid w:val="00453933"/>
    <w:rsid w:val="00453BC9"/>
    <w:rsid w:val="00456941"/>
    <w:rsid w:val="00457053"/>
    <w:rsid w:val="00463C5A"/>
    <w:rsid w:val="00464EAB"/>
    <w:rsid w:val="00465949"/>
    <w:rsid w:val="00466228"/>
    <w:rsid w:val="00466DC9"/>
    <w:rsid w:val="0046762D"/>
    <w:rsid w:val="004702EA"/>
    <w:rsid w:val="0047597E"/>
    <w:rsid w:val="004777DB"/>
    <w:rsid w:val="0048259C"/>
    <w:rsid w:val="00482D02"/>
    <w:rsid w:val="00484326"/>
    <w:rsid w:val="004902D8"/>
    <w:rsid w:val="00490369"/>
    <w:rsid w:val="004966E4"/>
    <w:rsid w:val="00497157"/>
    <w:rsid w:val="00497EB0"/>
    <w:rsid w:val="004A52D0"/>
    <w:rsid w:val="004A7519"/>
    <w:rsid w:val="004B64B1"/>
    <w:rsid w:val="004B77E9"/>
    <w:rsid w:val="004C0149"/>
    <w:rsid w:val="004C1567"/>
    <w:rsid w:val="004C61C2"/>
    <w:rsid w:val="004C7BCC"/>
    <w:rsid w:val="004D01AC"/>
    <w:rsid w:val="004D3518"/>
    <w:rsid w:val="004D5F7B"/>
    <w:rsid w:val="004D62D6"/>
    <w:rsid w:val="004D6898"/>
    <w:rsid w:val="004D7778"/>
    <w:rsid w:val="004D7A55"/>
    <w:rsid w:val="004D7FF7"/>
    <w:rsid w:val="004E0327"/>
    <w:rsid w:val="004E2C8A"/>
    <w:rsid w:val="004E38B7"/>
    <w:rsid w:val="004E5825"/>
    <w:rsid w:val="004F2019"/>
    <w:rsid w:val="004F34D7"/>
    <w:rsid w:val="004F3F4E"/>
    <w:rsid w:val="00501DA9"/>
    <w:rsid w:val="005028A9"/>
    <w:rsid w:val="005079B2"/>
    <w:rsid w:val="00510167"/>
    <w:rsid w:val="00510A18"/>
    <w:rsid w:val="00511E12"/>
    <w:rsid w:val="00513E86"/>
    <w:rsid w:val="00515738"/>
    <w:rsid w:val="00515958"/>
    <w:rsid w:val="00515BBB"/>
    <w:rsid w:val="00521CA5"/>
    <w:rsid w:val="00523E77"/>
    <w:rsid w:val="00526EF3"/>
    <w:rsid w:val="005306A2"/>
    <w:rsid w:val="0053416C"/>
    <w:rsid w:val="005403FB"/>
    <w:rsid w:val="005416D7"/>
    <w:rsid w:val="00541C2F"/>
    <w:rsid w:val="005450D9"/>
    <w:rsid w:val="00547A71"/>
    <w:rsid w:val="00552DE4"/>
    <w:rsid w:val="00557564"/>
    <w:rsid w:val="00560C4E"/>
    <w:rsid w:val="00561474"/>
    <w:rsid w:val="005619BB"/>
    <w:rsid w:val="00563527"/>
    <w:rsid w:val="00564F31"/>
    <w:rsid w:val="00565331"/>
    <w:rsid w:val="00571100"/>
    <w:rsid w:val="0057407A"/>
    <w:rsid w:val="00576382"/>
    <w:rsid w:val="00577B07"/>
    <w:rsid w:val="0058124E"/>
    <w:rsid w:val="005848A5"/>
    <w:rsid w:val="005875A3"/>
    <w:rsid w:val="00587916"/>
    <w:rsid w:val="0059073A"/>
    <w:rsid w:val="00591862"/>
    <w:rsid w:val="00593A04"/>
    <w:rsid w:val="005953EA"/>
    <w:rsid w:val="00597486"/>
    <w:rsid w:val="005A3416"/>
    <w:rsid w:val="005A6FE4"/>
    <w:rsid w:val="005B1AE9"/>
    <w:rsid w:val="005B27FE"/>
    <w:rsid w:val="005B76DF"/>
    <w:rsid w:val="005B79CB"/>
    <w:rsid w:val="005C04F0"/>
    <w:rsid w:val="005C0E91"/>
    <w:rsid w:val="005C12A8"/>
    <w:rsid w:val="005C7862"/>
    <w:rsid w:val="005D17C1"/>
    <w:rsid w:val="005D382A"/>
    <w:rsid w:val="005D7398"/>
    <w:rsid w:val="005E08D7"/>
    <w:rsid w:val="005E0EDE"/>
    <w:rsid w:val="005E4C16"/>
    <w:rsid w:val="005E57E1"/>
    <w:rsid w:val="005E5947"/>
    <w:rsid w:val="005F5917"/>
    <w:rsid w:val="005F61DF"/>
    <w:rsid w:val="0060163A"/>
    <w:rsid w:val="006023F9"/>
    <w:rsid w:val="00603683"/>
    <w:rsid w:val="00610559"/>
    <w:rsid w:val="0061091B"/>
    <w:rsid w:val="00613C69"/>
    <w:rsid w:val="00614076"/>
    <w:rsid w:val="00616087"/>
    <w:rsid w:val="006166FD"/>
    <w:rsid w:val="00617BB5"/>
    <w:rsid w:val="006206BB"/>
    <w:rsid w:val="006208C4"/>
    <w:rsid w:val="0062153D"/>
    <w:rsid w:val="00621D6D"/>
    <w:rsid w:val="00632869"/>
    <w:rsid w:val="006328D9"/>
    <w:rsid w:val="00632F2E"/>
    <w:rsid w:val="006332F6"/>
    <w:rsid w:val="00633C69"/>
    <w:rsid w:val="00634C13"/>
    <w:rsid w:val="006413F2"/>
    <w:rsid w:val="00645E9B"/>
    <w:rsid w:val="00645F34"/>
    <w:rsid w:val="006519C0"/>
    <w:rsid w:val="006534B2"/>
    <w:rsid w:val="00653B3F"/>
    <w:rsid w:val="0065615D"/>
    <w:rsid w:val="006565F1"/>
    <w:rsid w:val="00657011"/>
    <w:rsid w:val="0065705A"/>
    <w:rsid w:val="00662CEE"/>
    <w:rsid w:val="006650B5"/>
    <w:rsid w:val="006651B1"/>
    <w:rsid w:val="00665778"/>
    <w:rsid w:val="00671E44"/>
    <w:rsid w:val="006740DB"/>
    <w:rsid w:val="00676E5F"/>
    <w:rsid w:val="00685FAB"/>
    <w:rsid w:val="00686591"/>
    <w:rsid w:val="006945CA"/>
    <w:rsid w:val="00697F2B"/>
    <w:rsid w:val="006A065C"/>
    <w:rsid w:val="006A3309"/>
    <w:rsid w:val="006A39F1"/>
    <w:rsid w:val="006A3A5A"/>
    <w:rsid w:val="006A3ED5"/>
    <w:rsid w:val="006A5231"/>
    <w:rsid w:val="006A5B34"/>
    <w:rsid w:val="006B337A"/>
    <w:rsid w:val="006B34E4"/>
    <w:rsid w:val="006C107B"/>
    <w:rsid w:val="006C77A9"/>
    <w:rsid w:val="006D4720"/>
    <w:rsid w:val="006D5B85"/>
    <w:rsid w:val="006E07A9"/>
    <w:rsid w:val="006E1E92"/>
    <w:rsid w:val="006E6CDF"/>
    <w:rsid w:val="006E7C80"/>
    <w:rsid w:val="006F2175"/>
    <w:rsid w:val="006F37F2"/>
    <w:rsid w:val="006F6693"/>
    <w:rsid w:val="007014AF"/>
    <w:rsid w:val="00704EAC"/>
    <w:rsid w:val="00707E4F"/>
    <w:rsid w:val="00707FE8"/>
    <w:rsid w:val="00714AAE"/>
    <w:rsid w:val="007226CA"/>
    <w:rsid w:val="00724962"/>
    <w:rsid w:val="00724A0F"/>
    <w:rsid w:val="0072504E"/>
    <w:rsid w:val="00726D2F"/>
    <w:rsid w:val="007337D4"/>
    <w:rsid w:val="00736732"/>
    <w:rsid w:val="00740019"/>
    <w:rsid w:val="00741220"/>
    <w:rsid w:val="007432F9"/>
    <w:rsid w:val="00744B40"/>
    <w:rsid w:val="00746426"/>
    <w:rsid w:val="00747504"/>
    <w:rsid w:val="00747C87"/>
    <w:rsid w:val="0075015C"/>
    <w:rsid w:val="00750BF9"/>
    <w:rsid w:val="00750CBE"/>
    <w:rsid w:val="00761F18"/>
    <w:rsid w:val="00763BCC"/>
    <w:rsid w:val="007650D2"/>
    <w:rsid w:val="00765FC5"/>
    <w:rsid w:val="0076658B"/>
    <w:rsid w:val="00766B5A"/>
    <w:rsid w:val="00767B8C"/>
    <w:rsid w:val="00767BC5"/>
    <w:rsid w:val="00770009"/>
    <w:rsid w:val="00772209"/>
    <w:rsid w:val="007770A5"/>
    <w:rsid w:val="00777ABD"/>
    <w:rsid w:val="007834F2"/>
    <w:rsid w:val="0078432C"/>
    <w:rsid w:val="0078474C"/>
    <w:rsid w:val="00791020"/>
    <w:rsid w:val="00794B82"/>
    <w:rsid w:val="00795AEC"/>
    <w:rsid w:val="00796484"/>
    <w:rsid w:val="007A04D2"/>
    <w:rsid w:val="007A5F82"/>
    <w:rsid w:val="007A6AF7"/>
    <w:rsid w:val="007A7489"/>
    <w:rsid w:val="007B0820"/>
    <w:rsid w:val="007B18A0"/>
    <w:rsid w:val="007B19B7"/>
    <w:rsid w:val="007B55C7"/>
    <w:rsid w:val="007B5CD2"/>
    <w:rsid w:val="007B70E1"/>
    <w:rsid w:val="007D41F4"/>
    <w:rsid w:val="007D5F9E"/>
    <w:rsid w:val="007D6713"/>
    <w:rsid w:val="007D6B5D"/>
    <w:rsid w:val="007E098F"/>
    <w:rsid w:val="007E3BA2"/>
    <w:rsid w:val="007F0644"/>
    <w:rsid w:val="007F0D76"/>
    <w:rsid w:val="007F1A4C"/>
    <w:rsid w:val="007F38D3"/>
    <w:rsid w:val="007F5662"/>
    <w:rsid w:val="007F723F"/>
    <w:rsid w:val="008022C3"/>
    <w:rsid w:val="008022F6"/>
    <w:rsid w:val="008041E6"/>
    <w:rsid w:val="008065D2"/>
    <w:rsid w:val="00815A8A"/>
    <w:rsid w:val="0082194C"/>
    <w:rsid w:val="008222FF"/>
    <w:rsid w:val="0082344F"/>
    <w:rsid w:val="008241FF"/>
    <w:rsid w:val="00827454"/>
    <w:rsid w:val="0083539D"/>
    <w:rsid w:val="00835D66"/>
    <w:rsid w:val="00836CC9"/>
    <w:rsid w:val="008411E9"/>
    <w:rsid w:val="00841617"/>
    <w:rsid w:val="008417E8"/>
    <w:rsid w:val="0084200F"/>
    <w:rsid w:val="00843B2C"/>
    <w:rsid w:val="00844F16"/>
    <w:rsid w:val="00847745"/>
    <w:rsid w:val="00851227"/>
    <w:rsid w:val="0085153F"/>
    <w:rsid w:val="00852BDF"/>
    <w:rsid w:val="00855FF9"/>
    <w:rsid w:val="00857C94"/>
    <w:rsid w:val="0086277A"/>
    <w:rsid w:val="00865A5B"/>
    <w:rsid w:val="008668A8"/>
    <w:rsid w:val="00867E02"/>
    <w:rsid w:val="008719DF"/>
    <w:rsid w:val="00876171"/>
    <w:rsid w:val="008768AD"/>
    <w:rsid w:val="00880AC4"/>
    <w:rsid w:val="00883F4B"/>
    <w:rsid w:val="0088649A"/>
    <w:rsid w:val="00887237"/>
    <w:rsid w:val="00897447"/>
    <w:rsid w:val="00897781"/>
    <w:rsid w:val="008A2ACC"/>
    <w:rsid w:val="008A2CDA"/>
    <w:rsid w:val="008A2D3D"/>
    <w:rsid w:val="008A423D"/>
    <w:rsid w:val="008A4900"/>
    <w:rsid w:val="008A55FE"/>
    <w:rsid w:val="008B146D"/>
    <w:rsid w:val="008B42AD"/>
    <w:rsid w:val="008B5666"/>
    <w:rsid w:val="008C0664"/>
    <w:rsid w:val="008C7FF5"/>
    <w:rsid w:val="008D0281"/>
    <w:rsid w:val="008D357A"/>
    <w:rsid w:val="008D6AEE"/>
    <w:rsid w:val="008E2348"/>
    <w:rsid w:val="008E347D"/>
    <w:rsid w:val="008E39E5"/>
    <w:rsid w:val="008E4DFC"/>
    <w:rsid w:val="008F04C8"/>
    <w:rsid w:val="008F6D45"/>
    <w:rsid w:val="00901492"/>
    <w:rsid w:val="00903F5A"/>
    <w:rsid w:val="00903F81"/>
    <w:rsid w:val="00905E6A"/>
    <w:rsid w:val="00907FF7"/>
    <w:rsid w:val="009142A0"/>
    <w:rsid w:val="00916FB6"/>
    <w:rsid w:val="00920E37"/>
    <w:rsid w:val="00922944"/>
    <w:rsid w:val="009313B5"/>
    <w:rsid w:val="00931FD9"/>
    <w:rsid w:val="00934C41"/>
    <w:rsid w:val="0093632C"/>
    <w:rsid w:val="00936479"/>
    <w:rsid w:val="00937A10"/>
    <w:rsid w:val="0094159E"/>
    <w:rsid w:val="009431E4"/>
    <w:rsid w:val="00943F88"/>
    <w:rsid w:val="009464B0"/>
    <w:rsid w:val="009471BA"/>
    <w:rsid w:val="00947A0F"/>
    <w:rsid w:val="00950402"/>
    <w:rsid w:val="00950E42"/>
    <w:rsid w:val="009579EA"/>
    <w:rsid w:val="00966115"/>
    <w:rsid w:val="009670DA"/>
    <w:rsid w:val="00972812"/>
    <w:rsid w:val="00981D96"/>
    <w:rsid w:val="009834C0"/>
    <w:rsid w:val="00986AAC"/>
    <w:rsid w:val="00986F5C"/>
    <w:rsid w:val="009905FA"/>
    <w:rsid w:val="00993B69"/>
    <w:rsid w:val="009949A7"/>
    <w:rsid w:val="00994B72"/>
    <w:rsid w:val="00995526"/>
    <w:rsid w:val="009A0E50"/>
    <w:rsid w:val="009A1DA2"/>
    <w:rsid w:val="009A35AA"/>
    <w:rsid w:val="009A3704"/>
    <w:rsid w:val="009A4739"/>
    <w:rsid w:val="009A545E"/>
    <w:rsid w:val="009A674F"/>
    <w:rsid w:val="009A6C71"/>
    <w:rsid w:val="009A6D22"/>
    <w:rsid w:val="009B15CD"/>
    <w:rsid w:val="009B199C"/>
    <w:rsid w:val="009B2E56"/>
    <w:rsid w:val="009B3849"/>
    <w:rsid w:val="009B44F1"/>
    <w:rsid w:val="009B5026"/>
    <w:rsid w:val="009B5979"/>
    <w:rsid w:val="009B61F1"/>
    <w:rsid w:val="009B62E0"/>
    <w:rsid w:val="009C2953"/>
    <w:rsid w:val="009C3D88"/>
    <w:rsid w:val="009CC76D"/>
    <w:rsid w:val="009D058B"/>
    <w:rsid w:val="009D32D3"/>
    <w:rsid w:val="009E051F"/>
    <w:rsid w:val="009E0ECD"/>
    <w:rsid w:val="009E1651"/>
    <w:rsid w:val="009E1A6B"/>
    <w:rsid w:val="009E3858"/>
    <w:rsid w:val="009E467D"/>
    <w:rsid w:val="009E70DD"/>
    <w:rsid w:val="009F2ED9"/>
    <w:rsid w:val="009F2F4B"/>
    <w:rsid w:val="009F3231"/>
    <w:rsid w:val="009F5C58"/>
    <w:rsid w:val="00A00747"/>
    <w:rsid w:val="00A023A0"/>
    <w:rsid w:val="00A034F7"/>
    <w:rsid w:val="00A045B8"/>
    <w:rsid w:val="00A05EBC"/>
    <w:rsid w:val="00A064A5"/>
    <w:rsid w:val="00A1415E"/>
    <w:rsid w:val="00A1562B"/>
    <w:rsid w:val="00A170F4"/>
    <w:rsid w:val="00A21408"/>
    <w:rsid w:val="00A21CFD"/>
    <w:rsid w:val="00A23225"/>
    <w:rsid w:val="00A23BA4"/>
    <w:rsid w:val="00A243C0"/>
    <w:rsid w:val="00A25B78"/>
    <w:rsid w:val="00A263D8"/>
    <w:rsid w:val="00A27B01"/>
    <w:rsid w:val="00A3151B"/>
    <w:rsid w:val="00A31727"/>
    <w:rsid w:val="00A400CC"/>
    <w:rsid w:val="00A40495"/>
    <w:rsid w:val="00A45CB0"/>
    <w:rsid w:val="00A46288"/>
    <w:rsid w:val="00A468DB"/>
    <w:rsid w:val="00A46BA8"/>
    <w:rsid w:val="00A4744B"/>
    <w:rsid w:val="00A47634"/>
    <w:rsid w:val="00A526CB"/>
    <w:rsid w:val="00A54E63"/>
    <w:rsid w:val="00A612FE"/>
    <w:rsid w:val="00A62FF6"/>
    <w:rsid w:val="00A66F4D"/>
    <w:rsid w:val="00A703B3"/>
    <w:rsid w:val="00A70B49"/>
    <w:rsid w:val="00A740D4"/>
    <w:rsid w:val="00A8084F"/>
    <w:rsid w:val="00A84006"/>
    <w:rsid w:val="00A84A7C"/>
    <w:rsid w:val="00A86B27"/>
    <w:rsid w:val="00A92D94"/>
    <w:rsid w:val="00A962C4"/>
    <w:rsid w:val="00AA26B8"/>
    <w:rsid w:val="00AA4288"/>
    <w:rsid w:val="00AA4907"/>
    <w:rsid w:val="00AA78AE"/>
    <w:rsid w:val="00AB1B76"/>
    <w:rsid w:val="00AB1F62"/>
    <w:rsid w:val="00AB24E4"/>
    <w:rsid w:val="00AC0B87"/>
    <w:rsid w:val="00AC2278"/>
    <w:rsid w:val="00AC2624"/>
    <w:rsid w:val="00AC32A8"/>
    <w:rsid w:val="00AD096D"/>
    <w:rsid w:val="00AD1351"/>
    <w:rsid w:val="00AD4528"/>
    <w:rsid w:val="00AD5A42"/>
    <w:rsid w:val="00AD7B5F"/>
    <w:rsid w:val="00AD7E4E"/>
    <w:rsid w:val="00AE0800"/>
    <w:rsid w:val="00AE271D"/>
    <w:rsid w:val="00AE41CC"/>
    <w:rsid w:val="00AE5E04"/>
    <w:rsid w:val="00AF4D58"/>
    <w:rsid w:val="00AF6666"/>
    <w:rsid w:val="00AF7BC5"/>
    <w:rsid w:val="00B1051C"/>
    <w:rsid w:val="00B116E3"/>
    <w:rsid w:val="00B128C4"/>
    <w:rsid w:val="00B15592"/>
    <w:rsid w:val="00B16D2B"/>
    <w:rsid w:val="00B201AF"/>
    <w:rsid w:val="00B23AE9"/>
    <w:rsid w:val="00B254CB"/>
    <w:rsid w:val="00B3267B"/>
    <w:rsid w:val="00B37FF8"/>
    <w:rsid w:val="00B41DEC"/>
    <w:rsid w:val="00B42915"/>
    <w:rsid w:val="00B509BB"/>
    <w:rsid w:val="00B515DB"/>
    <w:rsid w:val="00B51C51"/>
    <w:rsid w:val="00B51E78"/>
    <w:rsid w:val="00B538BF"/>
    <w:rsid w:val="00B556E1"/>
    <w:rsid w:val="00B6193D"/>
    <w:rsid w:val="00B64EC8"/>
    <w:rsid w:val="00B673BB"/>
    <w:rsid w:val="00B71711"/>
    <w:rsid w:val="00B71FD9"/>
    <w:rsid w:val="00B73B9C"/>
    <w:rsid w:val="00B81B44"/>
    <w:rsid w:val="00B83615"/>
    <w:rsid w:val="00B8751E"/>
    <w:rsid w:val="00B9053B"/>
    <w:rsid w:val="00B9777C"/>
    <w:rsid w:val="00BA0C37"/>
    <w:rsid w:val="00BA23E6"/>
    <w:rsid w:val="00BA3782"/>
    <w:rsid w:val="00BA4A09"/>
    <w:rsid w:val="00BA5BEB"/>
    <w:rsid w:val="00BB00EF"/>
    <w:rsid w:val="00BB0455"/>
    <w:rsid w:val="00BB4D98"/>
    <w:rsid w:val="00BB4EBF"/>
    <w:rsid w:val="00BB59E0"/>
    <w:rsid w:val="00BB7DF0"/>
    <w:rsid w:val="00BC1011"/>
    <w:rsid w:val="00BC3422"/>
    <w:rsid w:val="00BC437C"/>
    <w:rsid w:val="00BC6008"/>
    <w:rsid w:val="00BC6E19"/>
    <w:rsid w:val="00BD05FA"/>
    <w:rsid w:val="00BD0B31"/>
    <w:rsid w:val="00BD4FF1"/>
    <w:rsid w:val="00BD5018"/>
    <w:rsid w:val="00BE1608"/>
    <w:rsid w:val="00BE4EDC"/>
    <w:rsid w:val="00BE5ADC"/>
    <w:rsid w:val="00BE763E"/>
    <w:rsid w:val="00BF4F96"/>
    <w:rsid w:val="00C015B9"/>
    <w:rsid w:val="00C022F9"/>
    <w:rsid w:val="00C032EA"/>
    <w:rsid w:val="00C06EB5"/>
    <w:rsid w:val="00C0717C"/>
    <w:rsid w:val="00C07EDC"/>
    <w:rsid w:val="00C1145F"/>
    <w:rsid w:val="00C11CD1"/>
    <w:rsid w:val="00C15701"/>
    <w:rsid w:val="00C15DBE"/>
    <w:rsid w:val="00C16A56"/>
    <w:rsid w:val="00C16CBF"/>
    <w:rsid w:val="00C255B7"/>
    <w:rsid w:val="00C257A4"/>
    <w:rsid w:val="00C258F2"/>
    <w:rsid w:val="00C25EAC"/>
    <w:rsid w:val="00C2715F"/>
    <w:rsid w:val="00C321D6"/>
    <w:rsid w:val="00C32D49"/>
    <w:rsid w:val="00C33AD3"/>
    <w:rsid w:val="00C41B3C"/>
    <w:rsid w:val="00C43F06"/>
    <w:rsid w:val="00C45702"/>
    <w:rsid w:val="00C47503"/>
    <w:rsid w:val="00C50A2B"/>
    <w:rsid w:val="00C5122C"/>
    <w:rsid w:val="00C51C01"/>
    <w:rsid w:val="00C539DC"/>
    <w:rsid w:val="00C62999"/>
    <w:rsid w:val="00C637E1"/>
    <w:rsid w:val="00C67442"/>
    <w:rsid w:val="00C67EAC"/>
    <w:rsid w:val="00C70D50"/>
    <w:rsid w:val="00C72252"/>
    <w:rsid w:val="00C732D1"/>
    <w:rsid w:val="00C81050"/>
    <w:rsid w:val="00C907D7"/>
    <w:rsid w:val="00C92338"/>
    <w:rsid w:val="00C945D7"/>
    <w:rsid w:val="00C95E66"/>
    <w:rsid w:val="00C96051"/>
    <w:rsid w:val="00C96D85"/>
    <w:rsid w:val="00C97B86"/>
    <w:rsid w:val="00CA05DC"/>
    <w:rsid w:val="00CA2231"/>
    <w:rsid w:val="00CA479C"/>
    <w:rsid w:val="00CA71DE"/>
    <w:rsid w:val="00CA7B47"/>
    <w:rsid w:val="00CB1DD6"/>
    <w:rsid w:val="00CB3976"/>
    <w:rsid w:val="00CB39CC"/>
    <w:rsid w:val="00CB441A"/>
    <w:rsid w:val="00CC6087"/>
    <w:rsid w:val="00CD0307"/>
    <w:rsid w:val="00CD27BE"/>
    <w:rsid w:val="00CD3754"/>
    <w:rsid w:val="00CD3A00"/>
    <w:rsid w:val="00CD3D1B"/>
    <w:rsid w:val="00CD4294"/>
    <w:rsid w:val="00CE083F"/>
    <w:rsid w:val="00CE0FD6"/>
    <w:rsid w:val="00CE2D5E"/>
    <w:rsid w:val="00CF2474"/>
    <w:rsid w:val="00CF5106"/>
    <w:rsid w:val="00CF6EC4"/>
    <w:rsid w:val="00D012F9"/>
    <w:rsid w:val="00D02663"/>
    <w:rsid w:val="00D05BA5"/>
    <w:rsid w:val="00D0633E"/>
    <w:rsid w:val="00D11BB6"/>
    <w:rsid w:val="00D12E74"/>
    <w:rsid w:val="00D1423C"/>
    <w:rsid w:val="00D15955"/>
    <w:rsid w:val="00D2312F"/>
    <w:rsid w:val="00D234B2"/>
    <w:rsid w:val="00D23B04"/>
    <w:rsid w:val="00D250AA"/>
    <w:rsid w:val="00D269C1"/>
    <w:rsid w:val="00D27944"/>
    <w:rsid w:val="00D27BDB"/>
    <w:rsid w:val="00D3586B"/>
    <w:rsid w:val="00D35DBF"/>
    <w:rsid w:val="00D361BA"/>
    <w:rsid w:val="00D40D8B"/>
    <w:rsid w:val="00D41B2F"/>
    <w:rsid w:val="00D44953"/>
    <w:rsid w:val="00D44D0E"/>
    <w:rsid w:val="00D542F3"/>
    <w:rsid w:val="00D54513"/>
    <w:rsid w:val="00D54AAE"/>
    <w:rsid w:val="00D5644B"/>
    <w:rsid w:val="00D56E25"/>
    <w:rsid w:val="00D57E89"/>
    <w:rsid w:val="00D6093D"/>
    <w:rsid w:val="00D60E1A"/>
    <w:rsid w:val="00D61E59"/>
    <w:rsid w:val="00D6560D"/>
    <w:rsid w:val="00D65D77"/>
    <w:rsid w:val="00D662E0"/>
    <w:rsid w:val="00D718D7"/>
    <w:rsid w:val="00D74854"/>
    <w:rsid w:val="00D75412"/>
    <w:rsid w:val="00D801DB"/>
    <w:rsid w:val="00D814B7"/>
    <w:rsid w:val="00D863EB"/>
    <w:rsid w:val="00D87CBD"/>
    <w:rsid w:val="00D90688"/>
    <w:rsid w:val="00D95D65"/>
    <w:rsid w:val="00DA3AAD"/>
    <w:rsid w:val="00DA427D"/>
    <w:rsid w:val="00DA4F74"/>
    <w:rsid w:val="00DA5918"/>
    <w:rsid w:val="00DA762C"/>
    <w:rsid w:val="00DB0804"/>
    <w:rsid w:val="00DB20C8"/>
    <w:rsid w:val="00DB27AD"/>
    <w:rsid w:val="00DB312B"/>
    <w:rsid w:val="00DB5053"/>
    <w:rsid w:val="00DC3DC6"/>
    <w:rsid w:val="00DC5654"/>
    <w:rsid w:val="00DC658F"/>
    <w:rsid w:val="00DC674A"/>
    <w:rsid w:val="00DD34D3"/>
    <w:rsid w:val="00DD6383"/>
    <w:rsid w:val="00DD7FAE"/>
    <w:rsid w:val="00DE0058"/>
    <w:rsid w:val="00DE0E4E"/>
    <w:rsid w:val="00DE31CB"/>
    <w:rsid w:val="00DE60CC"/>
    <w:rsid w:val="00DF52CC"/>
    <w:rsid w:val="00DF6D87"/>
    <w:rsid w:val="00E00ABD"/>
    <w:rsid w:val="00E06416"/>
    <w:rsid w:val="00E06736"/>
    <w:rsid w:val="00E22A20"/>
    <w:rsid w:val="00E26B32"/>
    <w:rsid w:val="00E31372"/>
    <w:rsid w:val="00E31CD4"/>
    <w:rsid w:val="00E31E60"/>
    <w:rsid w:val="00E33E08"/>
    <w:rsid w:val="00E344E0"/>
    <w:rsid w:val="00E35A78"/>
    <w:rsid w:val="00E407B6"/>
    <w:rsid w:val="00E41EF1"/>
    <w:rsid w:val="00E42942"/>
    <w:rsid w:val="00E46B42"/>
    <w:rsid w:val="00E543D9"/>
    <w:rsid w:val="00E54AA5"/>
    <w:rsid w:val="00E557FC"/>
    <w:rsid w:val="00E65A0A"/>
    <w:rsid w:val="00E71BDF"/>
    <w:rsid w:val="00E72E8A"/>
    <w:rsid w:val="00E739E4"/>
    <w:rsid w:val="00E75CCB"/>
    <w:rsid w:val="00E76318"/>
    <w:rsid w:val="00E77A5E"/>
    <w:rsid w:val="00E80E3C"/>
    <w:rsid w:val="00E8245B"/>
    <w:rsid w:val="00E82C21"/>
    <w:rsid w:val="00E82F59"/>
    <w:rsid w:val="00E83CA7"/>
    <w:rsid w:val="00E85D42"/>
    <w:rsid w:val="00E92192"/>
    <w:rsid w:val="00E95915"/>
    <w:rsid w:val="00E95A71"/>
    <w:rsid w:val="00EA030C"/>
    <w:rsid w:val="00EA2B81"/>
    <w:rsid w:val="00EA2CE3"/>
    <w:rsid w:val="00EA5610"/>
    <w:rsid w:val="00EA5761"/>
    <w:rsid w:val="00EB2020"/>
    <w:rsid w:val="00EB363A"/>
    <w:rsid w:val="00EB6068"/>
    <w:rsid w:val="00EB7014"/>
    <w:rsid w:val="00EB702F"/>
    <w:rsid w:val="00EC16C5"/>
    <w:rsid w:val="00EC2054"/>
    <w:rsid w:val="00EC3DCD"/>
    <w:rsid w:val="00EC4634"/>
    <w:rsid w:val="00EC5CDE"/>
    <w:rsid w:val="00ED3077"/>
    <w:rsid w:val="00ED487E"/>
    <w:rsid w:val="00ED64F1"/>
    <w:rsid w:val="00ED656C"/>
    <w:rsid w:val="00ED74E5"/>
    <w:rsid w:val="00EE1824"/>
    <w:rsid w:val="00EE33A1"/>
    <w:rsid w:val="00EE39EB"/>
    <w:rsid w:val="00EE61AF"/>
    <w:rsid w:val="00EE7058"/>
    <w:rsid w:val="00EE76FA"/>
    <w:rsid w:val="00EE7A0D"/>
    <w:rsid w:val="00EF295D"/>
    <w:rsid w:val="00EF3803"/>
    <w:rsid w:val="00EF4286"/>
    <w:rsid w:val="00EF43B4"/>
    <w:rsid w:val="00F0222C"/>
    <w:rsid w:val="00F024AD"/>
    <w:rsid w:val="00F05896"/>
    <w:rsid w:val="00F12312"/>
    <w:rsid w:val="00F160DE"/>
    <w:rsid w:val="00F177C7"/>
    <w:rsid w:val="00F17CE1"/>
    <w:rsid w:val="00F2115C"/>
    <w:rsid w:val="00F22ABA"/>
    <w:rsid w:val="00F277DC"/>
    <w:rsid w:val="00F33E05"/>
    <w:rsid w:val="00F349C9"/>
    <w:rsid w:val="00F3636E"/>
    <w:rsid w:val="00F36B12"/>
    <w:rsid w:val="00F4414B"/>
    <w:rsid w:val="00F47C64"/>
    <w:rsid w:val="00F504CA"/>
    <w:rsid w:val="00F54CA2"/>
    <w:rsid w:val="00F60F9F"/>
    <w:rsid w:val="00F629AB"/>
    <w:rsid w:val="00F635D9"/>
    <w:rsid w:val="00F63AA6"/>
    <w:rsid w:val="00F644A0"/>
    <w:rsid w:val="00F64F08"/>
    <w:rsid w:val="00F70055"/>
    <w:rsid w:val="00F71150"/>
    <w:rsid w:val="00F71D46"/>
    <w:rsid w:val="00F734F5"/>
    <w:rsid w:val="00F73B5B"/>
    <w:rsid w:val="00F76B67"/>
    <w:rsid w:val="00F831BB"/>
    <w:rsid w:val="00F90527"/>
    <w:rsid w:val="00F90EA5"/>
    <w:rsid w:val="00F91F5A"/>
    <w:rsid w:val="00F943B0"/>
    <w:rsid w:val="00F966B1"/>
    <w:rsid w:val="00F97D48"/>
    <w:rsid w:val="00FA0311"/>
    <w:rsid w:val="00FA1489"/>
    <w:rsid w:val="00FA39E1"/>
    <w:rsid w:val="00FA427D"/>
    <w:rsid w:val="00FA4854"/>
    <w:rsid w:val="00FA5C08"/>
    <w:rsid w:val="00FB20AC"/>
    <w:rsid w:val="00FB396D"/>
    <w:rsid w:val="00FC1444"/>
    <w:rsid w:val="00FC2AF6"/>
    <w:rsid w:val="00FD053F"/>
    <w:rsid w:val="00FD50F0"/>
    <w:rsid w:val="00FD640F"/>
    <w:rsid w:val="00FD6B4C"/>
    <w:rsid w:val="00FD7069"/>
    <w:rsid w:val="00FE0553"/>
    <w:rsid w:val="00FE227D"/>
    <w:rsid w:val="00FE25D0"/>
    <w:rsid w:val="00FE2DE0"/>
    <w:rsid w:val="00FE385F"/>
    <w:rsid w:val="00FE6CB3"/>
    <w:rsid w:val="00FF07E1"/>
    <w:rsid w:val="00FF3B36"/>
    <w:rsid w:val="00FF411C"/>
    <w:rsid w:val="00FF4171"/>
    <w:rsid w:val="00FF4E99"/>
    <w:rsid w:val="032FF7BD"/>
    <w:rsid w:val="04097E74"/>
    <w:rsid w:val="052AF3D5"/>
    <w:rsid w:val="0640E5D6"/>
    <w:rsid w:val="0717E535"/>
    <w:rsid w:val="0A2B8E9C"/>
    <w:rsid w:val="0A9B13FA"/>
    <w:rsid w:val="0B70D40A"/>
    <w:rsid w:val="0CBDB1A6"/>
    <w:rsid w:val="0CC65215"/>
    <w:rsid w:val="0FB5A1EF"/>
    <w:rsid w:val="102795FA"/>
    <w:rsid w:val="14DF3D02"/>
    <w:rsid w:val="1BC0E3C2"/>
    <w:rsid w:val="1DDD3483"/>
    <w:rsid w:val="20032500"/>
    <w:rsid w:val="219EF561"/>
    <w:rsid w:val="259A4AE3"/>
    <w:rsid w:val="29B7B648"/>
    <w:rsid w:val="3087BF2E"/>
    <w:rsid w:val="30BC9CD9"/>
    <w:rsid w:val="3201D3AA"/>
    <w:rsid w:val="32664CAC"/>
    <w:rsid w:val="34B19684"/>
    <w:rsid w:val="364BA02E"/>
    <w:rsid w:val="3C7A3C1D"/>
    <w:rsid w:val="3F4C0E02"/>
    <w:rsid w:val="40D9CCA3"/>
    <w:rsid w:val="45824893"/>
    <w:rsid w:val="4758A185"/>
    <w:rsid w:val="4929B87D"/>
    <w:rsid w:val="4AC588DE"/>
    <w:rsid w:val="4E141AF7"/>
    <w:rsid w:val="53853A38"/>
    <w:rsid w:val="55BDEB3F"/>
    <w:rsid w:val="56A86C47"/>
    <w:rsid w:val="56DE7565"/>
    <w:rsid w:val="5B8E0BA0"/>
    <w:rsid w:val="5BCE737C"/>
    <w:rsid w:val="5FFAAAAE"/>
    <w:rsid w:val="6032172B"/>
    <w:rsid w:val="607994BA"/>
    <w:rsid w:val="6132C2E9"/>
    <w:rsid w:val="61C73E66"/>
    <w:rsid w:val="625C157C"/>
    <w:rsid w:val="676205AC"/>
    <w:rsid w:val="6B9D9059"/>
    <w:rsid w:val="6F50B2D6"/>
    <w:rsid w:val="71427571"/>
    <w:rsid w:val="7176160B"/>
    <w:rsid w:val="7872FDC0"/>
    <w:rsid w:val="7937A558"/>
    <w:rsid w:val="7A4EABF7"/>
    <w:rsid w:val="7D6633F0"/>
    <w:rsid w:val="7E122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D39A6"/>
  <w15:docId w15:val="{95B6F5A0-DDD1-4395-8B92-5B3E7E32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customStyle="1" w:styleId="normaltextrun">
    <w:name w:val="normaltextrun"/>
    <w:basedOn w:val="DefaultParagraphFont"/>
    <w:rsid w:val="006206BB"/>
  </w:style>
  <w:style w:type="paragraph" w:customStyle="1" w:styleId="paragraph">
    <w:name w:val="paragraph"/>
    <w:basedOn w:val="Normal"/>
    <w:rsid w:val="00620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6206BB"/>
  </w:style>
  <w:style w:type="character" w:customStyle="1" w:styleId="eop">
    <w:name w:val="eop"/>
    <w:basedOn w:val="DefaultParagraphFont"/>
    <w:rsid w:val="006206BB"/>
  </w:style>
  <w:style w:type="paragraph" w:customStyle="1" w:styleId="Body">
    <w:name w:val="Body"/>
    <w:link w:val="BodyChar"/>
    <w:qFormat/>
    <w:rsid w:val="005A6FE4"/>
    <w:pPr>
      <w:spacing w:before="0" w:after="120"/>
    </w:pPr>
    <w:rPr>
      <w:rFonts w:ascii="Arial" w:eastAsia="Times" w:hAnsi="Arial" w:cs="Times New Roman"/>
      <w:sz w:val="21"/>
      <w:lang w:eastAsia="en-US"/>
    </w:rPr>
  </w:style>
  <w:style w:type="character" w:customStyle="1" w:styleId="BodyChar">
    <w:name w:val="Body Char"/>
    <w:basedOn w:val="DefaultParagraphFont"/>
    <w:link w:val="Body"/>
    <w:rsid w:val="005A6FE4"/>
    <w:rPr>
      <w:rFonts w:ascii="Arial" w:eastAsia="Times" w:hAnsi="Arial" w:cs="Times New Roman"/>
      <w:sz w:val="21"/>
      <w:lang w:eastAsia="en-US"/>
    </w:rPr>
  </w:style>
  <w:style w:type="character" w:styleId="Mention">
    <w:name w:val="Mention"/>
    <w:basedOn w:val="DefaultParagraphFont"/>
    <w:uiPriority w:val="99"/>
    <w:unhideWhenUsed/>
    <w:rsid w:val="00597486"/>
    <w:rPr>
      <w:color w:val="2B579A"/>
      <w:shd w:val="clear" w:color="auto" w:fill="E1DFDD"/>
    </w:rPr>
  </w:style>
  <w:style w:type="paragraph" w:customStyle="1" w:styleId="DHHSbody">
    <w:name w:val="DHHS body"/>
    <w:qFormat/>
    <w:rsid w:val="0076658B"/>
    <w:pPr>
      <w:spacing w:before="0" w:after="120" w:line="270" w:lineRule="atLeast"/>
    </w:pPr>
    <w:rPr>
      <w:rFonts w:ascii="Arial" w:eastAsia="Times" w:hAnsi="Arial" w:cs="Times New Roman"/>
      <w:lang w:eastAsia="en-US"/>
    </w:rPr>
  </w:style>
  <w:style w:type="paragraph" w:customStyle="1" w:styleId="Tablecaption">
    <w:name w:val="Table caption"/>
    <w:next w:val="Body"/>
    <w:uiPriority w:val="3"/>
    <w:qFormat/>
    <w:rsid w:val="00D44D0E"/>
    <w:pPr>
      <w:keepNext/>
      <w:keepLines/>
      <w:spacing w:before="240" w:after="120" w:line="250" w:lineRule="atLeast"/>
    </w:pPr>
    <w:rPr>
      <w:rFonts w:ascii="Arial" w:eastAsia="Times New Roman" w:hAnsi="Arial" w:cs="Times New Roman"/>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26496253">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10434372">
      <w:bodyDiv w:val="1"/>
      <w:marLeft w:val="0"/>
      <w:marRight w:val="0"/>
      <w:marTop w:val="0"/>
      <w:marBottom w:val="0"/>
      <w:divBdr>
        <w:top w:val="none" w:sz="0" w:space="0" w:color="auto"/>
        <w:left w:val="none" w:sz="0" w:space="0" w:color="auto"/>
        <w:bottom w:val="none" w:sz="0" w:space="0" w:color="auto"/>
        <w:right w:val="none" w:sz="0" w:space="0" w:color="auto"/>
      </w:divBdr>
      <w:divsChild>
        <w:div w:id="255596294">
          <w:marLeft w:val="0"/>
          <w:marRight w:val="0"/>
          <w:marTop w:val="0"/>
          <w:marBottom w:val="0"/>
          <w:divBdr>
            <w:top w:val="none" w:sz="0" w:space="0" w:color="auto"/>
            <w:left w:val="none" w:sz="0" w:space="0" w:color="auto"/>
            <w:bottom w:val="none" w:sz="0" w:space="0" w:color="auto"/>
            <w:right w:val="none" w:sz="0" w:space="0" w:color="auto"/>
          </w:divBdr>
        </w:div>
        <w:div w:id="388963662">
          <w:marLeft w:val="0"/>
          <w:marRight w:val="0"/>
          <w:marTop w:val="0"/>
          <w:marBottom w:val="0"/>
          <w:divBdr>
            <w:top w:val="none" w:sz="0" w:space="0" w:color="auto"/>
            <w:left w:val="none" w:sz="0" w:space="0" w:color="auto"/>
            <w:bottom w:val="none" w:sz="0" w:space="0" w:color="auto"/>
            <w:right w:val="none" w:sz="0" w:space="0" w:color="auto"/>
          </w:divBdr>
        </w:div>
        <w:div w:id="587538413">
          <w:marLeft w:val="0"/>
          <w:marRight w:val="0"/>
          <w:marTop w:val="0"/>
          <w:marBottom w:val="0"/>
          <w:divBdr>
            <w:top w:val="none" w:sz="0" w:space="0" w:color="auto"/>
            <w:left w:val="none" w:sz="0" w:space="0" w:color="auto"/>
            <w:bottom w:val="none" w:sz="0" w:space="0" w:color="auto"/>
            <w:right w:val="none" w:sz="0" w:space="0" w:color="auto"/>
          </w:divBdr>
        </w:div>
        <w:div w:id="1231695427">
          <w:marLeft w:val="0"/>
          <w:marRight w:val="0"/>
          <w:marTop w:val="0"/>
          <w:marBottom w:val="0"/>
          <w:divBdr>
            <w:top w:val="none" w:sz="0" w:space="0" w:color="auto"/>
            <w:left w:val="none" w:sz="0" w:space="0" w:color="auto"/>
            <w:bottom w:val="none" w:sz="0" w:space="0" w:color="auto"/>
            <w:right w:val="none" w:sz="0" w:space="0" w:color="auto"/>
          </w:divBdr>
        </w:div>
        <w:div w:id="1485706823">
          <w:marLeft w:val="0"/>
          <w:marRight w:val="0"/>
          <w:marTop w:val="0"/>
          <w:marBottom w:val="0"/>
          <w:divBdr>
            <w:top w:val="none" w:sz="0" w:space="0" w:color="auto"/>
            <w:left w:val="none" w:sz="0" w:space="0" w:color="auto"/>
            <w:bottom w:val="none" w:sz="0" w:space="0" w:color="auto"/>
            <w:right w:val="none" w:sz="0" w:space="0" w:color="auto"/>
          </w:divBdr>
        </w:div>
        <w:div w:id="1569849861">
          <w:marLeft w:val="0"/>
          <w:marRight w:val="0"/>
          <w:marTop w:val="0"/>
          <w:marBottom w:val="0"/>
          <w:divBdr>
            <w:top w:val="none" w:sz="0" w:space="0" w:color="auto"/>
            <w:left w:val="none" w:sz="0" w:space="0" w:color="auto"/>
            <w:bottom w:val="none" w:sz="0" w:space="0" w:color="auto"/>
            <w:right w:val="none" w:sz="0" w:space="0" w:color="auto"/>
          </w:divBdr>
        </w:div>
        <w:div w:id="1991978048">
          <w:marLeft w:val="0"/>
          <w:marRight w:val="0"/>
          <w:marTop w:val="0"/>
          <w:marBottom w:val="0"/>
          <w:divBdr>
            <w:top w:val="none" w:sz="0" w:space="0" w:color="auto"/>
            <w:left w:val="none" w:sz="0" w:space="0" w:color="auto"/>
            <w:bottom w:val="none" w:sz="0" w:space="0" w:color="auto"/>
            <w:right w:val="none" w:sz="0" w:space="0" w:color="auto"/>
          </w:divBdr>
        </w:div>
        <w:div w:id="2074770899">
          <w:marLeft w:val="0"/>
          <w:marRight w:val="0"/>
          <w:marTop w:val="0"/>
          <w:marBottom w:val="0"/>
          <w:divBdr>
            <w:top w:val="none" w:sz="0" w:space="0" w:color="auto"/>
            <w:left w:val="none" w:sz="0" w:space="0" w:color="auto"/>
            <w:bottom w:val="none" w:sz="0" w:space="0" w:color="auto"/>
            <w:right w:val="none" w:sz="0" w:space="0" w:color="auto"/>
          </w:divBdr>
        </w:div>
      </w:divsChild>
    </w:div>
    <w:div w:id="982084232">
      <w:bodyDiv w:val="1"/>
      <w:marLeft w:val="0"/>
      <w:marRight w:val="0"/>
      <w:marTop w:val="0"/>
      <w:marBottom w:val="0"/>
      <w:divBdr>
        <w:top w:val="none" w:sz="0" w:space="0" w:color="auto"/>
        <w:left w:val="none" w:sz="0" w:space="0" w:color="auto"/>
        <w:bottom w:val="none" w:sz="0" w:space="0" w:color="auto"/>
        <w:right w:val="none" w:sz="0" w:space="0" w:color="auto"/>
      </w:divBdr>
    </w:div>
    <w:div w:id="1144808301">
      <w:bodyDiv w:val="1"/>
      <w:marLeft w:val="0"/>
      <w:marRight w:val="0"/>
      <w:marTop w:val="0"/>
      <w:marBottom w:val="0"/>
      <w:divBdr>
        <w:top w:val="none" w:sz="0" w:space="0" w:color="auto"/>
        <w:left w:val="none" w:sz="0" w:space="0" w:color="auto"/>
        <w:bottom w:val="none" w:sz="0" w:space="0" w:color="auto"/>
        <w:right w:val="none" w:sz="0" w:space="0" w:color="auto"/>
      </w:divBdr>
      <w:divsChild>
        <w:div w:id="1100880282">
          <w:marLeft w:val="0"/>
          <w:marRight w:val="0"/>
          <w:marTop w:val="0"/>
          <w:marBottom w:val="0"/>
          <w:divBdr>
            <w:top w:val="none" w:sz="0" w:space="0" w:color="auto"/>
            <w:left w:val="none" w:sz="0" w:space="0" w:color="auto"/>
            <w:bottom w:val="none" w:sz="0" w:space="0" w:color="auto"/>
            <w:right w:val="none" w:sz="0" w:space="0" w:color="auto"/>
          </w:divBdr>
        </w:div>
        <w:div w:id="1109474841">
          <w:marLeft w:val="0"/>
          <w:marRight w:val="0"/>
          <w:marTop w:val="0"/>
          <w:marBottom w:val="0"/>
          <w:divBdr>
            <w:top w:val="none" w:sz="0" w:space="0" w:color="auto"/>
            <w:left w:val="none" w:sz="0" w:space="0" w:color="auto"/>
            <w:bottom w:val="none" w:sz="0" w:space="0" w:color="auto"/>
            <w:right w:val="none" w:sz="0" w:space="0" w:color="auto"/>
          </w:divBdr>
        </w:div>
        <w:div w:id="1686054415">
          <w:marLeft w:val="0"/>
          <w:marRight w:val="0"/>
          <w:marTop w:val="0"/>
          <w:marBottom w:val="0"/>
          <w:divBdr>
            <w:top w:val="none" w:sz="0" w:space="0" w:color="auto"/>
            <w:left w:val="none" w:sz="0" w:space="0" w:color="auto"/>
            <w:bottom w:val="none" w:sz="0" w:space="0" w:color="auto"/>
            <w:right w:val="none" w:sz="0" w:space="0" w:color="auto"/>
          </w:divBdr>
        </w:div>
        <w:div w:id="1771314224">
          <w:marLeft w:val="0"/>
          <w:marRight w:val="0"/>
          <w:marTop w:val="0"/>
          <w:marBottom w:val="0"/>
          <w:divBdr>
            <w:top w:val="none" w:sz="0" w:space="0" w:color="auto"/>
            <w:left w:val="none" w:sz="0" w:space="0" w:color="auto"/>
            <w:bottom w:val="none" w:sz="0" w:space="0" w:color="auto"/>
            <w:right w:val="none" w:sz="0" w:space="0" w:color="auto"/>
          </w:divBdr>
        </w:div>
      </w:divsChild>
    </w:div>
    <w:div w:id="1253050006">
      <w:bodyDiv w:val="1"/>
      <w:marLeft w:val="0"/>
      <w:marRight w:val="0"/>
      <w:marTop w:val="0"/>
      <w:marBottom w:val="0"/>
      <w:divBdr>
        <w:top w:val="none" w:sz="0" w:space="0" w:color="auto"/>
        <w:left w:val="none" w:sz="0" w:space="0" w:color="auto"/>
        <w:bottom w:val="none" w:sz="0" w:space="0" w:color="auto"/>
        <w:right w:val="none" w:sz="0" w:space="0" w:color="auto"/>
      </w:divBdr>
    </w:div>
    <w:div w:id="1448701117">
      <w:bodyDiv w:val="1"/>
      <w:marLeft w:val="0"/>
      <w:marRight w:val="0"/>
      <w:marTop w:val="0"/>
      <w:marBottom w:val="0"/>
      <w:divBdr>
        <w:top w:val="none" w:sz="0" w:space="0" w:color="auto"/>
        <w:left w:val="none" w:sz="0" w:space="0" w:color="auto"/>
        <w:bottom w:val="none" w:sz="0" w:space="0" w:color="auto"/>
        <w:right w:val="none" w:sz="0" w:space="0" w:color="auto"/>
      </w:divBdr>
    </w:div>
    <w:div w:id="1655601807">
      <w:bodyDiv w:val="1"/>
      <w:marLeft w:val="0"/>
      <w:marRight w:val="0"/>
      <w:marTop w:val="0"/>
      <w:marBottom w:val="0"/>
      <w:divBdr>
        <w:top w:val="none" w:sz="0" w:space="0" w:color="auto"/>
        <w:left w:val="none" w:sz="0" w:space="0" w:color="auto"/>
        <w:bottom w:val="none" w:sz="0" w:space="0" w:color="auto"/>
        <w:right w:val="none" w:sz="0" w:space="0" w:color="auto"/>
      </w:divBdr>
    </w:div>
    <w:div w:id="1798522947">
      <w:bodyDiv w:val="1"/>
      <w:marLeft w:val="0"/>
      <w:marRight w:val="0"/>
      <w:marTop w:val="0"/>
      <w:marBottom w:val="0"/>
      <w:divBdr>
        <w:top w:val="none" w:sz="0" w:space="0" w:color="auto"/>
        <w:left w:val="none" w:sz="0" w:space="0" w:color="auto"/>
        <w:bottom w:val="none" w:sz="0" w:space="0" w:color="auto"/>
        <w:right w:val="none" w:sz="0" w:space="0" w:color="auto"/>
      </w:divBdr>
    </w:div>
    <w:div w:id="1973057924">
      <w:bodyDiv w:val="1"/>
      <w:marLeft w:val="0"/>
      <w:marRight w:val="0"/>
      <w:marTop w:val="0"/>
      <w:marBottom w:val="0"/>
      <w:divBdr>
        <w:top w:val="none" w:sz="0" w:space="0" w:color="auto"/>
        <w:left w:val="none" w:sz="0" w:space="0" w:color="auto"/>
        <w:bottom w:val="none" w:sz="0" w:space="0" w:color="auto"/>
        <w:right w:val="none" w:sz="0" w:space="0" w:color="auto"/>
      </w:divBdr>
    </w:div>
    <w:div w:id="2092896796">
      <w:bodyDiv w:val="1"/>
      <w:marLeft w:val="0"/>
      <w:marRight w:val="0"/>
      <w:marTop w:val="0"/>
      <w:marBottom w:val="0"/>
      <w:divBdr>
        <w:top w:val="none" w:sz="0" w:space="0" w:color="auto"/>
        <w:left w:val="none" w:sz="0" w:space="0" w:color="auto"/>
        <w:bottom w:val="none" w:sz="0" w:space="0" w:color="auto"/>
        <w:right w:val="none" w:sz="0" w:space="0" w:color="auto"/>
      </w:divBdr>
    </w:div>
    <w:div w:id="2104959973">
      <w:bodyDiv w:val="1"/>
      <w:marLeft w:val="0"/>
      <w:marRight w:val="0"/>
      <w:marTop w:val="0"/>
      <w:marBottom w:val="0"/>
      <w:divBdr>
        <w:top w:val="none" w:sz="0" w:space="0" w:color="auto"/>
        <w:left w:val="none" w:sz="0" w:space="0" w:color="auto"/>
        <w:bottom w:val="none" w:sz="0" w:space="0" w:color="auto"/>
        <w:right w:val="none" w:sz="0" w:space="0" w:color="auto"/>
      </w:divBdr>
      <w:divsChild>
        <w:div w:id="119761545">
          <w:marLeft w:val="0"/>
          <w:marRight w:val="0"/>
          <w:marTop w:val="0"/>
          <w:marBottom w:val="0"/>
          <w:divBdr>
            <w:top w:val="none" w:sz="0" w:space="0" w:color="auto"/>
            <w:left w:val="none" w:sz="0" w:space="0" w:color="auto"/>
            <w:bottom w:val="none" w:sz="0" w:space="0" w:color="auto"/>
            <w:right w:val="none" w:sz="0" w:space="0" w:color="auto"/>
          </w:divBdr>
        </w:div>
        <w:div w:id="526525242">
          <w:marLeft w:val="0"/>
          <w:marRight w:val="0"/>
          <w:marTop w:val="0"/>
          <w:marBottom w:val="0"/>
          <w:divBdr>
            <w:top w:val="none" w:sz="0" w:space="0" w:color="auto"/>
            <w:left w:val="none" w:sz="0" w:space="0" w:color="auto"/>
            <w:bottom w:val="none" w:sz="0" w:space="0" w:color="auto"/>
            <w:right w:val="none" w:sz="0" w:space="0" w:color="auto"/>
          </w:divBdr>
        </w:div>
        <w:div w:id="763720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rcare.vic.gov.au/sites/default/files/2022-10/Victorian%20Duty%20of%20Candour%20Framework%20-%20FINAL.docx" TargetMode="External"/><Relationship Id="rId18" Type="http://schemas.openxmlformats.org/officeDocument/2006/relationships/hyperlink" Target="https://www.health.vic.gov.au/policy-and-funding-guidelines-for-health-services" TargetMode="External"/><Relationship Id="rId26" Type="http://schemas.openxmlformats.org/officeDocument/2006/relationships/hyperlink" Target="https://www.safercare.vic.gov.au" TargetMode="External"/><Relationship Id="rId3" Type="http://schemas.openxmlformats.org/officeDocument/2006/relationships/customXml" Target="../customXml/item3.xml"/><Relationship Id="rId21" Type="http://schemas.openxmlformats.org/officeDocument/2006/relationships/hyperlink" Target="https://www.safercare.vic.gov.au/support-training/adverse-event-review-and-response/duty-of-candour" TargetMode="External"/><Relationship Id="rId7" Type="http://schemas.openxmlformats.org/officeDocument/2006/relationships/settings" Target="settings.xml"/><Relationship Id="rId12" Type="http://schemas.openxmlformats.org/officeDocument/2006/relationships/hyperlink" Target="https://www.safetyandquality.gov.au/our-work/open-disclosure/the-open-disclosure-framework" TargetMode="External"/><Relationship Id="rId17" Type="http://schemas.openxmlformats.org/officeDocument/2006/relationships/hyperlink" Target="https://www.health.vic.gov.au/data-reporting/agency-information-management-system-aims" TargetMode="External"/><Relationship Id="rId25" Type="http://schemas.openxmlformats.org/officeDocument/2006/relationships/hyperlink" Target="mailto:safercarevictoria@dhhs.vic"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forms.office.com/Pages/ResponsePage.aspx?id=H2DgwKwPnESciKEExOufKIQCYRhq7MNNvvjya8xeYoZUNzE3UEZWTlpPNlc0WUhaMERaMEw1SjRDSS4u" TargetMode="External"/><Relationship Id="rId20" Type="http://schemas.openxmlformats.org/officeDocument/2006/relationships/hyperlink" Target="https://www.legislation.vic.gov.au/in-force/statutory-rules/health-services-quality-and-safety-regulations-2020/00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rcare.vic.gov.au/sites/default/files/2022-10/Victorian%20Duty%20of%20Candour%20Guidelines%20-%20FINAL.docx" TargetMode="External"/><Relationship Id="rId24" Type="http://schemas.openxmlformats.org/officeDocument/2006/relationships/hyperlink" Target="mailto:info@safercarevictoria.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collect.vic.gov.au/" TargetMode="External"/><Relationship Id="rId23" Type="http://schemas.openxmlformats.org/officeDocument/2006/relationships/hyperlink" Target="mailto:hdss.helpdesk@health.vic.gov.au" TargetMode="External"/><Relationship Id="rId28"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legislation.vic.gov.au/in-force/statutory-rules/health-services-health-service-establishments-regulations-2013/00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utyofcandour@health.vic.gov.au" TargetMode="External"/><Relationship Id="rId22" Type="http://schemas.openxmlformats.org/officeDocument/2006/relationships/hyperlink" Target="mailto:dutyofcandour@health.vic.gov.au" TargetMode="External"/><Relationship Id="rId27" Type="http://schemas.openxmlformats.org/officeDocument/2006/relationships/hyperlink" Target="http://www.safercare.vic"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s33i\Downloads\SCV%20blank.dotx" TargetMode="External"/></Relationships>
</file>

<file path=word/documenttasks/documenttasks1.xml><?xml version="1.0" encoding="utf-8"?>
<t:Tasks xmlns:t="http://schemas.microsoft.com/office/tasks/2019/documenttasks" xmlns:oel="http://schemas.microsoft.com/office/2019/extlst">
  <t:Task id="{23E37E83-E18F-4DBC-94F0-268D4057C1AA}">
    <t:Anchor>
      <t:Comment id="672268721"/>
    </t:Anchor>
    <t:History>
      <t:Event id="{17AF3503-781D-48A8-BF56-02D22D0D72BC}" time="2023-05-19T05:42:08.986Z">
        <t:Attribution userId="S::joanne.mclachlan@vahi.vic.gov.au::870e8252-78ac-47be-aa2c-376fb269e8d0" userProvider="AD" userName="Joanne McLachlan (Health)"/>
        <t:Anchor>
          <t:Comment id="48902579"/>
        </t:Anchor>
        <t:Create/>
      </t:Event>
      <t:Event id="{77339E34-9EB3-487B-8EEE-EBF380D35837}" time="2023-05-19T05:42:08.986Z">
        <t:Attribution userId="S::joanne.mclachlan@vahi.vic.gov.au::870e8252-78ac-47be-aa2c-376fb269e8d0" userProvider="AD" userName="Joanne McLachlan (Health)"/>
        <t:Anchor>
          <t:Comment id="48902579"/>
        </t:Anchor>
        <t:Assign userId="S::nicole.youngs@safercare.vic.gov.au::65be26fa-e920-4315-ac69-718a9ac73e95" userProvider="AD" userName="Nicole Youngs (DHHS)"/>
      </t:Event>
      <t:Event id="{7F825543-1866-48C7-9078-B2B4FFE93FFE}" time="2023-05-19T05:42:08.986Z">
        <t:Attribution userId="S::joanne.mclachlan@vahi.vic.gov.au::870e8252-78ac-47be-aa2c-376fb269e8d0" userProvider="AD" userName="Joanne McLachlan (Health)"/>
        <t:Anchor>
          <t:Comment id="48902579"/>
        </t:Anchor>
        <t:SetTitle title="Thanks @Nicole Youngs (DHHS) , don't think this extra word materially alters the meaning of the term"/>
      </t:Event>
    </t:History>
  </t:Task>
  <t:Task id="{86957ECB-FFC7-44F6-A7DE-40B1528E7A65}">
    <t:Anchor>
      <t:Comment id="1154894042"/>
    </t:Anchor>
    <t:History>
      <t:Event id="{A9ADBB9E-A390-4B2E-BB19-92708D942D2A}" time="2023-05-19T05:55:08.815Z">
        <t:Attribution userId="S::joanne.mclachlan@vahi.vic.gov.au::870e8252-78ac-47be-aa2c-376fb269e8d0" userProvider="AD" userName="Joanne McLachlan (Health)"/>
        <t:Anchor>
          <t:Comment id="1154894042"/>
        </t:Anchor>
        <t:Create/>
      </t:Event>
      <t:Event id="{D45909B2-0394-4DBF-B8C4-DBBAE587D84A}" time="2023-05-19T05:55:08.815Z">
        <t:Attribution userId="S::joanne.mclachlan@vahi.vic.gov.au::870e8252-78ac-47be-aa2c-376fb269e8d0" userProvider="AD" userName="Joanne McLachlan (Health)"/>
        <t:Anchor>
          <t:Comment id="1154894042"/>
        </t:Anchor>
        <t:Assign userId="S::nicole.youngs@safercare.vic.gov.au::65be26fa-e920-4315-ac69-718a9ac73e95" userProvider="AD" userName="Nicole Youngs (DHHS)"/>
      </t:Event>
      <t:Event id="{A4F0588D-730B-4D8E-AF39-98D8BB6191B7}" time="2023-05-19T05:55:08.815Z">
        <t:Attribution userId="S::joanne.mclachlan@vahi.vic.gov.au::870e8252-78ac-47be-aa2c-376fb269e8d0" userProvider="AD" userName="Joanne McLachlan (Health)"/>
        <t:Anchor>
          <t:Comment id="1154894042"/>
        </t:Anchor>
        <t:SetTitle title="@Nicole Youngs (DHHS) ,are the blue dot points subordinate points to point (2) of the excerpt from the Regs? If so, I think the dot point indentation should be amended to align with the a) and b) beneath point (1) above. That's how I interpreted these …"/>
      </t:Event>
    </t:History>
  </t:Task>
  <t:Task id="{D633B926-C43C-4FF9-B69D-E0353AB4A61F}">
    <t:Anchor>
      <t:Comment id="2018416363"/>
    </t:Anchor>
    <t:History>
      <t:Event id="{904E281A-DB3E-4CA3-A2F5-22792C2D391C}" time="2023-05-19T05:45:26.954Z">
        <t:Attribution userId="S::joanne.mclachlan@vahi.vic.gov.au::870e8252-78ac-47be-aa2c-376fb269e8d0" userProvider="AD" userName="Joanne McLachlan (Health)"/>
        <t:Anchor>
          <t:Comment id="2018416363"/>
        </t:Anchor>
        <t:Create/>
      </t:Event>
      <t:Event id="{3FA6F519-4CCE-4526-AD9B-980598F33399}" time="2023-05-19T05:45:26.954Z">
        <t:Attribution userId="S::joanne.mclachlan@vahi.vic.gov.au::870e8252-78ac-47be-aa2c-376fb269e8d0" userProvider="AD" userName="Joanne McLachlan (Health)"/>
        <t:Anchor>
          <t:Comment id="2018416363"/>
        </t:Anchor>
        <t:Assign userId="S::nicole.youngs@safercare.vic.gov.au::65be26fa-e920-4315-ac69-718a9ac73e95" userProvider="AD" userName="Nicole Youngs (DHHS)"/>
      </t:Event>
      <t:Event id="{EF010860-0580-48F9-9823-33250EA8A109}" time="2023-05-19T05:45:26.954Z">
        <t:Attribution userId="S::joanne.mclachlan@vahi.vic.gov.au::870e8252-78ac-47be-aa2c-376fb269e8d0" userProvider="AD" userName="Joanne McLachlan (Health)"/>
        <t:Anchor>
          <t:Comment id="2018416363"/>
        </t:Anchor>
        <t:SetTitle title="this should be 30 June I think @Nicole Youngs (DHHS)"/>
      </t:Event>
    </t:History>
  </t:Task>
  <t:Task id="{FFA5E6CC-A692-4BF6-8DC3-5929516C9613}">
    <t:Anchor>
      <t:Comment id="672184821"/>
    </t:Anchor>
    <t:History>
      <t:Event id="{FA33AE72-5FD6-4A1F-B47E-2C0F85991ECA}" time="2023-05-19T05:56:13.268Z">
        <t:Attribution userId="S::joanne.mclachlan@vahi.vic.gov.au::870e8252-78ac-47be-aa2c-376fb269e8d0" userProvider="AD" userName="Joanne McLachlan (Health)"/>
        <t:Anchor>
          <t:Comment id="1744542113"/>
        </t:Anchor>
        <t:Create/>
      </t:Event>
      <t:Event id="{4A501428-DB59-4E09-AE38-4FA4E76BDC1F}" time="2023-05-19T05:56:13.268Z">
        <t:Attribution userId="S::joanne.mclachlan@vahi.vic.gov.au::870e8252-78ac-47be-aa2c-376fb269e8d0" userProvider="AD" userName="Joanne McLachlan (Health)"/>
        <t:Anchor>
          <t:Comment id="1744542113"/>
        </t:Anchor>
        <t:Assign userId="S::nicole.youngs@safercare.vic.gov.au::65be26fa-e920-4315-ac69-718a9ac73e95" userProvider="AD" userName="Nicole Youngs (DHHS)"/>
      </t:Event>
      <t:Event id="{7EEBB755-B2BD-42B7-8E8C-7071DD4E9AE7}" time="2023-05-19T05:56:13.268Z">
        <t:Attribution userId="S::joanne.mclachlan@vahi.vic.gov.au::870e8252-78ac-47be-aa2c-376fb269e8d0" userProvider="AD" userName="Joanne McLachlan (Health)"/>
        <t:Anchor>
          <t:Comment id="1744542113"/>
        </t:Anchor>
        <t:SetTitle title="@Nicole Youngs (DHHS) , yep, these subpoints are fine - great actually! Personal preference is to have the data item titles on a line of their own, but it's not a biggie"/>
      </t:Event>
    </t:History>
  </t:Task>
  <t:Task id="{C0E95DAE-3E78-46D9-9D9E-948FBDFDC935}">
    <t:Anchor>
      <t:Comment id="671666497"/>
    </t:Anchor>
    <t:History>
      <t:Event id="{431B40D7-38C2-4250-87D9-FE397DBEFE07}" time="2023-05-19T06:03:59.452Z">
        <t:Attribution userId="S::joanne.mclachlan@vahi.vic.gov.au::870e8252-78ac-47be-aa2c-376fb269e8d0" userProvider="AD" userName="Joanne McLachlan (Health)"/>
        <t:Anchor>
          <t:Comment id="1785272438"/>
        </t:Anchor>
        <t:Create/>
      </t:Event>
      <t:Event id="{A72AA163-E457-4AFB-8E6C-86E4490EAC33}" time="2023-05-19T06:03:59.452Z">
        <t:Attribution userId="S::joanne.mclachlan@vahi.vic.gov.au::870e8252-78ac-47be-aa2c-376fb269e8d0" userProvider="AD" userName="Joanne McLachlan (Health)"/>
        <t:Anchor>
          <t:Comment id="1785272438"/>
        </t:Anchor>
        <t:Assign userId="S::nicole.youngs@safercare.vic.gov.au::65be26fa-e920-4315-ac69-718a9ac73e95" userProvider="AD" userName="Nicole Youngs (DHHS)"/>
      </t:Event>
      <t:Event id="{0C78791B-78F3-43DE-8EF7-60B114644F38}" time="2023-05-19T06:03:59.452Z">
        <t:Attribution userId="S::joanne.mclachlan@vahi.vic.gov.au::870e8252-78ac-47be-aa2c-376fb269e8d0" userProvider="AD" userName="Joanne McLachlan (Health)"/>
        <t:Anchor>
          <t:Comment id="1785272438"/>
        </t:Anchor>
        <t:SetTitle title="@Nicole Youngs (DHHS) - made small tracked changes here and elsewhere. Have not reviewed the section above this (blue bar headings) for the sake of time"/>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3413F4D15E54F925DCD06390B0548" ma:contentTypeVersion="5" ma:contentTypeDescription="Create a new document." ma:contentTypeScope="" ma:versionID="78311812abc4a4f0682f4e02b76d07c8">
  <xsd:schema xmlns:xsd="http://www.w3.org/2001/XMLSchema" xmlns:xs="http://www.w3.org/2001/XMLSchema" xmlns:p="http://schemas.microsoft.com/office/2006/metadata/properties" xmlns:ns2="df7a4e13-711d-459d-8af1-28f072c2fa17" xmlns:ns3="961e10b6-4449-43b0-a607-edc43e057ce6" targetNamespace="http://schemas.microsoft.com/office/2006/metadata/properties" ma:root="true" ma:fieldsID="1cae9b1717187cee3c27c46695723cc3" ns2:_="" ns3:_="">
    <xsd:import namespace="df7a4e13-711d-459d-8af1-28f072c2fa17"/>
    <xsd:import namespace="961e10b6-4449-43b0-a607-edc43e057c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4e13-711d-459d-8af1-28f072c2f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1e10b6-4449-43b0-a607-edc43e057c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61e10b6-4449-43b0-a607-edc43e057ce6">
      <UserInfo>
        <DisplayName>Lanii Birks (DHHS)</DisplayName>
        <AccountId>11</AccountId>
        <AccountType/>
      </UserInfo>
    </SharedWithUsers>
  </documentManagement>
</p:properties>
</file>

<file path=customXml/itemProps1.xml><?xml version="1.0" encoding="utf-8"?>
<ds:datastoreItem xmlns:ds="http://schemas.openxmlformats.org/officeDocument/2006/customXml" ds:itemID="{EB9FBAF2-E32C-4A47-AC71-EFD24C6AA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4e13-711d-459d-8af1-28f072c2fa17"/>
    <ds:schemaRef ds:uri="961e10b6-4449-43b0-a607-edc43e057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D4134-9C89-4B1F-A4BE-82CE633517D0}">
  <ds:schemaRefs>
    <ds:schemaRef ds:uri="http://schemas.microsoft.com/sharepoint/v3/contenttype/forms"/>
  </ds:schemaRefs>
</ds:datastoreItem>
</file>

<file path=customXml/itemProps3.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4.xml><?xml version="1.0" encoding="utf-8"?>
<ds:datastoreItem xmlns:ds="http://schemas.openxmlformats.org/officeDocument/2006/customXml" ds:itemID="{13C4EFDD-117F-4DF0-92BA-910F1DE92A1F}">
  <ds:schemaRefs>
    <ds:schemaRef ds:uri="http://schemas.microsoft.com/office/2006/metadata/properties"/>
    <ds:schemaRef ds:uri="http://schemas.microsoft.com/office/infopath/2007/PartnerControls"/>
    <ds:schemaRef ds:uri="961e10b6-4449-43b0-a607-edc43e057ce6"/>
  </ds:schemaRefs>
</ds:datastoreItem>
</file>

<file path=docProps/app.xml><?xml version="1.0" encoding="utf-8"?>
<Properties xmlns="http://schemas.openxmlformats.org/officeDocument/2006/extended-properties" xmlns:vt="http://schemas.openxmlformats.org/officeDocument/2006/docPropsVTypes">
  <Template>SCV blank.dotx</Template>
  <TotalTime>0</TotalTime>
  <Pages>7</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19956</CharactersWithSpaces>
  <SharedDoc>false</SharedDoc>
  <HLinks>
    <vt:vector size="90" baseType="variant">
      <vt:variant>
        <vt:i4>6094850</vt:i4>
      </vt:variant>
      <vt:variant>
        <vt:i4>42</vt:i4>
      </vt:variant>
      <vt:variant>
        <vt:i4>0</vt:i4>
      </vt:variant>
      <vt:variant>
        <vt:i4>5</vt:i4>
      </vt:variant>
      <vt:variant>
        <vt:lpwstr>http://www.safercare.vic/</vt:lpwstr>
      </vt:variant>
      <vt:variant>
        <vt:lpwstr/>
      </vt:variant>
      <vt:variant>
        <vt:i4>70</vt:i4>
      </vt:variant>
      <vt:variant>
        <vt:i4>39</vt:i4>
      </vt:variant>
      <vt:variant>
        <vt:i4>0</vt:i4>
      </vt:variant>
      <vt:variant>
        <vt:i4>5</vt:i4>
      </vt:variant>
      <vt:variant>
        <vt:lpwstr>https://www.safercare.vic.gov.au/</vt:lpwstr>
      </vt:variant>
      <vt:variant>
        <vt:lpwstr/>
      </vt:variant>
      <vt:variant>
        <vt:i4>4456545</vt:i4>
      </vt:variant>
      <vt:variant>
        <vt:i4>36</vt:i4>
      </vt:variant>
      <vt:variant>
        <vt:i4>0</vt:i4>
      </vt:variant>
      <vt:variant>
        <vt:i4>5</vt:i4>
      </vt:variant>
      <vt:variant>
        <vt:lpwstr>mailto:safercarevictoria@dhhs.vic</vt:lpwstr>
      </vt:variant>
      <vt:variant>
        <vt:lpwstr/>
      </vt:variant>
      <vt:variant>
        <vt:i4>7733315</vt:i4>
      </vt:variant>
      <vt:variant>
        <vt:i4>33</vt:i4>
      </vt:variant>
      <vt:variant>
        <vt:i4>0</vt:i4>
      </vt:variant>
      <vt:variant>
        <vt:i4>5</vt:i4>
      </vt:variant>
      <vt:variant>
        <vt:lpwstr>mailto:info@safercarevictoria.vic.gov.au</vt:lpwstr>
      </vt:variant>
      <vt:variant>
        <vt:lpwstr/>
      </vt:variant>
      <vt:variant>
        <vt:i4>7077898</vt:i4>
      </vt:variant>
      <vt:variant>
        <vt:i4>30</vt:i4>
      </vt:variant>
      <vt:variant>
        <vt:i4>0</vt:i4>
      </vt:variant>
      <vt:variant>
        <vt:i4>5</vt:i4>
      </vt:variant>
      <vt:variant>
        <vt:lpwstr>mailto:hdss.helpdesk@health.vic.gov.au</vt:lpwstr>
      </vt:variant>
      <vt:variant>
        <vt:lpwstr/>
      </vt:variant>
      <vt:variant>
        <vt:i4>2949140</vt:i4>
      </vt:variant>
      <vt:variant>
        <vt:i4>27</vt:i4>
      </vt:variant>
      <vt:variant>
        <vt:i4>0</vt:i4>
      </vt:variant>
      <vt:variant>
        <vt:i4>5</vt:i4>
      </vt:variant>
      <vt:variant>
        <vt:lpwstr>mailto:dutyofcandour@health.vic.gov.au</vt:lpwstr>
      </vt:variant>
      <vt:variant>
        <vt:lpwstr/>
      </vt:variant>
      <vt:variant>
        <vt:i4>3801210</vt:i4>
      </vt:variant>
      <vt:variant>
        <vt:i4>24</vt:i4>
      </vt:variant>
      <vt:variant>
        <vt:i4>0</vt:i4>
      </vt:variant>
      <vt:variant>
        <vt:i4>5</vt:i4>
      </vt:variant>
      <vt:variant>
        <vt:lpwstr>https://www.safercare.vic.gov.au/support-training/adverse-event-review-and-response/duty-of-candour</vt:lpwstr>
      </vt:variant>
      <vt:variant>
        <vt:lpwstr/>
      </vt:variant>
      <vt:variant>
        <vt:i4>6094870</vt:i4>
      </vt:variant>
      <vt:variant>
        <vt:i4>21</vt:i4>
      </vt:variant>
      <vt:variant>
        <vt:i4>0</vt:i4>
      </vt:variant>
      <vt:variant>
        <vt:i4>5</vt:i4>
      </vt:variant>
      <vt:variant>
        <vt:lpwstr>https://www.health.vic.gov.au/data-reporting/health-data-standards-and-systems-communications</vt:lpwstr>
      </vt:variant>
      <vt:variant>
        <vt:lpwstr/>
      </vt:variant>
      <vt:variant>
        <vt:i4>1835085</vt:i4>
      </vt:variant>
      <vt:variant>
        <vt:i4>18</vt:i4>
      </vt:variant>
      <vt:variant>
        <vt:i4>0</vt:i4>
      </vt:variant>
      <vt:variant>
        <vt:i4>5</vt:i4>
      </vt:variant>
      <vt:variant>
        <vt:lpwstr>https://forms.office.com/Pages/ResponsePage.aspx?id=H2DgwKwPnESciKEExOufKIQCYRhq7MNNvvjya8xeYoZUNzE3UEZWTlpPNlc0WUhaMERaMEw1SjRDSS4u</vt:lpwstr>
      </vt:variant>
      <vt:variant>
        <vt:lpwstr/>
      </vt:variant>
      <vt:variant>
        <vt:i4>1310790</vt:i4>
      </vt:variant>
      <vt:variant>
        <vt:i4>15</vt:i4>
      </vt:variant>
      <vt:variant>
        <vt:i4>0</vt:i4>
      </vt:variant>
      <vt:variant>
        <vt:i4>5</vt:i4>
      </vt:variant>
      <vt:variant>
        <vt:lpwstr>https://www.healthcollect.vic.gov.au/</vt:lpwstr>
      </vt:variant>
      <vt:variant>
        <vt:lpwstr/>
      </vt:variant>
      <vt:variant>
        <vt:i4>2949140</vt:i4>
      </vt:variant>
      <vt:variant>
        <vt:i4>12</vt:i4>
      </vt:variant>
      <vt:variant>
        <vt:i4>0</vt:i4>
      </vt:variant>
      <vt:variant>
        <vt:i4>5</vt:i4>
      </vt:variant>
      <vt:variant>
        <vt:lpwstr>mailto:dutyofcandour@health.vic.gov.au</vt:lpwstr>
      </vt:variant>
      <vt:variant>
        <vt:lpwstr/>
      </vt:variant>
      <vt:variant>
        <vt:i4>92</vt:i4>
      </vt:variant>
      <vt:variant>
        <vt:i4>9</vt:i4>
      </vt:variant>
      <vt:variant>
        <vt:i4>0</vt:i4>
      </vt:variant>
      <vt:variant>
        <vt:i4>5</vt:i4>
      </vt:variant>
      <vt:variant>
        <vt:lpwstr>https://www.safercare.vic.gov.au/sites/default/files/2022-10/Victorian Duty of Candour Framework - FINAL.docx</vt:lpwstr>
      </vt:variant>
      <vt:variant>
        <vt:lpwstr/>
      </vt:variant>
      <vt:variant>
        <vt:i4>3080249</vt:i4>
      </vt:variant>
      <vt:variant>
        <vt:i4>6</vt:i4>
      </vt:variant>
      <vt:variant>
        <vt:i4>0</vt:i4>
      </vt:variant>
      <vt:variant>
        <vt:i4>5</vt:i4>
      </vt:variant>
      <vt:variant>
        <vt:lpwstr>https://www.safetyandquality.gov.au/our-work/open-disclosure/the-open-disclosure-framework</vt:lpwstr>
      </vt:variant>
      <vt:variant>
        <vt:lpwstr/>
      </vt:variant>
      <vt:variant>
        <vt:i4>8257569</vt:i4>
      </vt:variant>
      <vt:variant>
        <vt:i4>3</vt:i4>
      </vt:variant>
      <vt:variant>
        <vt:i4>0</vt:i4>
      </vt:variant>
      <vt:variant>
        <vt:i4>5</vt:i4>
      </vt:variant>
      <vt:variant>
        <vt:lpwstr>https://www.safercare.vic.gov.au/sites/default/files/2022-10/Victorian Duty of Candour Guidelines - FINAL.docx</vt:lpwstr>
      </vt:variant>
      <vt:variant>
        <vt:lpwstr/>
      </vt:variant>
      <vt:variant>
        <vt:i4>983160</vt:i4>
      </vt:variant>
      <vt:variant>
        <vt:i4>0</vt:i4>
      </vt:variant>
      <vt:variant>
        <vt:i4>0</vt:i4>
      </vt:variant>
      <vt:variant>
        <vt:i4>5</vt:i4>
      </vt:variant>
      <vt:variant>
        <vt:lpwstr>mailto:Joanne.McLachlan@vahi.vic.gov.au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Nicole Youngs (DHHS)</dc:creator>
  <cp:keywords/>
  <cp:lastModifiedBy>Kate De Clercq (DHHS)</cp:lastModifiedBy>
  <cp:revision>2</cp:revision>
  <cp:lastPrinted>2023-06-01T01:57:00Z</cp:lastPrinted>
  <dcterms:created xsi:type="dcterms:W3CDTF">2023-11-20T03:28:00Z</dcterms:created>
  <dcterms:modified xsi:type="dcterms:W3CDTF">2023-11-20T03:28:00Z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0x010100F933413F4D15E54F925DCD06390B0548</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2023-05-02T01:44:55Z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9a221f4e-28d4-4201-9262-746fc9f98b2b</vt:lpwstr>
  </property>
  <property fmtid="{D5CDD505-2E9C-101B-9397-08002B2CF9AE}" pid="11" name="MSIP_Label_43e64453-338c-4f93-8a4d-0039a0a41f2a_ContentBits">
    <vt:lpwstr>2</vt:lpwstr>
  </property>
  <property fmtid="{D5CDD505-2E9C-101B-9397-08002B2CF9AE}" pid="12" name="Order">
    <vt:r8>145700</vt:r8>
  </property>
  <property fmtid="{D5CDD505-2E9C-101B-9397-08002B2CF9AE}" pid="13" name="xd_Signature">
    <vt:bool>false</vt:bool>
  </property>
  <property fmtid="{D5CDD505-2E9C-101B-9397-08002B2CF9AE}" pid="14" name="SharedWithUsers">
    <vt:lpwstr>42;#Lanii Birks (DHHS)</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