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5670" w:rightFromText="5670" w:vertAnchor="page" w:horzAnchor="page" w:tblpX="852" w:tblpY="4310"/>
        <w:tblOverlap w:val="never"/>
        <w:tblW w:w="6804" w:type="dxa"/>
        <w:tblBorders>
          <w:insideH w:val="single" w:sz="24" w:space="0" w:color="CCCCD0" w:themeColor="accent6"/>
        </w:tblBorders>
        <w:tblCellMar>
          <w:left w:w="0" w:type="dxa"/>
          <w:right w:w="0" w:type="dxa"/>
        </w:tblCellMar>
        <w:tblLook w:val="0620" w:firstRow="1" w:lastRow="0" w:firstColumn="0" w:lastColumn="0" w:noHBand="1" w:noVBand="1"/>
      </w:tblPr>
      <w:tblGrid>
        <w:gridCol w:w="6804"/>
      </w:tblGrid>
      <w:tr w:rsidR="00A46288" w14:paraId="50A26F1C" w14:textId="77777777" w:rsidTr="0050356B">
        <w:trPr>
          <w:trHeight w:val="2948"/>
        </w:trPr>
        <w:tc>
          <w:tcPr>
            <w:tcW w:w="6804" w:type="dxa"/>
            <w:shd w:val="clear" w:color="auto" w:fill="auto"/>
            <w:tcMar>
              <w:top w:w="312" w:type="dxa"/>
            </w:tcMar>
          </w:tcPr>
          <w:p w14:paraId="0A23A2AA" w14:textId="5B4125CF" w:rsidR="006300B8" w:rsidRDefault="00637E5C" w:rsidP="006300B8">
            <w:pPr>
              <w:pStyle w:val="Heading3"/>
            </w:pPr>
            <w:r>
              <w:t>February</w:t>
            </w:r>
            <w:r w:rsidR="006300B8">
              <w:t xml:space="preserve"> 202</w:t>
            </w:r>
            <w:r>
              <w:t>4</w:t>
            </w:r>
          </w:p>
          <w:p w14:paraId="69DBAC01" w14:textId="57B65D3C" w:rsidR="005036AA" w:rsidRDefault="005036AA" w:rsidP="00330344">
            <w:pPr>
              <w:pStyle w:val="Subtitle"/>
              <w:framePr w:hSpace="0" w:wrap="auto" w:vAnchor="margin" w:hAnchor="text" w:xAlign="left" w:yAlign="inline"/>
              <w:spacing w:after="120"/>
              <w:suppressOverlap w:val="0"/>
              <w:rPr>
                <w:b/>
                <w:color w:val="007586" w:themeColor="text2"/>
                <w:spacing w:val="-4"/>
                <w:sz w:val="76"/>
                <w:szCs w:val="22"/>
              </w:rPr>
            </w:pPr>
            <w:r w:rsidRPr="005036AA">
              <w:rPr>
                <w:b/>
                <w:color w:val="007586" w:themeColor="text2"/>
                <w:spacing w:val="-4"/>
                <w:sz w:val="76"/>
                <w:szCs w:val="22"/>
              </w:rPr>
              <w:t>Victorian perinatal services performance indicators</w:t>
            </w:r>
          </w:p>
          <w:p w14:paraId="1DBC01EC" w14:textId="2F8007F4" w:rsidR="00A46288" w:rsidRPr="00BF3854" w:rsidRDefault="005036AA" w:rsidP="0050356B">
            <w:pPr>
              <w:pStyle w:val="Subtitle"/>
              <w:framePr w:hSpace="0" w:wrap="auto" w:vAnchor="margin" w:hAnchor="text" w:xAlign="left" w:yAlign="inline"/>
              <w:suppressOverlap w:val="0"/>
            </w:pPr>
            <w:r>
              <w:t>20</w:t>
            </w:r>
            <w:r w:rsidR="006300B8">
              <w:t>21</w:t>
            </w:r>
          </w:p>
        </w:tc>
      </w:tr>
    </w:tbl>
    <w:p w14:paraId="028D5DBE" w14:textId="77777777" w:rsidR="00A46288" w:rsidRDefault="00A46288" w:rsidP="00A46288">
      <w:pPr>
        <w:pStyle w:val="NoSpacing"/>
      </w:pPr>
    </w:p>
    <w:p w14:paraId="0451E9F7" w14:textId="77777777" w:rsidR="00A46288" w:rsidRDefault="00A46288" w:rsidP="0026028E">
      <w:pPr>
        <w:sectPr w:rsidR="00A46288" w:rsidSect="00257461">
          <w:headerReference w:type="default" r:id="rId11"/>
          <w:footerReference w:type="even" r:id="rId12"/>
          <w:footerReference w:type="default" r:id="rId13"/>
          <w:headerReference w:type="first" r:id="rId14"/>
          <w:footerReference w:type="first" r:id="rId15"/>
          <w:pgSz w:w="11906" w:h="16838" w:code="9"/>
          <w:pgMar w:top="3402" w:right="851" w:bottom="1361" w:left="851" w:header="539" w:footer="624" w:gutter="0"/>
          <w:pgNumType w:start="1"/>
          <w:cols w:space="284"/>
          <w:titlePg/>
          <w:docGrid w:linePitch="360"/>
        </w:sectPr>
      </w:pPr>
    </w:p>
    <w:tbl>
      <w:tblPr>
        <w:tblStyle w:val="SCVInformationTable"/>
        <w:tblpPr w:leftFromText="181" w:rightFromText="181" w:horzAnchor="page" w:tblpX="852" w:tblpYSpec="bottom"/>
        <w:tblW w:w="10216" w:type="dxa"/>
        <w:tblLook w:val="0600" w:firstRow="0" w:lastRow="0" w:firstColumn="0" w:lastColumn="0" w:noHBand="1" w:noVBand="1"/>
      </w:tblPr>
      <w:tblGrid>
        <w:gridCol w:w="4111"/>
        <w:gridCol w:w="3621"/>
        <w:gridCol w:w="2484"/>
      </w:tblGrid>
      <w:tr w:rsidR="008116D8" w:rsidRPr="00736C0C" w14:paraId="1F16EDE7" w14:textId="77777777" w:rsidTr="008116D8">
        <w:trPr>
          <w:trHeight w:val="2041"/>
        </w:trPr>
        <w:tc>
          <w:tcPr>
            <w:tcW w:w="4111" w:type="dxa"/>
            <w:tcMar>
              <w:left w:w="113" w:type="dxa"/>
            </w:tcMar>
          </w:tcPr>
          <w:p w14:paraId="55895517" w14:textId="153157ED" w:rsidR="008116D8" w:rsidRPr="008116D8" w:rsidRDefault="0089354C" w:rsidP="00465BF2">
            <w:pPr>
              <w:rPr>
                <w:sz w:val="24"/>
                <w:szCs w:val="24"/>
              </w:rPr>
            </w:pPr>
            <w:r w:rsidRPr="0089354C">
              <w:rPr>
                <w:sz w:val="24"/>
                <w:szCs w:val="24"/>
              </w:rPr>
              <w:lastRenderedPageBreak/>
              <w:t xml:space="preserve">To receive this publication in an accessible format phone </w:t>
            </w:r>
            <w:r w:rsidR="009A0B35">
              <w:rPr>
                <w:sz w:val="24"/>
                <w:szCs w:val="24"/>
              </w:rPr>
              <w:t>(</w:t>
            </w:r>
            <w:r w:rsidRPr="0089354C">
              <w:rPr>
                <w:sz w:val="24"/>
                <w:szCs w:val="24"/>
              </w:rPr>
              <w:t>03</w:t>
            </w:r>
            <w:r w:rsidR="009A0B35">
              <w:rPr>
                <w:sz w:val="24"/>
                <w:szCs w:val="24"/>
              </w:rPr>
              <w:t>)</w:t>
            </w:r>
            <w:r w:rsidRPr="0089354C">
              <w:rPr>
                <w:sz w:val="24"/>
                <w:szCs w:val="24"/>
              </w:rPr>
              <w:t xml:space="preserve"> 9096 1384, using the National Relay Service 13 36 77 if required, or </w:t>
            </w:r>
            <w:hyperlink r:id="rId16" w:history="1">
              <w:r w:rsidRPr="001B54FC">
                <w:rPr>
                  <w:rStyle w:val="Hyperlink"/>
                  <w:sz w:val="24"/>
                  <w:szCs w:val="24"/>
                </w:rPr>
                <w:t>email Safer Care Victoria</w:t>
              </w:r>
            </w:hyperlink>
            <w:r w:rsidRPr="0089354C">
              <w:rPr>
                <w:color w:val="FF0000"/>
                <w:sz w:val="24"/>
                <w:szCs w:val="24"/>
              </w:rPr>
              <w:t xml:space="preserve"> </w:t>
            </w:r>
            <w:r w:rsidRPr="0089354C">
              <w:rPr>
                <w:color w:val="000000" w:themeColor="text1"/>
                <w:sz w:val="24"/>
                <w:szCs w:val="24"/>
              </w:rPr>
              <w:t>&lt;info@safercare.vic.gov.au&gt;</w:t>
            </w:r>
            <w:r w:rsidR="009A0B35">
              <w:rPr>
                <w:color w:val="000000" w:themeColor="text1"/>
                <w:sz w:val="24"/>
                <w:szCs w:val="24"/>
              </w:rPr>
              <w:t>.</w:t>
            </w:r>
          </w:p>
        </w:tc>
        <w:tc>
          <w:tcPr>
            <w:tcW w:w="3621" w:type="dxa"/>
          </w:tcPr>
          <w:p w14:paraId="0748C015" w14:textId="77777777" w:rsidR="00DF4A80" w:rsidRPr="00DF4A80" w:rsidRDefault="00DF4A80" w:rsidP="00DF4A80">
            <w:pPr>
              <w:rPr>
                <w:szCs w:val="15"/>
              </w:rPr>
            </w:pPr>
            <w:r w:rsidRPr="00DF4A80">
              <w:rPr>
                <w:szCs w:val="15"/>
              </w:rPr>
              <w:t>Authorised and published by the Victorian Government, 1 Treasury Place, Melbourne.</w:t>
            </w:r>
          </w:p>
          <w:p w14:paraId="0CFD968F" w14:textId="21C11C0E" w:rsidR="00DF4A80" w:rsidRPr="00DF4A80" w:rsidRDefault="00DF4A80" w:rsidP="00DF4A80">
            <w:pPr>
              <w:rPr>
                <w:szCs w:val="15"/>
              </w:rPr>
            </w:pPr>
            <w:r w:rsidRPr="00DF4A80">
              <w:rPr>
                <w:szCs w:val="15"/>
              </w:rPr>
              <w:t xml:space="preserve">© State of Victoria, Australia, Safer Care Victoria, </w:t>
            </w:r>
            <w:r w:rsidR="003478E2">
              <w:rPr>
                <w:szCs w:val="15"/>
              </w:rPr>
              <w:t>February 2024</w:t>
            </w:r>
          </w:p>
          <w:p w14:paraId="7785B6E0" w14:textId="77777777" w:rsidR="00DF4A80" w:rsidRPr="00DF4A80" w:rsidRDefault="00DF4A80" w:rsidP="00DF4A80">
            <w:pPr>
              <w:rPr>
                <w:szCs w:val="15"/>
              </w:rPr>
            </w:pPr>
            <w:r w:rsidRPr="00DF4A80">
              <w:rPr>
                <w:szCs w:val="15"/>
              </w:rPr>
              <w:t>ISSN 2207-3558 (online)</w:t>
            </w:r>
          </w:p>
          <w:p w14:paraId="57C2396D" w14:textId="2EA57E09" w:rsidR="008116D8" w:rsidRPr="00736C0C" w:rsidRDefault="00DF4A80" w:rsidP="00DF4A80">
            <w:pPr>
              <w:rPr>
                <w:szCs w:val="15"/>
              </w:rPr>
            </w:pPr>
            <w:r w:rsidRPr="00DF4A80">
              <w:rPr>
                <w:szCs w:val="15"/>
              </w:rPr>
              <w:t xml:space="preserve">Available </w:t>
            </w:r>
            <w:r w:rsidR="009A0B35">
              <w:rPr>
                <w:szCs w:val="15"/>
              </w:rPr>
              <w:t>from</w:t>
            </w:r>
            <w:r w:rsidR="009A0B35" w:rsidRPr="00DF4A80">
              <w:rPr>
                <w:szCs w:val="15"/>
              </w:rPr>
              <w:t xml:space="preserve"> </w:t>
            </w:r>
            <w:r>
              <w:rPr>
                <w:szCs w:val="15"/>
              </w:rPr>
              <w:t xml:space="preserve">the </w:t>
            </w:r>
            <w:hyperlink r:id="rId17" w:history="1">
              <w:r w:rsidRPr="001B54FC">
                <w:rPr>
                  <w:rStyle w:val="Hyperlink"/>
                  <w:szCs w:val="15"/>
                </w:rPr>
                <w:t>Safer Care Victoria website</w:t>
              </w:r>
            </w:hyperlink>
            <w:r w:rsidRPr="001C53D3">
              <w:rPr>
                <w:color w:val="4D92C0"/>
                <w:szCs w:val="15"/>
              </w:rPr>
              <w:t xml:space="preserve"> </w:t>
            </w:r>
            <w:r w:rsidR="001C53D3">
              <w:rPr>
                <w:szCs w:val="15"/>
              </w:rPr>
              <w:t>&lt;</w:t>
            </w:r>
            <w:r w:rsidR="001C53D3" w:rsidRPr="001C53D3">
              <w:rPr>
                <w:szCs w:val="15"/>
              </w:rPr>
              <w:t>https://bettersafercare.vic.gov.au</w:t>
            </w:r>
            <w:r w:rsidR="001C53D3">
              <w:rPr>
                <w:szCs w:val="15"/>
              </w:rPr>
              <w:t>&gt;</w:t>
            </w:r>
            <w:r w:rsidR="009A0B35">
              <w:rPr>
                <w:szCs w:val="15"/>
              </w:rPr>
              <w:t>.</w:t>
            </w:r>
          </w:p>
        </w:tc>
        <w:tc>
          <w:tcPr>
            <w:tcW w:w="2484" w:type="dxa"/>
          </w:tcPr>
          <w:p w14:paraId="5121F73E" w14:textId="77777777" w:rsidR="008116D8" w:rsidRPr="00736C0C" w:rsidRDefault="008116D8" w:rsidP="0086277A">
            <w:pPr>
              <w:rPr>
                <w:szCs w:val="15"/>
              </w:rPr>
            </w:pPr>
            <w:r w:rsidRPr="00736C0C">
              <w:rPr>
                <w:noProof/>
                <w:szCs w:val="15"/>
              </w:rPr>
              <w:drawing>
                <wp:inline distT="0" distB="0" distL="0" distR="0" wp14:anchorId="58F30E54" wp14:editId="75DAB8FD">
                  <wp:extent cx="801914" cy="457200"/>
                  <wp:effectExtent l="0" t="0" r="0" b="0"/>
                  <wp:docPr id="16" name="Picture 16" descr="Victoria State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c State Government.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01914" cy="457200"/>
                          </a:xfrm>
                          <a:prstGeom prst="rect">
                            <a:avLst/>
                          </a:prstGeom>
                        </pic:spPr>
                      </pic:pic>
                    </a:graphicData>
                  </a:graphic>
                </wp:inline>
              </w:drawing>
            </w:r>
          </w:p>
        </w:tc>
      </w:tr>
    </w:tbl>
    <w:p w14:paraId="4DB16B5E" w14:textId="77777777" w:rsidR="0086277A" w:rsidRDefault="007C4073" w:rsidP="0026028E">
      <w:r>
        <w:fldChar w:fldCharType="begin"/>
      </w:r>
      <w:r>
        <w:instrText xml:space="preserve"> Macrobutton NoMacro  </w:instrText>
      </w:r>
      <w:r>
        <w:fldChar w:fldCharType="end"/>
      </w:r>
      <w:r>
        <w:rPr>
          <w:noProof/>
        </w:rPr>
        <w:drawing>
          <wp:anchor distT="0" distB="0" distL="114300" distR="114300" simplePos="0" relativeHeight="251661312" behindDoc="1" locked="1" layoutInCell="1" allowOverlap="1" wp14:anchorId="75353671" wp14:editId="564F3FEF">
            <wp:simplePos x="0" y="0"/>
            <wp:positionH relativeFrom="page">
              <wp:posOffset>0</wp:posOffset>
            </wp:positionH>
            <wp:positionV relativeFrom="page">
              <wp:posOffset>0</wp:posOffset>
            </wp:positionV>
            <wp:extent cx="7560000" cy="10692000"/>
            <wp:effectExtent l="0" t="0" r="0" b="1905"/>
            <wp:wrapNone/>
            <wp:docPr id="3" name="Picture 3" descr="Abstrac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side artwork.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p w14:paraId="2A70D4AF" w14:textId="77777777" w:rsidR="0086277A" w:rsidRDefault="0086277A" w:rsidP="0026028E">
      <w:pPr>
        <w:sectPr w:rsidR="0086277A" w:rsidSect="007C4073">
          <w:footerReference w:type="even" r:id="rId20"/>
          <w:footerReference w:type="default" r:id="rId21"/>
          <w:headerReference w:type="first" r:id="rId22"/>
          <w:footerReference w:type="first" r:id="rId23"/>
          <w:pgSz w:w="11906" w:h="16838" w:code="9"/>
          <w:pgMar w:top="3402" w:right="851" w:bottom="1361" w:left="851" w:header="539" w:footer="624" w:gutter="0"/>
          <w:cols w:num="2" w:space="284"/>
          <w:docGrid w:linePitch="360"/>
        </w:sectPr>
      </w:pPr>
    </w:p>
    <w:p w14:paraId="40647A0B" w14:textId="77777777" w:rsidR="003478E2" w:rsidRDefault="003478E2" w:rsidP="003478E2">
      <w:pPr>
        <w:pStyle w:val="Heading2"/>
      </w:pPr>
      <w:bookmarkStart w:id="0" w:name="_Toc159326559"/>
      <w:r>
        <w:lastRenderedPageBreak/>
        <w:t>Acknowledgement of Country</w:t>
      </w:r>
    </w:p>
    <w:p w14:paraId="69AACCAA" w14:textId="77777777" w:rsidR="003478E2" w:rsidRDefault="003478E2" w:rsidP="003478E2">
      <w:r>
        <w:t>We proudly acknowledge Victoria’s Aboriginal communities and their rich culture and pay respect to their Elders past and present.</w:t>
      </w:r>
    </w:p>
    <w:p w14:paraId="587A7956" w14:textId="2EB009FE" w:rsidR="003478E2" w:rsidRDefault="003478E2" w:rsidP="003478E2">
      <w:r>
        <w:t>We acknowledge Aboriginal people as Australia’s First Peoples and as the Traditional Owners and custodians of the land and water on which we rely.</w:t>
      </w:r>
    </w:p>
    <w:p w14:paraId="6D8DC170" w14:textId="77777777" w:rsidR="003478E2" w:rsidRDefault="003478E2" w:rsidP="003478E2">
      <w:r>
        <w:t>We recognise and value the ongoing contribution of Aboriginal people and communities to Victorian life and how this enriches us.</w:t>
      </w:r>
    </w:p>
    <w:p w14:paraId="7242E6C9" w14:textId="77777777" w:rsidR="003478E2" w:rsidRDefault="003478E2" w:rsidP="003478E2">
      <w:r>
        <w:t>We embrace the spirit of reconciliation, working towards the equality of outcomes and ensuring an equal voice.</w:t>
      </w:r>
    </w:p>
    <w:p w14:paraId="14803787" w14:textId="327C2A05" w:rsidR="003478E2" w:rsidRDefault="003478E2" w:rsidP="003478E2">
      <w:pPr>
        <w:pStyle w:val="Heading2"/>
      </w:pPr>
      <w:r>
        <w:t>Acknowledgement of lived experience</w:t>
      </w:r>
    </w:p>
    <w:p w14:paraId="15DEE540" w14:textId="2B0D1D92" w:rsidR="003478E2" w:rsidRDefault="003478E2" w:rsidP="003478E2">
      <w:r>
        <w:t>We acknowledge the lived experience of mothers, babies and families who receive care in Victorian maternity and newborn services.</w:t>
      </w:r>
    </w:p>
    <w:p w14:paraId="348B4043" w14:textId="59CE8388" w:rsidR="003478E2" w:rsidRDefault="003478E2" w:rsidP="003478E2">
      <w:r>
        <w:t>We are committed to improving and creating a system that is safe for all.</w:t>
      </w:r>
      <w:r>
        <w:rPr>
          <w:b/>
          <w:bCs/>
        </w:rPr>
        <w:t xml:space="preserve"> </w:t>
      </w:r>
      <w:r>
        <w:rPr>
          <w:b/>
          <w:bCs/>
        </w:rPr>
        <w:br w:type="page"/>
      </w:r>
    </w:p>
    <w:p w14:paraId="6627EF44" w14:textId="7F7B341D" w:rsidR="00D6403A" w:rsidRPr="00D6403A" w:rsidRDefault="00D6403A" w:rsidP="00D6403A">
      <w:pPr>
        <w:pStyle w:val="Heading1"/>
        <w:framePr w:wrap="around"/>
        <w:rPr>
          <w:lang w:val="en-GB"/>
        </w:rPr>
      </w:pPr>
      <w:r w:rsidRPr="00D6403A">
        <w:rPr>
          <w:lang w:val="en-GB"/>
        </w:rPr>
        <w:lastRenderedPageBreak/>
        <w:t>Foreword</w:t>
      </w:r>
      <w:bookmarkEnd w:id="0"/>
      <w:r w:rsidRPr="00D6403A">
        <w:rPr>
          <w:lang w:val="en-GB"/>
        </w:rPr>
        <w:t xml:space="preserve"> </w:t>
      </w:r>
    </w:p>
    <w:p w14:paraId="609EA599" w14:textId="77777777" w:rsidR="00D6403A" w:rsidRPr="00D6403A" w:rsidRDefault="00D6403A" w:rsidP="00D6403A">
      <w:pPr>
        <w:pStyle w:val="IntroductoryText"/>
        <w:rPr>
          <w:lang w:val="en-GB"/>
        </w:rPr>
      </w:pPr>
      <w:r w:rsidRPr="00D6403A">
        <w:rPr>
          <w:lang w:val="en-GB"/>
        </w:rPr>
        <w:t>As the Consumer and Clinical Leads for the Maternity and Newborn Learning Health Network (MNLHN), we are delighted to present the 2021 Victorian Perinatal Services Performance Indicators (PSPI) report for the consideration of consumers (women and families), clinicians and health services.</w:t>
      </w:r>
    </w:p>
    <w:p w14:paraId="4143B9EB" w14:textId="77777777" w:rsidR="00D6403A" w:rsidRPr="00D6403A" w:rsidRDefault="00D6403A" w:rsidP="00D6403A">
      <w:pPr>
        <w:rPr>
          <w:lang w:val="en-GB"/>
        </w:rPr>
      </w:pPr>
      <w:r w:rsidRPr="00D6403A">
        <w:t>We have worked with our MNLHN Advisory Group and Data Group members to prepare the narrative to</w:t>
      </w:r>
      <w:r w:rsidRPr="00D6403A">
        <w:rPr>
          <w:rFonts w:ascii="Cambria" w:hAnsi="Cambria" w:cs="Cambria"/>
          <w:lang w:val="en-GB"/>
        </w:rPr>
        <w:t> </w:t>
      </w:r>
      <w:r w:rsidRPr="00D6403A">
        <w:rPr>
          <w:lang w:val="en-GB"/>
        </w:rPr>
        <w:t>this report. Our consumers have provided insightful observations, suggested improvement strategies and ensured the language used in the report is consumer-friendly. This has been a welcome opportunity and approach, and we thank them for their input and support. We are also grateful for the expertise of our clinicians, academics and researchers. The data for this report was provided by Safer Care Victoria’s Technical Development Support and Consultative Councils Unit teams.</w:t>
      </w:r>
    </w:p>
    <w:p w14:paraId="5E405651" w14:textId="3134465A" w:rsidR="00D6403A" w:rsidRPr="00D6403A" w:rsidRDefault="00D6403A" w:rsidP="00D6403A">
      <w:r w:rsidRPr="00D6403A">
        <w:rPr>
          <w:lang w:val="en-GB"/>
        </w:rPr>
        <w:t>The information contained in the 2021 report is from a time when the whole healthcare system was experiencing pressure from the long-anticipated COVID-19 wave working its way through our community after 18 months of intermittent lockdowns. This was certainly a year of extraordinary circumstances, and we acknowledge the challenges women and their families faced and the hard work and dedication of our health professionals. The</w:t>
      </w:r>
      <w:r w:rsidRPr="00D6403A">
        <w:rPr>
          <w:rFonts w:ascii="Cambria" w:hAnsi="Cambria" w:cs="Cambria"/>
          <w:lang w:val="en-GB"/>
        </w:rPr>
        <w:t> </w:t>
      </w:r>
      <w:r w:rsidRPr="00D6403A">
        <w:t>PSPI data enables us to work together on identifying the challenges facing Victoria’s maternity and newborn services. It is intended to be a catalyst for opportunities for improvement and for identifying innovations in practice that can be shared between services. This report provides a year-on-year view of key outcomes from our largest tertiary metropolitan services to smaller rural health services, including private and public hospitals. Although the number of indicators could be considered daunting, consumers should be encouraged to look at each health service across all indicators, rather than by a single indicator, reflecting on overall strengths. This report represents an attempt to measure care in a standardised way – for example, looking at the outcomes for women who have had a pregnancy without any complications, who should experience similar care at any service.</w:t>
      </w:r>
    </w:p>
    <w:p w14:paraId="653C5B7B" w14:textId="77777777" w:rsidR="00D6403A" w:rsidRPr="00D6403A" w:rsidRDefault="00D6403A" w:rsidP="00862996">
      <w:pPr>
        <w:rPr>
          <w:lang w:val="en-GB"/>
        </w:rPr>
      </w:pPr>
      <w:r w:rsidRPr="00D6403A">
        <w:rPr>
          <w:lang w:val="en-GB"/>
        </w:rPr>
        <w:t>We are particularly pleased this year to introduce ‘balance measures’. These measures recognise that striving for excellence in one area may have unintended consequences on outcomes in another. It is important that these measures are considered together when hospitals review their performance.</w:t>
      </w:r>
    </w:p>
    <w:p w14:paraId="578E79C4" w14:textId="77777777" w:rsidR="00D6403A" w:rsidRPr="00D6403A" w:rsidRDefault="00D6403A" w:rsidP="00862996">
      <w:pPr>
        <w:rPr>
          <w:lang w:val="en-GB"/>
        </w:rPr>
      </w:pPr>
      <w:r w:rsidRPr="00D6403A">
        <w:rPr>
          <w:lang w:val="en-GB"/>
        </w:rPr>
        <w:t>The PSPI report has been a fixture in Victorian maternity and newborn services calendar for many years. In future, we are looking forward to the indicators contained in the report moving to a dashboard, which will facilitate review of health service performance close to real time.</w:t>
      </w:r>
    </w:p>
    <w:p w14:paraId="0FE22641" w14:textId="77777777" w:rsidR="00D6403A" w:rsidRPr="00D6403A" w:rsidRDefault="00D6403A" w:rsidP="00005134">
      <w:pPr>
        <w:rPr>
          <w:lang w:val="en-GB"/>
        </w:rPr>
      </w:pPr>
      <w:r w:rsidRPr="00D6403A">
        <w:rPr>
          <w:lang w:val="en-GB"/>
        </w:rPr>
        <w:t>This year, Safer Care Victoria’s MNLHN has started its improvement program with a cohort of 6 health services and we look forward to working with many more. We also hope to inspire women and families to connect with health service providers to discuss the findings of the report and explore opportunities to contribute to improvement work. After all, consumers are</w:t>
      </w:r>
      <w:r w:rsidRPr="00D6403A">
        <w:rPr>
          <w:rFonts w:ascii="Cambria" w:hAnsi="Cambria" w:cs="Cambria"/>
          <w:color w:val="000000"/>
          <w:lang w:val="en-GB"/>
        </w:rPr>
        <w:t> </w:t>
      </w:r>
      <w:r w:rsidRPr="00D6403A">
        <w:rPr>
          <w:lang w:val="en-GB"/>
        </w:rPr>
        <w:t>at</w:t>
      </w:r>
      <w:r w:rsidRPr="00D6403A">
        <w:rPr>
          <w:rFonts w:ascii="Cambria" w:hAnsi="Cambria" w:cs="Cambria"/>
          <w:color w:val="000000"/>
          <w:lang w:val="en-GB"/>
        </w:rPr>
        <w:t> </w:t>
      </w:r>
      <w:r w:rsidRPr="00D6403A">
        <w:rPr>
          <w:lang w:val="en-GB"/>
        </w:rPr>
        <w:t>the heart of everything we do.</w:t>
      </w:r>
    </w:p>
    <w:p w14:paraId="39A14EC7" w14:textId="3D7BBC25" w:rsidR="001C412F" w:rsidRDefault="00D6403A" w:rsidP="001C412F">
      <w:pPr>
        <w:rPr>
          <w:lang w:val="en-GB"/>
        </w:rPr>
      </w:pPr>
      <w:r w:rsidRPr="00D6403A">
        <w:rPr>
          <w:lang w:val="en-GB"/>
        </w:rPr>
        <w:t xml:space="preserve">Bronwyn Hogan </w:t>
      </w:r>
      <w:r w:rsidR="001C412F">
        <w:rPr>
          <w:lang w:val="en-GB"/>
        </w:rPr>
        <w:br/>
      </w:r>
      <w:r w:rsidR="001C412F" w:rsidRPr="001C412F">
        <w:rPr>
          <w:b/>
          <w:lang w:val="en-GB"/>
        </w:rPr>
        <w:t>MNLHN Consumer Lead</w:t>
      </w:r>
    </w:p>
    <w:p w14:paraId="0F02CDE3" w14:textId="65B4A837" w:rsidR="00D6403A" w:rsidRPr="001C412F" w:rsidRDefault="00D6403A" w:rsidP="001C412F">
      <w:pPr>
        <w:rPr>
          <w:lang w:val="en-GB"/>
        </w:rPr>
      </w:pPr>
      <w:r w:rsidRPr="00D6403A">
        <w:rPr>
          <w:lang w:val="en-GB"/>
        </w:rPr>
        <w:t>Dr Penny Sheehan</w:t>
      </w:r>
      <w:r w:rsidR="001C412F">
        <w:rPr>
          <w:lang w:val="en-GB"/>
        </w:rPr>
        <w:br/>
      </w:r>
      <w:r w:rsidRPr="001C412F">
        <w:rPr>
          <w:b/>
          <w:lang w:val="en-GB"/>
        </w:rPr>
        <w:t>MNLHN Clinical Lead</w:t>
      </w:r>
    </w:p>
    <w:p w14:paraId="5F8E0A4B" w14:textId="77777777" w:rsidR="00DC5A4D" w:rsidRDefault="00DC5A4D">
      <w:pPr>
        <w:pStyle w:val="TOC1"/>
        <w:rPr>
          <w:lang w:val="en-GB"/>
        </w:rPr>
        <w:sectPr w:rsidR="00DC5A4D" w:rsidSect="004D6F5F">
          <w:pgSz w:w="11901" w:h="16817" w:code="9"/>
          <w:pgMar w:top="3402" w:right="851" w:bottom="1361" w:left="851" w:header="539" w:footer="624" w:gutter="0"/>
          <w:cols w:space="284"/>
          <w:docGrid w:linePitch="360" w:charSpace="46114"/>
        </w:sectPr>
      </w:pPr>
    </w:p>
    <w:p w14:paraId="302AE901" w14:textId="3E1C524C" w:rsidR="00DC5A4D" w:rsidRDefault="00DC5A4D" w:rsidP="00DC5A4D">
      <w:pPr>
        <w:pStyle w:val="Heading1"/>
        <w:framePr w:wrap="around"/>
        <w:rPr>
          <w:lang w:val="en-GB"/>
        </w:rPr>
      </w:pPr>
      <w:r>
        <w:rPr>
          <w:lang w:val="en-GB"/>
        </w:rPr>
        <w:lastRenderedPageBreak/>
        <w:t>Contents</w:t>
      </w:r>
    </w:p>
    <w:p w14:paraId="63AC11C4" w14:textId="77A0E3AD" w:rsidR="00DC5A4D" w:rsidRDefault="00DC5A4D">
      <w:pPr>
        <w:pStyle w:val="TOC1"/>
        <w:rPr>
          <w:b w:val="0"/>
          <w:sz w:val="24"/>
          <w:szCs w:val="24"/>
        </w:rPr>
      </w:pPr>
      <w:r>
        <w:rPr>
          <w:lang w:val="en-GB"/>
        </w:rPr>
        <w:fldChar w:fldCharType="begin"/>
      </w:r>
      <w:r>
        <w:rPr>
          <w:lang w:val="en-GB"/>
        </w:rPr>
        <w:instrText xml:space="preserve"> TOC \o "1-2" \h \z \u </w:instrText>
      </w:r>
      <w:r>
        <w:rPr>
          <w:lang w:val="en-GB"/>
        </w:rPr>
        <w:fldChar w:fldCharType="separate"/>
      </w:r>
      <w:hyperlink w:anchor="_Toc159326559" w:history="1">
        <w:r w:rsidRPr="00683C47">
          <w:rPr>
            <w:rStyle w:val="Hyperlink"/>
            <w:lang w:val="en-GB"/>
          </w:rPr>
          <w:t>Foreword</w:t>
        </w:r>
        <w:r>
          <w:rPr>
            <w:webHidden/>
          </w:rPr>
          <w:tab/>
        </w:r>
        <w:r>
          <w:rPr>
            <w:webHidden/>
          </w:rPr>
          <w:fldChar w:fldCharType="begin"/>
        </w:r>
        <w:r>
          <w:rPr>
            <w:webHidden/>
          </w:rPr>
          <w:instrText xml:space="preserve"> PAGEREF _Toc159326559 \h </w:instrText>
        </w:r>
        <w:r>
          <w:rPr>
            <w:webHidden/>
          </w:rPr>
        </w:r>
        <w:r>
          <w:rPr>
            <w:webHidden/>
          </w:rPr>
          <w:fldChar w:fldCharType="separate"/>
        </w:r>
        <w:r w:rsidR="0017155A">
          <w:rPr>
            <w:webHidden/>
          </w:rPr>
          <w:t>3</w:t>
        </w:r>
        <w:r>
          <w:rPr>
            <w:webHidden/>
          </w:rPr>
          <w:fldChar w:fldCharType="end"/>
        </w:r>
      </w:hyperlink>
    </w:p>
    <w:p w14:paraId="5B327DA5" w14:textId="45CE8608" w:rsidR="00DC5A4D" w:rsidRDefault="00232C24">
      <w:pPr>
        <w:pStyle w:val="TOC1"/>
        <w:rPr>
          <w:b w:val="0"/>
          <w:sz w:val="24"/>
          <w:szCs w:val="24"/>
        </w:rPr>
      </w:pPr>
      <w:hyperlink w:anchor="_Toc159326560" w:history="1">
        <w:r w:rsidR="00DC5A4D" w:rsidRPr="00683C47">
          <w:rPr>
            <w:rStyle w:val="Hyperlink"/>
            <w:lang w:val="en-GB"/>
          </w:rPr>
          <w:t>Introduction to this report</w:t>
        </w:r>
        <w:r w:rsidR="00DC5A4D">
          <w:rPr>
            <w:webHidden/>
          </w:rPr>
          <w:tab/>
        </w:r>
        <w:r w:rsidR="00DC5A4D">
          <w:rPr>
            <w:webHidden/>
          </w:rPr>
          <w:fldChar w:fldCharType="begin"/>
        </w:r>
        <w:r w:rsidR="00DC5A4D">
          <w:rPr>
            <w:webHidden/>
          </w:rPr>
          <w:instrText xml:space="preserve"> PAGEREF _Toc159326560 \h </w:instrText>
        </w:r>
        <w:r w:rsidR="00DC5A4D">
          <w:rPr>
            <w:webHidden/>
          </w:rPr>
        </w:r>
        <w:r w:rsidR="00DC5A4D">
          <w:rPr>
            <w:webHidden/>
          </w:rPr>
          <w:fldChar w:fldCharType="separate"/>
        </w:r>
        <w:r w:rsidR="0017155A">
          <w:rPr>
            <w:webHidden/>
          </w:rPr>
          <w:t>9</w:t>
        </w:r>
        <w:r w:rsidR="00DC5A4D">
          <w:rPr>
            <w:webHidden/>
          </w:rPr>
          <w:fldChar w:fldCharType="end"/>
        </w:r>
      </w:hyperlink>
    </w:p>
    <w:p w14:paraId="3B0AFCEE" w14:textId="1585BCA4" w:rsidR="00DC5A4D" w:rsidRDefault="00232C24">
      <w:pPr>
        <w:pStyle w:val="TOC2"/>
        <w:rPr>
          <w:b w:val="0"/>
          <w:color w:val="auto"/>
          <w:sz w:val="24"/>
          <w:szCs w:val="24"/>
          <w:lang w:eastAsia="en-US"/>
        </w:rPr>
      </w:pPr>
      <w:hyperlink w:anchor="_Toc159326561" w:history="1">
        <w:r w:rsidR="00DC5A4D" w:rsidRPr="00683C47">
          <w:rPr>
            <w:rStyle w:val="Hyperlink"/>
            <w:lang w:val="en-GB"/>
          </w:rPr>
          <w:t>Who is this report for?</w:t>
        </w:r>
        <w:r w:rsidR="00DC5A4D">
          <w:rPr>
            <w:webHidden/>
          </w:rPr>
          <w:tab/>
        </w:r>
        <w:r w:rsidR="00DC5A4D">
          <w:rPr>
            <w:webHidden/>
          </w:rPr>
          <w:fldChar w:fldCharType="begin"/>
        </w:r>
        <w:r w:rsidR="00DC5A4D">
          <w:rPr>
            <w:webHidden/>
          </w:rPr>
          <w:instrText xml:space="preserve"> PAGEREF _Toc159326561 \h </w:instrText>
        </w:r>
        <w:r w:rsidR="00DC5A4D">
          <w:rPr>
            <w:webHidden/>
          </w:rPr>
        </w:r>
        <w:r w:rsidR="00DC5A4D">
          <w:rPr>
            <w:webHidden/>
          </w:rPr>
          <w:fldChar w:fldCharType="separate"/>
        </w:r>
        <w:r w:rsidR="0017155A">
          <w:rPr>
            <w:webHidden/>
          </w:rPr>
          <w:t>10</w:t>
        </w:r>
        <w:r w:rsidR="00DC5A4D">
          <w:rPr>
            <w:webHidden/>
          </w:rPr>
          <w:fldChar w:fldCharType="end"/>
        </w:r>
      </w:hyperlink>
    </w:p>
    <w:p w14:paraId="2F961612" w14:textId="3BFBFBCD" w:rsidR="00DC5A4D" w:rsidRDefault="00232C24">
      <w:pPr>
        <w:pStyle w:val="TOC2"/>
        <w:rPr>
          <w:b w:val="0"/>
          <w:color w:val="auto"/>
          <w:sz w:val="24"/>
          <w:szCs w:val="24"/>
          <w:lang w:eastAsia="en-US"/>
        </w:rPr>
      </w:pPr>
      <w:hyperlink w:anchor="_Toc159326562" w:history="1">
        <w:r w:rsidR="00DC5A4D" w:rsidRPr="00683C47">
          <w:rPr>
            <w:rStyle w:val="Hyperlink"/>
            <w:lang w:val="en-GB"/>
          </w:rPr>
          <w:t>What doesn’t this report do?</w:t>
        </w:r>
        <w:r w:rsidR="00DC5A4D">
          <w:rPr>
            <w:webHidden/>
          </w:rPr>
          <w:tab/>
        </w:r>
        <w:r w:rsidR="00DC5A4D">
          <w:rPr>
            <w:webHidden/>
          </w:rPr>
          <w:fldChar w:fldCharType="begin"/>
        </w:r>
        <w:r w:rsidR="00DC5A4D">
          <w:rPr>
            <w:webHidden/>
          </w:rPr>
          <w:instrText xml:space="preserve"> PAGEREF _Toc159326562 \h </w:instrText>
        </w:r>
        <w:r w:rsidR="00DC5A4D">
          <w:rPr>
            <w:webHidden/>
          </w:rPr>
        </w:r>
        <w:r w:rsidR="00DC5A4D">
          <w:rPr>
            <w:webHidden/>
          </w:rPr>
          <w:fldChar w:fldCharType="separate"/>
        </w:r>
        <w:r w:rsidR="0017155A">
          <w:rPr>
            <w:webHidden/>
          </w:rPr>
          <w:t>10</w:t>
        </w:r>
        <w:r w:rsidR="00DC5A4D">
          <w:rPr>
            <w:webHidden/>
          </w:rPr>
          <w:fldChar w:fldCharType="end"/>
        </w:r>
      </w:hyperlink>
    </w:p>
    <w:p w14:paraId="2BD981B0" w14:textId="5F6E3E52" w:rsidR="00DC5A4D" w:rsidRDefault="00232C24">
      <w:pPr>
        <w:pStyle w:val="TOC2"/>
        <w:rPr>
          <w:b w:val="0"/>
          <w:color w:val="auto"/>
          <w:sz w:val="24"/>
          <w:szCs w:val="24"/>
          <w:lang w:eastAsia="en-US"/>
        </w:rPr>
      </w:pPr>
      <w:hyperlink w:anchor="_Toc159326563" w:history="1">
        <w:r w:rsidR="00DC5A4D" w:rsidRPr="00683C47">
          <w:rPr>
            <w:rStyle w:val="Hyperlink"/>
            <w:lang w:val="en-GB"/>
          </w:rPr>
          <w:t>How to use this report</w:t>
        </w:r>
        <w:r w:rsidR="00DC5A4D">
          <w:rPr>
            <w:webHidden/>
          </w:rPr>
          <w:tab/>
        </w:r>
        <w:r w:rsidR="00DC5A4D">
          <w:rPr>
            <w:webHidden/>
          </w:rPr>
          <w:fldChar w:fldCharType="begin"/>
        </w:r>
        <w:r w:rsidR="00DC5A4D">
          <w:rPr>
            <w:webHidden/>
          </w:rPr>
          <w:instrText xml:space="preserve"> PAGEREF _Toc159326563 \h </w:instrText>
        </w:r>
        <w:r w:rsidR="00DC5A4D">
          <w:rPr>
            <w:webHidden/>
          </w:rPr>
        </w:r>
        <w:r w:rsidR="00DC5A4D">
          <w:rPr>
            <w:webHidden/>
          </w:rPr>
          <w:fldChar w:fldCharType="separate"/>
        </w:r>
        <w:r w:rsidR="0017155A">
          <w:rPr>
            <w:webHidden/>
          </w:rPr>
          <w:t>10</w:t>
        </w:r>
        <w:r w:rsidR="00DC5A4D">
          <w:rPr>
            <w:webHidden/>
          </w:rPr>
          <w:fldChar w:fldCharType="end"/>
        </w:r>
      </w:hyperlink>
    </w:p>
    <w:p w14:paraId="52510BE9" w14:textId="53F14C72" w:rsidR="00DC5A4D" w:rsidRDefault="00232C24">
      <w:pPr>
        <w:pStyle w:val="TOC2"/>
        <w:rPr>
          <w:b w:val="0"/>
          <w:color w:val="auto"/>
          <w:sz w:val="24"/>
          <w:szCs w:val="24"/>
          <w:lang w:eastAsia="en-US"/>
        </w:rPr>
      </w:pPr>
      <w:hyperlink w:anchor="_Toc159326564" w:history="1">
        <w:r w:rsidR="00DC5A4D" w:rsidRPr="00683C47">
          <w:rPr>
            <w:rStyle w:val="Hyperlink"/>
            <w:lang w:val="en-GB"/>
          </w:rPr>
          <w:t>About the data</w:t>
        </w:r>
        <w:r w:rsidR="00DC5A4D">
          <w:rPr>
            <w:webHidden/>
          </w:rPr>
          <w:tab/>
        </w:r>
        <w:r w:rsidR="00DC5A4D">
          <w:rPr>
            <w:webHidden/>
          </w:rPr>
          <w:fldChar w:fldCharType="begin"/>
        </w:r>
        <w:r w:rsidR="00DC5A4D">
          <w:rPr>
            <w:webHidden/>
          </w:rPr>
          <w:instrText xml:space="preserve"> PAGEREF _Toc159326564 \h </w:instrText>
        </w:r>
        <w:r w:rsidR="00DC5A4D">
          <w:rPr>
            <w:webHidden/>
          </w:rPr>
        </w:r>
        <w:r w:rsidR="00DC5A4D">
          <w:rPr>
            <w:webHidden/>
          </w:rPr>
          <w:fldChar w:fldCharType="separate"/>
        </w:r>
        <w:r w:rsidR="0017155A">
          <w:rPr>
            <w:webHidden/>
          </w:rPr>
          <w:t>11</w:t>
        </w:r>
        <w:r w:rsidR="00DC5A4D">
          <w:rPr>
            <w:webHidden/>
          </w:rPr>
          <w:fldChar w:fldCharType="end"/>
        </w:r>
      </w:hyperlink>
    </w:p>
    <w:p w14:paraId="0A42D4B8" w14:textId="29E27AB9" w:rsidR="00DC5A4D" w:rsidRDefault="00232C24">
      <w:pPr>
        <w:pStyle w:val="TOC2"/>
        <w:rPr>
          <w:b w:val="0"/>
          <w:color w:val="auto"/>
          <w:sz w:val="24"/>
          <w:szCs w:val="24"/>
          <w:lang w:eastAsia="en-US"/>
        </w:rPr>
      </w:pPr>
      <w:hyperlink w:anchor="_Toc159326565" w:history="1">
        <w:r w:rsidR="00DC5A4D" w:rsidRPr="00683C47">
          <w:rPr>
            <w:rStyle w:val="Hyperlink"/>
            <w:lang w:val="en-GB"/>
          </w:rPr>
          <w:t>Comparing health service performance</w:t>
        </w:r>
        <w:r w:rsidR="00DC5A4D">
          <w:rPr>
            <w:webHidden/>
          </w:rPr>
          <w:tab/>
        </w:r>
        <w:r w:rsidR="00DC5A4D">
          <w:rPr>
            <w:webHidden/>
          </w:rPr>
          <w:fldChar w:fldCharType="begin"/>
        </w:r>
        <w:r w:rsidR="00DC5A4D">
          <w:rPr>
            <w:webHidden/>
          </w:rPr>
          <w:instrText xml:space="preserve"> PAGEREF _Toc159326565 \h </w:instrText>
        </w:r>
        <w:r w:rsidR="00DC5A4D">
          <w:rPr>
            <w:webHidden/>
          </w:rPr>
        </w:r>
        <w:r w:rsidR="00DC5A4D">
          <w:rPr>
            <w:webHidden/>
          </w:rPr>
          <w:fldChar w:fldCharType="separate"/>
        </w:r>
        <w:r w:rsidR="0017155A">
          <w:rPr>
            <w:webHidden/>
          </w:rPr>
          <w:t>15</w:t>
        </w:r>
        <w:r w:rsidR="00DC5A4D">
          <w:rPr>
            <w:webHidden/>
          </w:rPr>
          <w:fldChar w:fldCharType="end"/>
        </w:r>
      </w:hyperlink>
    </w:p>
    <w:p w14:paraId="40E75FF9" w14:textId="73B5D7D2" w:rsidR="00DC5A4D" w:rsidRDefault="00232C24">
      <w:pPr>
        <w:pStyle w:val="TOC2"/>
        <w:rPr>
          <w:b w:val="0"/>
          <w:color w:val="auto"/>
          <w:sz w:val="24"/>
          <w:szCs w:val="24"/>
          <w:lang w:eastAsia="en-US"/>
        </w:rPr>
      </w:pPr>
      <w:hyperlink w:anchor="_Toc159326566" w:history="1">
        <w:r w:rsidR="00DC5A4D" w:rsidRPr="00683C47">
          <w:rPr>
            <w:rStyle w:val="Hyperlink"/>
            <w:lang w:val="en-GB"/>
          </w:rPr>
          <w:t>Capability levels of maternity and newborn health services</w:t>
        </w:r>
        <w:r w:rsidR="00DC5A4D">
          <w:rPr>
            <w:webHidden/>
          </w:rPr>
          <w:tab/>
        </w:r>
        <w:r w:rsidR="00DC5A4D">
          <w:rPr>
            <w:webHidden/>
          </w:rPr>
          <w:fldChar w:fldCharType="begin"/>
        </w:r>
        <w:r w:rsidR="00DC5A4D">
          <w:rPr>
            <w:webHidden/>
          </w:rPr>
          <w:instrText xml:space="preserve"> PAGEREF _Toc159326566 \h </w:instrText>
        </w:r>
        <w:r w:rsidR="00DC5A4D">
          <w:rPr>
            <w:webHidden/>
          </w:rPr>
        </w:r>
        <w:r w:rsidR="00DC5A4D">
          <w:rPr>
            <w:webHidden/>
          </w:rPr>
          <w:fldChar w:fldCharType="separate"/>
        </w:r>
        <w:r w:rsidR="0017155A">
          <w:rPr>
            <w:webHidden/>
          </w:rPr>
          <w:t>15</w:t>
        </w:r>
        <w:r w:rsidR="00DC5A4D">
          <w:rPr>
            <w:webHidden/>
          </w:rPr>
          <w:fldChar w:fldCharType="end"/>
        </w:r>
      </w:hyperlink>
    </w:p>
    <w:p w14:paraId="0759B817" w14:textId="1C0F7595" w:rsidR="00DC5A4D" w:rsidRDefault="00232C24">
      <w:pPr>
        <w:pStyle w:val="TOC2"/>
        <w:rPr>
          <w:b w:val="0"/>
          <w:color w:val="auto"/>
          <w:sz w:val="24"/>
          <w:szCs w:val="24"/>
          <w:lang w:eastAsia="en-US"/>
        </w:rPr>
      </w:pPr>
      <w:hyperlink w:anchor="_Toc159326567" w:history="1">
        <w:r w:rsidR="00DC5A4D" w:rsidRPr="00683C47">
          <w:rPr>
            <w:rStyle w:val="Hyperlink"/>
            <w:lang w:val="en-GB"/>
          </w:rPr>
          <w:t>Informing quality improvement activities</w:t>
        </w:r>
        <w:r w:rsidR="00DC5A4D">
          <w:rPr>
            <w:webHidden/>
          </w:rPr>
          <w:tab/>
        </w:r>
        <w:r w:rsidR="00DC5A4D">
          <w:rPr>
            <w:webHidden/>
          </w:rPr>
          <w:fldChar w:fldCharType="begin"/>
        </w:r>
        <w:r w:rsidR="00DC5A4D">
          <w:rPr>
            <w:webHidden/>
          </w:rPr>
          <w:instrText xml:space="preserve"> PAGEREF _Toc159326567 \h </w:instrText>
        </w:r>
        <w:r w:rsidR="00DC5A4D">
          <w:rPr>
            <w:webHidden/>
          </w:rPr>
        </w:r>
        <w:r w:rsidR="00DC5A4D">
          <w:rPr>
            <w:webHidden/>
          </w:rPr>
          <w:fldChar w:fldCharType="separate"/>
        </w:r>
        <w:r w:rsidR="0017155A">
          <w:rPr>
            <w:webHidden/>
          </w:rPr>
          <w:t>16</w:t>
        </w:r>
        <w:r w:rsidR="00DC5A4D">
          <w:rPr>
            <w:webHidden/>
          </w:rPr>
          <w:fldChar w:fldCharType="end"/>
        </w:r>
      </w:hyperlink>
    </w:p>
    <w:p w14:paraId="17F7FBA9" w14:textId="66C069CA" w:rsidR="00DC5A4D" w:rsidRDefault="00232C24">
      <w:pPr>
        <w:pStyle w:val="TOC1"/>
        <w:rPr>
          <w:b w:val="0"/>
          <w:sz w:val="24"/>
          <w:szCs w:val="24"/>
        </w:rPr>
      </w:pPr>
      <w:hyperlink w:anchor="_Toc159326568" w:history="1">
        <w:r w:rsidR="00DC5A4D" w:rsidRPr="00683C47">
          <w:rPr>
            <w:rStyle w:val="Hyperlink"/>
            <w:lang w:val="en-GB"/>
          </w:rPr>
          <w:t>Summary of results</w:t>
        </w:r>
        <w:r w:rsidR="00DC5A4D">
          <w:rPr>
            <w:webHidden/>
          </w:rPr>
          <w:tab/>
        </w:r>
        <w:r w:rsidR="00DC5A4D">
          <w:rPr>
            <w:webHidden/>
          </w:rPr>
          <w:fldChar w:fldCharType="begin"/>
        </w:r>
        <w:r w:rsidR="00DC5A4D">
          <w:rPr>
            <w:webHidden/>
          </w:rPr>
          <w:instrText xml:space="preserve"> PAGEREF _Toc159326568 \h </w:instrText>
        </w:r>
        <w:r w:rsidR="00DC5A4D">
          <w:rPr>
            <w:webHidden/>
          </w:rPr>
        </w:r>
        <w:r w:rsidR="00DC5A4D">
          <w:rPr>
            <w:webHidden/>
          </w:rPr>
          <w:fldChar w:fldCharType="separate"/>
        </w:r>
        <w:r w:rsidR="0017155A">
          <w:rPr>
            <w:webHidden/>
          </w:rPr>
          <w:t>17</w:t>
        </w:r>
        <w:r w:rsidR="00DC5A4D">
          <w:rPr>
            <w:webHidden/>
          </w:rPr>
          <w:fldChar w:fldCharType="end"/>
        </w:r>
      </w:hyperlink>
    </w:p>
    <w:p w14:paraId="1F7E49CE" w14:textId="417FBAC3" w:rsidR="00DC5A4D" w:rsidRDefault="00232C24">
      <w:pPr>
        <w:pStyle w:val="TOC2"/>
        <w:rPr>
          <w:b w:val="0"/>
          <w:color w:val="auto"/>
          <w:sz w:val="24"/>
          <w:szCs w:val="24"/>
          <w:lang w:eastAsia="en-US"/>
        </w:rPr>
      </w:pPr>
      <w:hyperlink w:anchor="_Toc159326569" w:history="1">
        <w:r w:rsidR="00DC5A4D" w:rsidRPr="00683C47">
          <w:rPr>
            <w:rStyle w:val="Hyperlink"/>
            <w:lang w:val="en-GB"/>
          </w:rPr>
          <w:t>New indicator – fetal growth restriction</w:t>
        </w:r>
        <w:r w:rsidR="00DC5A4D">
          <w:rPr>
            <w:webHidden/>
          </w:rPr>
          <w:tab/>
        </w:r>
        <w:r w:rsidR="00DC5A4D">
          <w:rPr>
            <w:webHidden/>
          </w:rPr>
          <w:fldChar w:fldCharType="begin"/>
        </w:r>
        <w:r w:rsidR="00DC5A4D">
          <w:rPr>
            <w:webHidden/>
          </w:rPr>
          <w:instrText xml:space="preserve"> PAGEREF _Toc159326569 \h </w:instrText>
        </w:r>
        <w:r w:rsidR="00DC5A4D">
          <w:rPr>
            <w:webHidden/>
          </w:rPr>
        </w:r>
        <w:r w:rsidR="00DC5A4D">
          <w:rPr>
            <w:webHidden/>
          </w:rPr>
          <w:fldChar w:fldCharType="separate"/>
        </w:r>
        <w:r w:rsidR="0017155A">
          <w:rPr>
            <w:webHidden/>
          </w:rPr>
          <w:t>17</w:t>
        </w:r>
        <w:r w:rsidR="00DC5A4D">
          <w:rPr>
            <w:webHidden/>
          </w:rPr>
          <w:fldChar w:fldCharType="end"/>
        </w:r>
      </w:hyperlink>
    </w:p>
    <w:p w14:paraId="4AE21B48" w14:textId="603D6467" w:rsidR="00DC5A4D" w:rsidRDefault="00232C24">
      <w:pPr>
        <w:pStyle w:val="TOC2"/>
        <w:rPr>
          <w:b w:val="0"/>
          <w:color w:val="auto"/>
          <w:sz w:val="24"/>
          <w:szCs w:val="24"/>
          <w:lang w:eastAsia="en-US"/>
        </w:rPr>
      </w:pPr>
      <w:hyperlink w:anchor="_Toc159326570" w:history="1">
        <w:r w:rsidR="00DC5A4D" w:rsidRPr="00683C47">
          <w:rPr>
            <w:rStyle w:val="Hyperlink"/>
            <w:lang w:val="en-GB"/>
          </w:rPr>
          <w:t>Where we are getting better</w:t>
        </w:r>
        <w:r w:rsidR="00DC5A4D">
          <w:rPr>
            <w:webHidden/>
          </w:rPr>
          <w:tab/>
        </w:r>
        <w:r w:rsidR="00DC5A4D">
          <w:rPr>
            <w:webHidden/>
          </w:rPr>
          <w:fldChar w:fldCharType="begin"/>
        </w:r>
        <w:r w:rsidR="00DC5A4D">
          <w:rPr>
            <w:webHidden/>
          </w:rPr>
          <w:instrText xml:space="preserve"> PAGEREF _Toc159326570 \h </w:instrText>
        </w:r>
        <w:r w:rsidR="00DC5A4D">
          <w:rPr>
            <w:webHidden/>
          </w:rPr>
        </w:r>
        <w:r w:rsidR="00DC5A4D">
          <w:rPr>
            <w:webHidden/>
          </w:rPr>
          <w:fldChar w:fldCharType="separate"/>
        </w:r>
        <w:r w:rsidR="0017155A">
          <w:rPr>
            <w:webHidden/>
          </w:rPr>
          <w:t>17</w:t>
        </w:r>
        <w:r w:rsidR="00DC5A4D">
          <w:rPr>
            <w:webHidden/>
          </w:rPr>
          <w:fldChar w:fldCharType="end"/>
        </w:r>
      </w:hyperlink>
    </w:p>
    <w:p w14:paraId="5F3D82E1" w14:textId="1F04432F" w:rsidR="00DC5A4D" w:rsidRDefault="00232C24">
      <w:pPr>
        <w:pStyle w:val="TOC2"/>
        <w:rPr>
          <w:b w:val="0"/>
          <w:color w:val="auto"/>
          <w:sz w:val="24"/>
          <w:szCs w:val="24"/>
          <w:lang w:eastAsia="en-US"/>
        </w:rPr>
      </w:pPr>
      <w:hyperlink w:anchor="_Toc159326571" w:history="1">
        <w:r w:rsidR="00DC5A4D" w:rsidRPr="00683C47">
          <w:rPr>
            <w:rStyle w:val="Hyperlink"/>
            <w:lang w:val="en-GB"/>
          </w:rPr>
          <w:t>Where we can improve</w:t>
        </w:r>
        <w:r w:rsidR="00DC5A4D">
          <w:rPr>
            <w:webHidden/>
          </w:rPr>
          <w:tab/>
        </w:r>
        <w:r w:rsidR="00DC5A4D">
          <w:rPr>
            <w:webHidden/>
          </w:rPr>
          <w:fldChar w:fldCharType="begin"/>
        </w:r>
        <w:r w:rsidR="00DC5A4D">
          <w:rPr>
            <w:webHidden/>
          </w:rPr>
          <w:instrText xml:space="preserve"> PAGEREF _Toc159326571 \h </w:instrText>
        </w:r>
        <w:r w:rsidR="00DC5A4D">
          <w:rPr>
            <w:webHidden/>
          </w:rPr>
        </w:r>
        <w:r w:rsidR="00DC5A4D">
          <w:rPr>
            <w:webHidden/>
          </w:rPr>
          <w:fldChar w:fldCharType="separate"/>
        </w:r>
        <w:r w:rsidR="0017155A">
          <w:rPr>
            <w:webHidden/>
          </w:rPr>
          <w:t>17</w:t>
        </w:r>
        <w:r w:rsidR="00DC5A4D">
          <w:rPr>
            <w:webHidden/>
          </w:rPr>
          <w:fldChar w:fldCharType="end"/>
        </w:r>
      </w:hyperlink>
    </w:p>
    <w:p w14:paraId="55D2D6E4" w14:textId="05A305F6" w:rsidR="00DC5A4D" w:rsidRDefault="00232C24">
      <w:pPr>
        <w:pStyle w:val="TOC1"/>
        <w:rPr>
          <w:b w:val="0"/>
          <w:sz w:val="24"/>
          <w:szCs w:val="24"/>
        </w:rPr>
      </w:pPr>
      <w:hyperlink w:anchor="_Toc159326572" w:history="1">
        <w:r w:rsidR="00DC5A4D" w:rsidRPr="00683C47">
          <w:rPr>
            <w:rStyle w:val="Hyperlink"/>
            <w:lang w:val="en-GB"/>
          </w:rPr>
          <w:t>1a: Induction of labour in standard primiparae</w:t>
        </w:r>
        <w:r w:rsidR="00DC5A4D">
          <w:rPr>
            <w:webHidden/>
          </w:rPr>
          <w:tab/>
        </w:r>
        <w:r w:rsidR="00DC5A4D">
          <w:rPr>
            <w:webHidden/>
          </w:rPr>
          <w:fldChar w:fldCharType="begin"/>
        </w:r>
        <w:r w:rsidR="00DC5A4D">
          <w:rPr>
            <w:webHidden/>
          </w:rPr>
          <w:instrText xml:space="preserve"> PAGEREF _Toc159326572 \h </w:instrText>
        </w:r>
        <w:r w:rsidR="00DC5A4D">
          <w:rPr>
            <w:webHidden/>
          </w:rPr>
        </w:r>
        <w:r w:rsidR="00DC5A4D">
          <w:rPr>
            <w:webHidden/>
          </w:rPr>
          <w:fldChar w:fldCharType="separate"/>
        </w:r>
        <w:r w:rsidR="0017155A">
          <w:rPr>
            <w:webHidden/>
          </w:rPr>
          <w:t>20</w:t>
        </w:r>
        <w:r w:rsidR="00DC5A4D">
          <w:rPr>
            <w:webHidden/>
          </w:rPr>
          <w:fldChar w:fldCharType="end"/>
        </w:r>
      </w:hyperlink>
    </w:p>
    <w:p w14:paraId="148ACAEA" w14:textId="245E498E" w:rsidR="00DC5A4D" w:rsidRDefault="00232C24">
      <w:pPr>
        <w:pStyle w:val="TOC2"/>
        <w:rPr>
          <w:b w:val="0"/>
          <w:color w:val="auto"/>
          <w:sz w:val="24"/>
          <w:szCs w:val="24"/>
          <w:lang w:eastAsia="en-US"/>
        </w:rPr>
      </w:pPr>
      <w:hyperlink w:anchor="_Toc159326573"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_Toc159326573 \h </w:instrText>
        </w:r>
        <w:r w:rsidR="00DC5A4D">
          <w:rPr>
            <w:webHidden/>
          </w:rPr>
        </w:r>
        <w:r w:rsidR="00DC5A4D">
          <w:rPr>
            <w:webHidden/>
          </w:rPr>
          <w:fldChar w:fldCharType="separate"/>
        </w:r>
        <w:r w:rsidR="0017155A">
          <w:rPr>
            <w:webHidden/>
          </w:rPr>
          <w:t>20</w:t>
        </w:r>
        <w:r w:rsidR="00DC5A4D">
          <w:rPr>
            <w:webHidden/>
          </w:rPr>
          <w:fldChar w:fldCharType="end"/>
        </w:r>
      </w:hyperlink>
    </w:p>
    <w:p w14:paraId="2B971D92" w14:textId="34B85EE0" w:rsidR="00DC5A4D" w:rsidRDefault="00232C24">
      <w:pPr>
        <w:pStyle w:val="TOC2"/>
        <w:rPr>
          <w:b w:val="0"/>
          <w:color w:val="auto"/>
          <w:sz w:val="24"/>
          <w:szCs w:val="24"/>
          <w:lang w:eastAsia="en-US"/>
        </w:rPr>
      </w:pPr>
      <w:hyperlink w:anchor="_Toc159326574"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_Toc159326574 \h </w:instrText>
        </w:r>
        <w:r w:rsidR="00DC5A4D">
          <w:rPr>
            <w:webHidden/>
          </w:rPr>
        </w:r>
        <w:r w:rsidR="00DC5A4D">
          <w:rPr>
            <w:webHidden/>
          </w:rPr>
          <w:fldChar w:fldCharType="separate"/>
        </w:r>
        <w:r w:rsidR="0017155A">
          <w:rPr>
            <w:webHidden/>
          </w:rPr>
          <w:t>21</w:t>
        </w:r>
        <w:r w:rsidR="00DC5A4D">
          <w:rPr>
            <w:webHidden/>
          </w:rPr>
          <w:fldChar w:fldCharType="end"/>
        </w:r>
      </w:hyperlink>
    </w:p>
    <w:p w14:paraId="5F56241B" w14:textId="26C93A1C" w:rsidR="00DC5A4D" w:rsidRDefault="00232C24">
      <w:pPr>
        <w:pStyle w:val="TOC2"/>
        <w:rPr>
          <w:b w:val="0"/>
          <w:color w:val="auto"/>
          <w:sz w:val="24"/>
          <w:szCs w:val="24"/>
          <w:lang w:eastAsia="en-US"/>
        </w:rPr>
      </w:pPr>
      <w:hyperlink w:anchor="_Toc159326575"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_Toc159326575 \h </w:instrText>
        </w:r>
        <w:r w:rsidR="00DC5A4D">
          <w:rPr>
            <w:webHidden/>
          </w:rPr>
        </w:r>
        <w:r w:rsidR="00DC5A4D">
          <w:rPr>
            <w:webHidden/>
          </w:rPr>
          <w:fldChar w:fldCharType="separate"/>
        </w:r>
        <w:r w:rsidR="0017155A">
          <w:rPr>
            <w:webHidden/>
          </w:rPr>
          <w:t>21</w:t>
        </w:r>
        <w:r w:rsidR="00DC5A4D">
          <w:rPr>
            <w:webHidden/>
          </w:rPr>
          <w:fldChar w:fldCharType="end"/>
        </w:r>
      </w:hyperlink>
    </w:p>
    <w:p w14:paraId="06B41740" w14:textId="40183F5F" w:rsidR="00DC5A4D" w:rsidRDefault="00232C24">
      <w:pPr>
        <w:pStyle w:val="TOC2"/>
        <w:rPr>
          <w:b w:val="0"/>
          <w:color w:val="auto"/>
          <w:sz w:val="24"/>
          <w:szCs w:val="24"/>
          <w:lang w:eastAsia="en-US"/>
        </w:rPr>
      </w:pPr>
      <w:hyperlink w:anchor="_Toc159326576"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_Toc159326576 \h </w:instrText>
        </w:r>
        <w:r w:rsidR="00DC5A4D">
          <w:rPr>
            <w:webHidden/>
          </w:rPr>
        </w:r>
        <w:r w:rsidR="00DC5A4D">
          <w:rPr>
            <w:webHidden/>
          </w:rPr>
          <w:fldChar w:fldCharType="separate"/>
        </w:r>
        <w:r w:rsidR="0017155A">
          <w:rPr>
            <w:webHidden/>
          </w:rPr>
          <w:t>24</w:t>
        </w:r>
        <w:r w:rsidR="00DC5A4D">
          <w:rPr>
            <w:webHidden/>
          </w:rPr>
          <w:fldChar w:fldCharType="end"/>
        </w:r>
      </w:hyperlink>
    </w:p>
    <w:p w14:paraId="45EC93E5" w14:textId="09C5615B" w:rsidR="00DC5A4D" w:rsidRDefault="00232C24">
      <w:pPr>
        <w:pStyle w:val="TOC1"/>
        <w:rPr>
          <w:b w:val="0"/>
          <w:sz w:val="24"/>
          <w:szCs w:val="24"/>
        </w:rPr>
      </w:pPr>
      <w:hyperlink w:anchor="_Toc159326577" w:history="1">
        <w:r w:rsidR="00DC5A4D" w:rsidRPr="00683C47">
          <w:rPr>
            <w:rStyle w:val="Hyperlink"/>
          </w:rPr>
          <w:t>1bi and 1bii: Caesarean sections in</w:t>
        </w:r>
        <w:r w:rsidR="00DC5A4D">
          <w:rPr>
            <w:webHidden/>
          </w:rPr>
          <w:tab/>
        </w:r>
        <w:r w:rsidR="00DC5A4D">
          <w:rPr>
            <w:webHidden/>
          </w:rPr>
          <w:fldChar w:fldCharType="begin"/>
        </w:r>
        <w:r w:rsidR="00DC5A4D">
          <w:rPr>
            <w:webHidden/>
          </w:rPr>
          <w:instrText xml:space="preserve"> PAGEREF _Toc159326577 \h </w:instrText>
        </w:r>
        <w:r w:rsidR="00DC5A4D">
          <w:rPr>
            <w:webHidden/>
          </w:rPr>
        </w:r>
        <w:r w:rsidR="00DC5A4D">
          <w:rPr>
            <w:webHidden/>
          </w:rPr>
          <w:fldChar w:fldCharType="separate"/>
        </w:r>
        <w:r w:rsidR="0017155A">
          <w:rPr>
            <w:webHidden/>
          </w:rPr>
          <w:t>25</w:t>
        </w:r>
        <w:r w:rsidR="00DC5A4D">
          <w:rPr>
            <w:webHidden/>
          </w:rPr>
          <w:fldChar w:fldCharType="end"/>
        </w:r>
      </w:hyperlink>
    </w:p>
    <w:p w14:paraId="1FF28106" w14:textId="3A0520F7" w:rsidR="00DC5A4D" w:rsidRDefault="00232C24">
      <w:pPr>
        <w:pStyle w:val="TOC2"/>
        <w:rPr>
          <w:b w:val="0"/>
          <w:color w:val="auto"/>
          <w:sz w:val="24"/>
          <w:szCs w:val="24"/>
          <w:lang w:eastAsia="en-US"/>
        </w:rPr>
      </w:pPr>
      <w:hyperlink w:anchor="_Toc159326578"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_Toc159326578 \h </w:instrText>
        </w:r>
        <w:r w:rsidR="00DC5A4D">
          <w:rPr>
            <w:webHidden/>
          </w:rPr>
        </w:r>
        <w:r w:rsidR="00DC5A4D">
          <w:rPr>
            <w:webHidden/>
          </w:rPr>
          <w:fldChar w:fldCharType="separate"/>
        </w:r>
        <w:r w:rsidR="0017155A">
          <w:rPr>
            <w:webHidden/>
          </w:rPr>
          <w:t>25</w:t>
        </w:r>
        <w:r w:rsidR="00DC5A4D">
          <w:rPr>
            <w:webHidden/>
          </w:rPr>
          <w:fldChar w:fldCharType="end"/>
        </w:r>
      </w:hyperlink>
    </w:p>
    <w:p w14:paraId="354C8BF0" w14:textId="723A0BA2" w:rsidR="00DC5A4D" w:rsidRDefault="00232C24">
      <w:pPr>
        <w:pStyle w:val="TOC2"/>
        <w:rPr>
          <w:b w:val="0"/>
          <w:color w:val="auto"/>
          <w:sz w:val="24"/>
          <w:szCs w:val="24"/>
          <w:lang w:eastAsia="en-US"/>
        </w:rPr>
      </w:pPr>
      <w:hyperlink w:anchor="_Toc159326579"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_Toc159326579 \h </w:instrText>
        </w:r>
        <w:r w:rsidR="00DC5A4D">
          <w:rPr>
            <w:webHidden/>
          </w:rPr>
        </w:r>
        <w:r w:rsidR="00DC5A4D">
          <w:rPr>
            <w:webHidden/>
          </w:rPr>
          <w:fldChar w:fldCharType="separate"/>
        </w:r>
        <w:r w:rsidR="0017155A">
          <w:rPr>
            <w:webHidden/>
          </w:rPr>
          <w:t>26</w:t>
        </w:r>
        <w:r w:rsidR="00DC5A4D">
          <w:rPr>
            <w:webHidden/>
          </w:rPr>
          <w:fldChar w:fldCharType="end"/>
        </w:r>
      </w:hyperlink>
    </w:p>
    <w:p w14:paraId="54A137F9" w14:textId="22303FDF" w:rsidR="00DC5A4D" w:rsidRDefault="00232C24">
      <w:pPr>
        <w:pStyle w:val="TOC2"/>
        <w:rPr>
          <w:b w:val="0"/>
          <w:color w:val="auto"/>
          <w:sz w:val="24"/>
          <w:szCs w:val="24"/>
          <w:lang w:eastAsia="en-US"/>
        </w:rPr>
      </w:pPr>
      <w:hyperlink w:anchor="_Toc159326580"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_Toc159326580 \h </w:instrText>
        </w:r>
        <w:r w:rsidR="00DC5A4D">
          <w:rPr>
            <w:webHidden/>
          </w:rPr>
        </w:r>
        <w:r w:rsidR="00DC5A4D">
          <w:rPr>
            <w:webHidden/>
          </w:rPr>
          <w:fldChar w:fldCharType="separate"/>
        </w:r>
        <w:r w:rsidR="0017155A">
          <w:rPr>
            <w:webHidden/>
          </w:rPr>
          <w:t>26</w:t>
        </w:r>
        <w:r w:rsidR="00DC5A4D">
          <w:rPr>
            <w:webHidden/>
          </w:rPr>
          <w:fldChar w:fldCharType="end"/>
        </w:r>
      </w:hyperlink>
    </w:p>
    <w:p w14:paraId="47ED37BA" w14:textId="4BF0D010" w:rsidR="00DC5A4D" w:rsidRDefault="00232C24">
      <w:pPr>
        <w:pStyle w:val="TOC2"/>
        <w:rPr>
          <w:b w:val="0"/>
          <w:color w:val="auto"/>
          <w:sz w:val="24"/>
          <w:szCs w:val="24"/>
          <w:lang w:eastAsia="en-US"/>
        </w:rPr>
      </w:pPr>
      <w:hyperlink w:anchor="_Toc159326581"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_Toc159326581 \h </w:instrText>
        </w:r>
        <w:r w:rsidR="00DC5A4D">
          <w:rPr>
            <w:webHidden/>
          </w:rPr>
        </w:r>
        <w:r w:rsidR="00DC5A4D">
          <w:rPr>
            <w:webHidden/>
          </w:rPr>
          <w:fldChar w:fldCharType="separate"/>
        </w:r>
        <w:r w:rsidR="0017155A">
          <w:rPr>
            <w:webHidden/>
          </w:rPr>
          <w:t>31</w:t>
        </w:r>
        <w:r w:rsidR="00DC5A4D">
          <w:rPr>
            <w:webHidden/>
          </w:rPr>
          <w:fldChar w:fldCharType="end"/>
        </w:r>
      </w:hyperlink>
    </w:p>
    <w:p w14:paraId="727FC677" w14:textId="3752782E" w:rsidR="00DC5A4D" w:rsidRDefault="00232C24">
      <w:pPr>
        <w:pStyle w:val="TOC1"/>
        <w:rPr>
          <w:b w:val="0"/>
          <w:sz w:val="24"/>
          <w:szCs w:val="24"/>
        </w:rPr>
      </w:pPr>
      <w:hyperlink w:anchor="_Toc159326582" w:history="1">
        <w:r w:rsidR="00DC5A4D" w:rsidRPr="00683C47">
          <w:rPr>
            <w:rStyle w:val="Hyperlink"/>
            <w:lang w:val="en-GB"/>
          </w:rPr>
          <w:t>1ci and 1cii: Perineal tears in primiparae</w:t>
        </w:r>
        <w:r w:rsidR="00DC5A4D">
          <w:rPr>
            <w:webHidden/>
          </w:rPr>
          <w:tab/>
        </w:r>
        <w:r w:rsidR="00DC5A4D">
          <w:rPr>
            <w:webHidden/>
          </w:rPr>
          <w:fldChar w:fldCharType="begin"/>
        </w:r>
        <w:r w:rsidR="00DC5A4D">
          <w:rPr>
            <w:webHidden/>
          </w:rPr>
          <w:instrText xml:space="preserve"> PAGEREF _Toc159326582 \h </w:instrText>
        </w:r>
        <w:r w:rsidR="00DC5A4D">
          <w:rPr>
            <w:webHidden/>
          </w:rPr>
        </w:r>
        <w:r w:rsidR="00DC5A4D">
          <w:rPr>
            <w:webHidden/>
          </w:rPr>
          <w:fldChar w:fldCharType="separate"/>
        </w:r>
        <w:r w:rsidR="0017155A">
          <w:rPr>
            <w:webHidden/>
          </w:rPr>
          <w:t>32</w:t>
        </w:r>
        <w:r w:rsidR="00DC5A4D">
          <w:rPr>
            <w:webHidden/>
          </w:rPr>
          <w:fldChar w:fldCharType="end"/>
        </w:r>
      </w:hyperlink>
    </w:p>
    <w:p w14:paraId="2AEDB2A7" w14:textId="2624E3FC" w:rsidR="00DC5A4D" w:rsidRDefault="00232C24">
      <w:pPr>
        <w:pStyle w:val="TOC2"/>
        <w:rPr>
          <w:b w:val="0"/>
          <w:color w:val="auto"/>
          <w:sz w:val="24"/>
          <w:szCs w:val="24"/>
          <w:lang w:eastAsia="en-US"/>
        </w:rPr>
      </w:pPr>
      <w:hyperlink w:anchor="_Toc159326583"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_Toc159326583 \h </w:instrText>
        </w:r>
        <w:r w:rsidR="00DC5A4D">
          <w:rPr>
            <w:webHidden/>
          </w:rPr>
        </w:r>
        <w:r w:rsidR="00DC5A4D">
          <w:rPr>
            <w:webHidden/>
          </w:rPr>
          <w:fldChar w:fldCharType="separate"/>
        </w:r>
        <w:r w:rsidR="0017155A">
          <w:rPr>
            <w:webHidden/>
          </w:rPr>
          <w:t>32</w:t>
        </w:r>
        <w:r w:rsidR="00DC5A4D">
          <w:rPr>
            <w:webHidden/>
          </w:rPr>
          <w:fldChar w:fldCharType="end"/>
        </w:r>
      </w:hyperlink>
    </w:p>
    <w:p w14:paraId="7BEB6809" w14:textId="107F6F17" w:rsidR="00DC5A4D" w:rsidRDefault="00232C24">
      <w:pPr>
        <w:pStyle w:val="TOC2"/>
        <w:rPr>
          <w:b w:val="0"/>
          <w:color w:val="auto"/>
          <w:sz w:val="24"/>
          <w:szCs w:val="24"/>
          <w:lang w:eastAsia="en-US"/>
        </w:rPr>
      </w:pPr>
      <w:hyperlink w:anchor="_Toc159326584"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_Toc159326584 \h </w:instrText>
        </w:r>
        <w:r w:rsidR="00DC5A4D">
          <w:rPr>
            <w:webHidden/>
          </w:rPr>
        </w:r>
        <w:r w:rsidR="00DC5A4D">
          <w:rPr>
            <w:webHidden/>
          </w:rPr>
          <w:fldChar w:fldCharType="separate"/>
        </w:r>
        <w:r w:rsidR="0017155A">
          <w:rPr>
            <w:webHidden/>
          </w:rPr>
          <w:t>33</w:t>
        </w:r>
        <w:r w:rsidR="00DC5A4D">
          <w:rPr>
            <w:webHidden/>
          </w:rPr>
          <w:fldChar w:fldCharType="end"/>
        </w:r>
      </w:hyperlink>
    </w:p>
    <w:p w14:paraId="11032A64" w14:textId="30D71701" w:rsidR="00DC5A4D" w:rsidRDefault="00232C24">
      <w:pPr>
        <w:pStyle w:val="TOC2"/>
        <w:rPr>
          <w:b w:val="0"/>
          <w:color w:val="auto"/>
          <w:sz w:val="24"/>
          <w:szCs w:val="24"/>
          <w:lang w:eastAsia="en-US"/>
        </w:rPr>
      </w:pPr>
      <w:hyperlink w:anchor="_Toc159326585"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_Toc159326585 \h </w:instrText>
        </w:r>
        <w:r w:rsidR="00DC5A4D">
          <w:rPr>
            <w:webHidden/>
          </w:rPr>
        </w:r>
        <w:r w:rsidR="00DC5A4D">
          <w:rPr>
            <w:webHidden/>
          </w:rPr>
          <w:fldChar w:fldCharType="separate"/>
        </w:r>
        <w:r w:rsidR="0017155A">
          <w:rPr>
            <w:webHidden/>
          </w:rPr>
          <w:t>33</w:t>
        </w:r>
        <w:r w:rsidR="00DC5A4D">
          <w:rPr>
            <w:webHidden/>
          </w:rPr>
          <w:fldChar w:fldCharType="end"/>
        </w:r>
      </w:hyperlink>
    </w:p>
    <w:p w14:paraId="417E0164" w14:textId="2CE5811B" w:rsidR="00DC5A4D" w:rsidRDefault="00232C24">
      <w:pPr>
        <w:pStyle w:val="TOC2"/>
        <w:rPr>
          <w:b w:val="0"/>
          <w:color w:val="auto"/>
          <w:sz w:val="24"/>
          <w:szCs w:val="24"/>
          <w:lang w:eastAsia="en-US"/>
        </w:rPr>
      </w:pPr>
      <w:hyperlink w:anchor="_Toc159326586"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_Toc159326586 \h </w:instrText>
        </w:r>
        <w:r w:rsidR="00DC5A4D">
          <w:rPr>
            <w:webHidden/>
          </w:rPr>
        </w:r>
        <w:r w:rsidR="00DC5A4D">
          <w:rPr>
            <w:webHidden/>
          </w:rPr>
          <w:fldChar w:fldCharType="separate"/>
        </w:r>
        <w:r w:rsidR="0017155A">
          <w:rPr>
            <w:webHidden/>
          </w:rPr>
          <w:t>38</w:t>
        </w:r>
        <w:r w:rsidR="00DC5A4D">
          <w:rPr>
            <w:webHidden/>
          </w:rPr>
          <w:fldChar w:fldCharType="end"/>
        </w:r>
      </w:hyperlink>
    </w:p>
    <w:p w14:paraId="1A08229C" w14:textId="5AA96041" w:rsidR="00DC5A4D" w:rsidRDefault="00232C24">
      <w:pPr>
        <w:pStyle w:val="TOC1"/>
        <w:rPr>
          <w:b w:val="0"/>
          <w:sz w:val="24"/>
          <w:szCs w:val="24"/>
        </w:rPr>
      </w:pPr>
      <w:hyperlink w:anchor="_Toc159326587" w:history="1">
        <w:r w:rsidR="00DC5A4D" w:rsidRPr="00683C47">
          <w:rPr>
            <w:rStyle w:val="Hyperlink"/>
            <w:lang w:val="en-GB"/>
          </w:rPr>
          <w:t>1di and 1dii: Episiotomies in primiparae</w:t>
        </w:r>
        <w:r w:rsidR="00DC5A4D">
          <w:rPr>
            <w:webHidden/>
          </w:rPr>
          <w:tab/>
        </w:r>
        <w:r w:rsidR="00DC5A4D">
          <w:rPr>
            <w:webHidden/>
          </w:rPr>
          <w:fldChar w:fldCharType="begin"/>
        </w:r>
        <w:r w:rsidR="00DC5A4D">
          <w:rPr>
            <w:webHidden/>
          </w:rPr>
          <w:instrText xml:space="preserve"> PAGEREF _Toc159326587 \h </w:instrText>
        </w:r>
        <w:r w:rsidR="00DC5A4D">
          <w:rPr>
            <w:webHidden/>
          </w:rPr>
        </w:r>
        <w:r w:rsidR="00DC5A4D">
          <w:rPr>
            <w:webHidden/>
          </w:rPr>
          <w:fldChar w:fldCharType="separate"/>
        </w:r>
        <w:r w:rsidR="0017155A">
          <w:rPr>
            <w:webHidden/>
          </w:rPr>
          <w:t>39</w:t>
        </w:r>
        <w:r w:rsidR="00DC5A4D">
          <w:rPr>
            <w:webHidden/>
          </w:rPr>
          <w:fldChar w:fldCharType="end"/>
        </w:r>
      </w:hyperlink>
    </w:p>
    <w:p w14:paraId="452486E0" w14:textId="5003AAA8" w:rsidR="00DC5A4D" w:rsidRDefault="00232C24">
      <w:pPr>
        <w:pStyle w:val="TOC2"/>
        <w:rPr>
          <w:b w:val="0"/>
          <w:color w:val="auto"/>
          <w:sz w:val="24"/>
          <w:szCs w:val="24"/>
          <w:lang w:eastAsia="en-US"/>
        </w:rPr>
      </w:pPr>
      <w:hyperlink w:anchor="_Toc159326588"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_Toc159326588 \h </w:instrText>
        </w:r>
        <w:r w:rsidR="00DC5A4D">
          <w:rPr>
            <w:webHidden/>
          </w:rPr>
        </w:r>
        <w:r w:rsidR="00DC5A4D">
          <w:rPr>
            <w:webHidden/>
          </w:rPr>
          <w:fldChar w:fldCharType="separate"/>
        </w:r>
        <w:r w:rsidR="0017155A">
          <w:rPr>
            <w:webHidden/>
          </w:rPr>
          <w:t>39</w:t>
        </w:r>
        <w:r w:rsidR="00DC5A4D">
          <w:rPr>
            <w:webHidden/>
          </w:rPr>
          <w:fldChar w:fldCharType="end"/>
        </w:r>
      </w:hyperlink>
    </w:p>
    <w:p w14:paraId="25570ECD" w14:textId="3645386E" w:rsidR="00DC5A4D" w:rsidRDefault="00232C24">
      <w:pPr>
        <w:pStyle w:val="TOC2"/>
        <w:rPr>
          <w:b w:val="0"/>
          <w:color w:val="auto"/>
          <w:sz w:val="24"/>
          <w:szCs w:val="24"/>
          <w:lang w:eastAsia="en-US"/>
        </w:rPr>
      </w:pPr>
      <w:hyperlink w:anchor="_Toc159326589"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_Toc159326589 \h </w:instrText>
        </w:r>
        <w:r w:rsidR="00DC5A4D">
          <w:rPr>
            <w:webHidden/>
          </w:rPr>
        </w:r>
        <w:r w:rsidR="00DC5A4D">
          <w:rPr>
            <w:webHidden/>
          </w:rPr>
          <w:fldChar w:fldCharType="separate"/>
        </w:r>
        <w:r w:rsidR="0017155A">
          <w:rPr>
            <w:webHidden/>
          </w:rPr>
          <w:t>39</w:t>
        </w:r>
        <w:r w:rsidR="00DC5A4D">
          <w:rPr>
            <w:webHidden/>
          </w:rPr>
          <w:fldChar w:fldCharType="end"/>
        </w:r>
      </w:hyperlink>
    </w:p>
    <w:p w14:paraId="17DF96A2" w14:textId="1DF70806" w:rsidR="00DC5A4D" w:rsidRDefault="00232C24">
      <w:pPr>
        <w:pStyle w:val="TOC2"/>
        <w:rPr>
          <w:b w:val="0"/>
          <w:color w:val="auto"/>
          <w:sz w:val="24"/>
          <w:szCs w:val="24"/>
          <w:lang w:eastAsia="en-US"/>
        </w:rPr>
      </w:pPr>
      <w:hyperlink w:anchor="_Toc159326590"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_Toc159326590 \h </w:instrText>
        </w:r>
        <w:r w:rsidR="00DC5A4D">
          <w:rPr>
            <w:webHidden/>
          </w:rPr>
        </w:r>
        <w:r w:rsidR="00DC5A4D">
          <w:rPr>
            <w:webHidden/>
          </w:rPr>
          <w:fldChar w:fldCharType="separate"/>
        </w:r>
        <w:r w:rsidR="0017155A">
          <w:rPr>
            <w:webHidden/>
          </w:rPr>
          <w:t>40</w:t>
        </w:r>
        <w:r w:rsidR="00DC5A4D">
          <w:rPr>
            <w:webHidden/>
          </w:rPr>
          <w:fldChar w:fldCharType="end"/>
        </w:r>
      </w:hyperlink>
    </w:p>
    <w:p w14:paraId="77A27541" w14:textId="0E43A1B0" w:rsidR="00DC5A4D" w:rsidRDefault="00232C24">
      <w:pPr>
        <w:pStyle w:val="TOC2"/>
        <w:rPr>
          <w:b w:val="0"/>
          <w:color w:val="auto"/>
          <w:sz w:val="24"/>
          <w:szCs w:val="24"/>
          <w:lang w:eastAsia="en-US"/>
        </w:rPr>
      </w:pPr>
      <w:hyperlink w:anchor="_Toc159326591"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_Toc159326591 \h </w:instrText>
        </w:r>
        <w:r w:rsidR="00DC5A4D">
          <w:rPr>
            <w:webHidden/>
          </w:rPr>
        </w:r>
        <w:r w:rsidR="00DC5A4D">
          <w:rPr>
            <w:webHidden/>
          </w:rPr>
          <w:fldChar w:fldCharType="separate"/>
        </w:r>
        <w:r w:rsidR="0017155A">
          <w:rPr>
            <w:webHidden/>
          </w:rPr>
          <w:t>45</w:t>
        </w:r>
        <w:r w:rsidR="00DC5A4D">
          <w:rPr>
            <w:webHidden/>
          </w:rPr>
          <w:fldChar w:fldCharType="end"/>
        </w:r>
      </w:hyperlink>
    </w:p>
    <w:p w14:paraId="2E79257E" w14:textId="2B64FC84" w:rsidR="00DC5A4D" w:rsidRDefault="00232C24">
      <w:pPr>
        <w:pStyle w:val="TOC1"/>
        <w:rPr>
          <w:b w:val="0"/>
          <w:sz w:val="24"/>
          <w:szCs w:val="24"/>
        </w:rPr>
      </w:pPr>
      <w:hyperlink w:anchor="_Toc159326592" w:history="1">
        <w:r w:rsidR="00DC5A4D" w:rsidRPr="00683C47">
          <w:rPr>
            <w:rStyle w:val="Hyperlink"/>
            <w:lang w:val="en-GB"/>
          </w:rPr>
          <w:t>2: Term babies without congenital anomalies who required additional care</w:t>
        </w:r>
        <w:r w:rsidR="00DC5A4D">
          <w:rPr>
            <w:webHidden/>
          </w:rPr>
          <w:tab/>
        </w:r>
        <w:r w:rsidR="00DC5A4D">
          <w:rPr>
            <w:webHidden/>
          </w:rPr>
          <w:fldChar w:fldCharType="begin"/>
        </w:r>
        <w:r w:rsidR="00DC5A4D">
          <w:rPr>
            <w:webHidden/>
          </w:rPr>
          <w:instrText xml:space="preserve"> PAGEREF _Toc159326592 \h </w:instrText>
        </w:r>
        <w:r w:rsidR="00DC5A4D">
          <w:rPr>
            <w:webHidden/>
          </w:rPr>
        </w:r>
        <w:r w:rsidR="00DC5A4D">
          <w:rPr>
            <w:webHidden/>
          </w:rPr>
          <w:fldChar w:fldCharType="separate"/>
        </w:r>
        <w:r w:rsidR="0017155A">
          <w:rPr>
            <w:webHidden/>
          </w:rPr>
          <w:t>46</w:t>
        </w:r>
        <w:r w:rsidR="00DC5A4D">
          <w:rPr>
            <w:webHidden/>
          </w:rPr>
          <w:fldChar w:fldCharType="end"/>
        </w:r>
      </w:hyperlink>
    </w:p>
    <w:p w14:paraId="78A01562" w14:textId="78BAA73E" w:rsidR="00DC5A4D" w:rsidRDefault="00232C24">
      <w:pPr>
        <w:pStyle w:val="TOC2"/>
        <w:rPr>
          <w:b w:val="0"/>
          <w:color w:val="auto"/>
          <w:sz w:val="24"/>
          <w:szCs w:val="24"/>
          <w:lang w:eastAsia="en-US"/>
        </w:rPr>
      </w:pPr>
      <w:hyperlink w:anchor="_Toc159326593"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_Toc159326593 \h </w:instrText>
        </w:r>
        <w:r w:rsidR="00DC5A4D">
          <w:rPr>
            <w:webHidden/>
          </w:rPr>
        </w:r>
        <w:r w:rsidR="00DC5A4D">
          <w:rPr>
            <w:webHidden/>
          </w:rPr>
          <w:fldChar w:fldCharType="separate"/>
        </w:r>
        <w:r w:rsidR="0017155A">
          <w:rPr>
            <w:webHidden/>
          </w:rPr>
          <w:t>46</w:t>
        </w:r>
        <w:r w:rsidR="00DC5A4D">
          <w:rPr>
            <w:webHidden/>
          </w:rPr>
          <w:fldChar w:fldCharType="end"/>
        </w:r>
      </w:hyperlink>
    </w:p>
    <w:p w14:paraId="30613CCD" w14:textId="1E63F3A7" w:rsidR="00DC5A4D" w:rsidRDefault="00232C24">
      <w:pPr>
        <w:pStyle w:val="TOC2"/>
        <w:rPr>
          <w:b w:val="0"/>
          <w:color w:val="auto"/>
          <w:sz w:val="24"/>
          <w:szCs w:val="24"/>
          <w:lang w:eastAsia="en-US"/>
        </w:rPr>
      </w:pPr>
      <w:hyperlink w:anchor="_Toc159326594"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_Toc159326594 \h </w:instrText>
        </w:r>
        <w:r w:rsidR="00DC5A4D">
          <w:rPr>
            <w:webHidden/>
          </w:rPr>
        </w:r>
        <w:r w:rsidR="00DC5A4D">
          <w:rPr>
            <w:webHidden/>
          </w:rPr>
          <w:fldChar w:fldCharType="separate"/>
        </w:r>
        <w:r w:rsidR="0017155A">
          <w:rPr>
            <w:webHidden/>
          </w:rPr>
          <w:t>46</w:t>
        </w:r>
        <w:r w:rsidR="00DC5A4D">
          <w:rPr>
            <w:webHidden/>
          </w:rPr>
          <w:fldChar w:fldCharType="end"/>
        </w:r>
      </w:hyperlink>
    </w:p>
    <w:p w14:paraId="1D66430A" w14:textId="5C7F7036" w:rsidR="00DC5A4D" w:rsidRDefault="00232C24">
      <w:pPr>
        <w:pStyle w:val="TOC2"/>
        <w:rPr>
          <w:b w:val="0"/>
          <w:color w:val="auto"/>
          <w:sz w:val="24"/>
          <w:szCs w:val="24"/>
          <w:lang w:eastAsia="en-US"/>
        </w:rPr>
      </w:pPr>
      <w:hyperlink w:anchor="_Toc159326595"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_Toc159326595 \h </w:instrText>
        </w:r>
        <w:r w:rsidR="00DC5A4D">
          <w:rPr>
            <w:webHidden/>
          </w:rPr>
        </w:r>
        <w:r w:rsidR="00DC5A4D">
          <w:rPr>
            <w:webHidden/>
          </w:rPr>
          <w:fldChar w:fldCharType="separate"/>
        </w:r>
        <w:r w:rsidR="0017155A">
          <w:rPr>
            <w:webHidden/>
          </w:rPr>
          <w:t>47</w:t>
        </w:r>
        <w:r w:rsidR="00DC5A4D">
          <w:rPr>
            <w:webHidden/>
          </w:rPr>
          <w:fldChar w:fldCharType="end"/>
        </w:r>
      </w:hyperlink>
    </w:p>
    <w:p w14:paraId="7726A3CE" w14:textId="53F389FA" w:rsidR="00DC5A4D" w:rsidRDefault="00232C24">
      <w:pPr>
        <w:pStyle w:val="TOC2"/>
        <w:rPr>
          <w:b w:val="0"/>
          <w:color w:val="auto"/>
          <w:sz w:val="24"/>
          <w:szCs w:val="24"/>
          <w:lang w:eastAsia="en-US"/>
        </w:rPr>
      </w:pPr>
      <w:hyperlink w:anchor="_Toc159326596"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_Toc159326596 \h </w:instrText>
        </w:r>
        <w:r w:rsidR="00DC5A4D">
          <w:rPr>
            <w:webHidden/>
          </w:rPr>
        </w:r>
        <w:r w:rsidR="00DC5A4D">
          <w:rPr>
            <w:webHidden/>
          </w:rPr>
          <w:fldChar w:fldCharType="separate"/>
        </w:r>
        <w:r w:rsidR="0017155A">
          <w:rPr>
            <w:webHidden/>
          </w:rPr>
          <w:t>50</w:t>
        </w:r>
        <w:r w:rsidR="00DC5A4D">
          <w:rPr>
            <w:webHidden/>
          </w:rPr>
          <w:fldChar w:fldCharType="end"/>
        </w:r>
      </w:hyperlink>
    </w:p>
    <w:p w14:paraId="2067197D" w14:textId="14F6A2B2" w:rsidR="00DC5A4D" w:rsidRDefault="00232C24">
      <w:pPr>
        <w:pStyle w:val="TOC1"/>
        <w:rPr>
          <w:b w:val="0"/>
          <w:sz w:val="24"/>
          <w:szCs w:val="24"/>
        </w:rPr>
      </w:pPr>
      <w:hyperlink w:anchor="_Toc159326597" w:history="1">
        <w:r w:rsidR="00DC5A4D" w:rsidRPr="00683C47">
          <w:rPr>
            <w:rStyle w:val="Hyperlink"/>
            <w:lang w:val="en-GB"/>
          </w:rPr>
          <w:t>3a and 3b: Severe fetal growth restriction</w:t>
        </w:r>
        <w:r w:rsidR="00DC5A4D">
          <w:rPr>
            <w:webHidden/>
          </w:rPr>
          <w:tab/>
        </w:r>
        <w:r w:rsidR="00DC5A4D">
          <w:rPr>
            <w:webHidden/>
          </w:rPr>
          <w:fldChar w:fldCharType="begin"/>
        </w:r>
        <w:r w:rsidR="00DC5A4D">
          <w:rPr>
            <w:webHidden/>
          </w:rPr>
          <w:instrText xml:space="preserve"> PAGEREF _Toc159326597 \h </w:instrText>
        </w:r>
        <w:r w:rsidR="00DC5A4D">
          <w:rPr>
            <w:webHidden/>
          </w:rPr>
        </w:r>
        <w:r w:rsidR="00DC5A4D">
          <w:rPr>
            <w:webHidden/>
          </w:rPr>
          <w:fldChar w:fldCharType="separate"/>
        </w:r>
        <w:r w:rsidR="0017155A">
          <w:rPr>
            <w:webHidden/>
          </w:rPr>
          <w:t>52</w:t>
        </w:r>
        <w:r w:rsidR="00DC5A4D">
          <w:rPr>
            <w:webHidden/>
          </w:rPr>
          <w:fldChar w:fldCharType="end"/>
        </w:r>
      </w:hyperlink>
    </w:p>
    <w:p w14:paraId="2E49896F" w14:textId="3C5535B7" w:rsidR="00DC5A4D" w:rsidRDefault="00232C24">
      <w:pPr>
        <w:pStyle w:val="TOC2"/>
        <w:rPr>
          <w:b w:val="0"/>
          <w:color w:val="auto"/>
          <w:sz w:val="24"/>
          <w:szCs w:val="24"/>
          <w:lang w:eastAsia="en-US"/>
        </w:rPr>
      </w:pPr>
      <w:hyperlink w:anchor="_Toc159326598"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_Toc159326598 \h </w:instrText>
        </w:r>
        <w:r w:rsidR="00DC5A4D">
          <w:rPr>
            <w:webHidden/>
          </w:rPr>
        </w:r>
        <w:r w:rsidR="00DC5A4D">
          <w:rPr>
            <w:webHidden/>
          </w:rPr>
          <w:fldChar w:fldCharType="separate"/>
        </w:r>
        <w:r w:rsidR="0017155A">
          <w:rPr>
            <w:webHidden/>
          </w:rPr>
          <w:t>52</w:t>
        </w:r>
        <w:r w:rsidR="00DC5A4D">
          <w:rPr>
            <w:webHidden/>
          </w:rPr>
          <w:fldChar w:fldCharType="end"/>
        </w:r>
      </w:hyperlink>
    </w:p>
    <w:p w14:paraId="562A2391" w14:textId="7BA82A17" w:rsidR="00DC5A4D" w:rsidRDefault="00232C24">
      <w:pPr>
        <w:pStyle w:val="TOC2"/>
        <w:rPr>
          <w:b w:val="0"/>
          <w:color w:val="auto"/>
          <w:sz w:val="24"/>
          <w:szCs w:val="24"/>
          <w:lang w:eastAsia="en-US"/>
        </w:rPr>
      </w:pPr>
      <w:hyperlink w:anchor="_Toc159326599"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_Toc159326599 \h </w:instrText>
        </w:r>
        <w:r w:rsidR="00DC5A4D">
          <w:rPr>
            <w:webHidden/>
          </w:rPr>
        </w:r>
        <w:r w:rsidR="00DC5A4D">
          <w:rPr>
            <w:webHidden/>
          </w:rPr>
          <w:fldChar w:fldCharType="separate"/>
        </w:r>
        <w:r w:rsidR="0017155A">
          <w:rPr>
            <w:webHidden/>
          </w:rPr>
          <w:t>53</w:t>
        </w:r>
        <w:r w:rsidR="00DC5A4D">
          <w:rPr>
            <w:webHidden/>
          </w:rPr>
          <w:fldChar w:fldCharType="end"/>
        </w:r>
      </w:hyperlink>
    </w:p>
    <w:p w14:paraId="29A34D04" w14:textId="34583A22" w:rsidR="00DC5A4D" w:rsidRDefault="00232C24">
      <w:pPr>
        <w:pStyle w:val="TOC2"/>
        <w:rPr>
          <w:b w:val="0"/>
          <w:color w:val="auto"/>
          <w:sz w:val="24"/>
          <w:szCs w:val="24"/>
          <w:lang w:eastAsia="en-US"/>
        </w:rPr>
      </w:pPr>
      <w:hyperlink w:anchor="_Toc159326600"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_Toc159326600 \h </w:instrText>
        </w:r>
        <w:r w:rsidR="00DC5A4D">
          <w:rPr>
            <w:webHidden/>
          </w:rPr>
        </w:r>
        <w:r w:rsidR="00DC5A4D">
          <w:rPr>
            <w:webHidden/>
          </w:rPr>
          <w:fldChar w:fldCharType="separate"/>
        </w:r>
        <w:r w:rsidR="0017155A">
          <w:rPr>
            <w:webHidden/>
          </w:rPr>
          <w:t>53</w:t>
        </w:r>
        <w:r w:rsidR="00DC5A4D">
          <w:rPr>
            <w:webHidden/>
          </w:rPr>
          <w:fldChar w:fldCharType="end"/>
        </w:r>
      </w:hyperlink>
    </w:p>
    <w:p w14:paraId="78CE5609" w14:textId="3201C7E7" w:rsidR="00DC5A4D" w:rsidRDefault="00232C24">
      <w:pPr>
        <w:pStyle w:val="TOC2"/>
        <w:rPr>
          <w:b w:val="0"/>
          <w:color w:val="auto"/>
          <w:sz w:val="24"/>
          <w:szCs w:val="24"/>
          <w:lang w:eastAsia="en-US"/>
        </w:rPr>
      </w:pPr>
      <w:hyperlink w:anchor="_Toc159326601"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_Toc159326601 \h </w:instrText>
        </w:r>
        <w:r w:rsidR="00DC5A4D">
          <w:rPr>
            <w:webHidden/>
          </w:rPr>
        </w:r>
        <w:r w:rsidR="00DC5A4D">
          <w:rPr>
            <w:webHidden/>
          </w:rPr>
          <w:fldChar w:fldCharType="separate"/>
        </w:r>
        <w:r w:rsidR="0017155A">
          <w:rPr>
            <w:webHidden/>
          </w:rPr>
          <w:t>58</w:t>
        </w:r>
        <w:r w:rsidR="00DC5A4D">
          <w:rPr>
            <w:webHidden/>
          </w:rPr>
          <w:fldChar w:fldCharType="end"/>
        </w:r>
      </w:hyperlink>
    </w:p>
    <w:p w14:paraId="1EC79154" w14:textId="5236F5F2" w:rsidR="00DC5A4D" w:rsidRDefault="00232C24">
      <w:pPr>
        <w:pStyle w:val="TOC1"/>
        <w:rPr>
          <w:b w:val="0"/>
          <w:sz w:val="24"/>
          <w:szCs w:val="24"/>
        </w:rPr>
      </w:pPr>
      <w:hyperlink w:anchor="_Toc159326602" w:history="1">
        <w:r w:rsidR="00DC5A4D" w:rsidRPr="00683C47">
          <w:rPr>
            <w:rStyle w:val="Hyperlink"/>
            <w:lang w:val="en-GB"/>
          </w:rPr>
          <w:t>4a and 4b: Vaginal birth after primary caesarean section</w:t>
        </w:r>
        <w:r w:rsidR="00DC5A4D">
          <w:rPr>
            <w:webHidden/>
          </w:rPr>
          <w:tab/>
        </w:r>
        <w:r w:rsidR="00DC5A4D">
          <w:rPr>
            <w:webHidden/>
          </w:rPr>
          <w:fldChar w:fldCharType="begin"/>
        </w:r>
        <w:r w:rsidR="00DC5A4D">
          <w:rPr>
            <w:webHidden/>
          </w:rPr>
          <w:instrText xml:space="preserve"> PAGEREF _Toc159326602 \h </w:instrText>
        </w:r>
        <w:r w:rsidR="00DC5A4D">
          <w:rPr>
            <w:webHidden/>
          </w:rPr>
        </w:r>
        <w:r w:rsidR="00DC5A4D">
          <w:rPr>
            <w:webHidden/>
          </w:rPr>
          <w:fldChar w:fldCharType="separate"/>
        </w:r>
        <w:r w:rsidR="0017155A">
          <w:rPr>
            <w:webHidden/>
          </w:rPr>
          <w:t>59</w:t>
        </w:r>
        <w:r w:rsidR="00DC5A4D">
          <w:rPr>
            <w:webHidden/>
          </w:rPr>
          <w:fldChar w:fldCharType="end"/>
        </w:r>
      </w:hyperlink>
    </w:p>
    <w:p w14:paraId="691F194E" w14:textId="2EC88A30" w:rsidR="00DC5A4D" w:rsidRDefault="00232C24">
      <w:pPr>
        <w:pStyle w:val="TOC2"/>
        <w:rPr>
          <w:b w:val="0"/>
          <w:color w:val="auto"/>
          <w:sz w:val="24"/>
          <w:szCs w:val="24"/>
          <w:lang w:eastAsia="en-US"/>
        </w:rPr>
      </w:pPr>
      <w:hyperlink w:anchor="_Toc159326603"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_Toc159326603 \h </w:instrText>
        </w:r>
        <w:r w:rsidR="00DC5A4D">
          <w:rPr>
            <w:webHidden/>
          </w:rPr>
        </w:r>
        <w:r w:rsidR="00DC5A4D">
          <w:rPr>
            <w:webHidden/>
          </w:rPr>
          <w:fldChar w:fldCharType="separate"/>
        </w:r>
        <w:r w:rsidR="0017155A">
          <w:rPr>
            <w:webHidden/>
          </w:rPr>
          <w:t>59</w:t>
        </w:r>
        <w:r w:rsidR="00DC5A4D">
          <w:rPr>
            <w:webHidden/>
          </w:rPr>
          <w:fldChar w:fldCharType="end"/>
        </w:r>
      </w:hyperlink>
    </w:p>
    <w:p w14:paraId="691AC4B6" w14:textId="4485F57B" w:rsidR="00DC5A4D" w:rsidRDefault="00232C24">
      <w:pPr>
        <w:pStyle w:val="TOC2"/>
        <w:rPr>
          <w:b w:val="0"/>
          <w:color w:val="auto"/>
          <w:sz w:val="24"/>
          <w:szCs w:val="24"/>
          <w:lang w:eastAsia="en-US"/>
        </w:rPr>
      </w:pPr>
      <w:hyperlink w:anchor="_Toc159326604"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_Toc159326604 \h </w:instrText>
        </w:r>
        <w:r w:rsidR="00DC5A4D">
          <w:rPr>
            <w:webHidden/>
          </w:rPr>
        </w:r>
        <w:r w:rsidR="00DC5A4D">
          <w:rPr>
            <w:webHidden/>
          </w:rPr>
          <w:fldChar w:fldCharType="separate"/>
        </w:r>
        <w:r w:rsidR="0017155A">
          <w:rPr>
            <w:webHidden/>
          </w:rPr>
          <w:t>60</w:t>
        </w:r>
        <w:r w:rsidR="00DC5A4D">
          <w:rPr>
            <w:webHidden/>
          </w:rPr>
          <w:fldChar w:fldCharType="end"/>
        </w:r>
      </w:hyperlink>
    </w:p>
    <w:p w14:paraId="42F9723A" w14:textId="56F04C56" w:rsidR="00DC5A4D" w:rsidRDefault="00232C24">
      <w:pPr>
        <w:pStyle w:val="TOC2"/>
        <w:rPr>
          <w:b w:val="0"/>
          <w:color w:val="auto"/>
          <w:sz w:val="24"/>
          <w:szCs w:val="24"/>
          <w:lang w:eastAsia="en-US"/>
        </w:rPr>
      </w:pPr>
      <w:hyperlink w:anchor="_Toc159326605"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_Toc159326605 \h </w:instrText>
        </w:r>
        <w:r w:rsidR="00DC5A4D">
          <w:rPr>
            <w:webHidden/>
          </w:rPr>
        </w:r>
        <w:r w:rsidR="00DC5A4D">
          <w:rPr>
            <w:webHidden/>
          </w:rPr>
          <w:fldChar w:fldCharType="separate"/>
        </w:r>
        <w:r w:rsidR="0017155A">
          <w:rPr>
            <w:webHidden/>
          </w:rPr>
          <w:t>60</w:t>
        </w:r>
        <w:r w:rsidR="00DC5A4D">
          <w:rPr>
            <w:webHidden/>
          </w:rPr>
          <w:fldChar w:fldCharType="end"/>
        </w:r>
      </w:hyperlink>
    </w:p>
    <w:p w14:paraId="769FFB6D" w14:textId="34C25693" w:rsidR="00DC5A4D" w:rsidRDefault="00232C24">
      <w:pPr>
        <w:pStyle w:val="TOC2"/>
        <w:rPr>
          <w:b w:val="0"/>
          <w:color w:val="auto"/>
          <w:sz w:val="24"/>
          <w:szCs w:val="24"/>
          <w:lang w:eastAsia="en-US"/>
        </w:rPr>
      </w:pPr>
      <w:hyperlink w:anchor="_Toc159326606"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_Toc159326606 \h </w:instrText>
        </w:r>
        <w:r w:rsidR="00DC5A4D">
          <w:rPr>
            <w:webHidden/>
          </w:rPr>
        </w:r>
        <w:r w:rsidR="00DC5A4D">
          <w:rPr>
            <w:webHidden/>
          </w:rPr>
          <w:fldChar w:fldCharType="separate"/>
        </w:r>
        <w:r w:rsidR="0017155A">
          <w:rPr>
            <w:webHidden/>
          </w:rPr>
          <w:t>65</w:t>
        </w:r>
        <w:r w:rsidR="00DC5A4D">
          <w:rPr>
            <w:webHidden/>
          </w:rPr>
          <w:fldChar w:fldCharType="end"/>
        </w:r>
      </w:hyperlink>
    </w:p>
    <w:p w14:paraId="727D7510" w14:textId="3566E186" w:rsidR="00DC5A4D" w:rsidRDefault="00232C24">
      <w:pPr>
        <w:pStyle w:val="TOC1"/>
        <w:rPr>
          <w:b w:val="0"/>
          <w:sz w:val="24"/>
          <w:szCs w:val="24"/>
        </w:rPr>
      </w:pPr>
      <w:hyperlink w:anchor="_Toc159326607" w:history="1">
        <w:r w:rsidR="00DC5A4D" w:rsidRPr="00683C47">
          <w:rPr>
            <w:rStyle w:val="Hyperlink"/>
            <w:lang w:val="en-GB"/>
          </w:rPr>
          <w:t>5: Five-year gestation standardised perinatal mortality ratio</w:t>
        </w:r>
        <w:r w:rsidR="00DC5A4D">
          <w:rPr>
            <w:webHidden/>
          </w:rPr>
          <w:tab/>
        </w:r>
        <w:r w:rsidR="00DC5A4D">
          <w:rPr>
            <w:webHidden/>
          </w:rPr>
          <w:fldChar w:fldCharType="begin"/>
        </w:r>
        <w:r w:rsidR="00DC5A4D">
          <w:rPr>
            <w:webHidden/>
          </w:rPr>
          <w:instrText xml:space="preserve"> PAGEREF _Toc159326607 \h </w:instrText>
        </w:r>
        <w:r w:rsidR="00DC5A4D">
          <w:rPr>
            <w:webHidden/>
          </w:rPr>
        </w:r>
        <w:r w:rsidR="00DC5A4D">
          <w:rPr>
            <w:webHidden/>
          </w:rPr>
          <w:fldChar w:fldCharType="separate"/>
        </w:r>
        <w:r w:rsidR="0017155A">
          <w:rPr>
            <w:webHidden/>
          </w:rPr>
          <w:t>66</w:t>
        </w:r>
        <w:r w:rsidR="00DC5A4D">
          <w:rPr>
            <w:webHidden/>
          </w:rPr>
          <w:fldChar w:fldCharType="end"/>
        </w:r>
      </w:hyperlink>
    </w:p>
    <w:p w14:paraId="5200D961" w14:textId="2D6E6F1A" w:rsidR="00DC5A4D" w:rsidRDefault="00232C24">
      <w:pPr>
        <w:pStyle w:val="TOC2"/>
        <w:rPr>
          <w:b w:val="0"/>
          <w:color w:val="auto"/>
          <w:sz w:val="24"/>
          <w:szCs w:val="24"/>
          <w:lang w:eastAsia="en-US"/>
        </w:rPr>
      </w:pPr>
      <w:hyperlink w:anchor="_Toc159326608"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_Toc159326608 \h </w:instrText>
        </w:r>
        <w:r w:rsidR="00DC5A4D">
          <w:rPr>
            <w:webHidden/>
          </w:rPr>
        </w:r>
        <w:r w:rsidR="00DC5A4D">
          <w:rPr>
            <w:webHidden/>
          </w:rPr>
          <w:fldChar w:fldCharType="separate"/>
        </w:r>
        <w:r w:rsidR="0017155A">
          <w:rPr>
            <w:webHidden/>
          </w:rPr>
          <w:t>66</w:t>
        </w:r>
        <w:r w:rsidR="00DC5A4D">
          <w:rPr>
            <w:webHidden/>
          </w:rPr>
          <w:fldChar w:fldCharType="end"/>
        </w:r>
      </w:hyperlink>
    </w:p>
    <w:p w14:paraId="05A02DBE" w14:textId="763A051D" w:rsidR="00DC5A4D" w:rsidRDefault="00232C24">
      <w:pPr>
        <w:pStyle w:val="TOC2"/>
        <w:rPr>
          <w:b w:val="0"/>
          <w:color w:val="auto"/>
          <w:sz w:val="24"/>
          <w:szCs w:val="24"/>
          <w:lang w:eastAsia="en-US"/>
        </w:rPr>
      </w:pPr>
      <w:hyperlink w:anchor="_Toc159326609"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_Toc159326609 \h </w:instrText>
        </w:r>
        <w:r w:rsidR="00DC5A4D">
          <w:rPr>
            <w:webHidden/>
          </w:rPr>
        </w:r>
        <w:r w:rsidR="00DC5A4D">
          <w:rPr>
            <w:webHidden/>
          </w:rPr>
          <w:fldChar w:fldCharType="separate"/>
        </w:r>
        <w:r w:rsidR="0017155A">
          <w:rPr>
            <w:webHidden/>
          </w:rPr>
          <w:t>71</w:t>
        </w:r>
        <w:r w:rsidR="00DC5A4D">
          <w:rPr>
            <w:webHidden/>
          </w:rPr>
          <w:fldChar w:fldCharType="end"/>
        </w:r>
      </w:hyperlink>
    </w:p>
    <w:p w14:paraId="6D077AC8" w14:textId="49EE2AD4" w:rsidR="00DC5A4D" w:rsidRDefault="00232C24">
      <w:pPr>
        <w:pStyle w:val="TOC1"/>
        <w:rPr>
          <w:b w:val="0"/>
          <w:sz w:val="24"/>
          <w:szCs w:val="24"/>
        </w:rPr>
      </w:pPr>
      <w:hyperlink w:anchor="_Toc159326610" w:history="1">
        <w:r w:rsidR="00DC5A4D" w:rsidRPr="00683C47">
          <w:rPr>
            <w:rStyle w:val="Hyperlink"/>
          </w:rPr>
          <w:t>6a and 6b: Readmissions during the</w:t>
        </w:r>
        <w:r w:rsidR="00DC5A4D">
          <w:rPr>
            <w:webHidden/>
          </w:rPr>
          <w:tab/>
        </w:r>
        <w:r w:rsidR="00DC5A4D">
          <w:rPr>
            <w:webHidden/>
          </w:rPr>
          <w:fldChar w:fldCharType="begin"/>
        </w:r>
        <w:r w:rsidR="00DC5A4D">
          <w:rPr>
            <w:webHidden/>
          </w:rPr>
          <w:instrText xml:space="preserve"> PAGEREF _Toc159326610 \h </w:instrText>
        </w:r>
        <w:r w:rsidR="00DC5A4D">
          <w:rPr>
            <w:webHidden/>
          </w:rPr>
        </w:r>
        <w:r w:rsidR="00DC5A4D">
          <w:rPr>
            <w:webHidden/>
          </w:rPr>
          <w:fldChar w:fldCharType="separate"/>
        </w:r>
        <w:r w:rsidR="0017155A">
          <w:rPr>
            <w:webHidden/>
          </w:rPr>
          <w:t>72</w:t>
        </w:r>
        <w:r w:rsidR="00DC5A4D">
          <w:rPr>
            <w:webHidden/>
          </w:rPr>
          <w:fldChar w:fldCharType="end"/>
        </w:r>
      </w:hyperlink>
    </w:p>
    <w:p w14:paraId="52FE43AA" w14:textId="44C3193C" w:rsidR="00DC5A4D" w:rsidRDefault="00232C24">
      <w:pPr>
        <w:pStyle w:val="TOC2"/>
        <w:rPr>
          <w:b w:val="0"/>
          <w:color w:val="auto"/>
          <w:sz w:val="24"/>
          <w:szCs w:val="24"/>
          <w:lang w:eastAsia="en-US"/>
        </w:rPr>
      </w:pPr>
      <w:hyperlink w:anchor="_Toc159326611"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_Toc159326611 \h </w:instrText>
        </w:r>
        <w:r w:rsidR="00DC5A4D">
          <w:rPr>
            <w:webHidden/>
          </w:rPr>
        </w:r>
        <w:r w:rsidR="00DC5A4D">
          <w:rPr>
            <w:webHidden/>
          </w:rPr>
          <w:fldChar w:fldCharType="separate"/>
        </w:r>
        <w:r w:rsidR="0017155A">
          <w:rPr>
            <w:webHidden/>
          </w:rPr>
          <w:t>72</w:t>
        </w:r>
        <w:r w:rsidR="00DC5A4D">
          <w:rPr>
            <w:webHidden/>
          </w:rPr>
          <w:fldChar w:fldCharType="end"/>
        </w:r>
      </w:hyperlink>
    </w:p>
    <w:p w14:paraId="7F76B815" w14:textId="7E7861D8" w:rsidR="00DC5A4D" w:rsidRDefault="00232C24">
      <w:pPr>
        <w:pStyle w:val="TOC2"/>
        <w:rPr>
          <w:b w:val="0"/>
          <w:color w:val="auto"/>
          <w:sz w:val="24"/>
          <w:szCs w:val="24"/>
          <w:lang w:eastAsia="en-US"/>
        </w:rPr>
      </w:pPr>
      <w:hyperlink w:anchor="_Toc159326612"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_Toc159326612 \h </w:instrText>
        </w:r>
        <w:r w:rsidR="00DC5A4D">
          <w:rPr>
            <w:webHidden/>
          </w:rPr>
        </w:r>
        <w:r w:rsidR="00DC5A4D">
          <w:rPr>
            <w:webHidden/>
          </w:rPr>
          <w:fldChar w:fldCharType="separate"/>
        </w:r>
        <w:r w:rsidR="0017155A">
          <w:rPr>
            <w:webHidden/>
          </w:rPr>
          <w:t>72</w:t>
        </w:r>
        <w:r w:rsidR="00DC5A4D">
          <w:rPr>
            <w:webHidden/>
          </w:rPr>
          <w:fldChar w:fldCharType="end"/>
        </w:r>
      </w:hyperlink>
    </w:p>
    <w:p w14:paraId="0880E9FB" w14:textId="68346FBB" w:rsidR="00DC5A4D" w:rsidRDefault="00232C24">
      <w:pPr>
        <w:pStyle w:val="TOC2"/>
        <w:rPr>
          <w:b w:val="0"/>
          <w:color w:val="auto"/>
          <w:sz w:val="24"/>
          <w:szCs w:val="24"/>
          <w:lang w:eastAsia="en-US"/>
        </w:rPr>
      </w:pPr>
      <w:hyperlink w:anchor="_Toc159326613" w:history="1">
        <w:r w:rsidR="00DC5A4D" w:rsidRPr="00683C47">
          <w:rPr>
            <w:rStyle w:val="Hyperlink"/>
            <w:lang w:val="en-GB"/>
          </w:rPr>
          <w:t>Definitions and data sources</w:t>
        </w:r>
        <w:r w:rsidR="00DC5A4D">
          <w:rPr>
            <w:webHidden/>
          </w:rPr>
          <w:tab/>
        </w:r>
        <w:r w:rsidR="00DC5A4D">
          <w:rPr>
            <w:webHidden/>
          </w:rPr>
          <w:fldChar w:fldCharType="begin"/>
        </w:r>
        <w:r w:rsidR="00DC5A4D">
          <w:rPr>
            <w:webHidden/>
          </w:rPr>
          <w:instrText xml:space="preserve"> PAGEREF _Toc159326613 \h </w:instrText>
        </w:r>
        <w:r w:rsidR="00DC5A4D">
          <w:rPr>
            <w:webHidden/>
          </w:rPr>
        </w:r>
        <w:r w:rsidR="00DC5A4D">
          <w:rPr>
            <w:webHidden/>
          </w:rPr>
          <w:fldChar w:fldCharType="separate"/>
        </w:r>
        <w:r w:rsidR="0017155A">
          <w:rPr>
            <w:webHidden/>
          </w:rPr>
          <w:t>78</w:t>
        </w:r>
        <w:r w:rsidR="00DC5A4D">
          <w:rPr>
            <w:webHidden/>
          </w:rPr>
          <w:fldChar w:fldCharType="end"/>
        </w:r>
      </w:hyperlink>
    </w:p>
    <w:p w14:paraId="549CE879" w14:textId="4AD48B83" w:rsidR="00DC5A4D" w:rsidRDefault="00232C24">
      <w:pPr>
        <w:pStyle w:val="TOC1"/>
        <w:rPr>
          <w:b w:val="0"/>
          <w:sz w:val="24"/>
          <w:szCs w:val="24"/>
        </w:rPr>
      </w:pPr>
      <w:hyperlink w:anchor="_Toc159326614" w:history="1">
        <w:r w:rsidR="00DC5A4D" w:rsidRPr="00683C47">
          <w:rPr>
            <w:rStyle w:val="Hyperlink"/>
            <w:lang w:val="en-GB"/>
          </w:rPr>
          <w:t>7: Smoking cessation</w:t>
        </w:r>
        <w:r w:rsidR="00DC5A4D">
          <w:rPr>
            <w:webHidden/>
          </w:rPr>
          <w:tab/>
        </w:r>
        <w:r w:rsidR="00DC5A4D">
          <w:rPr>
            <w:webHidden/>
          </w:rPr>
          <w:fldChar w:fldCharType="begin"/>
        </w:r>
        <w:r w:rsidR="00DC5A4D">
          <w:rPr>
            <w:webHidden/>
          </w:rPr>
          <w:instrText xml:space="preserve"> PAGEREF _Toc159326614 \h </w:instrText>
        </w:r>
        <w:r w:rsidR="00DC5A4D">
          <w:rPr>
            <w:webHidden/>
          </w:rPr>
        </w:r>
        <w:r w:rsidR="00DC5A4D">
          <w:rPr>
            <w:webHidden/>
          </w:rPr>
          <w:fldChar w:fldCharType="separate"/>
        </w:r>
        <w:r w:rsidR="0017155A">
          <w:rPr>
            <w:webHidden/>
          </w:rPr>
          <w:t>81</w:t>
        </w:r>
        <w:r w:rsidR="00DC5A4D">
          <w:rPr>
            <w:webHidden/>
          </w:rPr>
          <w:fldChar w:fldCharType="end"/>
        </w:r>
      </w:hyperlink>
    </w:p>
    <w:p w14:paraId="228F3CD4" w14:textId="56F73E0C" w:rsidR="00DC5A4D" w:rsidRDefault="00232C24">
      <w:pPr>
        <w:pStyle w:val="TOC2"/>
        <w:rPr>
          <w:b w:val="0"/>
          <w:color w:val="auto"/>
          <w:sz w:val="24"/>
          <w:szCs w:val="24"/>
          <w:lang w:eastAsia="en-US"/>
        </w:rPr>
      </w:pPr>
      <w:hyperlink w:anchor="_Toc159326615"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_Toc159326615 \h </w:instrText>
        </w:r>
        <w:r w:rsidR="00DC5A4D">
          <w:rPr>
            <w:webHidden/>
          </w:rPr>
        </w:r>
        <w:r w:rsidR="00DC5A4D">
          <w:rPr>
            <w:webHidden/>
          </w:rPr>
          <w:fldChar w:fldCharType="separate"/>
        </w:r>
        <w:r w:rsidR="0017155A">
          <w:rPr>
            <w:webHidden/>
          </w:rPr>
          <w:t>81</w:t>
        </w:r>
        <w:r w:rsidR="00DC5A4D">
          <w:rPr>
            <w:webHidden/>
          </w:rPr>
          <w:fldChar w:fldCharType="end"/>
        </w:r>
      </w:hyperlink>
    </w:p>
    <w:p w14:paraId="6C1D66CE" w14:textId="39D3A0EF" w:rsidR="00DC5A4D" w:rsidRDefault="00232C24">
      <w:pPr>
        <w:pStyle w:val="TOC2"/>
        <w:rPr>
          <w:b w:val="0"/>
          <w:color w:val="auto"/>
          <w:sz w:val="24"/>
          <w:szCs w:val="24"/>
          <w:lang w:eastAsia="en-US"/>
        </w:rPr>
      </w:pPr>
      <w:hyperlink w:anchor="_Toc159326616"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_Toc159326616 \h </w:instrText>
        </w:r>
        <w:r w:rsidR="00DC5A4D">
          <w:rPr>
            <w:webHidden/>
          </w:rPr>
        </w:r>
        <w:r w:rsidR="00DC5A4D">
          <w:rPr>
            <w:webHidden/>
          </w:rPr>
          <w:fldChar w:fldCharType="separate"/>
        </w:r>
        <w:r w:rsidR="0017155A">
          <w:rPr>
            <w:webHidden/>
          </w:rPr>
          <w:t>81</w:t>
        </w:r>
        <w:r w:rsidR="00DC5A4D">
          <w:rPr>
            <w:webHidden/>
          </w:rPr>
          <w:fldChar w:fldCharType="end"/>
        </w:r>
      </w:hyperlink>
    </w:p>
    <w:p w14:paraId="3EFDEC37" w14:textId="37C0AE61" w:rsidR="00DC5A4D" w:rsidRDefault="00232C24">
      <w:pPr>
        <w:pStyle w:val="TOC2"/>
        <w:rPr>
          <w:b w:val="0"/>
          <w:color w:val="auto"/>
          <w:sz w:val="24"/>
          <w:szCs w:val="24"/>
          <w:lang w:eastAsia="en-US"/>
        </w:rPr>
      </w:pPr>
      <w:hyperlink w:anchor="_Toc159326617"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_Toc159326617 \h </w:instrText>
        </w:r>
        <w:r w:rsidR="00DC5A4D">
          <w:rPr>
            <w:webHidden/>
          </w:rPr>
        </w:r>
        <w:r w:rsidR="00DC5A4D">
          <w:rPr>
            <w:webHidden/>
          </w:rPr>
          <w:fldChar w:fldCharType="separate"/>
        </w:r>
        <w:r w:rsidR="0017155A">
          <w:rPr>
            <w:webHidden/>
          </w:rPr>
          <w:t>82</w:t>
        </w:r>
        <w:r w:rsidR="00DC5A4D">
          <w:rPr>
            <w:webHidden/>
          </w:rPr>
          <w:fldChar w:fldCharType="end"/>
        </w:r>
      </w:hyperlink>
    </w:p>
    <w:p w14:paraId="2E5BCBBB" w14:textId="0C04ACC2" w:rsidR="00DC5A4D" w:rsidRDefault="00232C24">
      <w:pPr>
        <w:pStyle w:val="TOC2"/>
        <w:rPr>
          <w:b w:val="0"/>
          <w:color w:val="auto"/>
          <w:sz w:val="24"/>
          <w:szCs w:val="24"/>
          <w:lang w:eastAsia="en-US"/>
        </w:rPr>
      </w:pPr>
      <w:hyperlink w:anchor="_Toc159326618"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_Toc159326618 \h </w:instrText>
        </w:r>
        <w:r w:rsidR="00DC5A4D">
          <w:rPr>
            <w:webHidden/>
          </w:rPr>
        </w:r>
        <w:r w:rsidR="00DC5A4D">
          <w:rPr>
            <w:webHidden/>
          </w:rPr>
          <w:fldChar w:fldCharType="separate"/>
        </w:r>
        <w:r w:rsidR="0017155A">
          <w:rPr>
            <w:webHidden/>
          </w:rPr>
          <w:t>85</w:t>
        </w:r>
        <w:r w:rsidR="00DC5A4D">
          <w:rPr>
            <w:webHidden/>
          </w:rPr>
          <w:fldChar w:fldCharType="end"/>
        </w:r>
      </w:hyperlink>
    </w:p>
    <w:p w14:paraId="12A37EEE" w14:textId="51763BC7" w:rsidR="00DC5A4D" w:rsidRDefault="00232C24">
      <w:pPr>
        <w:pStyle w:val="TOC1"/>
        <w:rPr>
          <w:b w:val="0"/>
          <w:sz w:val="24"/>
          <w:szCs w:val="24"/>
        </w:rPr>
      </w:pPr>
      <w:hyperlink w:anchor="_Toc159326619" w:history="1">
        <w:r w:rsidR="00DC5A4D" w:rsidRPr="00683C47">
          <w:rPr>
            <w:rStyle w:val="Hyperlink"/>
            <w:lang w:val="en-GB"/>
          </w:rPr>
          <w:t>8a, 8b and 8c: Breastfeeding in hospital</w:t>
        </w:r>
        <w:r w:rsidR="00DC5A4D">
          <w:rPr>
            <w:webHidden/>
          </w:rPr>
          <w:tab/>
        </w:r>
        <w:r w:rsidR="00DC5A4D">
          <w:rPr>
            <w:webHidden/>
          </w:rPr>
          <w:fldChar w:fldCharType="begin"/>
        </w:r>
        <w:r w:rsidR="00DC5A4D">
          <w:rPr>
            <w:webHidden/>
          </w:rPr>
          <w:instrText xml:space="preserve"> PAGEREF _Toc159326619 \h </w:instrText>
        </w:r>
        <w:r w:rsidR="00DC5A4D">
          <w:rPr>
            <w:webHidden/>
          </w:rPr>
        </w:r>
        <w:r w:rsidR="00DC5A4D">
          <w:rPr>
            <w:webHidden/>
          </w:rPr>
          <w:fldChar w:fldCharType="separate"/>
        </w:r>
        <w:r w:rsidR="0017155A">
          <w:rPr>
            <w:webHidden/>
          </w:rPr>
          <w:t>86</w:t>
        </w:r>
        <w:r w:rsidR="00DC5A4D">
          <w:rPr>
            <w:webHidden/>
          </w:rPr>
          <w:fldChar w:fldCharType="end"/>
        </w:r>
      </w:hyperlink>
    </w:p>
    <w:p w14:paraId="25493A91" w14:textId="2B416B2D" w:rsidR="00DC5A4D" w:rsidRDefault="00232C24">
      <w:pPr>
        <w:pStyle w:val="TOC2"/>
        <w:rPr>
          <w:b w:val="0"/>
          <w:color w:val="auto"/>
          <w:sz w:val="24"/>
          <w:szCs w:val="24"/>
          <w:lang w:eastAsia="en-US"/>
        </w:rPr>
      </w:pPr>
      <w:hyperlink w:anchor="_Toc159326620"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_Toc159326620 \h </w:instrText>
        </w:r>
        <w:r w:rsidR="00DC5A4D">
          <w:rPr>
            <w:webHidden/>
          </w:rPr>
        </w:r>
        <w:r w:rsidR="00DC5A4D">
          <w:rPr>
            <w:webHidden/>
          </w:rPr>
          <w:fldChar w:fldCharType="separate"/>
        </w:r>
        <w:r w:rsidR="0017155A">
          <w:rPr>
            <w:webHidden/>
          </w:rPr>
          <w:t>86</w:t>
        </w:r>
        <w:r w:rsidR="00DC5A4D">
          <w:rPr>
            <w:webHidden/>
          </w:rPr>
          <w:fldChar w:fldCharType="end"/>
        </w:r>
      </w:hyperlink>
    </w:p>
    <w:p w14:paraId="055898CF" w14:textId="5F7B6D7B" w:rsidR="00DC5A4D" w:rsidRDefault="00232C24">
      <w:pPr>
        <w:pStyle w:val="TOC2"/>
        <w:rPr>
          <w:b w:val="0"/>
          <w:color w:val="auto"/>
          <w:sz w:val="24"/>
          <w:szCs w:val="24"/>
          <w:lang w:eastAsia="en-US"/>
        </w:rPr>
      </w:pPr>
      <w:hyperlink w:anchor="_Toc159326621"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_Toc159326621 \h </w:instrText>
        </w:r>
        <w:r w:rsidR="00DC5A4D">
          <w:rPr>
            <w:webHidden/>
          </w:rPr>
        </w:r>
        <w:r w:rsidR="00DC5A4D">
          <w:rPr>
            <w:webHidden/>
          </w:rPr>
          <w:fldChar w:fldCharType="separate"/>
        </w:r>
        <w:r w:rsidR="0017155A">
          <w:rPr>
            <w:webHidden/>
          </w:rPr>
          <w:t>87</w:t>
        </w:r>
        <w:r w:rsidR="00DC5A4D">
          <w:rPr>
            <w:webHidden/>
          </w:rPr>
          <w:fldChar w:fldCharType="end"/>
        </w:r>
      </w:hyperlink>
    </w:p>
    <w:p w14:paraId="32EADF4B" w14:textId="49CD83AA" w:rsidR="00DC5A4D" w:rsidRDefault="00232C24">
      <w:pPr>
        <w:pStyle w:val="TOC2"/>
        <w:rPr>
          <w:b w:val="0"/>
          <w:color w:val="auto"/>
          <w:sz w:val="24"/>
          <w:szCs w:val="24"/>
          <w:lang w:eastAsia="en-US"/>
        </w:rPr>
      </w:pPr>
      <w:hyperlink w:anchor="_Toc159326622"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_Toc159326622 \h </w:instrText>
        </w:r>
        <w:r w:rsidR="00DC5A4D">
          <w:rPr>
            <w:webHidden/>
          </w:rPr>
        </w:r>
        <w:r w:rsidR="00DC5A4D">
          <w:rPr>
            <w:webHidden/>
          </w:rPr>
          <w:fldChar w:fldCharType="separate"/>
        </w:r>
        <w:r w:rsidR="0017155A">
          <w:rPr>
            <w:webHidden/>
          </w:rPr>
          <w:t>87</w:t>
        </w:r>
        <w:r w:rsidR="00DC5A4D">
          <w:rPr>
            <w:webHidden/>
          </w:rPr>
          <w:fldChar w:fldCharType="end"/>
        </w:r>
      </w:hyperlink>
    </w:p>
    <w:p w14:paraId="77850C85" w14:textId="54D447D8" w:rsidR="00DC5A4D" w:rsidRDefault="00232C24">
      <w:pPr>
        <w:pStyle w:val="TOC2"/>
        <w:rPr>
          <w:b w:val="0"/>
          <w:color w:val="auto"/>
          <w:sz w:val="24"/>
          <w:szCs w:val="24"/>
          <w:lang w:eastAsia="en-US"/>
        </w:rPr>
      </w:pPr>
      <w:hyperlink w:anchor="_Toc159326623" w:history="1">
        <w:r w:rsidR="00DC5A4D" w:rsidRPr="00683C47">
          <w:rPr>
            <w:rStyle w:val="Hyperlink"/>
            <w:lang w:val="en-GB"/>
          </w:rPr>
          <w:t>Definitions and data source</w:t>
        </w:r>
        <w:r w:rsidR="00DC5A4D">
          <w:rPr>
            <w:webHidden/>
          </w:rPr>
          <w:tab/>
        </w:r>
        <w:r w:rsidR="00DC5A4D">
          <w:rPr>
            <w:webHidden/>
          </w:rPr>
          <w:fldChar w:fldCharType="begin"/>
        </w:r>
        <w:r w:rsidR="00DC5A4D">
          <w:rPr>
            <w:webHidden/>
          </w:rPr>
          <w:instrText xml:space="preserve"> PAGEREF _Toc159326623 \h </w:instrText>
        </w:r>
        <w:r w:rsidR="00DC5A4D">
          <w:rPr>
            <w:webHidden/>
          </w:rPr>
        </w:r>
        <w:r w:rsidR="00DC5A4D">
          <w:rPr>
            <w:webHidden/>
          </w:rPr>
          <w:fldChar w:fldCharType="separate"/>
        </w:r>
        <w:r w:rsidR="0017155A">
          <w:rPr>
            <w:webHidden/>
          </w:rPr>
          <w:t>94</w:t>
        </w:r>
        <w:r w:rsidR="00DC5A4D">
          <w:rPr>
            <w:webHidden/>
          </w:rPr>
          <w:fldChar w:fldCharType="end"/>
        </w:r>
      </w:hyperlink>
    </w:p>
    <w:p w14:paraId="463E4712" w14:textId="30CCB698" w:rsidR="00DC5A4D" w:rsidRDefault="00232C24">
      <w:pPr>
        <w:pStyle w:val="TOC1"/>
        <w:rPr>
          <w:b w:val="0"/>
          <w:sz w:val="24"/>
          <w:szCs w:val="24"/>
        </w:rPr>
      </w:pPr>
      <w:hyperlink w:anchor="_Toc159326624" w:history="1">
        <w:r w:rsidR="00DC5A4D" w:rsidRPr="00683C47">
          <w:rPr>
            <w:rStyle w:val="Hyperlink"/>
            <w:lang w:val="en-GB"/>
          </w:rPr>
          <w:t>9: First antenatal visit</w:t>
        </w:r>
        <w:r w:rsidR="00DC5A4D">
          <w:rPr>
            <w:webHidden/>
          </w:rPr>
          <w:tab/>
        </w:r>
        <w:r w:rsidR="00DC5A4D">
          <w:rPr>
            <w:webHidden/>
          </w:rPr>
          <w:fldChar w:fldCharType="begin"/>
        </w:r>
        <w:r w:rsidR="00DC5A4D">
          <w:rPr>
            <w:webHidden/>
          </w:rPr>
          <w:instrText xml:space="preserve"> PAGEREF _Toc159326624 \h </w:instrText>
        </w:r>
        <w:r w:rsidR="00DC5A4D">
          <w:rPr>
            <w:webHidden/>
          </w:rPr>
        </w:r>
        <w:r w:rsidR="00DC5A4D">
          <w:rPr>
            <w:webHidden/>
          </w:rPr>
          <w:fldChar w:fldCharType="separate"/>
        </w:r>
        <w:r w:rsidR="0017155A">
          <w:rPr>
            <w:webHidden/>
          </w:rPr>
          <w:t>95</w:t>
        </w:r>
        <w:r w:rsidR="00DC5A4D">
          <w:rPr>
            <w:webHidden/>
          </w:rPr>
          <w:fldChar w:fldCharType="end"/>
        </w:r>
      </w:hyperlink>
    </w:p>
    <w:p w14:paraId="5E396803" w14:textId="38570B5F" w:rsidR="00DC5A4D" w:rsidRDefault="00232C24">
      <w:pPr>
        <w:pStyle w:val="TOC2"/>
        <w:rPr>
          <w:b w:val="0"/>
          <w:color w:val="auto"/>
          <w:sz w:val="24"/>
          <w:szCs w:val="24"/>
          <w:lang w:eastAsia="en-US"/>
        </w:rPr>
      </w:pPr>
      <w:hyperlink w:anchor="_Toc159326625"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_Toc159326625 \h </w:instrText>
        </w:r>
        <w:r w:rsidR="00DC5A4D">
          <w:rPr>
            <w:webHidden/>
          </w:rPr>
        </w:r>
        <w:r w:rsidR="00DC5A4D">
          <w:rPr>
            <w:webHidden/>
          </w:rPr>
          <w:fldChar w:fldCharType="separate"/>
        </w:r>
        <w:r w:rsidR="0017155A">
          <w:rPr>
            <w:webHidden/>
          </w:rPr>
          <w:t>95</w:t>
        </w:r>
        <w:r w:rsidR="00DC5A4D">
          <w:rPr>
            <w:webHidden/>
          </w:rPr>
          <w:fldChar w:fldCharType="end"/>
        </w:r>
      </w:hyperlink>
    </w:p>
    <w:p w14:paraId="5B581933" w14:textId="7EF11B1F" w:rsidR="00DC5A4D" w:rsidRDefault="00232C24">
      <w:pPr>
        <w:pStyle w:val="TOC2"/>
        <w:rPr>
          <w:b w:val="0"/>
          <w:color w:val="auto"/>
          <w:sz w:val="24"/>
          <w:szCs w:val="24"/>
          <w:lang w:eastAsia="en-US"/>
        </w:rPr>
      </w:pPr>
      <w:hyperlink w:anchor="_Toc159326626"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_Toc159326626 \h </w:instrText>
        </w:r>
        <w:r w:rsidR="00DC5A4D">
          <w:rPr>
            <w:webHidden/>
          </w:rPr>
        </w:r>
        <w:r w:rsidR="00DC5A4D">
          <w:rPr>
            <w:webHidden/>
          </w:rPr>
          <w:fldChar w:fldCharType="separate"/>
        </w:r>
        <w:r w:rsidR="0017155A">
          <w:rPr>
            <w:webHidden/>
          </w:rPr>
          <w:t>95</w:t>
        </w:r>
        <w:r w:rsidR="00DC5A4D">
          <w:rPr>
            <w:webHidden/>
          </w:rPr>
          <w:fldChar w:fldCharType="end"/>
        </w:r>
      </w:hyperlink>
    </w:p>
    <w:p w14:paraId="5DCB98C2" w14:textId="3A7B25D9" w:rsidR="00DC5A4D" w:rsidRDefault="00232C24">
      <w:pPr>
        <w:pStyle w:val="TOC2"/>
        <w:rPr>
          <w:b w:val="0"/>
          <w:color w:val="auto"/>
          <w:sz w:val="24"/>
          <w:szCs w:val="24"/>
          <w:lang w:eastAsia="en-US"/>
        </w:rPr>
      </w:pPr>
      <w:hyperlink w:anchor="_Toc159326627"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_Toc159326627 \h </w:instrText>
        </w:r>
        <w:r w:rsidR="00DC5A4D">
          <w:rPr>
            <w:webHidden/>
          </w:rPr>
        </w:r>
        <w:r w:rsidR="00DC5A4D">
          <w:rPr>
            <w:webHidden/>
          </w:rPr>
          <w:fldChar w:fldCharType="separate"/>
        </w:r>
        <w:r w:rsidR="0017155A">
          <w:rPr>
            <w:webHidden/>
          </w:rPr>
          <w:t>96</w:t>
        </w:r>
        <w:r w:rsidR="00DC5A4D">
          <w:rPr>
            <w:webHidden/>
          </w:rPr>
          <w:fldChar w:fldCharType="end"/>
        </w:r>
      </w:hyperlink>
    </w:p>
    <w:p w14:paraId="66B04582" w14:textId="4AAAB651" w:rsidR="00DC5A4D" w:rsidRDefault="00232C24">
      <w:pPr>
        <w:pStyle w:val="TOC2"/>
        <w:rPr>
          <w:b w:val="0"/>
          <w:color w:val="auto"/>
          <w:sz w:val="24"/>
          <w:szCs w:val="24"/>
          <w:lang w:eastAsia="en-US"/>
        </w:rPr>
      </w:pPr>
      <w:hyperlink w:anchor="_Toc159326628"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_Toc159326628 \h </w:instrText>
        </w:r>
        <w:r w:rsidR="00DC5A4D">
          <w:rPr>
            <w:webHidden/>
          </w:rPr>
        </w:r>
        <w:r w:rsidR="00DC5A4D">
          <w:rPr>
            <w:webHidden/>
          </w:rPr>
          <w:fldChar w:fldCharType="separate"/>
        </w:r>
        <w:r w:rsidR="0017155A">
          <w:rPr>
            <w:webHidden/>
          </w:rPr>
          <w:t>99</w:t>
        </w:r>
        <w:r w:rsidR="00DC5A4D">
          <w:rPr>
            <w:webHidden/>
          </w:rPr>
          <w:fldChar w:fldCharType="end"/>
        </w:r>
      </w:hyperlink>
    </w:p>
    <w:p w14:paraId="13676FCF" w14:textId="48A0E12A" w:rsidR="00DC5A4D" w:rsidRDefault="00232C24">
      <w:pPr>
        <w:pStyle w:val="TOC1"/>
        <w:rPr>
          <w:b w:val="0"/>
          <w:sz w:val="24"/>
          <w:szCs w:val="24"/>
        </w:rPr>
      </w:pPr>
      <w:hyperlink w:anchor="_Toc159326629" w:history="1">
        <w:r w:rsidR="00DC5A4D" w:rsidRPr="00683C47">
          <w:rPr>
            <w:rStyle w:val="Hyperlink"/>
            <w:lang w:val="en-GB"/>
          </w:rPr>
          <w:t>10: Low Apgar score</w:t>
        </w:r>
        <w:r w:rsidR="00DC5A4D">
          <w:rPr>
            <w:webHidden/>
          </w:rPr>
          <w:tab/>
        </w:r>
        <w:r w:rsidR="00DC5A4D">
          <w:rPr>
            <w:webHidden/>
          </w:rPr>
          <w:fldChar w:fldCharType="begin"/>
        </w:r>
        <w:r w:rsidR="00DC5A4D">
          <w:rPr>
            <w:webHidden/>
          </w:rPr>
          <w:instrText xml:space="preserve"> PAGEREF _Toc159326629 \h </w:instrText>
        </w:r>
        <w:r w:rsidR="00DC5A4D">
          <w:rPr>
            <w:webHidden/>
          </w:rPr>
        </w:r>
        <w:r w:rsidR="00DC5A4D">
          <w:rPr>
            <w:webHidden/>
          </w:rPr>
          <w:fldChar w:fldCharType="separate"/>
        </w:r>
        <w:r w:rsidR="0017155A">
          <w:rPr>
            <w:webHidden/>
          </w:rPr>
          <w:t>100</w:t>
        </w:r>
        <w:r w:rsidR="00DC5A4D">
          <w:rPr>
            <w:webHidden/>
          </w:rPr>
          <w:fldChar w:fldCharType="end"/>
        </w:r>
      </w:hyperlink>
    </w:p>
    <w:p w14:paraId="02391B0A" w14:textId="498C91FC" w:rsidR="00DC5A4D" w:rsidRDefault="00232C24">
      <w:pPr>
        <w:pStyle w:val="TOC2"/>
        <w:rPr>
          <w:b w:val="0"/>
          <w:color w:val="auto"/>
          <w:sz w:val="24"/>
          <w:szCs w:val="24"/>
          <w:lang w:eastAsia="en-US"/>
        </w:rPr>
      </w:pPr>
      <w:hyperlink w:anchor="_Toc159326630"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_Toc159326630 \h </w:instrText>
        </w:r>
        <w:r w:rsidR="00DC5A4D">
          <w:rPr>
            <w:webHidden/>
          </w:rPr>
        </w:r>
        <w:r w:rsidR="00DC5A4D">
          <w:rPr>
            <w:webHidden/>
          </w:rPr>
          <w:fldChar w:fldCharType="separate"/>
        </w:r>
        <w:r w:rsidR="0017155A">
          <w:rPr>
            <w:webHidden/>
          </w:rPr>
          <w:t>100</w:t>
        </w:r>
        <w:r w:rsidR="00DC5A4D">
          <w:rPr>
            <w:webHidden/>
          </w:rPr>
          <w:fldChar w:fldCharType="end"/>
        </w:r>
      </w:hyperlink>
    </w:p>
    <w:p w14:paraId="63CF0301" w14:textId="2876EAFD" w:rsidR="00DC5A4D" w:rsidRDefault="00232C24">
      <w:pPr>
        <w:pStyle w:val="TOC2"/>
        <w:rPr>
          <w:b w:val="0"/>
          <w:color w:val="auto"/>
          <w:sz w:val="24"/>
          <w:szCs w:val="24"/>
          <w:lang w:eastAsia="en-US"/>
        </w:rPr>
      </w:pPr>
      <w:hyperlink w:anchor="_Toc159326631"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_Toc159326631 \h </w:instrText>
        </w:r>
        <w:r w:rsidR="00DC5A4D">
          <w:rPr>
            <w:webHidden/>
          </w:rPr>
        </w:r>
        <w:r w:rsidR="00DC5A4D">
          <w:rPr>
            <w:webHidden/>
          </w:rPr>
          <w:fldChar w:fldCharType="separate"/>
        </w:r>
        <w:r w:rsidR="0017155A">
          <w:rPr>
            <w:webHidden/>
          </w:rPr>
          <w:t>100</w:t>
        </w:r>
        <w:r w:rsidR="00DC5A4D">
          <w:rPr>
            <w:webHidden/>
          </w:rPr>
          <w:fldChar w:fldCharType="end"/>
        </w:r>
      </w:hyperlink>
    </w:p>
    <w:p w14:paraId="17B33C4C" w14:textId="09584084" w:rsidR="00DC5A4D" w:rsidRDefault="00232C24">
      <w:pPr>
        <w:pStyle w:val="TOC2"/>
        <w:rPr>
          <w:b w:val="0"/>
          <w:color w:val="auto"/>
          <w:sz w:val="24"/>
          <w:szCs w:val="24"/>
          <w:lang w:eastAsia="en-US"/>
        </w:rPr>
      </w:pPr>
      <w:hyperlink w:anchor="_Toc159326632"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_Toc159326632 \h </w:instrText>
        </w:r>
        <w:r w:rsidR="00DC5A4D">
          <w:rPr>
            <w:webHidden/>
          </w:rPr>
        </w:r>
        <w:r w:rsidR="00DC5A4D">
          <w:rPr>
            <w:webHidden/>
          </w:rPr>
          <w:fldChar w:fldCharType="separate"/>
        </w:r>
        <w:r w:rsidR="0017155A">
          <w:rPr>
            <w:webHidden/>
          </w:rPr>
          <w:t>101</w:t>
        </w:r>
        <w:r w:rsidR="00DC5A4D">
          <w:rPr>
            <w:webHidden/>
          </w:rPr>
          <w:fldChar w:fldCharType="end"/>
        </w:r>
      </w:hyperlink>
    </w:p>
    <w:p w14:paraId="521CEE8C" w14:textId="4745D629" w:rsidR="00DC5A4D" w:rsidRDefault="00232C24">
      <w:pPr>
        <w:pStyle w:val="TOC2"/>
        <w:rPr>
          <w:b w:val="0"/>
          <w:color w:val="auto"/>
          <w:sz w:val="24"/>
          <w:szCs w:val="24"/>
          <w:lang w:eastAsia="en-US"/>
        </w:rPr>
      </w:pPr>
      <w:hyperlink w:anchor="_Toc159326633"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_Toc159326633 \h </w:instrText>
        </w:r>
        <w:r w:rsidR="00DC5A4D">
          <w:rPr>
            <w:webHidden/>
          </w:rPr>
        </w:r>
        <w:r w:rsidR="00DC5A4D">
          <w:rPr>
            <w:webHidden/>
          </w:rPr>
          <w:fldChar w:fldCharType="separate"/>
        </w:r>
        <w:r w:rsidR="0017155A">
          <w:rPr>
            <w:webHidden/>
          </w:rPr>
          <w:t>104</w:t>
        </w:r>
        <w:r w:rsidR="00DC5A4D">
          <w:rPr>
            <w:webHidden/>
          </w:rPr>
          <w:fldChar w:fldCharType="end"/>
        </w:r>
      </w:hyperlink>
    </w:p>
    <w:p w14:paraId="3AF860E1" w14:textId="31EAC50A" w:rsidR="00DC5A4D" w:rsidRDefault="00232C24">
      <w:pPr>
        <w:pStyle w:val="TOC1"/>
        <w:rPr>
          <w:b w:val="0"/>
          <w:sz w:val="24"/>
          <w:szCs w:val="24"/>
        </w:rPr>
      </w:pPr>
      <w:hyperlink w:anchor="_Toc159326634" w:history="1">
        <w:r w:rsidR="00DC5A4D" w:rsidRPr="00683C47">
          <w:rPr>
            <w:rStyle w:val="Hyperlink"/>
            <w:lang w:val="en-GB"/>
          </w:rPr>
          <w:t>11a and 11b: Women’s experiences of care</w:t>
        </w:r>
        <w:r w:rsidR="00DC5A4D">
          <w:rPr>
            <w:webHidden/>
          </w:rPr>
          <w:tab/>
        </w:r>
        <w:r w:rsidR="00DC5A4D">
          <w:rPr>
            <w:webHidden/>
          </w:rPr>
          <w:fldChar w:fldCharType="begin"/>
        </w:r>
        <w:r w:rsidR="00DC5A4D">
          <w:rPr>
            <w:webHidden/>
          </w:rPr>
          <w:instrText xml:space="preserve"> PAGEREF _Toc159326634 \h </w:instrText>
        </w:r>
        <w:r w:rsidR="00DC5A4D">
          <w:rPr>
            <w:webHidden/>
          </w:rPr>
        </w:r>
        <w:r w:rsidR="00DC5A4D">
          <w:rPr>
            <w:webHidden/>
          </w:rPr>
          <w:fldChar w:fldCharType="separate"/>
        </w:r>
        <w:r w:rsidR="0017155A">
          <w:rPr>
            <w:webHidden/>
          </w:rPr>
          <w:t>105</w:t>
        </w:r>
        <w:r w:rsidR="00DC5A4D">
          <w:rPr>
            <w:webHidden/>
          </w:rPr>
          <w:fldChar w:fldCharType="end"/>
        </w:r>
      </w:hyperlink>
    </w:p>
    <w:p w14:paraId="65A9606B" w14:textId="65AB0688" w:rsidR="00DC5A4D" w:rsidRDefault="00232C24">
      <w:pPr>
        <w:pStyle w:val="TOC2"/>
        <w:rPr>
          <w:b w:val="0"/>
          <w:color w:val="auto"/>
          <w:sz w:val="24"/>
          <w:szCs w:val="24"/>
          <w:lang w:eastAsia="en-US"/>
        </w:rPr>
      </w:pPr>
      <w:hyperlink w:anchor="_Toc159326635" w:history="1">
        <w:r w:rsidR="00DC5A4D" w:rsidRPr="00683C47">
          <w:rPr>
            <w:rStyle w:val="Hyperlink"/>
            <w:lang w:val="en-GB"/>
          </w:rPr>
          <w:t>About these indicators</w:t>
        </w:r>
        <w:r w:rsidR="00DC5A4D">
          <w:rPr>
            <w:webHidden/>
          </w:rPr>
          <w:tab/>
        </w:r>
        <w:r w:rsidR="00DC5A4D">
          <w:rPr>
            <w:webHidden/>
          </w:rPr>
          <w:fldChar w:fldCharType="begin"/>
        </w:r>
        <w:r w:rsidR="00DC5A4D">
          <w:rPr>
            <w:webHidden/>
          </w:rPr>
          <w:instrText xml:space="preserve"> PAGEREF _Toc159326635 \h </w:instrText>
        </w:r>
        <w:r w:rsidR="00DC5A4D">
          <w:rPr>
            <w:webHidden/>
          </w:rPr>
        </w:r>
        <w:r w:rsidR="00DC5A4D">
          <w:rPr>
            <w:webHidden/>
          </w:rPr>
          <w:fldChar w:fldCharType="separate"/>
        </w:r>
        <w:r w:rsidR="0017155A">
          <w:rPr>
            <w:webHidden/>
          </w:rPr>
          <w:t>105</w:t>
        </w:r>
        <w:r w:rsidR="00DC5A4D">
          <w:rPr>
            <w:webHidden/>
          </w:rPr>
          <w:fldChar w:fldCharType="end"/>
        </w:r>
      </w:hyperlink>
    </w:p>
    <w:p w14:paraId="2DE4CA0E" w14:textId="299E97A6" w:rsidR="00DC5A4D" w:rsidRDefault="00232C24">
      <w:pPr>
        <w:pStyle w:val="TOC2"/>
        <w:rPr>
          <w:b w:val="0"/>
          <w:color w:val="auto"/>
          <w:sz w:val="24"/>
          <w:szCs w:val="24"/>
          <w:lang w:eastAsia="en-US"/>
        </w:rPr>
      </w:pPr>
      <w:hyperlink w:anchor="_Toc159326636"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_Toc159326636 \h </w:instrText>
        </w:r>
        <w:r w:rsidR="00DC5A4D">
          <w:rPr>
            <w:webHidden/>
          </w:rPr>
        </w:r>
        <w:r w:rsidR="00DC5A4D">
          <w:rPr>
            <w:webHidden/>
          </w:rPr>
          <w:fldChar w:fldCharType="separate"/>
        </w:r>
        <w:r w:rsidR="0017155A">
          <w:rPr>
            <w:webHidden/>
          </w:rPr>
          <w:t>105</w:t>
        </w:r>
        <w:r w:rsidR="00DC5A4D">
          <w:rPr>
            <w:webHidden/>
          </w:rPr>
          <w:fldChar w:fldCharType="end"/>
        </w:r>
      </w:hyperlink>
    </w:p>
    <w:p w14:paraId="3D28451E" w14:textId="136636C5" w:rsidR="00DC5A4D" w:rsidRDefault="00232C24">
      <w:pPr>
        <w:pStyle w:val="TOC2"/>
        <w:rPr>
          <w:b w:val="0"/>
          <w:color w:val="auto"/>
          <w:sz w:val="24"/>
          <w:szCs w:val="24"/>
          <w:lang w:eastAsia="en-US"/>
        </w:rPr>
      </w:pPr>
      <w:hyperlink w:anchor="_Toc159326637"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_Toc159326637 \h </w:instrText>
        </w:r>
        <w:r w:rsidR="00DC5A4D">
          <w:rPr>
            <w:webHidden/>
          </w:rPr>
        </w:r>
        <w:r w:rsidR="00DC5A4D">
          <w:rPr>
            <w:webHidden/>
          </w:rPr>
          <w:fldChar w:fldCharType="separate"/>
        </w:r>
        <w:r w:rsidR="0017155A">
          <w:rPr>
            <w:webHidden/>
          </w:rPr>
          <w:t>106</w:t>
        </w:r>
        <w:r w:rsidR="00DC5A4D">
          <w:rPr>
            <w:webHidden/>
          </w:rPr>
          <w:fldChar w:fldCharType="end"/>
        </w:r>
      </w:hyperlink>
    </w:p>
    <w:p w14:paraId="4CF0550F" w14:textId="1032D296" w:rsidR="00DC5A4D" w:rsidRDefault="00232C24">
      <w:pPr>
        <w:pStyle w:val="TOC2"/>
        <w:rPr>
          <w:b w:val="0"/>
          <w:color w:val="auto"/>
          <w:sz w:val="24"/>
          <w:szCs w:val="24"/>
          <w:lang w:eastAsia="en-US"/>
        </w:rPr>
      </w:pPr>
      <w:hyperlink w:anchor="_Toc159326638" w:history="1">
        <w:r w:rsidR="00DC5A4D" w:rsidRPr="00683C47">
          <w:rPr>
            <w:rStyle w:val="Hyperlink"/>
            <w:lang w:val="en-GB"/>
          </w:rPr>
          <w:t>Data source</w:t>
        </w:r>
        <w:r w:rsidR="00DC5A4D">
          <w:rPr>
            <w:webHidden/>
          </w:rPr>
          <w:tab/>
        </w:r>
        <w:r w:rsidR="00DC5A4D">
          <w:rPr>
            <w:webHidden/>
          </w:rPr>
          <w:fldChar w:fldCharType="begin"/>
        </w:r>
        <w:r w:rsidR="00DC5A4D">
          <w:rPr>
            <w:webHidden/>
          </w:rPr>
          <w:instrText xml:space="preserve"> PAGEREF _Toc159326638 \h </w:instrText>
        </w:r>
        <w:r w:rsidR="00DC5A4D">
          <w:rPr>
            <w:webHidden/>
          </w:rPr>
        </w:r>
        <w:r w:rsidR="00DC5A4D">
          <w:rPr>
            <w:webHidden/>
          </w:rPr>
          <w:fldChar w:fldCharType="separate"/>
        </w:r>
        <w:r w:rsidR="0017155A">
          <w:rPr>
            <w:webHidden/>
          </w:rPr>
          <w:t>110</w:t>
        </w:r>
        <w:r w:rsidR="00DC5A4D">
          <w:rPr>
            <w:webHidden/>
          </w:rPr>
          <w:fldChar w:fldCharType="end"/>
        </w:r>
      </w:hyperlink>
    </w:p>
    <w:p w14:paraId="3AFBED07" w14:textId="0FBFB4DC" w:rsidR="00DC5A4D" w:rsidRDefault="00232C24">
      <w:pPr>
        <w:pStyle w:val="TOC1"/>
        <w:rPr>
          <w:b w:val="0"/>
          <w:sz w:val="24"/>
          <w:szCs w:val="24"/>
        </w:rPr>
      </w:pPr>
      <w:hyperlink w:anchor="_Toc159326639" w:history="1">
        <w:r w:rsidR="00DC5A4D" w:rsidRPr="00683C47">
          <w:rPr>
            <w:rStyle w:val="Hyperlink"/>
            <w:lang w:val="en-GB"/>
          </w:rPr>
          <w:t>12a and 12b: Maternal vaccination</w:t>
        </w:r>
        <w:r w:rsidR="00DC5A4D">
          <w:rPr>
            <w:webHidden/>
          </w:rPr>
          <w:tab/>
        </w:r>
        <w:r w:rsidR="00DC5A4D">
          <w:rPr>
            <w:webHidden/>
          </w:rPr>
          <w:fldChar w:fldCharType="begin"/>
        </w:r>
        <w:r w:rsidR="00DC5A4D">
          <w:rPr>
            <w:webHidden/>
          </w:rPr>
          <w:instrText xml:space="preserve"> PAGEREF _Toc159326639 \h </w:instrText>
        </w:r>
        <w:r w:rsidR="00DC5A4D">
          <w:rPr>
            <w:webHidden/>
          </w:rPr>
        </w:r>
        <w:r w:rsidR="00DC5A4D">
          <w:rPr>
            <w:webHidden/>
          </w:rPr>
          <w:fldChar w:fldCharType="separate"/>
        </w:r>
        <w:r w:rsidR="0017155A">
          <w:rPr>
            <w:webHidden/>
          </w:rPr>
          <w:t>112</w:t>
        </w:r>
        <w:r w:rsidR="00DC5A4D">
          <w:rPr>
            <w:webHidden/>
          </w:rPr>
          <w:fldChar w:fldCharType="end"/>
        </w:r>
      </w:hyperlink>
    </w:p>
    <w:p w14:paraId="6DC0F171" w14:textId="7B41F43E" w:rsidR="00DC5A4D" w:rsidRDefault="00232C24">
      <w:pPr>
        <w:pStyle w:val="TOC2"/>
        <w:rPr>
          <w:b w:val="0"/>
          <w:color w:val="auto"/>
          <w:sz w:val="24"/>
          <w:szCs w:val="24"/>
          <w:lang w:eastAsia="en-US"/>
        </w:rPr>
      </w:pPr>
      <w:hyperlink w:anchor="_Toc159326640"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_Toc159326640 \h </w:instrText>
        </w:r>
        <w:r w:rsidR="00DC5A4D">
          <w:rPr>
            <w:webHidden/>
          </w:rPr>
        </w:r>
        <w:r w:rsidR="00DC5A4D">
          <w:rPr>
            <w:webHidden/>
          </w:rPr>
          <w:fldChar w:fldCharType="separate"/>
        </w:r>
        <w:r w:rsidR="0017155A">
          <w:rPr>
            <w:webHidden/>
          </w:rPr>
          <w:t>112</w:t>
        </w:r>
        <w:r w:rsidR="00DC5A4D">
          <w:rPr>
            <w:webHidden/>
          </w:rPr>
          <w:fldChar w:fldCharType="end"/>
        </w:r>
      </w:hyperlink>
    </w:p>
    <w:p w14:paraId="1DFB7C55" w14:textId="04CEBF0B" w:rsidR="00DC5A4D" w:rsidRDefault="00232C24">
      <w:pPr>
        <w:pStyle w:val="TOC2"/>
        <w:rPr>
          <w:b w:val="0"/>
          <w:color w:val="auto"/>
          <w:sz w:val="24"/>
          <w:szCs w:val="24"/>
          <w:lang w:eastAsia="en-US"/>
        </w:rPr>
      </w:pPr>
      <w:hyperlink w:anchor="_Toc159326641"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_Toc159326641 \h </w:instrText>
        </w:r>
        <w:r w:rsidR="00DC5A4D">
          <w:rPr>
            <w:webHidden/>
          </w:rPr>
        </w:r>
        <w:r w:rsidR="00DC5A4D">
          <w:rPr>
            <w:webHidden/>
          </w:rPr>
          <w:fldChar w:fldCharType="separate"/>
        </w:r>
        <w:r w:rsidR="0017155A">
          <w:rPr>
            <w:webHidden/>
          </w:rPr>
          <w:t>113</w:t>
        </w:r>
        <w:r w:rsidR="00DC5A4D">
          <w:rPr>
            <w:webHidden/>
          </w:rPr>
          <w:fldChar w:fldCharType="end"/>
        </w:r>
      </w:hyperlink>
    </w:p>
    <w:p w14:paraId="53DD7B28" w14:textId="78230918" w:rsidR="00DC5A4D" w:rsidRDefault="00232C24">
      <w:pPr>
        <w:pStyle w:val="TOC2"/>
        <w:rPr>
          <w:b w:val="0"/>
          <w:color w:val="auto"/>
          <w:sz w:val="24"/>
          <w:szCs w:val="24"/>
          <w:lang w:eastAsia="en-US"/>
        </w:rPr>
      </w:pPr>
      <w:hyperlink w:anchor="_Toc159326642"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_Toc159326642 \h </w:instrText>
        </w:r>
        <w:r w:rsidR="00DC5A4D">
          <w:rPr>
            <w:webHidden/>
          </w:rPr>
        </w:r>
        <w:r w:rsidR="00DC5A4D">
          <w:rPr>
            <w:webHidden/>
          </w:rPr>
          <w:fldChar w:fldCharType="separate"/>
        </w:r>
        <w:r w:rsidR="0017155A">
          <w:rPr>
            <w:webHidden/>
          </w:rPr>
          <w:t>113</w:t>
        </w:r>
        <w:r w:rsidR="00DC5A4D">
          <w:rPr>
            <w:webHidden/>
          </w:rPr>
          <w:fldChar w:fldCharType="end"/>
        </w:r>
      </w:hyperlink>
    </w:p>
    <w:p w14:paraId="72CA82CC" w14:textId="0875110D" w:rsidR="00DC5A4D" w:rsidRDefault="00232C24">
      <w:pPr>
        <w:pStyle w:val="TOC2"/>
        <w:rPr>
          <w:b w:val="0"/>
          <w:color w:val="auto"/>
          <w:sz w:val="24"/>
          <w:szCs w:val="24"/>
          <w:lang w:eastAsia="en-US"/>
        </w:rPr>
      </w:pPr>
      <w:hyperlink w:anchor="_Toc159326643"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_Toc159326643 \h </w:instrText>
        </w:r>
        <w:r w:rsidR="00DC5A4D">
          <w:rPr>
            <w:webHidden/>
          </w:rPr>
        </w:r>
        <w:r w:rsidR="00DC5A4D">
          <w:rPr>
            <w:webHidden/>
          </w:rPr>
          <w:fldChar w:fldCharType="separate"/>
        </w:r>
        <w:r w:rsidR="0017155A">
          <w:rPr>
            <w:webHidden/>
          </w:rPr>
          <w:t>118</w:t>
        </w:r>
        <w:r w:rsidR="00DC5A4D">
          <w:rPr>
            <w:webHidden/>
          </w:rPr>
          <w:fldChar w:fldCharType="end"/>
        </w:r>
      </w:hyperlink>
    </w:p>
    <w:p w14:paraId="5E08C112" w14:textId="00950369" w:rsidR="00DC5A4D" w:rsidRDefault="00232C24">
      <w:pPr>
        <w:pStyle w:val="TOC1"/>
        <w:rPr>
          <w:b w:val="0"/>
          <w:sz w:val="24"/>
          <w:szCs w:val="24"/>
        </w:rPr>
      </w:pPr>
      <w:hyperlink w:anchor="_Toc159326644" w:history="1">
        <w:r w:rsidR="00DC5A4D" w:rsidRPr="00683C47">
          <w:rPr>
            <w:rStyle w:val="Hyperlink"/>
          </w:rPr>
          <w:t>13: Women who had a severe postpartum haemorrhage within the 24 hours following</w:t>
        </w:r>
        <w:r w:rsidR="00DC5A4D">
          <w:rPr>
            <w:webHidden/>
          </w:rPr>
          <w:tab/>
        </w:r>
        <w:r w:rsidR="00DC5A4D">
          <w:rPr>
            <w:webHidden/>
          </w:rPr>
          <w:fldChar w:fldCharType="begin"/>
        </w:r>
        <w:r w:rsidR="00DC5A4D">
          <w:rPr>
            <w:webHidden/>
          </w:rPr>
          <w:instrText xml:space="preserve"> PAGEREF _Toc159326644 \h </w:instrText>
        </w:r>
        <w:r w:rsidR="00DC5A4D">
          <w:rPr>
            <w:webHidden/>
          </w:rPr>
        </w:r>
        <w:r w:rsidR="00DC5A4D">
          <w:rPr>
            <w:webHidden/>
          </w:rPr>
          <w:fldChar w:fldCharType="separate"/>
        </w:r>
        <w:r w:rsidR="0017155A">
          <w:rPr>
            <w:webHidden/>
          </w:rPr>
          <w:t>119</w:t>
        </w:r>
        <w:r w:rsidR="00DC5A4D">
          <w:rPr>
            <w:webHidden/>
          </w:rPr>
          <w:fldChar w:fldCharType="end"/>
        </w:r>
      </w:hyperlink>
    </w:p>
    <w:p w14:paraId="10E3BE36" w14:textId="76A2B79E" w:rsidR="00DC5A4D" w:rsidRDefault="00232C24">
      <w:pPr>
        <w:pStyle w:val="TOC2"/>
        <w:rPr>
          <w:b w:val="0"/>
          <w:color w:val="auto"/>
          <w:sz w:val="24"/>
          <w:szCs w:val="24"/>
          <w:lang w:eastAsia="en-US"/>
        </w:rPr>
      </w:pPr>
      <w:hyperlink w:anchor="_Toc159326645" w:history="1">
        <w:r w:rsidR="00DC5A4D" w:rsidRPr="00683C47">
          <w:rPr>
            <w:rStyle w:val="Hyperlink"/>
            <w:lang w:val="en-GB"/>
          </w:rPr>
          <w:t>About this indicator</w:t>
        </w:r>
        <w:r w:rsidR="00DC5A4D">
          <w:rPr>
            <w:webHidden/>
          </w:rPr>
          <w:tab/>
        </w:r>
        <w:r w:rsidR="00DC5A4D">
          <w:rPr>
            <w:webHidden/>
          </w:rPr>
          <w:fldChar w:fldCharType="begin"/>
        </w:r>
        <w:r w:rsidR="00DC5A4D">
          <w:rPr>
            <w:webHidden/>
          </w:rPr>
          <w:instrText xml:space="preserve"> PAGEREF _Toc159326645 \h </w:instrText>
        </w:r>
        <w:r w:rsidR="00DC5A4D">
          <w:rPr>
            <w:webHidden/>
          </w:rPr>
        </w:r>
        <w:r w:rsidR="00DC5A4D">
          <w:rPr>
            <w:webHidden/>
          </w:rPr>
          <w:fldChar w:fldCharType="separate"/>
        </w:r>
        <w:r w:rsidR="0017155A">
          <w:rPr>
            <w:webHidden/>
          </w:rPr>
          <w:t>119</w:t>
        </w:r>
        <w:r w:rsidR="00DC5A4D">
          <w:rPr>
            <w:webHidden/>
          </w:rPr>
          <w:fldChar w:fldCharType="end"/>
        </w:r>
      </w:hyperlink>
    </w:p>
    <w:p w14:paraId="0C04DBF6" w14:textId="24F8B6E1" w:rsidR="00DC5A4D" w:rsidRDefault="00232C24">
      <w:pPr>
        <w:pStyle w:val="TOC2"/>
        <w:rPr>
          <w:b w:val="0"/>
          <w:color w:val="auto"/>
          <w:sz w:val="24"/>
          <w:szCs w:val="24"/>
          <w:lang w:eastAsia="en-US"/>
        </w:rPr>
      </w:pPr>
      <w:hyperlink w:anchor="_Toc159326646" w:history="1">
        <w:r w:rsidR="00DC5A4D" w:rsidRPr="00683C47">
          <w:rPr>
            <w:rStyle w:val="Hyperlink"/>
            <w:lang w:val="en-GB"/>
          </w:rPr>
          <w:t>Observations on the data</w:t>
        </w:r>
        <w:r w:rsidR="00DC5A4D">
          <w:rPr>
            <w:webHidden/>
          </w:rPr>
          <w:tab/>
        </w:r>
        <w:r w:rsidR="00DC5A4D">
          <w:rPr>
            <w:webHidden/>
          </w:rPr>
          <w:fldChar w:fldCharType="begin"/>
        </w:r>
        <w:r w:rsidR="00DC5A4D">
          <w:rPr>
            <w:webHidden/>
          </w:rPr>
          <w:instrText xml:space="preserve"> PAGEREF _Toc159326646 \h </w:instrText>
        </w:r>
        <w:r w:rsidR="00DC5A4D">
          <w:rPr>
            <w:webHidden/>
          </w:rPr>
        </w:r>
        <w:r w:rsidR="00DC5A4D">
          <w:rPr>
            <w:webHidden/>
          </w:rPr>
          <w:fldChar w:fldCharType="separate"/>
        </w:r>
        <w:r w:rsidR="0017155A">
          <w:rPr>
            <w:webHidden/>
          </w:rPr>
          <w:t>119</w:t>
        </w:r>
        <w:r w:rsidR="00DC5A4D">
          <w:rPr>
            <w:webHidden/>
          </w:rPr>
          <w:fldChar w:fldCharType="end"/>
        </w:r>
      </w:hyperlink>
    </w:p>
    <w:p w14:paraId="317724A4" w14:textId="2F799BDA" w:rsidR="00DC5A4D" w:rsidRDefault="00232C24">
      <w:pPr>
        <w:pStyle w:val="TOC2"/>
        <w:rPr>
          <w:b w:val="0"/>
          <w:color w:val="auto"/>
          <w:sz w:val="24"/>
          <w:szCs w:val="24"/>
          <w:lang w:eastAsia="en-US"/>
        </w:rPr>
      </w:pPr>
      <w:hyperlink w:anchor="_Toc159326647" w:history="1">
        <w:r w:rsidR="00DC5A4D" w:rsidRPr="00683C47">
          <w:rPr>
            <w:rStyle w:val="Hyperlink"/>
            <w:lang w:val="en-GB"/>
          </w:rPr>
          <w:t>Strategies for improvement</w:t>
        </w:r>
        <w:r w:rsidR="00DC5A4D">
          <w:rPr>
            <w:webHidden/>
          </w:rPr>
          <w:tab/>
        </w:r>
        <w:r w:rsidR="00DC5A4D">
          <w:rPr>
            <w:webHidden/>
          </w:rPr>
          <w:fldChar w:fldCharType="begin"/>
        </w:r>
        <w:r w:rsidR="00DC5A4D">
          <w:rPr>
            <w:webHidden/>
          </w:rPr>
          <w:instrText xml:space="preserve"> PAGEREF _Toc159326647 \h </w:instrText>
        </w:r>
        <w:r w:rsidR="00DC5A4D">
          <w:rPr>
            <w:webHidden/>
          </w:rPr>
        </w:r>
        <w:r w:rsidR="00DC5A4D">
          <w:rPr>
            <w:webHidden/>
          </w:rPr>
          <w:fldChar w:fldCharType="separate"/>
        </w:r>
        <w:r w:rsidR="0017155A">
          <w:rPr>
            <w:webHidden/>
          </w:rPr>
          <w:t>119</w:t>
        </w:r>
        <w:r w:rsidR="00DC5A4D">
          <w:rPr>
            <w:webHidden/>
          </w:rPr>
          <w:fldChar w:fldCharType="end"/>
        </w:r>
      </w:hyperlink>
    </w:p>
    <w:p w14:paraId="42C56ADD" w14:textId="29ACCEC9" w:rsidR="00DC5A4D" w:rsidRDefault="00232C24">
      <w:pPr>
        <w:pStyle w:val="TOC2"/>
        <w:rPr>
          <w:b w:val="0"/>
          <w:color w:val="auto"/>
          <w:sz w:val="24"/>
          <w:szCs w:val="24"/>
          <w:lang w:eastAsia="en-US"/>
        </w:rPr>
      </w:pPr>
      <w:hyperlink w:anchor="_Toc159326648" w:history="1">
        <w:r w:rsidR="00DC5A4D" w:rsidRPr="00683C47">
          <w:rPr>
            <w:rStyle w:val="Hyperlink"/>
            <w:lang w:val="en-GB"/>
          </w:rPr>
          <w:t>Definition and data source</w:t>
        </w:r>
        <w:r w:rsidR="00DC5A4D">
          <w:rPr>
            <w:webHidden/>
          </w:rPr>
          <w:tab/>
        </w:r>
        <w:r w:rsidR="00DC5A4D">
          <w:rPr>
            <w:webHidden/>
          </w:rPr>
          <w:fldChar w:fldCharType="begin"/>
        </w:r>
        <w:r w:rsidR="00DC5A4D">
          <w:rPr>
            <w:webHidden/>
          </w:rPr>
          <w:instrText xml:space="preserve"> PAGEREF _Toc159326648 \h </w:instrText>
        </w:r>
        <w:r w:rsidR="00DC5A4D">
          <w:rPr>
            <w:webHidden/>
          </w:rPr>
        </w:r>
        <w:r w:rsidR="00DC5A4D">
          <w:rPr>
            <w:webHidden/>
          </w:rPr>
          <w:fldChar w:fldCharType="separate"/>
        </w:r>
        <w:r w:rsidR="0017155A">
          <w:rPr>
            <w:webHidden/>
          </w:rPr>
          <w:t>123</w:t>
        </w:r>
        <w:r w:rsidR="00DC5A4D">
          <w:rPr>
            <w:webHidden/>
          </w:rPr>
          <w:fldChar w:fldCharType="end"/>
        </w:r>
      </w:hyperlink>
    </w:p>
    <w:p w14:paraId="2AA17E79" w14:textId="38F20FDB" w:rsidR="00DC5A4D" w:rsidRDefault="00232C24">
      <w:pPr>
        <w:pStyle w:val="TOC1"/>
        <w:rPr>
          <w:b w:val="0"/>
          <w:sz w:val="24"/>
          <w:szCs w:val="24"/>
        </w:rPr>
      </w:pPr>
      <w:hyperlink w:anchor="_Toc159326649" w:history="1">
        <w:r w:rsidR="00DC5A4D" w:rsidRPr="00683C47">
          <w:rPr>
            <w:rStyle w:val="Hyperlink"/>
          </w:rPr>
          <w:t>Appendix 1: Data sources and</w:t>
        </w:r>
        <w:r w:rsidR="00DC5A4D">
          <w:rPr>
            <w:webHidden/>
          </w:rPr>
          <w:tab/>
        </w:r>
        <w:r w:rsidR="00DC5A4D">
          <w:rPr>
            <w:webHidden/>
          </w:rPr>
          <w:fldChar w:fldCharType="begin"/>
        </w:r>
        <w:r w:rsidR="00DC5A4D">
          <w:rPr>
            <w:webHidden/>
          </w:rPr>
          <w:instrText xml:space="preserve"> PAGEREF _Toc159326649 \h </w:instrText>
        </w:r>
        <w:r w:rsidR="00DC5A4D">
          <w:rPr>
            <w:webHidden/>
          </w:rPr>
        </w:r>
        <w:r w:rsidR="00DC5A4D">
          <w:rPr>
            <w:webHidden/>
          </w:rPr>
          <w:fldChar w:fldCharType="separate"/>
        </w:r>
        <w:r w:rsidR="0017155A">
          <w:rPr>
            <w:webHidden/>
          </w:rPr>
          <w:t>124</w:t>
        </w:r>
        <w:r w:rsidR="00DC5A4D">
          <w:rPr>
            <w:webHidden/>
          </w:rPr>
          <w:fldChar w:fldCharType="end"/>
        </w:r>
      </w:hyperlink>
    </w:p>
    <w:p w14:paraId="107DA7CD" w14:textId="66F0C127" w:rsidR="00DC5A4D" w:rsidRDefault="00232C24">
      <w:pPr>
        <w:pStyle w:val="TOC1"/>
        <w:rPr>
          <w:b w:val="0"/>
          <w:sz w:val="24"/>
          <w:szCs w:val="24"/>
        </w:rPr>
      </w:pPr>
      <w:hyperlink w:anchor="_Toc159326650" w:history="1">
        <w:r w:rsidR="00DC5A4D" w:rsidRPr="00683C47">
          <w:rPr>
            <w:rStyle w:val="Hyperlink"/>
          </w:rPr>
          <w:t>Appendix 2: Total women and babies in</w:t>
        </w:r>
        <w:r w:rsidR="00DC5A4D">
          <w:rPr>
            <w:webHidden/>
          </w:rPr>
          <w:tab/>
        </w:r>
        <w:r w:rsidR="00DC5A4D">
          <w:rPr>
            <w:webHidden/>
          </w:rPr>
          <w:fldChar w:fldCharType="begin"/>
        </w:r>
        <w:r w:rsidR="00DC5A4D">
          <w:rPr>
            <w:webHidden/>
          </w:rPr>
          <w:instrText xml:space="preserve"> PAGEREF _Toc159326650 \h </w:instrText>
        </w:r>
        <w:r w:rsidR="00DC5A4D">
          <w:rPr>
            <w:webHidden/>
          </w:rPr>
        </w:r>
        <w:r w:rsidR="00DC5A4D">
          <w:rPr>
            <w:webHidden/>
          </w:rPr>
          <w:fldChar w:fldCharType="separate"/>
        </w:r>
        <w:r w:rsidR="0017155A">
          <w:rPr>
            <w:webHidden/>
          </w:rPr>
          <w:t>125</w:t>
        </w:r>
        <w:r w:rsidR="00DC5A4D">
          <w:rPr>
            <w:webHidden/>
          </w:rPr>
          <w:fldChar w:fldCharType="end"/>
        </w:r>
      </w:hyperlink>
    </w:p>
    <w:p w14:paraId="3F9B0DA8" w14:textId="1392F36E" w:rsidR="00DC5A4D" w:rsidRDefault="00232C24">
      <w:pPr>
        <w:pStyle w:val="TOC1"/>
        <w:rPr>
          <w:b w:val="0"/>
          <w:sz w:val="24"/>
          <w:szCs w:val="24"/>
        </w:rPr>
      </w:pPr>
      <w:hyperlink w:anchor="_Toc159326651" w:history="1">
        <w:r w:rsidR="00DC5A4D" w:rsidRPr="00683C47">
          <w:rPr>
            <w:rStyle w:val="Hyperlink"/>
            <w:lang w:val="en-GB"/>
          </w:rPr>
          <w:t>Appendix 3: Overview of results</w:t>
        </w:r>
        <w:r w:rsidR="00DC5A4D">
          <w:rPr>
            <w:webHidden/>
          </w:rPr>
          <w:tab/>
        </w:r>
        <w:r w:rsidR="00DC5A4D">
          <w:rPr>
            <w:webHidden/>
          </w:rPr>
          <w:fldChar w:fldCharType="begin"/>
        </w:r>
        <w:r w:rsidR="00DC5A4D">
          <w:rPr>
            <w:webHidden/>
          </w:rPr>
          <w:instrText xml:space="preserve"> PAGEREF _Toc159326651 \h </w:instrText>
        </w:r>
        <w:r w:rsidR="00DC5A4D">
          <w:rPr>
            <w:webHidden/>
          </w:rPr>
        </w:r>
        <w:r w:rsidR="00DC5A4D">
          <w:rPr>
            <w:webHidden/>
          </w:rPr>
          <w:fldChar w:fldCharType="separate"/>
        </w:r>
        <w:r w:rsidR="0017155A">
          <w:rPr>
            <w:webHidden/>
          </w:rPr>
          <w:t>127</w:t>
        </w:r>
        <w:r w:rsidR="00DC5A4D">
          <w:rPr>
            <w:webHidden/>
          </w:rPr>
          <w:fldChar w:fldCharType="end"/>
        </w:r>
      </w:hyperlink>
    </w:p>
    <w:p w14:paraId="3A67C9FC" w14:textId="1946B99E" w:rsidR="00DC5A4D" w:rsidRDefault="00232C24">
      <w:pPr>
        <w:pStyle w:val="TOC1"/>
        <w:rPr>
          <w:b w:val="0"/>
          <w:sz w:val="24"/>
          <w:szCs w:val="24"/>
        </w:rPr>
      </w:pPr>
      <w:hyperlink w:anchor="_Toc159326652" w:history="1">
        <w:r w:rsidR="00DC5A4D" w:rsidRPr="00683C47">
          <w:rPr>
            <w:rStyle w:val="Hyperlink"/>
            <w:lang w:val="en-GB"/>
          </w:rPr>
          <w:t>Appendix 4: Robson classifications</w:t>
        </w:r>
        <w:r w:rsidR="00DC5A4D">
          <w:rPr>
            <w:webHidden/>
          </w:rPr>
          <w:tab/>
        </w:r>
        <w:r w:rsidR="00DC5A4D">
          <w:rPr>
            <w:webHidden/>
          </w:rPr>
          <w:fldChar w:fldCharType="begin"/>
        </w:r>
        <w:r w:rsidR="00DC5A4D">
          <w:rPr>
            <w:webHidden/>
          </w:rPr>
          <w:instrText xml:space="preserve"> PAGEREF _Toc159326652 \h </w:instrText>
        </w:r>
        <w:r w:rsidR="00DC5A4D">
          <w:rPr>
            <w:webHidden/>
          </w:rPr>
        </w:r>
        <w:r w:rsidR="00DC5A4D">
          <w:rPr>
            <w:webHidden/>
          </w:rPr>
          <w:fldChar w:fldCharType="separate"/>
        </w:r>
        <w:r w:rsidR="0017155A">
          <w:rPr>
            <w:webHidden/>
          </w:rPr>
          <w:t>132</w:t>
        </w:r>
        <w:r w:rsidR="00DC5A4D">
          <w:rPr>
            <w:webHidden/>
          </w:rPr>
          <w:fldChar w:fldCharType="end"/>
        </w:r>
      </w:hyperlink>
    </w:p>
    <w:p w14:paraId="3ABCAE3A" w14:textId="71A72EAF" w:rsidR="00DC5A4D" w:rsidRDefault="00232C24">
      <w:pPr>
        <w:pStyle w:val="TOC1"/>
        <w:rPr>
          <w:b w:val="0"/>
          <w:sz w:val="24"/>
          <w:szCs w:val="24"/>
        </w:rPr>
      </w:pPr>
      <w:hyperlink w:anchor="_Toc159326653" w:history="1">
        <w:r w:rsidR="00DC5A4D" w:rsidRPr="00683C47">
          <w:rPr>
            <w:rStyle w:val="Hyperlink"/>
            <w:lang w:val="en-GB"/>
          </w:rPr>
          <w:t>Appendix 5: Terminology</w:t>
        </w:r>
        <w:r w:rsidR="00DC5A4D">
          <w:rPr>
            <w:webHidden/>
          </w:rPr>
          <w:tab/>
        </w:r>
        <w:r w:rsidR="00DC5A4D">
          <w:rPr>
            <w:webHidden/>
          </w:rPr>
          <w:fldChar w:fldCharType="begin"/>
        </w:r>
        <w:r w:rsidR="00DC5A4D">
          <w:rPr>
            <w:webHidden/>
          </w:rPr>
          <w:instrText xml:space="preserve"> PAGEREF _Toc159326653 \h </w:instrText>
        </w:r>
        <w:r w:rsidR="00DC5A4D">
          <w:rPr>
            <w:webHidden/>
          </w:rPr>
        </w:r>
        <w:r w:rsidR="00DC5A4D">
          <w:rPr>
            <w:webHidden/>
          </w:rPr>
          <w:fldChar w:fldCharType="separate"/>
        </w:r>
        <w:r w:rsidR="0017155A">
          <w:rPr>
            <w:webHidden/>
          </w:rPr>
          <w:t>133</w:t>
        </w:r>
        <w:r w:rsidR="00DC5A4D">
          <w:rPr>
            <w:webHidden/>
          </w:rPr>
          <w:fldChar w:fldCharType="end"/>
        </w:r>
      </w:hyperlink>
    </w:p>
    <w:p w14:paraId="7374AD33" w14:textId="521ED085" w:rsidR="00DC5A4D" w:rsidRDefault="00232C24">
      <w:pPr>
        <w:pStyle w:val="TOC1"/>
        <w:rPr>
          <w:b w:val="0"/>
          <w:sz w:val="24"/>
          <w:szCs w:val="24"/>
        </w:rPr>
      </w:pPr>
      <w:hyperlink w:anchor="_Toc159326654" w:history="1">
        <w:r w:rsidR="00DC5A4D" w:rsidRPr="00683C47">
          <w:rPr>
            <w:rStyle w:val="Hyperlink"/>
            <w:lang w:val="en-GB"/>
          </w:rPr>
          <w:t>Appendix 6: Australian birthweight tables</w:t>
        </w:r>
        <w:r w:rsidR="00DC5A4D">
          <w:rPr>
            <w:webHidden/>
          </w:rPr>
          <w:tab/>
        </w:r>
        <w:r w:rsidR="00DC5A4D">
          <w:rPr>
            <w:webHidden/>
          </w:rPr>
          <w:fldChar w:fldCharType="begin"/>
        </w:r>
        <w:r w:rsidR="00DC5A4D">
          <w:rPr>
            <w:webHidden/>
          </w:rPr>
          <w:instrText xml:space="preserve"> PAGEREF _Toc159326654 \h </w:instrText>
        </w:r>
        <w:r w:rsidR="00DC5A4D">
          <w:rPr>
            <w:webHidden/>
          </w:rPr>
        </w:r>
        <w:r w:rsidR="00DC5A4D">
          <w:rPr>
            <w:webHidden/>
          </w:rPr>
          <w:fldChar w:fldCharType="separate"/>
        </w:r>
        <w:r w:rsidR="0017155A">
          <w:rPr>
            <w:webHidden/>
          </w:rPr>
          <w:t>136</w:t>
        </w:r>
        <w:r w:rsidR="00DC5A4D">
          <w:rPr>
            <w:webHidden/>
          </w:rPr>
          <w:fldChar w:fldCharType="end"/>
        </w:r>
      </w:hyperlink>
    </w:p>
    <w:p w14:paraId="5E257E54" w14:textId="011942EC" w:rsidR="00DC5A4D" w:rsidRDefault="00232C24">
      <w:pPr>
        <w:pStyle w:val="TOC1"/>
        <w:rPr>
          <w:b w:val="0"/>
          <w:sz w:val="24"/>
          <w:szCs w:val="24"/>
        </w:rPr>
      </w:pPr>
      <w:hyperlink w:anchor="_Toc159326655" w:history="1">
        <w:r w:rsidR="00DC5A4D" w:rsidRPr="00683C47">
          <w:rPr>
            <w:rStyle w:val="Hyperlink"/>
            <w:lang w:val="en-GB"/>
          </w:rPr>
          <w:t>Acknowledgements</w:t>
        </w:r>
        <w:r w:rsidR="00DC5A4D">
          <w:rPr>
            <w:webHidden/>
          </w:rPr>
          <w:tab/>
        </w:r>
        <w:r w:rsidR="00DC5A4D">
          <w:rPr>
            <w:webHidden/>
          </w:rPr>
          <w:fldChar w:fldCharType="begin"/>
        </w:r>
        <w:r w:rsidR="00DC5A4D">
          <w:rPr>
            <w:webHidden/>
          </w:rPr>
          <w:instrText xml:space="preserve"> PAGEREF _Toc159326655 \h </w:instrText>
        </w:r>
        <w:r w:rsidR="00DC5A4D">
          <w:rPr>
            <w:webHidden/>
          </w:rPr>
        </w:r>
        <w:r w:rsidR="00DC5A4D">
          <w:rPr>
            <w:webHidden/>
          </w:rPr>
          <w:fldChar w:fldCharType="separate"/>
        </w:r>
        <w:r w:rsidR="0017155A">
          <w:rPr>
            <w:webHidden/>
          </w:rPr>
          <w:t>138</w:t>
        </w:r>
        <w:r w:rsidR="00DC5A4D">
          <w:rPr>
            <w:webHidden/>
          </w:rPr>
          <w:fldChar w:fldCharType="end"/>
        </w:r>
      </w:hyperlink>
    </w:p>
    <w:p w14:paraId="5F6C3FA5" w14:textId="3A029C3A" w:rsidR="00DC5A4D" w:rsidRDefault="00232C24">
      <w:pPr>
        <w:pStyle w:val="TOC1"/>
        <w:rPr>
          <w:b w:val="0"/>
          <w:sz w:val="24"/>
          <w:szCs w:val="24"/>
        </w:rPr>
      </w:pPr>
      <w:hyperlink w:anchor="_Toc159326656" w:history="1">
        <w:r w:rsidR="00DC5A4D" w:rsidRPr="00683C47">
          <w:rPr>
            <w:rStyle w:val="Hyperlink"/>
            <w:lang w:val="en-GB"/>
          </w:rPr>
          <w:t>Further reading</w:t>
        </w:r>
        <w:r w:rsidR="00DC5A4D">
          <w:rPr>
            <w:webHidden/>
          </w:rPr>
          <w:tab/>
        </w:r>
        <w:r w:rsidR="00DC5A4D">
          <w:rPr>
            <w:webHidden/>
          </w:rPr>
          <w:fldChar w:fldCharType="begin"/>
        </w:r>
        <w:r w:rsidR="00DC5A4D">
          <w:rPr>
            <w:webHidden/>
          </w:rPr>
          <w:instrText xml:space="preserve"> PAGEREF _Toc159326656 \h </w:instrText>
        </w:r>
        <w:r w:rsidR="00DC5A4D">
          <w:rPr>
            <w:webHidden/>
          </w:rPr>
        </w:r>
        <w:r w:rsidR="00DC5A4D">
          <w:rPr>
            <w:webHidden/>
          </w:rPr>
          <w:fldChar w:fldCharType="separate"/>
        </w:r>
        <w:r w:rsidR="0017155A">
          <w:rPr>
            <w:webHidden/>
          </w:rPr>
          <w:t>139</w:t>
        </w:r>
        <w:r w:rsidR="00DC5A4D">
          <w:rPr>
            <w:webHidden/>
          </w:rPr>
          <w:fldChar w:fldCharType="end"/>
        </w:r>
      </w:hyperlink>
    </w:p>
    <w:p w14:paraId="56D282B1" w14:textId="486C61FA" w:rsidR="00DC5A4D" w:rsidRDefault="00232C24">
      <w:pPr>
        <w:pStyle w:val="TOC1"/>
        <w:rPr>
          <w:b w:val="0"/>
          <w:sz w:val="24"/>
          <w:szCs w:val="24"/>
        </w:rPr>
      </w:pPr>
      <w:hyperlink w:anchor="_Toc159326657" w:history="1">
        <w:r w:rsidR="00DC5A4D" w:rsidRPr="00683C47">
          <w:rPr>
            <w:rStyle w:val="Hyperlink"/>
            <w:lang w:val="en-GB"/>
          </w:rPr>
          <w:t>Useful online resources</w:t>
        </w:r>
        <w:r w:rsidR="00DC5A4D">
          <w:rPr>
            <w:webHidden/>
          </w:rPr>
          <w:tab/>
        </w:r>
        <w:r w:rsidR="00DC5A4D">
          <w:rPr>
            <w:webHidden/>
          </w:rPr>
          <w:fldChar w:fldCharType="begin"/>
        </w:r>
        <w:r w:rsidR="00DC5A4D">
          <w:rPr>
            <w:webHidden/>
          </w:rPr>
          <w:instrText xml:space="preserve"> PAGEREF _Toc159326657 \h </w:instrText>
        </w:r>
        <w:r w:rsidR="00DC5A4D">
          <w:rPr>
            <w:webHidden/>
          </w:rPr>
        </w:r>
        <w:r w:rsidR="00DC5A4D">
          <w:rPr>
            <w:webHidden/>
          </w:rPr>
          <w:fldChar w:fldCharType="separate"/>
        </w:r>
        <w:r w:rsidR="0017155A">
          <w:rPr>
            <w:webHidden/>
          </w:rPr>
          <w:t>140</w:t>
        </w:r>
        <w:r w:rsidR="00DC5A4D">
          <w:rPr>
            <w:webHidden/>
          </w:rPr>
          <w:fldChar w:fldCharType="end"/>
        </w:r>
      </w:hyperlink>
    </w:p>
    <w:p w14:paraId="21C79D96" w14:textId="5FE4426D" w:rsidR="00D6403A" w:rsidRPr="00D6403A" w:rsidRDefault="00DC5A4D" w:rsidP="00862996">
      <w:pPr>
        <w:rPr>
          <w:lang w:val="en-GB"/>
        </w:rPr>
      </w:pPr>
      <w:r>
        <w:rPr>
          <w:lang w:val="en-GB"/>
        </w:rPr>
        <w:fldChar w:fldCharType="end"/>
      </w:r>
    </w:p>
    <w:p w14:paraId="01F547E8" w14:textId="77777777" w:rsidR="00D6403A" w:rsidRPr="00D6403A" w:rsidRDefault="00D6403A" w:rsidP="00D6403A">
      <w:pPr>
        <w:pStyle w:val="Heading1"/>
        <w:framePr w:wrap="around"/>
        <w:rPr>
          <w:lang w:val="en-GB"/>
        </w:rPr>
      </w:pPr>
    </w:p>
    <w:p w14:paraId="61BECD98" w14:textId="77777777" w:rsidR="00DC5A4D" w:rsidRDefault="00DC5A4D">
      <w:pPr>
        <w:rPr>
          <w:rFonts w:asciiTheme="majorHAnsi" w:eastAsiaTheme="majorEastAsia" w:hAnsiTheme="majorHAnsi" w:cs="Times New Roman (Headings CS)"/>
          <w:b/>
          <w:bCs/>
          <w:color w:val="007586" w:themeColor="text2"/>
          <w:sz w:val="28"/>
          <w:szCs w:val="26"/>
          <w:lang w:val="en-GB"/>
        </w:rPr>
      </w:pPr>
      <w:r>
        <w:rPr>
          <w:lang w:val="en-GB"/>
        </w:rPr>
        <w:br w:type="page"/>
      </w:r>
    </w:p>
    <w:p w14:paraId="39D43C8A" w14:textId="413678A3" w:rsidR="00D6403A" w:rsidRPr="00D6403A" w:rsidRDefault="00D6403A" w:rsidP="00DC5A4D">
      <w:pPr>
        <w:pStyle w:val="Heading1"/>
        <w:framePr w:wrap="around"/>
        <w:rPr>
          <w:lang w:val="en-GB"/>
        </w:rPr>
      </w:pPr>
      <w:bookmarkStart w:id="1" w:name="_Toc159326560"/>
      <w:r w:rsidRPr="00D6403A">
        <w:rPr>
          <w:lang w:val="en-GB"/>
        </w:rPr>
        <w:lastRenderedPageBreak/>
        <w:t>Introduction to this report</w:t>
      </w:r>
      <w:bookmarkEnd w:id="1"/>
    </w:p>
    <w:p w14:paraId="4AAFF346" w14:textId="77777777" w:rsidR="00D6403A" w:rsidRPr="00D6403A" w:rsidRDefault="00D6403A" w:rsidP="00D64F24">
      <w:pPr>
        <w:pStyle w:val="IntroductoryText"/>
        <w:rPr>
          <w:lang w:val="en-GB"/>
        </w:rPr>
      </w:pPr>
      <w:r w:rsidRPr="00D64F24">
        <w:t>This report provides insights into where maternity and newborn services across Victoria are delivering high-quality care and where improvements can be made. The information allows health services to compare results and monitor variation within their own services over time and against their peers. This</w:t>
      </w:r>
      <w:r w:rsidRPr="00D6403A">
        <w:rPr>
          <w:rFonts w:ascii="Cambria" w:hAnsi="Cambria" w:cs="Cambria"/>
          <w:lang w:val="en-GB"/>
        </w:rPr>
        <w:t> </w:t>
      </w:r>
      <w:r w:rsidRPr="00D6403A">
        <w:rPr>
          <w:lang w:val="en-GB"/>
        </w:rPr>
        <w:t>report also helps health services prioritise their performance improvements by reviewing their practices and identifying areas of improvements for the care provided to women and their babies – from antenatal, through intrapartum (labour and birth) to postnatal care.</w:t>
      </w:r>
    </w:p>
    <w:p w14:paraId="5B1490DB" w14:textId="77777777" w:rsidR="00D6403A" w:rsidRPr="00D6403A" w:rsidRDefault="00D6403A" w:rsidP="00005134">
      <w:pPr>
        <w:rPr>
          <w:lang w:val="en-GB"/>
        </w:rPr>
      </w:pPr>
      <w:r w:rsidRPr="00D6403A">
        <w:rPr>
          <w:lang w:val="en-GB"/>
        </w:rPr>
        <w:t>These performance indicators (refer to Figure 1) are widely accepted as appropriate, useful and</w:t>
      </w:r>
      <w:r w:rsidRPr="00D6403A">
        <w:rPr>
          <w:rFonts w:ascii="Cambria" w:hAnsi="Cambria" w:cs="Cambria"/>
          <w:color w:val="000000"/>
          <w:lang w:val="en-GB"/>
        </w:rPr>
        <w:t> </w:t>
      </w:r>
      <w:r w:rsidRPr="00D6403A">
        <w:rPr>
          <w:lang w:val="en-GB"/>
        </w:rPr>
        <w:t>insightful measures of the quality of care. They continue to be refined over time.</w:t>
      </w:r>
    </w:p>
    <w:p w14:paraId="3F0605E3" w14:textId="77777777" w:rsidR="00D6403A" w:rsidRPr="00D6403A" w:rsidRDefault="00D6403A" w:rsidP="00887B5A">
      <w:pPr>
        <w:pStyle w:val="Tablechartdiagramheading"/>
        <w:rPr>
          <w:lang w:val="en-GB"/>
        </w:rPr>
      </w:pPr>
      <w:r w:rsidRPr="00D6403A">
        <w:rPr>
          <w:lang w:val="en-GB"/>
        </w:rPr>
        <w:t>Figure 1. Perinatal services performance indicators by key performance area</w:t>
      </w:r>
    </w:p>
    <w:p w14:paraId="651CB79E" w14:textId="15A4F230" w:rsidR="00D6403A" w:rsidRPr="00D6403A" w:rsidRDefault="005939CC" w:rsidP="00862996">
      <w:pPr>
        <w:rPr>
          <w:lang w:val="en-GB"/>
        </w:rPr>
      </w:pPr>
      <w:r>
        <w:rPr>
          <w:noProof/>
          <w:lang w:val="en-GB"/>
        </w:rPr>
        <w:drawing>
          <wp:inline distT="0" distB="0" distL="0" distR="0" wp14:anchorId="73EBDF05" wp14:editId="09DF4B0F">
            <wp:extent cx="6146800" cy="4178300"/>
            <wp:effectExtent l="0" t="0" r="0" b="0"/>
            <wp:docPr id="82" name="Picture 82" descr="Chart with indicators listed under either Antenatal, Intrapartum or Postna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_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46800" cy="4178300"/>
                    </a:xfrm>
                    <a:prstGeom prst="rect">
                      <a:avLst/>
                    </a:prstGeom>
                  </pic:spPr>
                </pic:pic>
              </a:graphicData>
            </a:graphic>
          </wp:inline>
        </w:drawing>
      </w:r>
    </w:p>
    <w:p w14:paraId="065D40D6" w14:textId="77777777" w:rsidR="000D4463" w:rsidRDefault="000D4463">
      <w:pPr>
        <w:rPr>
          <w:rFonts w:asciiTheme="majorHAnsi" w:eastAsiaTheme="majorEastAsia" w:hAnsiTheme="majorHAnsi" w:cs="Times New Roman (Headings CS)"/>
          <w:b/>
          <w:bCs/>
          <w:color w:val="007586" w:themeColor="text2"/>
          <w:sz w:val="28"/>
          <w:szCs w:val="26"/>
          <w:lang w:val="en-GB"/>
        </w:rPr>
      </w:pPr>
      <w:r>
        <w:rPr>
          <w:lang w:val="en-GB"/>
        </w:rPr>
        <w:br w:type="page"/>
      </w:r>
    </w:p>
    <w:p w14:paraId="19BD26A8" w14:textId="55F3D5C8" w:rsidR="00D6403A" w:rsidRPr="00D6403A" w:rsidRDefault="00D6403A" w:rsidP="005939CC">
      <w:pPr>
        <w:pStyle w:val="Heading2"/>
        <w:rPr>
          <w:lang w:val="en-GB"/>
        </w:rPr>
      </w:pPr>
      <w:bookmarkStart w:id="2" w:name="_Toc159326561"/>
      <w:r w:rsidRPr="00D6403A">
        <w:rPr>
          <w:lang w:val="en-GB"/>
        </w:rPr>
        <w:lastRenderedPageBreak/>
        <w:t>Who is this report for?</w:t>
      </w:r>
      <w:bookmarkEnd w:id="2"/>
    </w:p>
    <w:p w14:paraId="0880B0FC" w14:textId="2B46BD1A" w:rsidR="00D6403A" w:rsidRPr="00D6403A" w:rsidRDefault="00D6403A" w:rsidP="00862996">
      <w:pPr>
        <w:rPr>
          <w:lang w:val="en-GB"/>
        </w:rPr>
      </w:pPr>
      <w:r w:rsidRPr="00D6403A">
        <w:rPr>
          <w:lang w:val="en-GB"/>
        </w:rPr>
        <w:t>This report is for health professionals and health services to monitor their performance across a range of maternity and newborn indicators.</w:t>
      </w:r>
    </w:p>
    <w:p w14:paraId="4C125EA1" w14:textId="53D14F55" w:rsidR="00D6403A" w:rsidRDefault="00D6403A" w:rsidP="00005134">
      <w:pPr>
        <w:rPr>
          <w:lang w:val="en-GB"/>
        </w:rPr>
      </w:pPr>
      <w:r w:rsidRPr="00D6403A">
        <w:rPr>
          <w:lang w:val="en-GB"/>
        </w:rPr>
        <w:t>Pregnant women and their families might also use this report for information about maternity care in</w:t>
      </w:r>
      <w:r w:rsidRPr="00D6403A">
        <w:rPr>
          <w:rFonts w:ascii="Cambria" w:hAnsi="Cambria" w:cs="Cambria"/>
          <w:color w:val="000000"/>
          <w:lang w:val="en-GB"/>
        </w:rPr>
        <w:t> </w:t>
      </w:r>
      <w:r w:rsidRPr="00D6403A">
        <w:rPr>
          <w:lang w:val="en-GB"/>
        </w:rPr>
        <w:t>Victoria. We want to make sure women and their families can read and understand this report too.</w:t>
      </w:r>
    </w:p>
    <w:p w14:paraId="175F3E9D" w14:textId="77777777" w:rsidR="000D4463" w:rsidRDefault="000D4463" w:rsidP="000D4463">
      <w:pPr>
        <w:rPr>
          <w:lang w:val="en-GB"/>
        </w:rPr>
      </w:pPr>
      <w:r w:rsidRPr="003A32F6">
        <w:rPr>
          <w:lang w:val="en-GB"/>
        </w:rPr>
        <w:t>[Break out box text:</w:t>
      </w:r>
    </w:p>
    <w:p w14:paraId="2689DFC8" w14:textId="12655685" w:rsidR="000D4463" w:rsidRPr="00D6403A" w:rsidRDefault="000D4463" w:rsidP="000D4463">
      <w:pPr>
        <w:rPr>
          <w:color w:val="000000"/>
          <w:lang w:val="en-GB"/>
        </w:rPr>
      </w:pPr>
      <w:r w:rsidRPr="000D4463">
        <w:rPr>
          <w:b/>
        </w:rPr>
        <w:t xml:space="preserve">Look for </w:t>
      </w:r>
      <w:r w:rsidR="00081F32">
        <w:rPr>
          <w:b/>
        </w:rPr>
        <w:t>break out box text</w:t>
      </w:r>
      <w:r w:rsidRPr="000D4463">
        <w:rPr>
          <w:b/>
        </w:rPr>
        <w:t xml:space="preserve"> in each indicator</w:t>
      </w:r>
      <w:r w:rsidRPr="00D6403A">
        <w:rPr>
          <w:lang w:val="en-GB"/>
        </w:rPr>
        <w:t xml:space="preserve"> for a description to help women and their families understand what it means. If you would like more information, please speak with your </w:t>
      </w:r>
      <w:r w:rsidRPr="000D4463">
        <w:rPr>
          <w:b/>
        </w:rPr>
        <w:t>health</w:t>
      </w:r>
      <w:r w:rsidRPr="000D4463">
        <w:rPr>
          <w:rFonts w:ascii="Cambria" w:hAnsi="Cambria" w:cs="Cambria"/>
          <w:b/>
          <w:lang w:val="en-GB"/>
        </w:rPr>
        <w:t> </w:t>
      </w:r>
      <w:r w:rsidRPr="000D4463">
        <w:rPr>
          <w:b/>
          <w:lang w:val="en-GB"/>
        </w:rPr>
        <w:t>professional</w:t>
      </w:r>
      <w:r w:rsidRPr="00D6403A">
        <w:rPr>
          <w:lang w:val="en-GB"/>
        </w:rPr>
        <w:t xml:space="preserve"> (doctor or midwife) or refer to the </w:t>
      </w:r>
      <w:hyperlink r:id="rId25" w:history="1">
        <w:r w:rsidRPr="000D4463">
          <w:rPr>
            <w:rStyle w:val="Hyperlink"/>
            <w:b/>
            <w:lang w:val="en-GB"/>
          </w:rPr>
          <w:t>healthdirect website</w:t>
        </w:r>
      </w:hyperlink>
      <w:r w:rsidRPr="00D6403A">
        <w:rPr>
          <w:lang w:val="en-GB"/>
        </w:rPr>
        <w:t xml:space="preserve"> &lt;www.healthdirect.gov.au&gt; or </w:t>
      </w:r>
      <w:hyperlink r:id="rId26" w:history="1">
        <w:r w:rsidRPr="000D4463">
          <w:rPr>
            <w:rStyle w:val="Hyperlink"/>
            <w:b/>
            <w:lang w:val="en-GB"/>
          </w:rPr>
          <w:t>Better Health Channel website</w:t>
        </w:r>
      </w:hyperlink>
      <w:r w:rsidRPr="00D6403A">
        <w:rPr>
          <w:lang w:val="en-GB"/>
        </w:rPr>
        <w:t xml:space="preserve"> &lt;www.betterhealth.vic.gov.au&gt;. If you would like more information about the results of your maternity service, please speak to them about the</w:t>
      </w:r>
      <w:r w:rsidRPr="00D6403A">
        <w:rPr>
          <w:rFonts w:ascii="Cambria" w:hAnsi="Cambria" w:cs="Cambria"/>
          <w:lang w:val="en-GB"/>
        </w:rPr>
        <w:t> </w:t>
      </w:r>
      <w:r w:rsidRPr="00D6403A">
        <w:rPr>
          <w:lang w:val="en-GB"/>
        </w:rPr>
        <w:t>information in this document.</w:t>
      </w:r>
    </w:p>
    <w:p w14:paraId="440BB7EB" w14:textId="77777777" w:rsidR="000D4463" w:rsidRPr="004D0030" w:rsidRDefault="000D4463" w:rsidP="000D4463">
      <w:r w:rsidRPr="003A32F6">
        <w:t>End of break out box text.]</w:t>
      </w:r>
    </w:p>
    <w:p w14:paraId="30327B24" w14:textId="1FDD5542" w:rsidR="00D6403A" w:rsidRPr="00D6403A" w:rsidRDefault="00D6403A" w:rsidP="00862996">
      <w:pPr>
        <w:rPr>
          <w:lang w:val="en-GB"/>
        </w:rPr>
      </w:pPr>
      <w:r w:rsidRPr="00D6403A">
        <w:rPr>
          <w:lang w:val="en-GB"/>
        </w:rPr>
        <w:t xml:space="preserve">Decisions about maternity and newborn care should be based on published high quality evidence, clinical expertise and the woman’s needs, preferences, values and beliefs. </w:t>
      </w:r>
      <w:hyperlink r:id="rId27" w:history="1">
        <w:r w:rsidRPr="00081F32">
          <w:rPr>
            <w:rStyle w:val="Hyperlink"/>
            <w:lang w:val="en-GB"/>
          </w:rPr>
          <w:t>Shared decision making</w:t>
        </w:r>
      </w:hyperlink>
      <w:r w:rsidRPr="00D6403A">
        <w:rPr>
          <w:lang w:val="en-GB"/>
        </w:rPr>
        <w:t xml:space="preserve"> &lt;https://www.betterhealth.vic.gov.au/health/servicesandsupport/healthcare-decision-making-options-benefits-and-risks&gt; is a process of communication and collaboration, meaning that women and their families have a right to make decisions about their care, guided by the advice of health professionals. Women and their families should discuss what their options are, and the benefits and risks of these, with their health professional.</w:t>
      </w:r>
    </w:p>
    <w:p w14:paraId="1BAAE1EE" w14:textId="50C4E736" w:rsidR="00D6403A" w:rsidRPr="00D6403A" w:rsidRDefault="00D6403A" w:rsidP="00862996">
      <w:pPr>
        <w:rPr>
          <w:lang w:val="en-GB"/>
        </w:rPr>
      </w:pPr>
      <w:r w:rsidRPr="00D6403A">
        <w:rPr>
          <w:lang w:val="en-GB"/>
        </w:rPr>
        <w:t xml:space="preserve">A list of </w:t>
      </w:r>
      <w:hyperlink w:anchor="_Appendix_5:_Terminology" w:history="1">
        <w:r w:rsidRPr="00081F32">
          <w:rPr>
            <w:rStyle w:val="Hyperlink"/>
            <w:lang w:val="en-GB"/>
          </w:rPr>
          <w:t>terminology</w:t>
        </w:r>
      </w:hyperlink>
      <w:r w:rsidRPr="00D6403A">
        <w:rPr>
          <w:lang w:val="en-GB"/>
        </w:rPr>
        <w:t xml:space="preserve"> can be found at the end of this report for your information.</w:t>
      </w:r>
    </w:p>
    <w:p w14:paraId="05AA36BD" w14:textId="091C959A" w:rsidR="00D6403A" w:rsidRPr="00D6403A" w:rsidRDefault="00D6403A" w:rsidP="005939CC">
      <w:pPr>
        <w:pStyle w:val="Heading2"/>
        <w:rPr>
          <w:lang w:val="en-GB"/>
        </w:rPr>
      </w:pPr>
      <w:bookmarkStart w:id="3" w:name="_Toc159326562"/>
      <w:r w:rsidRPr="00D6403A">
        <w:rPr>
          <w:lang w:val="en-GB"/>
        </w:rPr>
        <w:t>What doesn’t this report do?</w:t>
      </w:r>
      <w:bookmarkEnd w:id="3"/>
    </w:p>
    <w:p w14:paraId="6E02AAE1" w14:textId="28A3F982" w:rsidR="00D6403A" w:rsidRPr="00D6403A" w:rsidRDefault="00D6403A" w:rsidP="00862996">
      <w:pPr>
        <w:rPr>
          <w:lang w:val="en-GB"/>
        </w:rPr>
      </w:pPr>
      <w:r w:rsidRPr="00D6403A">
        <w:rPr>
          <w:lang w:val="en-GB"/>
        </w:rPr>
        <w:t>This report is not intended to set targets for individual health services to achieve, compare Victorian data with other states nor provide national benchmarking.</w:t>
      </w:r>
    </w:p>
    <w:p w14:paraId="776258BF" w14:textId="35A7AB6C" w:rsidR="00D6403A" w:rsidRPr="00D6403A" w:rsidRDefault="00D6403A" w:rsidP="00862996">
      <w:pPr>
        <w:rPr>
          <w:lang w:val="en-GB"/>
        </w:rPr>
      </w:pPr>
      <w:r w:rsidRPr="00D6403A">
        <w:rPr>
          <w:lang w:val="en-GB"/>
        </w:rPr>
        <w:t>For more information you may wish to look at the following similar reports:</w:t>
      </w:r>
    </w:p>
    <w:p w14:paraId="12F37D84" w14:textId="5832DA9B" w:rsidR="00D6403A" w:rsidRPr="000D4463" w:rsidRDefault="00D6403A" w:rsidP="000D4463">
      <w:pPr>
        <w:pStyle w:val="Bullet1"/>
        <w:rPr>
          <w:rFonts w:cstheme="minorHAnsi"/>
          <w:lang w:val="en-GB"/>
        </w:rPr>
      </w:pPr>
      <w:r w:rsidRPr="000D4463">
        <w:rPr>
          <w:rFonts w:cstheme="minorHAnsi"/>
          <w:b/>
          <w:bCs/>
          <w:color w:val="000000"/>
          <w:lang w:val="en-GB"/>
        </w:rPr>
        <w:t xml:space="preserve">Australian Institute of Health and Welfare </w:t>
      </w:r>
      <w:hyperlink r:id="rId28" w:history="1">
        <w:r w:rsidRPr="000D4463">
          <w:rPr>
            <w:rStyle w:val="Hyperlink"/>
            <w:rFonts w:cstheme="minorHAnsi"/>
            <w:lang w:val="en-GB"/>
          </w:rPr>
          <w:t>Australia’s mothers and babies report</w:t>
        </w:r>
      </w:hyperlink>
      <w:r w:rsidRPr="000D4463">
        <w:rPr>
          <w:rFonts w:cstheme="minorHAnsi"/>
          <w:lang w:val="en-GB"/>
        </w:rPr>
        <w:t xml:space="preserve"> </w:t>
      </w:r>
      <w:r w:rsidRPr="000D4463">
        <w:rPr>
          <w:rFonts w:cstheme="minorHAnsi"/>
          <w:lang w:val="en-GB"/>
        </w:rPr>
        <w:br/>
        <w:t>&lt;https://www.aihw.gov.au/reports-data/population-groups/mothers-babies/reports&gt;</w:t>
      </w:r>
    </w:p>
    <w:p w14:paraId="2222FA9C" w14:textId="7F76315D" w:rsidR="00D6403A" w:rsidRPr="000D4463" w:rsidRDefault="00D6403A" w:rsidP="000D4463">
      <w:pPr>
        <w:pStyle w:val="Bullet1"/>
        <w:rPr>
          <w:rFonts w:cstheme="minorHAnsi"/>
          <w:lang w:val="en-GB"/>
        </w:rPr>
      </w:pPr>
      <w:r w:rsidRPr="000D4463">
        <w:rPr>
          <w:rFonts w:cstheme="minorHAnsi"/>
          <w:b/>
          <w:bCs/>
          <w:color w:val="000000"/>
          <w:lang w:val="en-GB"/>
        </w:rPr>
        <w:t xml:space="preserve">New South Wales Health </w:t>
      </w:r>
      <w:hyperlink r:id="rId29" w:history="1">
        <w:r w:rsidRPr="000D4463">
          <w:rPr>
            <w:rStyle w:val="Hyperlink"/>
            <w:rFonts w:cstheme="minorHAnsi"/>
            <w:lang w:val="en-GB"/>
          </w:rPr>
          <w:t>Mothers and babies reports</w:t>
        </w:r>
      </w:hyperlink>
      <w:r w:rsidRPr="000D4463">
        <w:rPr>
          <w:rFonts w:cstheme="minorHAnsi"/>
          <w:lang w:val="en-GB"/>
        </w:rPr>
        <w:t xml:space="preserve"> </w:t>
      </w:r>
      <w:r w:rsidRPr="000D4463">
        <w:rPr>
          <w:rFonts w:cstheme="minorHAnsi"/>
          <w:lang w:val="en-GB"/>
        </w:rPr>
        <w:br/>
        <w:t>&lt;https://www.health.nsw.gov.au/hsnsw/Pages/mothers-and-babies-reports.aspx&gt;.</w:t>
      </w:r>
    </w:p>
    <w:p w14:paraId="7B5B8CE0" w14:textId="77777777" w:rsidR="00D6403A" w:rsidRPr="00D6403A" w:rsidRDefault="00D6403A" w:rsidP="005939CC">
      <w:pPr>
        <w:pStyle w:val="Heading2"/>
        <w:rPr>
          <w:lang w:val="en-GB"/>
        </w:rPr>
      </w:pPr>
      <w:bookmarkStart w:id="4" w:name="_Toc159326563"/>
      <w:r w:rsidRPr="00D6403A">
        <w:rPr>
          <w:lang w:val="en-GB"/>
        </w:rPr>
        <w:t>How to use this report</w:t>
      </w:r>
      <w:bookmarkEnd w:id="4"/>
    </w:p>
    <w:p w14:paraId="02385DC6" w14:textId="77777777" w:rsidR="00D6403A" w:rsidRPr="00D6403A" w:rsidRDefault="00D6403A" w:rsidP="00862996">
      <w:pPr>
        <w:rPr>
          <w:lang w:val="en-GB"/>
        </w:rPr>
      </w:pPr>
      <w:r w:rsidRPr="00D6403A">
        <w:rPr>
          <w:lang w:val="en-GB"/>
        </w:rPr>
        <w:t>The main section of this report details statewide data observations and key information about Victorian maternity health services. The report includes summary tables, bar graphs, funnel plots, trend tables and a clinical narrative (data observations, strategies for improvement).</w:t>
      </w:r>
    </w:p>
    <w:p w14:paraId="477213BA" w14:textId="77777777" w:rsidR="00D6403A" w:rsidRPr="00D6403A" w:rsidRDefault="00D6403A" w:rsidP="00005134">
      <w:pPr>
        <w:rPr>
          <w:lang w:val="en-GB"/>
        </w:rPr>
      </w:pPr>
      <w:r w:rsidRPr="00D6403A">
        <w:rPr>
          <w:lang w:val="en-GB"/>
        </w:rPr>
        <w:t>Outcomes are reported by comparing health services with each other and across the state over 12</w:t>
      </w:r>
      <w:r w:rsidRPr="00D6403A">
        <w:rPr>
          <w:rFonts w:ascii="Cambria" w:hAnsi="Cambria" w:cs="Cambria"/>
          <w:color w:val="000000"/>
          <w:lang w:val="en-GB"/>
        </w:rPr>
        <w:t> </w:t>
      </w:r>
      <w:r w:rsidRPr="00D6403A">
        <w:rPr>
          <w:lang w:val="en-GB"/>
        </w:rPr>
        <w:t xml:space="preserve">months. We call this comparison ‘benchmarking’. It can be used to identify higher performing services, performance of practices </w:t>
      </w:r>
      <w:r w:rsidRPr="00D6403A">
        <w:rPr>
          <w:lang w:val="en-GB"/>
        </w:rPr>
        <w:lastRenderedPageBreak/>
        <w:t>within a multi-site health service and compare practice over time. It is important to note that this report provides a snapshot in time and longitudinal trends should be cautiously interpreted. A health service may have improved its performance, but if peers of similar capability have also improved, they may appear to be underperforming in comparison.</w:t>
      </w:r>
    </w:p>
    <w:p w14:paraId="7E6B9325" w14:textId="77777777" w:rsidR="00D6403A" w:rsidRPr="00D6403A" w:rsidRDefault="00D6403A" w:rsidP="00862996">
      <w:pPr>
        <w:rPr>
          <w:lang w:val="en-GB"/>
        </w:rPr>
      </w:pPr>
      <w:r w:rsidRPr="00D6403A">
        <w:rPr>
          <w:lang w:val="en-GB"/>
        </w:rPr>
        <w:t>Benchmarking can:</w:t>
      </w:r>
    </w:p>
    <w:p w14:paraId="7FF8FBB5" w14:textId="77777777" w:rsidR="00D6403A" w:rsidRPr="00D6403A" w:rsidRDefault="00D6403A" w:rsidP="000D4463">
      <w:pPr>
        <w:pStyle w:val="Bullet1"/>
        <w:rPr>
          <w:lang w:val="en-GB"/>
        </w:rPr>
      </w:pPr>
      <w:r w:rsidRPr="00D6403A">
        <w:rPr>
          <w:lang w:val="en-GB"/>
        </w:rPr>
        <w:t>allow you to assess performance relative to other health services,</w:t>
      </w:r>
    </w:p>
    <w:p w14:paraId="0DDD45F8" w14:textId="77777777" w:rsidR="00D6403A" w:rsidRPr="00D6403A" w:rsidRDefault="00D6403A" w:rsidP="000D4463">
      <w:pPr>
        <w:pStyle w:val="Bullet1"/>
        <w:rPr>
          <w:lang w:val="en-GB"/>
        </w:rPr>
      </w:pPr>
      <w:r w:rsidRPr="00D6403A">
        <w:t>identify other services that are providing those practices that your health service may want to</w:t>
      </w:r>
      <w:r w:rsidRPr="00D6403A">
        <w:rPr>
          <w:rFonts w:ascii="Cambria" w:hAnsi="Cambria" w:cs="Cambria"/>
          <w:lang w:val="en-GB"/>
        </w:rPr>
        <w:t> </w:t>
      </w:r>
      <w:r w:rsidRPr="00D6403A">
        <w:t>learn</w:t>
      </w:r>
      <w:r w:rsidRPr="00D6403A">
        <w:rPr>
          <w:rFonts w:ascii="Cambria" w:hAnsi="Cambria" w:cs="Cambria"/>
          <w:lang w:val="en-GB"/>
        </w:rPr>
        <w:t> </w:t>
      </w:r>
      <w:r w:rsidRPr="00D6403A">
        <w:rPr>
          <w:lang w:val="en-GB"/>
        </w:rPr>
        <w:t>from,</w:t>
      </w:r>
    </w:p>
    <w:p w14:paraId="7CD1EE44" w14:textId="77777777" w:rsidR="00D6403A" w:rsidRPr="00D6403A" w:rsidRDefault="00D6403A" w:rsidP="000D4463">
      <w:pPr>
        <w:pStyle w:val="Bullet1"/>
      </w:pPr>
      <w:r w:rsidRPr="00D6403A">
        <w:rPr>
          <w:lang w:val="en-GB"/>
        </w:rPr>
        <w:t>highlight opportunities for improvements, particularly where improvement activities have led to</w:t>
      </w:r>
      <w:r w:rsidRPr="00D6403A">
        <w:rPr>
          <w:rFonts w:ascii="Cambria" w:hAnsi="Cambria" w:cs="Cambria"/>
          <w:lang w:val="en-GB"/>
        </w:rPr>
        <w:t> </w:t>
      </w:r>
      <w:r w:rsidRPr="00D6403A">
        <w:t>success in other organisations.</w:t>
      </w:r>
    </w:p>
    <w:p w14:paraId="1CAEA93B" w14:textId="77777777" w:rsidR="00D6403A" w:rsidRPr="00D6403A" w:rsidRDefault="00D6403A" w:rsidP="00862996">
      <w:pPr>
        <w:rPr>
          <w:lang w:val="en-GB"/>
        </w:rPr>
      </w:pPr>
      <w:r w:rsidRPr="00D6403A">
        <w:rPr>
          <w:lang w:val="en-GB"/>
        </w:rPr>
        <w:t>More detail is provided in the appendices.</w:t>
      </w:r>
    </w:p>
    <w:p w14:paraId="739F0017" w14:textId="77777777" w:rsidR="00D6403A" w:rsidRPr="000D4463" w:rsidRDefault="00D6403A" w:rsidP="000D4463">
      <w:pPr>
        <w:pStyle w:val="Bullet1"/>
      </w:pPr>
      <w:r w:rsidRPr="000D4463">
        <w:rPr>
          <w:b/>
        </w:rPr>
        <w:t>Appendix 1</w:t>
      </w:r>
      <w:r w:rsidRPr="000D4463">
        <w:t xml:space="preserve"> details the data sources for this report.</w:t>
      </w:r>
    </w:p>
    <w:p w14:paraId="35D37362" w14:textId="77777777" w:rsidR="00D6403A" w:rsidRPr="000D4463" w:rsidRDefault="00D6403A" w:rsidP="000D4463">
      <w:pPr>
        <w:pStyle w:val="Bullet1"/>
      </w:pPr>
      <w:r w:rsidRPr="000D4463">
        <w:rPr>
          <w:b/>
        </w:rPr>
        <w:t>Appendix 2</w:t>
      </w:r>
      <w:r w:rsidRPr="000D4463">
        <w:t xml:space="preserve"> lists Victoria’s maternity services and the number of women and babies cared for in 2021.</w:t>
      </w:r>
    </w:p>
    <w:p w14:paraId="0BFE485A" w14:textId="77777777" w:rsidR="00D6403A" w:rsidRPr="000D4463" w:rsidRDefault="00D6403A" w:rsidP="000D4463">
      <w:pPr>
        <w:pStyle w:val="Bullet1"/>
      </w:pPr>
      <w:r w:rsidRPr="000D4463">
        <w:rPr>
          <w:b/>
        </w:rPr>
        <w:t>Appendix 3</w:t>
      </w:r>
      <w:r w:rsidRPr="000D4463">
        <w:t xml:space="preserve"> has an overview of results for each health service.</w:t>
      </w:r>
    </w:p>
    <w:p w14:paraId="352A5EB1" w14:textId="77777777" w:rsidR="00D6403A" w:rsidRPr="000D4463" w:rsidRDefault="00D6403A" w:rsidP="000D4463">
      <w:pPr>
        <w:pStyle w:val="Bullet1"/>
      </w:pPr>
      <w:r w:rsidRPr="000D4463">
        <w:rPr>
          <w:b/>
        </w:rPr>
        <w:t>Appendix 4</w:t>
      </w:r>
      <w:r w:rsidRPr="000D4463">
        <w:t xml:space="preserve"> provides an infographic on Robson group categories.</w:t>
      </w:r>
    </w:p>
    <w:p w14:paraId="357F7668" w14:textId="77777777" w:rsidR="00D6403A" w:rsidRPr="000D4463" w:rsidRDefault="00D6403A" w:rsidP="000D4463">
      <w:pPr>
        <w:pStyle w:val="Bullet1"/>
      </w:pPr>
      <w:r w:rsidRPr="000D4463">
        <w:rPr>
          <w:b/>
        </w:rPr>
        <w:t>Appendix 5</w:t>
      </w:r>
      <w:r w:rsidRPr="000D4463">
        <w:t xml:space="preserve"> lists terminology and abbreviations.</w:t>
      </w:r>
    </w:p>
    <w:p w14:paraId="75EE3FE8" w14:textId="7C6814BD" w:rsidR="00D6403A" w:rsidRPr="000D4463" w:rsidRDefault="00D6403A" w:rsidP="000D4463">
      <w:pPr>
        <w:pStyle w:val="Bullet1"/>
      </w:pPr>
      <w:r w:rsidRPr="000D4463">
        <w:rPr>
          <w:b/>
        </w:rPr>
        <w:t>Appendix 6</w:t>
      </w:r>
      <w:r w:rsidRPr="000D4463">
        <w:t xml:space="preserve"> lists the Australian birthweight tables.</w:t>
      </w:r>
    </w:p>
    <w:p w14:paraId="0D892FCD" w14:textId="3FF093F1" w:rsidR="00D6403A" w:rsidRPr="00D6403A" w:rsidRDefault="00D6403A" w:rsidP="005939CC">
      <w:pPr>
        <w:pStyle w:val="Heading2"/>
        <w:rPr>
          <w:lang w:val="en-GB"/>
        </w:rPr>
      </w:pPr>
      <w:bookmarkStart w:id="5" w:name="_Toc159326564"/>
      <w:r w:rsidRPr="00D6403A">
        <w:rPr>
          <w:lang w:val="en-GB"/>
        </w:rPr>
        <w:t>About the data</w:t>
      </w:r>
      <w:bookmarkEnd w:id="5"/>
    </w:p>
    <w:p w14:paraId="62FB8278" w14:textId="77777777" w:rsidR="00D6403A" w:rsidRPr="00D6403A" w:rsidRDefault="00D6403A" w:rsidP="00862996">
      <w:pPr>
        <w:rPr>
          <w:lang w:val="en-GB"/>
        </w:rPr>
      </w:pPr>
      <w:r w:rsidRPr="00D6403A">
        <w:rPr>
          <w:lang w:val="en-GB"/>
        </w:rPr>
        <w:t>Data for this report comes from a number of sources including the Victorian Perinatal Data Collection (VPDC), the Victorian Healthcare Experience Survey (VHES) and the Victorian Admitted Episodes Dataset (VAED).</w:t>
      </w:r>
    </w:p>
    <w:p w14:paraId="65C91BDE" w14:textId="0B685301" w:rsidR="00D6403A" w:rsidRPr="00D6403A" w:rsidRDefault="00D6403A" w:rsidP="00005134">
      <w:pPr>
        <w:pStyle w:val="Bullet1"/>
        <w:rPr>
          <w:lang w:val="en-GB"/>
        </w:rPr>
      </w:pPr>
      <w:r w:rsidRPr="00D6403A">
        <w:rPr>
          <w:lang w:val="en-GB"/>
        </w:rPr>
        <w:t>VPDC data is from the 2021 calendar year and is used for indicators 1, 3, 4, 5, 7, 8, 9, 10, 12 and 13.</w:t>
      </w:r>
    </w:p>
    <w:p w14:paraId="6F3F1187" w14:textId="77777777" w:rsidR="00D6403A" w:rsidRPr="00D6403A" w:rsidRDefault="00D6403A" w:rsidP="00005134">
      <w:pPr>
        <w:pStyle w:val="Bullet1"/>
        <w:rPr>
          <w:lang w:val="en-GB"/>
        </w:rPr>
      </w:pPr>
      <w:r w:rsidRPr="00D6403A">
        <w:rPr>
          <w:lang w:val="en-GB"/>
        </w:rPr>
        <w:t>VHES data is from July to December 2021 and is used for indicator 11.</w:t>
      </w:r>
    </w:p>
    <w:p w14:paraId="619047E0" w14:textId="77777777" w:rsidR="00D6403A" w:rsidRPr="00D6403A" w:rsidRDefault="00D6403A" w:rsidP="00005134">
      <w:pPr>
        <w:pStyle w:val="Bullet1"/>
        <w:rPr>
          <w:lang w:val="en-GB"/>
        </w:rPr>
      </w:pPr>
      <w:r w:rsidRPr="00D6403A">
        <w:rPr>
          <w:lang w:val="en-GB"/>
        </w:rPr>
        <w:t>VAED data is reported for the 2021–22 financial year and is used for indicators 2 and 6.</w:t>
      </w:r>
    </w:p>
    <w:p w14:paraId="77224280" w14:textId="3C4507A8" w:rsidR="00D6403A" w:rsidRPr="00D6403A" w:rsidRDefault="00D6403A" w:rsidP="00005134">
      <w:pPr>
        <w:rPr>
          <w:lang w:val="en-GB"/>
        </w:rPr>
      </w:pPr>
      <w:r w:rsidRPr="00D6403A">
        <w:rPr>
          <w:lang w:val="en-GB"/>
        </w:rPr>
        <w:t>This report uses the terms ‘woman’ and ‘women’ when referring to data collected in the VPDC, VHES and</w:t>
      </w:r>
      <w:r w:rsidRPr="00D6403A">
        <w:rPr>
          <w:rFonts w:ascii="Cambria" w:hAnsi="Cambria" w:cs="Cambria"/>
          <w:color w:val="000000"/>
          <w:lang w:val="en-GB"/>
        </w:rPr>
        <w:t> </w:t>
      </w:r>
      <w:r w:rsidRPr="00D6403A">
        <w:rPr>
          <w:lang w:val="en-GB"/>
        </w:rPr>
        <w:t>VAED. Information on gender is not recorded in these data collections. The terms ’women’ and ‘mothers’ refers to people who were pregnant and within the scope of these data collections. We</w:t>
      </w:r>
      <w:r w:rsidRPr="00D6403A">
        <w:rPr>
          <w:rFonts w:ascii="Cambria" w:hAnsi="Cambria" w:cs="Cambria"/>
          <w:color w:val="000000"/>
          <w:lang w:val="en-GB"/>
        </w:rPr>
        <w:t> </w:t>
      </w:r>
      <w:r w:rsidRPr="00D6403A">
        <w:rPr>
          <w:lang w:val="en-GB"/>
        </w:rPr>
        <w:t>respectfully acknowledge that this report includes people who do not identify as women or mothers and that individual parents and families may use different words from those used in this report. This</w:t>
      </w:r>
      <w:r w:rsidRPr="00D6403A">
        <w:rPr>
          <w:rFonts w:ascii="Cambria" w:hAnsi="Cambria" w:cs="Cambria"/>
          <w:color w:val="000000"/>
          <w:lang w:val="en-GB"/>
        </w:rPr>
        <w:t> </w:t>
      </w:r>
      <w:r w:rsidRPr="00D6403A">
        <w:rPr>
          <w:lang w:val="en-GB"/>
        </w:rPr>
        <w:t>may include women, transgender men, intersex people, non-binary and gender diverse people.</w:t>
      </w:r>
    </w:p>
    <w:p w14:paraId="446601AB" w14:textId="77777777" w:rsidR="00870C38" w:rsidRDefault="00870C38">
      <w:pPr>
        <w:rPr>
          <w:rFonts w:asciiTheme="majorHAnsi" w:eastAsiaTheme="majorEastAsia" w:hAnsiTheme="majorHAnsi" w:cstheme="majorBidi"/>
          <w:b/>
          <w:bCs/>
          <w:color w:val="000000" w:themeColor="text1"/>
          <w:sz w:val="24"/>
          <w:szCs w:val="22"/>
          <w:lang w:val="en-GB"/>
        </w:rPr>
      </w:pPr>
      <w:r>
        <w:rPr>
          <w:lang w:val="en-GB"/>
        </w:rPr>
        <w:br w:type="page"/>
      </w:r>
    </w:p>
    <w:p w14:paraId="4CDC8F47" w14:textId="1F596AE1" w:rsidR="00D6403A" w:rsidRPr="00D6403A" w:rsidRDefault="00D6403A" w:rsidP="008340E5">
      <w:pPr>
        <w:pStyle w:val="Heading3"/>
        <w:rPr>
          <w:lang w:val="en-GB"/>
        </w:rPr>
      </w:pPr>
      <w:r w:rsidRPr="00D6403A">
        <w:rPr>
          <w:lang w:val="en-GB"/>
        </w:rPr>
        <w:lastRenderedPageBreak/>
        <w:t>How to interpret the data</w:t>
      </w:r>
    </w:p>
    <w:p w14:paraId="447163BF" w14:textId="77777777" w:rsidR="00D6403A" w:rsidRPr="00D6403A" w:rsidRDefault="00D6403A" w:rsidP="00005134">
      <w:pPr>
        <w:pStyle w:val="Bullet1"/>
        <w:rPr>
          <w:lang w:val="en-GB"/>
        </w:rPr>
      </w:pPr>
      <w:r w:rsidRPr="00D6403A">
        <w:rPr>
          <w:lang w:val="en-GB"/>
        </w:rPr>
        <w:t>The data relies on accurate reporting by health services to VPDC mandatory fields.</w:t>
      </w:r>
    </w:p>
    <w:p w14:paraId="4D0C5EC4" w14:textId="77777777" w:rsidR="00D6403A" w:rsidRPr="00D6403A" w:rsidRDefault="00D6403A" w:rsidP="00005134">
      <w:pPr>
        <w:pStyle w:val="Bullet1"/>
        <w:rPr>
          <w:lang w:val="en-GB"/>
        </w:rPr>
      </w:pPr>
      <w:r w:rsidRPr="00D6403A">
        <w:rPr>
          <w:lang w:val="en-GB"/>
        </w:rPr>
        <w:t>This report uses the terms numerator and denominator. In this context, denominator is the entire pool of women or babies included, and numerator is the group that have had the intervention or event. For example, at a particular hospital, 100 women had babies (denominator) and 20 of those women had excess bleeding (numerator). The rate of excess bleeding is the numerator over the denominator, expressed as 20/100 or 20%.</w:t>
      </w:r>
    </w:p>
    <w:p w14:paraId="6E9C70DF" w14:textId="3F439E02" w:rsidR="00D6403A" w:rsidRPr="00D6403A" w:rsidRDefault="00D6403A" w:rsidP="0099763F">
      <w:pPr>
        <w:pStyle w:val="Bullet1"/>
        <w:rPr>
          <w:lang w:val="en-GB"/>
        </w:rPr>
      </w:pPr>
      <w:r w:rsidRPr="00D6403A">
        <w:rPr>
          <w:lang w:val="en-GB"/>
        </w:rPr>
        <w:t>Information is only reported when a health service has a minimum of 10 occasions for an event (denominator). For example, a hospital that had fewer than 10 women (standard primiparae) give</w:t>
      </w:r>
      <w:r w:rsidRPr="00D6403A">
        <w:rPr>
          <w:rFonts w:ascii="Cambria" w:hAnsi="Cambria" w:cs="Cambria"/>
          <w:color w:val="000000"/>
          <w:lang w:val="en-GB"/>
        </w:rPr>
        <w:t> </w:t>
      </w:r>
      <w:r w:rsidRPr="00D6403A">
        <w:rPr>
          <w:lang w:val="en-GB"/>
        </w:rPr>
        <w:t>birth in 2021 (denominator) will not be included in the results for Indicator 1a.</w:t>
      </w:r>
    </w:p>
    <w:p w14:paraId="02A31BE4" w14:textId="77777777" w:rsidR="00D6403A" w:rsidRPr="00D6403A" w:rsidRDefault="00D6403A" w:rsidP="00005134">
      <w:pPr>
        <w:pStyle w:val="Bullet1"/>
        <w:rPr>
          <w:lang w:val="en-GB"/>
        </w:rPr>
      </w:pPr>
      <w:r w:rsidRPr="00D6403A">
        <w:rPr>
          <w:lang w:val="en-GB"/>
        </w:rPr>
        <w:t>Due to smaller numbers, data from smaller health services are subject to wide variation and should be interpreted with caution.</w:t>
      </w:r>
    </w:p>
    <w:p w14:paraId="4671BD7D" w14:textId="77777777" w:rsidR="00D6403A" w:rsidRPr="00D6403A" w:rsidRDefault="00D6403A" w:rsidP="00005134">
      <w:pPr>
        <w:pStyle w:val="Bullet1"/>
        <w:rPr>
          <w:lang w:val="en-GB"/>
        </w:rPr>
      </w:pPr>
      <w:r w:rsidRPr="00D6403A">
        <w:rPr>
          <w:lang w:val="en-GB"/>
        </w:rPr>
        <w:t>Indicators 11a and 11b using VHES survey data is limited by the small number of respondents to the survey. As such, the data should be cautiously interpreted. The VHES questions are different this year due to a change in the survey questions and are not comparable to the previous year.</w:t>
      </w:r>
    </w:p>
    <w:p w14:paraId="147F3F14" w14:textId="77777777" w:rsidR="00D6403A" w:rsidRPr="00D6403A" w:rsidRDefault="00D6403A" w:rsidP="0099763F">
      <w:pPr>
        <w:pStyle w:val="Heading4"/>
        <w:rPr>
          <w:lang w:val="en-GB"/>
        </w:rPr>
      </w:pPr>
      <w:r w:rsidRPr="00D6403A">
        <w:rPr>
          <w:lang w:val="en-GB"/>
        </w:rPr>
        <w:t>Statewide rates</w:t>
      </w:r>
    </w:p>
    <w:p w14:paraId="70A3A480" w14:textId="77777777" w:rsidR="00D6403A" w:rsidRPr="00D6403A" w:rsidRDefault="00D6403A" w:rsidP="00005134">
      <w:pPr>
        <w:rPr>
          <w:lang w:val="en-GB"/>
        </w:rPr>
      </w:pPr>
      <w:r w:rsidRPr="00D6403A">
        <w:rPr>
          <w:lang w:val="en-GB"/>
        </w:rPr>
        <w:t xml:space="preserve">The statewide rates provide an average of all hospitals combined (public and private). The </w:t>
      </w:r>
      <w:r w:rsidRPr="0099763F">
        <w:rPr>
          <w:rFonts w:cstheme="minorHAnsi"/>
          <w:b/>
        </w:rPr>
        <w:t>public rate</w:t>
      </w:r>
      <w:r w:rsidRPr="00D6403A">
        <w:rPr>
          <w:lang w:val="en-GB"/>
        </w:rPr>
        <w:t xml:space="preserve"> is</w:t>
      </w:r>
      <w:r w:rsidRPr="00D6403A">
        <w:rPr>
          <w:rFonts w:ascii="Cambria" w:hAnsi="Cambria" w:cs="Cambria"/>
          <w:color w:val="000000"/>
          <w:lang w:val="en-GB"/>
        </w:rPr>
        <w:t> </w:t>
      </w:r>
      <w:r w:rsidRPr="00D6403A">
        <w:rPr>
          <w:lang w:val="en-GB"/>
        </w:rPr>
        <w:t xml:space="preserve">the average of all public hospitals combined and the </w:t>
      </w:r>
      <w:r w:rsidRPr="0099763F">
        <w:rPr>
          <w:rFonts w:cstheme="minorHAnsi"/>
          <w:b/>
        </w:rPr>
        <w:t>private rate</w:t>
      </w:r>
      <w:r w:rsidRPr="00D6403A">
        <w:rPr>
          <w:lang w:val="en-GB"/>
        </w:rPr>
        <w:t xml:space="preserve"> is the average of all private hospitals combined. They do not represent a desired target. In most cases, even where a hospital appears to be doing well in comparison with others, opportunities for improvement remain.</w:t>
      </w:r>
    </w:p>
    <w:p w14:paraId="50EAB238" w14:textId="77777777" w:rsidR="00D6403A" w:rsidRPr="00D6403A" w:rsidRDefault="00D6403A" w:rsidP="0099763F">
      <w:pPr>
        <w:pStyle w:val="Heading4"/>
        <w:rPr>
          <w:lang w:val="en-GB"/>
        </w:rPr>
      </w:pPr>
      <w:r w:rsidRPr="00D6403A">
        <w:rPr>
          <w:lang w:val="en-GB"/>
        </w:rPr>
        <w:t>Interquartile ranges</w:t>
      </w:r>
    </w:p>
    <w:p w14:paraId="56C3E197" w14:textId="201194BC" w:rsidR="00D6403A" w:rsidRPr="00D6403A" w:rsidRDefault="00D6403A" w:rsidP="00005134">
      <w:pPr>
        <w:rPr>
          <w:lang w:val="en-GB"/>
        </w:rPr>
      </w:pPr>
      <w:r w:rsidRPr="00D6403A">
        <w:rPr>
          <w:lang w:val="en-GB"/>
        </w:rPr>
        <w:t>Interquartile ranges show the variation between services and can be used to find outliers in the data. The graphs throughout this report use red and green vertical lines and shading to show the least (red) and most (green) favourable 25% of services. The most favourable rate may be high or low depending on the indicator. For example, we want rates of severe fetal growth restriction to be low and rates of</w:t>
      </w:r>
      <w:r w:rsidRPr="00D6403A">
        <w:rPr>
          <w:rFonts w:ascii="Cambria" w:hAnsi="Cambria" w:cs="Cambria"/>
          <w:color w:val="000000"/>
          <w:lang w:val="en-GB"/>
        </w:rPr>
        <w:t> </w:t>
      </w:r>
      <w:r w:rsidRPr="00D6403A">
        <w:rPr>
          <w:lang w:val="en-GB"/>
        </w:rPr>
        <w:t>smoking cessation to be high.</w:t>
      </w:r>
    </w:p>
    <w:p w14:paraId="04B571CF" w14:textId="77777777" w:rsidR="00870C38" w:rsidRDefault="00870C38">
      <w:pPr>
        <w:rPr>
          <w:rFonts w:asciiTheme="majorHAnsi" w:eastAsiaTheme="majorEastAsia" w:hAnsiTheme="majorHAnsi" w:cstheme="majorBidi"/>
          <w:b/>
          <w:bCs/>
          <w:iCs/>
          <w:color w:val="000000" w:themeColor="text1"/>
          <w:lang w:val="en-GB"/>
        </w:rPr>
      </w:pPr>
      <w:r>
        <w:rPr>
          <w:lang w:val="en-GB"/>
        </w:rPr>
        <w:br w:type="page"/>
      </w:r>
    </w:p>
    <w:p w14:paraId="55ED2666" w14:textId="70122F82" w:rsidR="00D6403A" w:rsidRPr="00D6403A" w:rsidRDefault="00D6403A" w:rsidP="0099763F">
      <w:pPr>
        <w:pStyle w:val="Heading4"/>
        <w:rPr>
          <w:lang w:val="en-GB"/>
        </w:rPr>
      </w:pPr>
      <w:bookmarkStart w:id="6" w:name="funnel"/>
      <w:bookmarkEnd w:id="6"/>
      <w:r w:rsidRPr="00D6403A">
        <w:rPr>
          <w:lang w:val="en-GB"/>
        </w:rPr>
        <w:lastRenderedPageBreak/>
        <w:t>Funnel plots</w:t>
      </w:r>
    </w:p>
    <w:p w14:paraId="05E6EAAE" w14:textId="5D83BA40" w:rsidR="00D6403A" w:rsidRPr="00D6403A" w:rsidRDefault="00D6403A" w:rsidP="00005134">
      <w:pPr>
        <w:rPr>
          <w:lang w:val="en-GB"/>
        </w:rPr>
      </w:pPr>
      <w:r w:rsidRPr="00D6403A">
        <w:rPr>
          <w:lang w:val="en-GB"/>
        </w:rPr>
        <w:t>Funnel plots provide a visualisation of each hospital’s rate compared with other hospitals and to an average rate (usually the state rate or the median rate across hospitals) and take into consideration the size of the hospital. Refer to Figure 2 for an example of a funnel plot. The example used in this graph is</w:t>
      </w:r>
      <w:r w:rsidRPr="00D6403A">
        <w:rPr>
          <w:rFonts w:ascii="Cambria" w:hAnsi="Cambria" w:cs="Cambria"/>
          <w:color w:val="000000"/>
          <w:lang w:val="en-GB"/>
        </w:rPr>
        <w:t> </w:t>
      </w:r>
      <w:r w:rsidRPr="00D6403A">
        <w:rPr>
          <w:lang w:val="en-GB"/>
        </w:rPr>
        <w:t>Indicator 6a (Rate of maternal readmissions).</w:t>
      </w:r>
    </w:p>
    <w:p w14:paraId="06C5BD9A" w14:textId="218D0DCE" w:rsidR="00D6403A" w:rsidRPr="00D6403A" w:rsidRDefault="00D6403A" w:rsidP="00862996">
      <w:pPr>
        <w:rPr>
          <w:lang w:val="en-GB"/>
        </w:rPr>
      </w:pPr>
      <w:r w:rsidRPr="00D6403A">
        <w:rPr>
          <w:lang w:val="en-GB"/>
        </w:rPr>
        <w:t>Funnel plots consider the size of the maternity service, which is an advantage over the interquartile ranges in identifying most favourable and least favourable outcomes.</w:t>
      </w:r>
    </w:p>
    <w:p w14:paraId="6B076CBF" w14:textId="77777777" w:rsidR="00D6403A" w:rsidRPr="00D6403A" w:rsidRDefault="00D6403A" w:rsidP="00870C38">
      <w:pPr>
        <w:pStyle w:val="Tablechartdiagramheading"/>
      </w:pPr>
      <w:r w:rsidRPr="00D6403A">
        <w:t>Figure 2. Example funnel plot</w:t>
      </w:r>
    </w:p>
    <w:p w14:paraId="16E3D73F" w14:textId="72692D85" w:rsidR="00D6403A" w:rsidRPr="00D6403A" w:rsidRDefault="00870C38" w:rsidP="00862996">
      <w:pPr>
        <w:rPr>
          <w:lang w:val="en-GB"/>
        </w:rPr>
      </w:pPr>
      <w:r>
        <w:rPr>
          <w:noProof/>
          <w:lang w:val="en-GB"/>
        </w:rPr>
        <w:drawing>
          <wp:inline distT="0" distB="0" distL="0" distR="0" wp14:anchorId="4804335D" wp14:editId="39F868F5">
            <wp:extent cx="6007100" cy="3416300"/>
            <wp:effectExtent l="0" t="0" r="0" b="0"/>
            <wp:docPr id="1" name="Picture 1" descr="Example funnel plot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_2.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07100" cy="3416300"/>
                    </a:xfrm>
                    <a:prstGeom prst="rect">
                      <a:avLst/>
                    </a:prstGeom>
                  </pic:spPr>
                </pic:pic>
              </a:graphicData>
            </a:graphic>
          </wp:inline>
        </w:drawing>
      </w:r>
      <w:r w:rsidR="00D6403A" w:rsidRPr="00D6403A">
        <w:rPr>
          <w:lang w:val="en-GB"/>
        </w:rPr>
        <w:t xml:space="preserve"> </w:t>
      </w:r>
    </w:p>
    <w:p w14:paraId="3DC5491B" w14:textId="77777777" w:rsidR="00D6403A" w:rsidRPr="00D6403A" w:rsidRDefault="00D6403A" w:rsidP="00870C38">
      <w:pPr>
        <w:pStyle w:val="Heading4"/>
        <w:rPr>
          <w:lang w:val="en-GB"/>
        </w:rPr>
      </w:pPr>
      <w:r w:rsidRPr="00D6403A">
        <w:rPr>
          <w:lang w:val="en-GB"/>
        </w:rPr>
        <w:t>The dots</w:t>
      </w:r>
    </w:p>
    <w:p w14:paraId="549253A5" w14:textId="77777777" w:rsidR="00D6403A" w:rsidRPr="00D6403A" w:rsidRDefault="00D6403A" w:rsidP="00005134">
      <w:pPr>
        <w:rPr>
          <w:lang w:val="en-GB"/>
        </w:rPr>
      </w:pPr>
      <w:r w:rsidRPr="00D6403A">
        <w:rPr>
          <w:lang w:val="en-GB"/>
        </w:rPr>
        <w:t>Each dot represents a hospital’s rate for the given indicator. The dots are relative to denominator (e.g.</w:t>
      </w:r>
      <w:r w:rsidRPr="00D6403A">
        <w:rPr>
          <w:rFonts w:ascii="Cambria" w:hAnsi="Cambria" w:cs="Cambria"/>
          <w:color w:val="000000"/>
          <w:lang w:val="en-GB"/>
        </w:rPr>
        <w:t> </w:t>
      </w:r>
      <w:r w:rsidRPr="00D6403A">
        <w:rPr>
          <w:lang w:val="en-GB"/>
        </w:rPr>
        <w:t>number of women discharged) and its rate. It is best to compare hospitals of a similar size and capability level. In this example, hospitals within the purple oval have a similar number of women discharged (x-axis) and are in</w:t>
      </w:r>
      <w:r w:rsidRPr="00D6403A">
        <w:rPr>
          <w:rFonts w:ascii="Cambria" w:hAnsi="Cambria" w:cs="Cambria"/>
          <w:color w:val="000000"/>
          <w:lang w:val="en-GB"/>
        </w:rPr>
        <w:t> </w:t>
      </w:r>
      <w:r w:rsidRPr="00D6403A">
        <w:rPr>
          <w:lang w:val="en-GB"/>
        </w:rPr>
        <w:t>general, more readily comparable.</w:t>
      </w:r>
    </w:p>
    <w:p w14:paraId="66EFDAC6" w14:textId="77777777" w:rsidR="00D6403A" w:rsidRPr="00D6403A" w:rsidRDefault="00D6403A" w:rsidP="00870C38">
      <w:pPr>
        <w:pStyle w:val="Heading4"/>
        <w:rPr>
          <w:lang w:val="en-GB"/>
        </w:rPr>
      </w:pPr>
      <w:r w:rsidRPr="00D6403A">
        <w:rPr>
          <w:lang w:val="en-GB"/>
        </w:rPr>
        <w:t>The x and y-axis</w:t>
      </w:r>
    </w:p>
    <w:p w14:paraId="1AA8D298" w14:textId="23521B4D" w:rsidR="00D6403A" w:rsidRPr="00D6403A" w:rsidRDefault="00D6403A" w:rsidP="00005134">
      <w:pPr>
        <w:rPr>
          <w:lang w:val="en-GB"/>
        </w:rPr>
      </w:pPr>
      <w:r w:rsidRPr="00D6403A">
        <w:rPr>
          <w:lang w:val="en-GB"/>
        </w:rPr>
        <w:t xml:space="preserve">The x-axis (the bottom horizontal line) shows the </w:t>
      </w:r>
      <w:hyperlink w:anchor="_Appendix_5:_Terminology" w:history="1">
        <w:r w:rsidRPr="006A1F63">
          <w:rPr>
            <w:rStyle w:val="Hyperlink"/>
            <w:lang w:val="en-GB"/>
          </w:rPr>
          <w:t>denominator</w:t>
        </w:r>
      </w:hyperlink>
      <w:r w:rsidRPr="00D6403A">
        <w:rPr>
          <w:lang w:val="en-GB"/>
        </w:rPr>
        <w:t>, which in this example is the number of</w:t>
      </w:r>
      <w:r w:rsidRPr="00D6403A">
        <w:rPr>
          <w:rFonts w:ascii="Cambria" w:hAnsi="Cambria" w:cs="Cambria"/>
          <w:color w:val="000000"/>
          <w:lang w:val="en-GB"/>
        </w:rPr>
        <w:t> </w:t>
      </w:r>
      <w:r w:rsidRPr="00D6403A">
        <w:rPr>
          <w:lang w:val="en-GB"/>
        </w:rPr>
        <w:t>women discharged from the health service.</w:t>
      </w:r>
    </w:p>
    <w:p w14:paraId="59A3E3F0" w14:textId="3B576889" w:rsidR="00D6403A" w:rsidRPr="00D6403A" w:rsidRDefault="00D6403A" w:rsidP="00862996">
      <w:pPr>
        <w:rPr>
          <w:lang w:val="en-GB"/>
        </w:rPr>
      </w:pPr>
      <w:r w:rsidRPr="00D6403A">
        <w:rPr>
          <w:lang w:val="en-GB"/>
        </w:rPr>
        <w:t>The y-axis (vertical line on the left) shows the rate, which in this example is the rate of maternal readmissions.</w:t>
      </w:r>
    </w:p>
    <w:p w14:paraId="7F6C5C67" w14:textId="4A59BB40" w:rsidR="00D6403A" w:rsidRPr="00D6403A" w:rsidRDefault="00D6403A" w:rsidP="00870C38">
      <w:pPr>
        <w:pStyle w:val="Heading4"/>
        <w:rPr>
          <w:lang w:val="en-GB"/>
        </w:rPr>
      </w:pPr>
      <w:r w:rsidRPr="00D6403A">
        <w:rPr>
          <w:lang w:val="en-GB"/>
        </w:rPr>
        <w:lastRenderedPageBreak/>
        <w:t>The horizon</w:t>
      </w:r>
      <w:r w:rsidR="00AE4C75">
        <w:rPr>
          <w:lang w:val="en-GB"/>
        </w:rPr>
        <w:t>t</w:t>
      </w:r>
      <w:r w:rsidRPr="00D6403A">
        <w:rPr>
          <w:lang w:val="en-GB"/>
        </w:rPr>
        <w:t>al line</w:t>
      </w:r>
    </w:p>
    <w:p w14:paraId="7B21E309" w14:textId="1FEE100C" w:rsidR="00D6403A" w:rsidRPr="00D6403A" w:rsidRDefault="00D6403A" w:rsidP="00862996">
      <w:pPr>
        <w:rPr>
          <w:lang w:val="en-GB"/>
        </w:rPr>
      </w:pPr>
      <w:r w:rsidRPr="00D6403A">
        <w:rPr>
          <w:lang w:val="en-GB"/>
        </w:rPr>
        <w:t>The solid grey horizontal line in the middle of the funnel represents the statewide median (rate) or average rate for the indicator. For most indicators, this is the median of the hospital rate, except for indicators 5, 6a, 6b, 11a, 11b in which the state rate is used as the average rate.</w:t>
      </w:r>
    </w:p>
    <w:p w14:paraId="5E0FC7C7" w14:textId="77777777" w:rsidR="00D6403A" w:rsidRPr="00D6403A" w:rsidRDefault="00D6403A" w:rsidP="00005134">
      <w:pPr>
        <w:rPr>
          <w:lang w:val="en-GB"/>
        </w:rPr>
      </w:pPr>
      <w:r w:rsidRPr="00D6403A">
        <w:rPr>
          <w:lang w:val="en-GB"/>
        </w:rPr>
        <w:t>Hospitals (dots) that are above this line have a rate that is higher than the median or average rate. Hospitals below</w:t>
      </w:r>
      <w:r w:rsidRPr="00D6403A">
        <w:rPr>
          <w:rFonts w:ascii="Cambria" w:hAnsi="Cambria" w:cs="Cambria"/>
          <w:color w:val="000000"/>
          <w:lang w:val="en-GB"/>
        </w:rPr>
        <w:t> </w:t>
      </w:r>
      <w:r w:rsidRPr="00D6403A">
        <w:rPr>
          <w:lang w:val="en-GB"/>
        </w:rPr>
        <w:t>this line have a rate that is lower than the average rate.</w:t>
      </w:r>
    </w:p>
    <w:p w14:paraId="1E7012B5" w14:textId="77777777" w:rsidR="00D6403A" w:rsidRPr="00D6403A" w:rsidRDefault="00D6403A" w:rsidP="00870C38">
      <w:pPr>
        <w:pStyle w:val="Heading4"/>
        <w:rPr>
          <w:lang w:val="en-GB"/>
        </w:rPr>
      </w:pPr>
      <w:r w:rsidRPr="00D6403A">
        <w:rPr>
          <w:lang w:val="en-GB"/>
        </w:rPr>
        <w:t>The curved lines</w:t>
      </w:r>
    </w:p>
    <w:p w14:paraId="4C8A756E" w14:textId="0AEA633F" w:rsidR="00D6403A" w:rsidRPr="00D6403A" w:rsidRDefault="00D6403A" w:rsidP="00862996">
      <w:pPr>
        <w:rPr>
          <w:lang w:val="en-GB"/>
        </w:rPr>
      </w:pPr>
      <w:r w:rsidRPr="00D6403A">
        <w:rPr>
          <w:lang w:val="en-GB"/>
        </w:rPr>
        <w:t>The dashed and solid blue lines represent 95% and 99% control limits, respectively. Control limits can be used to test how different each hospital’s rate is from the average rate, taking the size of the hospital into consideration with the observed denominator.</w:t>
      </w:r>
    </w:p>
    <w:p w14:paraId="76C7E855" w14:textId="5CEE14EB" w:rsidR="00D6403A" w:rsidRPr="00D6403A" w:rsidRDefault="00D6403A" w:rsidP="00862996">
      <w:pPr>
        <w:rPr>
          <w:lang w:val="en-GB"/>
        </w:rPr>
      </w:pPr>
      <w:r w:rsidRPr="00D6403A">
        <w:rPr>
          <w:lang w:val="en-GB"/>
        </w:rPr>
        <w:t>If a hospital falls outside of the 95% control limits of the funnel plot, its rate is considered statistically significantly different from the average rate. A statistically significant result means the value is unlikely to be due to chance variation.</w:t>
      </w:r>
    </w:p>
    <w:p w14:paraId="6E28E9E1" w14:textId="34A55B94" w:rsidR="00D6403A" w:rsidRPr="00D6403A" w:rsidRDefault="00D6403A" w:rsidP="00862996">
      <w:pPr>
        <w:rPr>
          <w:lang w:val="en-GB"/>
        </w:rPr>
      </w:pPr>
      <w:r w:rsidRPr="00D6403A">
        <w:rPr>
          <w:lang w:val="en-GB"/>
        </w:rPr>
        <w:t>Hospitals that fall above the 95% upper control limit have a rate that is statistically significantly higher compared with the average rate. Conversely, those that fall below the 95% lower control limit have a rate that is statistically significantly lower compared with the average rate.</w:t>
      </w:r>
    </w:p>
    <w:p w14:paraId="32A1573F" w14:textId="77777777" w:rsidR="00D6403A" w:rsidRPr="00D6403A" w:rsidRDefault="00D6403A" w:rsidP="00005134">
      <w:pPr>
        <w:rPr>
          <w:lang w:val="en-GB"/>
        </w:rPr>
      </w:pPr>
      <w:r w:rsidRPr="00D6403A">
        <w:rPr>
          <w:lang w:val="en-GB"/>
        </w:rPr>
        <w:t>A favourable outcome for most indicators is to be lower than the average rate except for indicators 1dii, 4a, 4b, 7, 8a, 8c, 9, 11a, 11b, 12a and 12b. For these indicators, a rate that is higher than the average rate is</w:t>
      </w:r>
      <w:r w:rsidRPr="00D6403A">
        <w:rPr>
          <w:rFonts w:ascii="Cambria" w:hAnsi="Cambria" w:cs="Cambria"/>
          <w:color w:val="000000"/>
          <w:lang w:val="en-GB"/>
        </w:rPr>
        <w:t> </w:t>
      </w:r>
      <w:r w:rsidRPr="00D6403A">
        <w:rPr>
          <w:lang w:val="en-GB"/>
        </w:rPr>
        <w:t>most desirable.</w:t>
      </w:r>
    </w:p>
    <w:p w14:paraId="729CE520" w14:textId="46B71F4C" w:rsidR="00D6403A" w:rsidRPr="00D6403A" w:rsidRDefault="00D6403A" w:rsidP="00005134">
      <w:pPr>
        <w:rPr>
          <w:lang w:val="en-GB"/>
        </w:rPr>
      </w:pPr>
      <w:r w:rsidRPr="0099763F">
        <w:rPr>
          <w:rFonts w:cstheme="minorHAnsi"/>
          <w:b/>
        </w:rPr>
        <w:t>Please note</w:t>
      </w:r>
      <w:r w:rsidRPr="00D6403A">
        <w:rPr>
          <w:lang w:val="en-GB"/>
        </w:rPr>
        <w:t xml:space="preserve"> that only the gestation standardised perinatal mortality ratio (GSPMR) funnel plot includes risk-adjusted rates. All other funnel plots present rates that have not been adjusted for the risk profile of</w:t>
      </w:r>
      <w:r w:rsidRPr="00D6403A">
        <w:rPr>
          <w:rFonts w:ascii="Cambria" w:hAnsi="Cambria" w:cs="Cambria"/>
          <w:color w:val="000000"/>
          <w:lang w:val="en-GB"/>
        </w:rPr>
        <w:t> </w:t>
      </w:r>
      <w:r w:rsidRPr="00D6403A">
        <w:rPr>
          <w:lang w:val="en-GB"/>
        </w:rPr>
        <w:t>the population.</w:t>
      </w:r>
    </w:p>
    <w:p w14:paraId="080EE348" w14:textId="77777777" w:rsidR="00D6403A" w:rsidRPr="00D6403A" w:rsidRDefault="00D6403A" w:rsidP="00862996">
      <w:pPr>
        <w:rPr>
          <w:lang w:val="en-GB"/>
        </w:rPr>
      </w:pPr>
      <w:r w:rsidRPr="00D6403A">
        <w:rPr>
          <w:lang w:val="en-GB"/>
        </w:rPr>
        <w:t>Only hospitals with at least 10 mothers or babies in the denominator in 2021 for the individual indicator have been included in the funnel plots, with the exclusion of the GSPMR funnel plot, which applied a different threshold. For the GSPMR funnel plot (Indicator 5), only hospitals with at least 5 deaths during the pooled 5-year period (2017–2021) have been included.</w:t>
      </w:r>
    </w:p>
    <w:p w14:paraId="50211F4B" w14:textId="77777777" w:rsidR="00FC4BA4" w:rsidRDefault="00FC4BA4">
      <w:pPr>
        <w:rPr>
          <w:rFonts w:asciiTheme="majorHAnsi" w:eastAsiaTheme="majorEastAsia" w:hAnsiTheme="majorHAnsi" w:cs="Times New Roman (Headings CS)"/>
          <w:b/>
          <w:bCs/>
          <w:color w:val="007586" w:themeColor="text2"/>
          <w:sz w:val="28"/>
          <w:szCs w:val="26"/>
          <w:lang w:val="en-GB"/>
        </w:rPr>
      </w:pPr>
      <w:r>
        <w:rPr>
          <w:lang w:val="en-GB"/>
        </w:rPr>
        <w:br w:type="page"/>
      </w:r>
    </w:p>
    <w:p w14:paraId="1CA8465B" w14:textId="7A387AFA" w:rsidR="00D6403A" w:rsidRPr="00D6403A" w:rsidRDefault="00D6403A" w:rsidP="005939CC">
      <w:pPr>
        <w:pStyle w:val="Heading2"/>
        <w:rPr>
          <w:lang w:val="en-GB"/>
        </w:rPr>
      </w:pPr>
      <w:bookmarkStart w:id="7" w:name="_Toc159326565"/>
      <w:r w:rsidRPr="00D6403A">
        <w:rPr>
          <w:lang w:val="en-GB"/>
        </w:rPr>
        <w:lastRenderedPageBreak/>
        <w:t>Comparing health service performance</w:t>
      </w:r>
      <w:bookmarkEnd w:id="7"/>
    </w:p>
    <w:p w14:paraId="7E9FCA60" w14:textId="77777777" w:rsidR="00D6403A" w:rsidRPr="00D6403A" w:rsidRDefault="00D6403A" w:rsidP="00862996">
      <w:pPr>
        <w:rPr>
          <w:lang w:val="en-GB"/>
        </w:rPr>
      </w:pPr>
      <w:r w:rsidRPr="00D6403A">
        <w:rPr>
          <w:lang w:val="en-GB"/>
        </w:rPr>
        <w:t>Each health service will receive its own profile detailing its individual results. These are confidential, although some services choose to share their results with others including consumers. Sharing the service profiles with others can help identify trends and opportunities for learning, particularly for services within similar rural, remote and metropolitan areas and those of similar capability.</w:t>
      </w:r>
    </w:p>
    <w:p w14:paraId="5323C35A" w14:textId="77777777" w:rsidR="00D6403A" w:rsidRPr="00D6403A" w:rsidRDefault="00D6403A" w:rsidP="005939CC">
      <w:pPr>
        <w:pStyle w:val="Heading2"/>
        <w:rPr>
          <w:lang w:val="en-GB"/>
        </w:rPr>
      </w:pPr>
      <w:bookmarkStart w:id="8" w:name="_Toc159326566"/>
      <w:r w:rsidRPr="00D6403A">
        <w:rPr>
          <w:lang w:val="en-GB"/>
        </w:rPr>
        <w:t>Capability levels of maternity and newborn health services</w:t>
      </w:r>
      <w:bookmarkEnd w:id="8"/>
    </w:p>
    <w:p w14:paraId="1E0A44EA" w14:textId="77777777" w:rsidR="00D6403A" w:rsidRPr="00D6403A" w:rsidRDefault="00D6403A" w:rsidP="00862996">
      <w:pPr>
        <w:rPr>
          <w:lang w:val="en-GB"/>
        </w:rPr>
      </w:pPr>
      <w:r w:rsidRPr="00D6403A">
        <w:rPr>
          <w:lang w:val="en-GB"/>
        </w:rPr>
        <w:t>We have clustered health services by maternity capability level so you can easily compare your service with others that care for mothers and babies with a similar level of complexity. Indicator 6b (Rate of newborn readmissions during the postnatal period) is the exception, where health services are clustered by neonatal capability levels.</w:t>
      </w:r>
    </w:p>
    <w:p w14:paraId="0B028A18" w14:textId="77777777" w:rsidR="00D6403A" w:rsidRPr="00D6403A" w:rsidRDefault="00D6403A" w:rsidP="00005134">
      <w:pPr>
        <w:rPr>
          <w:lang w:val="en-GB"/>
        </w:rPr>
      </w:pPr>
      <w:r w:rsidRPr="00D6403A">
        <w:rPr>
          <w:lang w:val="en-GB"/>
        </w:rPr>
        <w:t>Victorian maternity and newborn services operate in a networked system across 6 levels of care (Figure</w:t>
      </w:r>
      <w:r w:rsidRPr="00D6403A">
        <w:rPr>
          <w:rFonts w:ascii="Cambria" w:hAnsi="Cambria" w:cs="Cambria"/>
          <w:lang w:val="en-GB"/>
        </w:rPr>
        <w:t> </w:t>
      </w:r>
      <w:r w:rsidRPr="00D6403A">
        <w:rPr>
          <w:lang w:val="en-GB"/>
        </w:rPr>
        <w:t>3):</w:t>
      </w:r>
    </w:p>
    <w:p w14:paraId="7B788053" w14:textId="77777777" w:rsidR="00D6403A" w:rsidRPr="00D6403A" w:rsidRDefault="00D6403A" w:rsidP="00005134">
      <w:pPr>
        <w:pStyle w:val="Bullet1"/>
        <w:rPr>
          <w:lang w:val="en-GB"/>
        </w:rPr>
      </w:pPr>
      <w:r w:rsidRPr="00D6403A">
        <w:rPr>
          <w:lang w:val="en-GB"/>
        </w:rPr>
        <w:t>Levels 1–3: Local care for healthy women and babies at low risk</w:t>
      </w:r>
    </w:p>
    <w:p w14:paraId="58DFE68A" w14:textId="77777777" w:rsidR="00D6403A" w:rsidRPr="00D6403A" w:rsidRDefault="00D6403A" w:rsidP="00005134">
      <w:pPr>
        <w:pStyle w:val="Bullet1"/>
        <w:rPr>
          <w:lang w:val="en-GB"/>
        </w:rPr>
      </w:pPr>
      <w:r w:rsidRPr="00D6403A">
        <w:rPr>
          <w:lang w:val="en-GB"/>
        </w:rPr>
        <w:t>Level 4: Local care for women and babies with some risk requiring additional care</w:t>
      </w:r>
    </w:p>
    <w:p w14:paraId="209C15AD" w14:textId="77777777" w:rsidR="00D6403A" w:rsidRPr="00D6403A" w:rsidRDefault="00D6403A" w:rsidP="00870C38">
      <w:pPr>
        <w:pStyle w:val="Bullet1"/>
        <w:rPr>
          <w:lang w:val="en-GB"/>
        </w:rPr>
      </w:pPr>
      <w:r w:rsidRPr="00D6403A">
        <w:rPr>
          <w:lang w:val="en-GB"/>
        </w:rPr>
        <w:t>Level 5–6: Local care for all women and babies. Regional/statewide care for women and babies at</w:t>
      </w:r>
      <w:r w:rsidRPr="00D6403A">
        <w:rPr>
          <w:rFonts w:ascii="Cambria" w:hAnsi="Cambria" w:cs="Cambria"/>
          <w:color w:val="000000"/>
          <w:lang w:val="en-GB"/>
        </w:rPr>
        <w:t> </w:t>
      </w:r>
      <w:r w:rsidRPr="00D6403A">
        <w:rPr>
          <w:lang w:val="en-GB"/>
        </w:rPr>
        <w:t>high risk.</w:t>
      </w:r>
    </w:p>
    <w:p w14:paraId="1EF843A6" w14:textId="77777777" w:rsidR="00D6403A" w:rsidRPr="00D6403A" w:rsidRDefault="00D6403A" w:rsidP="00862996">
      <w:pPr>
        <w:rPr>
          <w:lang w:val="en-GB"/>
        </w:rPr>
      </w:pPr>
      <w:r w:rsidRPr="00D6403A">
        <w:rPr>
          <w:lang w:val="en-GB"/>
        </w:rPr>
        <w:t>Victoria’s network of services means that, for most women and families, maternity and newborn care is provided as close to home as is safe and practicable and includes prompt transfer to local and/or specialised services as appropriate.</w:t>
      </w:r>
    </w:p>
    <w:p w14:paraId="3547FAD1" w14:textId="77777777" w:rsidR="00D6403A" w:rsidRPr="00D6403A" w:rsidRDefault="00D6403A" w:rsidP="00870C38">
      <w:pPr>
        <w:pStyle w:val="Tablechartdiagramheading"/>
      </w:pPr>
      <w:r w:rsidRPr="00D6403A">
        <w:t>Figure 3. Levels of maternity and neonatal care</w:t>
      </w:r>
    </w:p>
    <w:p w14:paraId="34A41CE6" w14:textId="212ECC4F" w:rsidR="00D6403A" w:rsidRPr="00D6403A" w:rsidRDefault="00870C38" w:rsidP="00862996">
      <w:pPr>
        <w:rPr>
          <w:lang w:val="en-GB"/>
        </w:rPr>
      </w:pPr>
      <w:r>
        <w:rPr>
          <w:noProof/>
          <w:lang w:val="en-GB"/>
        </w:rPr>
        <w:drawing>
          <wp:inline distT="0" distB="0" distL="0" distR="0" wp14:anchorId="1B60ABCC" wp14:editId="281147B3">
            <wp:extent cx="6476365" cy="2705100"/>
            <wp:effectExtent l="0" t="0" r="635" b="0"/>
            <wp:docPr id="6" name="Picture 6" descr="Diagram showing Levels 1-3, 4 and 5-6 with their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_3.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76365" cy="2705100"/>
                    </a:xfrm>
                    <a:prstGeom prst="rect">
                      <a:avLst/>
                    </a:prstGeom>
                  </pic:spPr>
                </pic:pic>
              </a:graphicData>
            </a:graphic>
          </wp:inline>
        </w:drawing>
      </w:r>
    </w:p>
    <w:p w14:paraId="16F57CF2" w14:textId="77777777" w:rsidR="00D6403A" w:rsidRPr="00D6403A" w:rsidRDefault="00D6403A" w:rsidP="00870C38">
      <w:pPr>
        <w:pStyle w:val="FootnoteText"/>
        <w:rPr>
          <w:spacing w:val="-2"/>
          <w:lang w:val="en-GB"/>
        </w:rPr>
      </w:pPr>
      <w:r w:rsidRPr="00D6403A">
        <w:rPr>
          <w:lang w:val="en-GB"/>
        </w:rPr>
        <w:t>Source: Department of Health 2022, Capability frameworks for Victorian maternity and newborn services, State Government of</w:t>
      </w:r>
      <w:r w:rsidRPr="00D6403A">
        <w:rPr>
          <w:rFonts w:ascii="Cambria" w:hAnsi="Cambria" w:cs="Cambria"/>
          <w:lang w:val="en-GB"/>
        </w:rPr>
        <w:t> </w:t>
      </w:r>
      <w:r w:rsidRPr="00D6403A">
        <w:rPr>
          <w:spacing w:val="-2"/>
          <w:lang w:val="en-GB"/>
        </w:rPr>
        <w:t>Victoria, Melbourne.</w:t>
      </w:r>
    </w:p>
    <w:p w14:paraId="62C71E23" w14:textId="77777777" w:rsidR="00D6403A" w:rsidRPr="00D6403A" w:rsidRDefault="00D6403A" w:rsidP="005939CC">
      <w:pPr>
        <w:pStyle w:val="Heading2"/>
        <w:rPr>
          <w:lang w:val="en-GB"/>
        </w:rPr>
      </w:pPr>
      <w:bookmarkStart w:id="9" w:name="_Toc159326567"/>
      <w:r w:rsidRPr="00D6403A">
        <w:rPr>
          <w:lang w:val="en-GB"/>
        </w:rPr>
        <w:lastRenderedPageBreak/>
        <w:t>Informing quality improvement activities</w:t>
      </w:r>
      <w:bookmarkEnd w:id="9"/>
    </w:p>
    <w:p w14:paraId="0BDC16D6" w14:textId="77777777" w:rsidR="00D6403A" w:rsidRPr="00D6403A" w:rsidRDefault="00D6403A" w:rsidP="00005134">
      <w:pPr>
        <w:rPr>
          <w:lang w:val="en-GB"/>
        </w:rPr>
      </w:pPr>
      <w:r w:rsidRPr="00D6403A">
        <w:rPr>
          <w:lang w:val="en-GB"/>
        </w:rPr>
        <w:t>Analysis provided in this report can guide, inform and help you prioritise local audits and improvement</w:t>
      </w:r>
      <w:r w:rsidRPr="00D6403A">
        <w:rPr>
          <w:rFonts w:ascii="Cambria" w:hAnsi="Cambria" w:cs="Cambria"/>
          <w:color w:val="000000"/>
          <w:lang w:val="en-GB"/>
        </w:rPr>
        <w:t> </w:t>
      </w:r>
      <w:r w:rsidRPr="00D6403A">
        <w:rPr>
          <w:lang w:val="en-GB"/>
        </w:rPr>
        <w:t>activities.</w:t>
      </w:r>
    </w:p>
    <w:p w14:paraId="1564B55C" w14:textId="77777777" w:rsidR="00D6403A" w:rsidRPr="00D6403A" w:rsidRDefault="00D6403A" w:rsidP="00862996">
      <w:pPr>
        <w:rPr>
          <w:lang w:val="en-GB"/>
        </w:rPr>
      </w:pPr>
      <w:r w:rsidRPr="00D6403A">
        <w:rPr>
          <w:lang w:val="en-GB"/>
        </w:rPr>
        <w:t>Individual health services are encouraged to:</w:t>
      </w:r>
    </w:p>
    <w:p w14:paraId="538E44F1" w14:textId="77777777" w:rsidR="00D6403A" w:rsidRPr="00D6403A" w:rsidRDefault="00D6403A" w:rsidP="00870C38">
      <w:pPr>
        <w:pStyle w:val="Bullet1"/>
        <w:rPr>
          <w:lang w:val="en-GB"/>
        </w:rPr>
      </w:pPr>
      <w:r w:rsidRPr="00D6403A">
        <w:rPr>
          <w:lang w:val="en-GB"/>
        </w:rPr>
        <w:t>further identify areas to implement improvement programs and measure the impact by</w:t>
      </w:r>
      <w:r w:rsidRPr="00D6403A">
        <w:rPr>
          <w:rFonts w:ascii="Cambria" w:hAnsi="Cambria" w:cs="Cambria"/>
          <w:color w:val="000000"/>
          <w:lang w:val="en-GB"/>
        </w:rPr>
        <w:t> </w:t>
      </w:r>
      <w:r w:rsidRPr="00D6403A">
        <w:rPr>
          <w:lang w:val="en-GB"/>
        </w:rPr>
        <w:t>sharing</w:t>
      </w:r>
      <w:r w:rsidRPr="00D6403A">
        <w:rPr>
          <w:rFonts w:ascii="Cambria" w:hAnsi="Cambria" w:cs="Cambria"/>
          <w:color w:val="000000"/>
          <w:lang w:val="en-GB"/>
        </w:rPr>
        <w:t> </w:t>
      </w:r>
      <w:r w:rsidRPr="00D6403A">
        <w:rPr>
          <w:lang w:val="en-GB"/>
        </w:rPr>
        <w:t>and</w:t>
      </w:r>
      <w:r w:rsidRPr="00D6403A">
        <w:rPr>
          <w:rFonts w:ascii="Cambria" w:hAnsi="Cambria" w:cs="Cambria"/>
          <w:color w:val="000000"/>
          <w:lang w:val="en-GB"/>
        </w:rPr>
        <w:t> </w:t>
      </w:r>
      <w:r w:rsidRPr="00D6403A">
        <w:rPr>
          <w:lang w:val="en-GB"/>
        </w:rPr>
        <w:t>discussing this report with:</w:t>
      </w:r>
    </w:p>
    <w:p w14:paraId="13F7A613" w14:textId="77777777" w:rsidR="00D6403A" w:rsidRPr="00D6403A" w:rsidRDefault="00D6403A" w:rsidP="00870C38">
      <w:pPr>
        <w:pStyle w:val="Bullet2"/>
        <w:rPr>
          <w:lang w:val="en-GB"/>
        </w:rPr>
      </w:pPr>
      <w:r w:rsidRPr="00D6403A">
        <w:rPr>
          <w:lang w:val="en-GB"/>
        </w:rPr>
        <w:t>consumer advisory committees</w:t>
      </w:r>
    </w:p>
    <w:p w14:paraId="1EAAD62F" w14:textId="77777777" w:rsidR="00D6403A" w:rsidRPr="00D6403A" w:rsidRDefault="00D6403A" w:rsidP="00870C38">
      <w:pPr>
        <w:pStyle w:val="Bullet2"/>
        <w:rPr>
          <w:lang w:val="en-GB"/>
        </w:rPr>
      </w:pPr>
      <w:r w:rsidRPr="00D6403A">
        <w:rPr>
          <w:lang w:val="en-GB"/>
        </w:rPr>
        <w:t>clinicians, managers, executive and health service boards</w:t>
      </w:r>
    </w:p>
    <w:p w14:paraId="1AE79428" w14:textId="77777777" w:rsidR="00D6403A" w:rsidRPr="00D6403A" w:rsidRDefault="00D6403A" w:rsidP="00870C38">
      <w:pPr>
        <w:pStyle w:val="Bullet2"/>
        <w:rPr>
          <w:lang w:val="en-GB"/>
        </w:rPr>
      </w:pPr>
      <w:r w:rsidRPr="00D6403A">
        <w:rPr>
          <w:lang w:val="en-GB"/>
        </w:rPr>
        <w:t>quality and safety and mortality and morbidity committees.</w:t>
      </w:r>
    </w:p>
    <w:p w14:paraId="412B7628" w14:textId="1B953990" w:rsidR="00D6403A" w:rsidRPr="00D6403A" w:rsidRDefault="00D6403A" w:rsidP="00870C38">
      <w:pPr>
        <w:pStyle w:val="Bullet1"/>
        <w:rPr>
          <w:lang w:val="en-GB"/>
        </w:rPr>
      </w:pPr>
      <w:r w:rsidRPr="00D6403A">
        <w:rPr>
          <w:lang w:val="en-GB"/>
        </w:rPr>
        <w:t>engage women, families and consumers with opportunities for improvement. Involving consumers</w:t>
      </w:r>
      <w:r w:rsidRPr="00D6403A">
        <w:rPr>
          <w:rFonts w:ascii="Cambria" w:hAnsi="Cambria" w:cs="Cambria"/>
          <w:color w:val="000000"/>
          <w:lang w:val="en-GB"/>
        </w:rPr>
        <w:t> </w:t>
      </w:r>
      <w:r w:rsidRPr="00D6403A">
        <w:rPr>
          <w:lang w:val="en-GB"/>
        </w:rPr>
        <w:t>will</w:t>
      </w:r>
      <w:r w:rsidRPr="00D6403A">
        <w:rPr>
          <w:rFonts w:ascii="Cambria" w:hAnsi="Cambria" w:cs="Cambria"/>
          <w:color w:val="000000"/>
          <w:lang w:val="en-GB"/>
        </w:rPr>
        <w:t> </w:t>
      </w:r>
      <w:r w:rsidRPr="00D6403A">
        <w:rPr>
          <w:lang w:val="en-GB"/>
        </w:rPr>
        <w:t>strengthen the improvement practice and approach across health services.</w:t>
      </w:r>
    </w:p>
    <w:p w14:paraId="7BEE1C2B" w14:textId="77777777" w:rsidR="00FC4BA4" w:rsidRDefault="00FC4BA4">
      <w:pPr>
        <w:rPr>
          <w:rFonts w:asciiTheme="majorHAnsi" w:eastAsiaTheme="majorEastAsia" w:hAnsiTheme="majorHAnsi" w:cs="Times New Roman (Headings CS)"/>
          <w:b/>
          <w:bCs/>
          <w:color w:val="007586" w:themeColor="text2"/>
          <w:sz w:val="28"/>
          <w:szCs w:val="26"/>
          <w:lang w:val="en-GB"/>
        </w:rPr>
      </w:pPr>
      <w:r>
        <w:rPr>
          <w:lang w:val="en-GB"/>
        </w:rPr>
        <w:br w:type="page"/>
      </w:r>
    </w:p>
    <w:p w14:paraId="091E823B" w14:textId="54091817" w:rsidR="00D6403A" w:rsidRPr="00D6403A" w:rsidRDefault="00D6403A" w:rsidP="00FC4BA4">
      <w:pPr>
        <w:pStyle w:val="Heading1"/>
        <w:framePr w:wrap="around"/>
        <w:rPr>
          <w:lang w:val="en-GB"/>
        </w:rPr>
      </w:pPr>
      <w:bookmarkStart w:id="10" w:name="_Toc159326568"/>
      <w:r w:rsidRPr="00D6403A">
        <w:rPr>
          <w:lang w:val="en-GB"/>
        </w:rPr>
        <w:lastRenderedPageBreak/>
        <w:t>Summary of results</w:t>
      </w:r>
      <w:bookmarkEnd w:id="10"/>
      <w:r w:rsidRPr="00D6403A">
        <w:rPr>
          <w:lang w:val="en-GB"/>
        </w:rPr>
        <w:t xml:space="preserve"> </w:t>
      </w:r>
    </w:p>
    <w:p w14:paraId="4FCC2311" w14:textId="46CE0A33" w:rsidR="00D6403A" w:rsidRPr="00D6403A" w:rsidRDefault="00D6403A" w:rsidP="005939CC">
      <w:pPr>
        <w:pStyle w:val="Heading2"/>
        <w:rPr>
          <w:lang w:val="en-GB"/>
        </w:rPr>
      </w:pPr>
      <w:bookmarkStart w:id="11" w:name="_Toc159326569"/>
      <w:r w:rsidRPr="00D6403A">
        <w:rPr>
          <w:lang w:val="en-GB"/>
        </w:rPr>
        <w:t>New indicator – fetal growth restriction</w:t>
      </w:r>
      <w:bookmarkEnd w:id="11"/>
    </w:p>
    <w:p w14:paraId="656A32BE" w14:textId="77777777" w:rsidR="00D6403A" w:rsidRPr="00D6403A" w:rsidRDefault="00D6403A" w:rsidP="00862996">
      <w:pPr>
        <w:rPr>
          <w:lang w:val="en-GB"/>
        </w:rPr>
      </w:pPr>
      <w:r w:rsidRPr="00D6403A">
        <w:rPr>
          <w:lang w:val="en-GB"/>
        </w:rPr>
        <w:t>Indicator 3b (Rate of babies with a birthweight above the 25th centile actively delivered for fetal growth restriction before 39 weeks’ gestation) is being reported for the first time. It shows the proportion of singleton babies actively delivered for suspected fetal growth restriction before 39 weeks whose birthweight was above the 25th centile. This new indicator is a balance measure to bring greater awareness to any possible unintended harm associated with indicator 3a (Rate of severe fetal growth restriction in a singleton pregnancy undelivered by 40 weeks). This balance measure is to monitor unwarranted early delivery of healthy babies.</w:t>
      </w:r>
    </w:p>
    <w:p w14:paraId="36298E9F" w14:textId="77777777" w:rsidR="00D6403A" w:rsidRPr="00D6403A" w:rsidRDefault="00D6403A" w:rsidP="005939CC">
      <w:pPr>
        <w:pStyle w:val="Heading2"/>
        <w:rPr>
          <w:lang w:val="en-GB"/>
        </w:rPr>
      </w:pPr>
      <w:bookmarkStart w:id="12" w:name="_Toc159326570"/>
      <w:r w:rsidRPr="00D6403A">
        <w:rPr>
          <w:lang w:val="en-GB"/>
        </w:rPr>
        <w:t>Where we are getting better</w:t>
      </w:r>
      <w:bookmarkEnd w:id="12"/>
    </w:p>
    <w:p w14:paraId="73513D4E" w14:textId="77777777" w:rsidR="00D6403A" w:rsidRPr="00D6403A" w:rsidRDefault="00D6403A" w:rsidP="006A1F63">
      <w:pPr>
        <w:pStyle w:val="Bullet1"/>
        <w:rPr>
          <w:lang w:val="en-GB"/>
        </w:rPr>
      </w:pPr>
      <w:r w:rsidRPr="00D6403A">
        <w:rPr>
          <w:lang w:val="en-GB"/>
        </w:rPr>
        <w:t>Rates of induction of labour or prelabour caesarean section for severe fetal growth restriction in</w:t>
      </w:r>
      <w:r w:rsidRPr="00D6403A">
        <w:rPr>
          <w:rFonts w:ascii="Cambria" w:hAnsi="Cambria" w:cs="Cambria"/>
          <w:color w:val="000000"/>
          <w:lang w:val="en-GB"/>
        </w:rPr>
        <w:t> </w:t>
      </w:r>
      <w:r w:rsidRPr="00D6403A">
        <w:rPr>
          <w:lang w:val="en-GB"/>
        </w:rPr>
        <w:t>babies before 40 weeks’ gestation (Indicator 3a) have increased (we will continue to monitor this against the</w:t>
      </w:r>
      <w:r w:rsidRPr="00D6403A">
        <w:rPr>
          <w:rFonts w:ascii="Cambria" w:hAnsi="Cambria" w:cs="Cambria"/>
          <w:color w:val="000000"/>
          <w:lang w:val="en-GB"/>
        </w:rPr>
        <w:t> </w:t>
      </w:r>
      <w:r w:rsidRPr="00D6403A">
        <w:rPr>
          <w:lang w:val="en-GB"/>
        </w:rPr>
        <w:t>new</w:t>
      </w:r>
      <w:r w:rsidRPr="00D6403A">
        <w:rPr>
          <w:rFonts w:ascii="Cambria" w:hAnsi="Cambria" w:cs="Cambria"/>
          <w:color w:val="000000"/>
          <w:lang w:val="en-GB"/>
        </w:rPr>
        <w:t> </w:t>
      </w:r>
      <w:r w:rsidRPr="00D6403A">
        <w:rPr>
          <w:lang w:val="en-GB"/>
        </w:rPr>
        <w:t>indicator</w:t>
      </w:r>
      <w:r w:rsidRPr="00D6403A">
        <w:rPr>
          <w:rFonts w:ascii="Cambria" w:hAnsi="Cambria" w:cs="Cambria"/>
          <w:color w:val="000000"/>
          <w:lang w:val="en-GB"/>
        </w:rPr>
        <w:t> </w:t>
      </w:r>
      <w:r w:rsidRPr="00D6403A">
        <w:rPr>
          <w:lang w:val="en-GB"/>
        </w:rPr>
        <w:t>3b).</w:t>
      </w:r>
    </w:p>
    <w:p w14:paraId="0EA9C77C" w14:textId="77777777" w:rsidR="00D6403A" w:rsidRPr="00D6403A" w:rsidRDefault="00D6403A" w:rsidP="00005134">
      <w:pPr>
        <w:pStyle w:val="Bullet1"/>
        <w:rPr>
          <w:lang w:val="en-GB"/>
        </w:rPr>
      </w:pPr>
      <w:r w:rsidRPr="00D6403A">
        <w:rPr>
          <w:lang w:val="en-GB"/>
        </w:rPr>
        <w:t>Rates of maternal readmission (Indicator 6a) have reduced.</w:t>
      </w:r>
    </w:p>
    <w:p w14:paraId="22569420" w14:textId="77777777" w:rsidR="00D6403A" w:rsidRPr="00D6403A" w:rsidRDefault="00D6403A" w:rsidP="00005134">
      <w:pPr>
        <w:pStyle w:val="Bullet1"/>
        <w:rPr>
          <w:lang w:val="en-GB"/>
        </w:rPr>
      </w:pPr>
      <w:r w:rsidRPr="00D6403A">
        <w:rPr>
          <w:lang w:val="en-GB"/>
        </w:rPr>
        <w:t>Rates of postpartum haemorrhage (Indicator 13) have reduced.</w:t>
      </w:r>
    </w:p>
    <w:p w14:paraId="6E7D4C50" w14:textId="696A2BE7" w:rsidR="00D6403A" w:rsidRPr="00D6403A" w:rsidRDefault="00D6403A" w:rsidP="005939CC">
      <w:pPr>
        <w:pStyle w:val="Heading2"/>
        <w:rPr>
          <w:lang w:val="en-GB"/>
        </w:rPr>
      </w:pPr>
      <w:bookmarkStart w:id="13" w:name="_Toc159326571"/>
      <w:r w:rsidRPr="00D6403A">
        <w:rPr>
          <w:lang w:val="en-GB"/>
        </w:rPr>
        <w:t>Where we can improve</w:t>
      </w:r>
      <w:bookmarkEnd w:id="13"/>
    </w:p>
    <w:p w14:paraId="57E59E35" w14:textId="77777777" w:rsidR="00D6403A" w:rsidRPr="00D6403A" w:rsidRDefault="00D6403A" w:rsidP="00862996">
      <w:pPr>
        <w:rPr>
          <w:lang w:val="en-GB"/>
        </w:rPr>
      </w:pPr>
      <w:r w:rsidRPr="00D6403A">
        <w:rPr>
          <w:lang w:val="en-GB"/>
        </w:rPr>
        <w:t>The following outcomes suggest the need for health services to comprehensively review their practices and then implement and monitor programs to improve performance.</w:t>
      </w:r>
    </w:p>
    <w:p w14:paraId="1EF34EEB" w14:textId="77777777" w:rsidR="00D6403A" w:rsidRPr="00D6403A" w:rsidRDefault="00D6403A" w:rsidP="00005134">
      <w:pPr>
        <w:pStyle w:val="Bullet1"/>
        <w:rPr>
          <w:lang w:val="en-GB"/>
        </w:rPr>
      </w:pPr>
      <w:r w:rsidRPr="00D6403A">
        <w:rPr>
          <w:lang w:val="en-GB"/>
        </w:rPr>
        <w:t>Maternal pertussis and influenza vaccination (Indicator 12) rates have reduced. This has been impacted by events of 2021.</w:t>
      </w:r>
    </w:p>
    <w:p w14:paraId="772743EA" w14:textId="77777777" w:rsidR="00D6403A" w:rsidRPr="00D6403A" w:rsidRDefault="00D6403A" w:rsidP="00005134">
      <w:pPr>
        <w:pStyle w:val="Bullet1"/>
        <w:rPr>
          <w:lang w:val="en-GB"/>
        </w:rPr>
      </w:pPr>
      <w:r w:rsidRPr="00D6403A">
        <w:rPr>
          <w:lang w:val="en-GB"/>
        </w:rPr>
        <w:t>Rates of neonatal readmission (Indicator 6b) have increased.</w:t>
      </w:r>
    </w:p>
    <w:p w14:paraId="38657134" w14:textId="292333E8" w:rsidR="00D6403A" w:rsidRPr="00D6403A" w:rsidRDefault="00D6403A" w:rsidP="00862996">
      <w:pPr>
        <w:rPr>
          <w:lang w:val="en-GB"/>
        </w:rPr>
      </w:pPr>
      <w:r w:rsidRPr="00D6403A">
        <w:rPr>
          <w:lang w:val="en-GB"/>
        </w:rPr>
        <w:t>Table 1 summarises results in statewide public and private maternity hospital rates.</w:t>
      </w:r>
    </w:p>
    <w:p w14:paraId="7AB1C005" w14:textId="77777777" w:rsidR="00D6403A" w:rsidRPr="00D6403A" w:rsidRDefault="00D6403A" w:rsidP="00887B5A">
      <w:pPr>
        <w:pStyle w:val="Tablechartdiagramheading"/>
        <w:rPr>
          <w:lang w:val="en-GB"/>
        </w:rPr>
      </w:pPr>
      <w:r w:rsidRPr="00D6403A">
        <w:rPr>
          <w:lang w:val="en-GB"/>
        </w:rPr>
        <w:t>Table 1. Summary of statewide public and private maternity hospital rates</w:t>
      </w:r>
    </w:p>
    <w:tbl>
      <w:tblPr>
        <w:tblStyle w:val="TableGrid"/>
        <w:tblW w:w="10205" w:type="dxa"/>
        <w:tblLayout w:type="fixed"/>
        <w:tblLook w:val="0020" w:firstRow="1" w:lastRow="0" w:firstColumn="0" w:lastColumn="0" w:noHBand="0" w:noVBand="0"/>
      </w:tblPr>
      <w:tblGrid>
        <w:gridCol w:w="3515"/>
        <w:gridCol w:w="1077"/>
        <w:gridCol w:w="1077"/>
        <w:gridCol w:w="1077"/>
        <w:gridCol w:w="1078"/>
        <w:gridCol w:w="1190"/>
        <w:gridCol w:w="1191"/>
      </w:tblGrid>
      <w:tr w:rsidR="00D6403A" w:rsidRPr="00D6403A" w14:paraId="3938905A" w14:textId="77777777" w:rsidTr="00064DE9">
        <w:trPr>
          <w:cnfStyle w:val="100000000000" w:firstRow="1" w:lastRow="0" w:firstColumn="0" w:lastColumn="0" w:oddVBand="0" w:evenVBand="0" w:oddHBand="0" w:evenHBand="0" w:firstRowFirstColumn="0" w:firstRowLastColumn="0" w:lastRowFirstColumn="0" w:lastRowLastColumn="0"/>
          <w:trHeight w:val="396"/>
          <w:tblHeader/>
        </w:trPr>
        <w:tc>
          <w:tcPr>
            <w:cnfStyle w:val="000010000000" w:firstRow="0" w:lastRow="0" w:firstColumn="0" w:lastColumn="0" w:oddVBand="1" w:evenVBand="0" w:oddHBand="0" w:evenHBand="0" w:firstRowFirstColumn="0" w:firstRowLastColumn="0" w:lastRowFirstColumn="0" w:lastRowLastColumn="0"/>
            <w:tcW w:w="3515" w:type="dxa"/>
          </w:tcPr>
          <w:p w14:paraId="102076E1" w14:textId="77777777" w:rsidR="00D6403A" w:rsidRPr="00D6403A" w:rsidRDefault="00D6403A" w:rsidP="00AE4C75">
            <w:pPr>
              <w:pStyle w:val="Tableheader"/>
              <w:rPr>
                <w:color w:val="000000"/>
                <w:lang w:val="en-US"/>
              </w:rPr>
            </w:pPr>
            <w:r w:rsidRPr="00D6403A">
              <w:rPr>
                <w:b/>
                <w:lang w:val="en-US"/>
              </w:rPr>
              <w:t>Indicator</w:t>
            </w:r>
          </w:p>
        </w:tc>
        <w:tc>
          <w:tcPr>
            <w:cnfStyle w:val="000001000000" w:firstRow="0" w:lastRow="0" w:firstColumn="0" w:lastColumn="0" w:oddVBand="0" w:evenVBand="1" w:oddHBand="0" w:evenHBand="0" w:firstRowFirstColumn="0" w:firstRowLastColumn="0" w:lastRowFirstColumn="0" w:lastRowLastColumn="0"/>
            <w:tcW w:w="1077" w:type="dxa"/>
          </w:tcPr>
          <w:p w14:paraId="487D6157" w14:textId="77777777" w:rsidR="00D6403A" w:rsidRPr="00D6403A" w:rsidRDefault="00D6403A" w:rsidP="00064DE9">
            <w:pPr>
              <w:pStyle w:val="Tableheader"/>
              <w:jc w:val="right"/>
              <w:rPr>
                <w:color w:val="000000"/>
                <w:lang w:val="en-US"/>
              </w:rPr>
            </w:pPr>
            <w:r w:rsidRPr="00D6403A">
              <w:rPr>
                <w:b/>
                <w:lang w:val="en-US"/>
              </w:rPr>
              <w:t>Statewide 2020</w:t>
            </w:r>
          </w:p>
        </w:tc>
        <w:tc>
          <w:tcPr>
            <w:cnfStyle w:val="000010000000" w:firstRow="0" w:lastRow="0" w:firstColumn="0" w:lastColumn="0" w:oddVBand="1" w:evenVBand="0" w:oddHBand="0" w:evenHBand="0" w:firstRowFirstColumn="0" w:firstRowLastColumn="0" w:lastRowFirstColumn="0" w:lastRowLastColumn="0"/>
            <w:tcW w:w="1077" w:type="dxa"/>
          </w:tcPr>
          <w:p w14:paraId="0D0C2B03" w14:textId="77777777" w:rsidR="00D6403A" w:rsidRPr="00D6403A" w:rsidRDefault="00D6403A" w:rsidP="00064DE9">
            <w:pPr>
              <w:pStyle w:val="Tableheader"/>
              <w:jc w:val="right"/>
              <w:rPr>
                <w:color w:val="000000"/>
                <w:lang w:val="en-US"/>
              </w:rPr>
            </w:pPr>
            <w:r w:rsidRPr="00D6403A">
              <w:rPr>
                <w:b/>
                <w:lang w:val="en-US"/>
              </w:rPr>
              <w:t>Statewide 2021</w:t>
            </w:r>
          </w:p>
        </w:tc>
        <w:tc>
          <w:tcPr>
            <w:cnfStyle w:val="000001000000" w:firstRow="0" w:lastRow="0" w:firstColumn="0" w:lastColumn="0" w:oddVBand="0" w:evenVBand="1" w:oddHBand="0" w:evenHBand="0" w:firstRowFirstColumn="0" w:firstRowLastColumn="0" w:lastRowFirstColumn="0" w:lastRowLastColumn="0"/>
            <w:tcW w:w="1077" w:type="dxa"/>
          </w:tcPr>
          <w:p w14:paraId="26DAD4DA" w14:textId="77777777" w:rsidR="00D6403A" w:rsidRPr="00D6403A" w:rsidRDefault="00D6403A" w:rsidP="00064DE9">
            <w:pPr>
              <w:pStyle w:val="Tableheader"/>
              <w:jc w:val="right"/>
              <w:rPr>
                <w:color w:val="000000"/>
                <w:lang w:val="en-US"/>
              </w:rPr>
            </w:pPr>
            <w:r w:rsidRPr="00D6403A">
              <w:rPr>
                <w:b/>
                <w:lang w:val="en-US"/>
              </w:rPr>
              <w:t>Statewide public</w:t>
            </w:r>
          </w:p>
        </w:tc>
        <w:tc>
          <w:tcPr>
            <w:cnfStyle w:val="000010000000" w:firstRow="0" w:lastRow="0" w:firstColumn="0" w:lastColumn="0" w:oddVBand="1" w:evenVBand="0" w:oddHBand="0" w:evenHBand="0" w:firstRowFirstColumn="0" w:firstRowLastColumn="0" w:lastRowFirstColumn="0" w:lastRowLastColumn="0"/>
            <w:tcW w:w="1078" w:type="dxa"/>
          </w:tcPr>
          <w:p w14:paraId="342482F7" w14:textId="77777777" w:rsidR="00D6403A" w:rsidRPr="00D6403A" w:rsidRDefault="00D6403A" w:rsidP="00064DE9">
            <w:pPr>
              <w:pStyle w:val="Tableheader"/>
              <w:jc w:val="right"/>
              <w:rPr>
                <w:color w:val="000000"/>
                <w:lang w:val="en-US"/>
              </w:rPr>
            </w:pPr>
            <w:r w:rsidRPr="00D6403A">
              <w:rPr>
                <w:b/>
                <w:lang w:val="en-US"/>
              </w:rPr>
              <w:t>Statewide private</w:t>
            </w:r>
          </w:p>
        </w:tc>
        <w:tc>
          <w:tcPr>
            <w:cnfStyle w:val="000001000000" w:firstRow="0" w:lastRow="0" w:firstColumn="0" w:lastColumn="0" w:oddVBand="0" w:evenVBand="1" w:oddHBand="0" w:evenHBand="0" w:firstRowFirstColumn="0" w:firstRowLastColumn="0" w:lastRowFirstColumn="0" w:lastRowLastColumn="0"/>
            <w:tcW w:w="1190" w:type="dxa"/>
          </w:tcPr>
          <w:p w14:paraId="77C11A6A" w14:textId="77777777" w:rsidR="00D6403A" w:rsidRPr="00D6403A" w:rsidRDefault="00D6403A" w:rsidP="00064DE9">
            <w:pPr>
              <w:pStyle w:val="Tableheader"/>
              <w:jc w:val="right"/>
              <w:rPr>
                <w:color w:val="000000"/>
                <w:lang w:val="en-US"/>
              </w:rPr>
            </w:pPr>
            <w:r w:rsidRPr="00D6403A">
              <w:rPr>
                <w:b/>
                <w:lang w:val="en-US"/>
              </w:rPr>
              <w:t>Least favourable quartile</w:t>
            </w:r>
          </w:p>
        </w:tc>
        <w:tc>
          <w:tcPr>
            <w:cnfStyle w:val="000010000000" w:firstRow="0" w:lastRow="0" w:firstColumn="0" w:lastColumn="0" w:oddVBand="1" w:evenVBand="0" w:oddHBand="0" w:evenHBand="0" w:firstRowFirstColumn="0" w:firstRowLastColumn="0" w:lastRowFirstColumn="0" w:lastRowLastColumn="0"/>
            <w:tcW w:w="1191" w:type="dxa"/>
          </w:tcPr>
          <w:p w14:paraId="461F48CC" w14:textId="77777777" w:rsidR="00D6403A" w:rsidRPr="00D6403A" w:rsidRDefault="00D6403A" w:rsidP="00064DE9">
            <w:pPr>
              <w:pStyle w:val="Tableheader"/>
              <w:jc w:val="right"/>
              <w:rPr>
                <w:color w:val="000000"/>
                <w:lang w:val="en-US"/>
              </w:rPr>
            </w:pPr>
            <w:r w:rsidRPr="00D6403A">
              <w:rPr>
                <w:b/>
                <w:lang w:val="en-US"/>
              </w:rPr>
              <w:t>Most favourable quartile</w:t>
            </w:r>
          </w:p>
        </w:tc>
      </w:tr>
      <w:tr w:rsidR="00AE4C75" w:rsidRPr="00D6403A" w14:paraId="6A118382"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7C9442E9" w14:textId="63781234" w:rsidR="00AE4C75" w:rsidRPr="00AE4C75" w:rsidRDefault="00AE4C75" w:rsidP="00AE4C75">
            <w:pPr>
              <w:pStyle w:val="Tabletext"/>
              <w:jc w:val="left"/>
              <w:rPr>
                <w:rFonts w:ascii="VIC" w:hAnsi="VIC" w:cs="VIC"/>
                <w:b/>
                <w:color w:val="000000"/>
                <w:lang w:val="en-US"/>
              </w:rPr>
            </w:pPr>
            <w:r w:rsidRPr="00AE4C75">
              <w:rPr>
                <w:b/>
                <w:lang w:val="en-US"/>
              </w:rPr>
              <w:t>1a</w:t>
            </w:r>
            <w:r>
              <w:rPr>
                <w:rFonts w:ascii="VIC" w:hAnsi="VIC" w:cs="VIC"/>
                <w:b/>
                <w:color w:val="000000"/>
                <w:lang w:val="en-US"/>
              </w:rPr>
              <w:t xml:space="preserve"> </w:t>
            </w:r>
            <w:r w:rsidRPr="00AE4C75">
              <w:t>Rate of induction of labour in</w:t>
            </w:r>
            <w:r w:rsidRPr="00D6403A">
              <w:rPr>
                <w:rFonts w:ascii="Cambria" w:hAnsi="Cambria" w:cs="Cambria"/>
                <w:lang w:val="en-US"/>
              </w:rPr>
              <w:t> </w:t>
            </w:r>
            <w:r w:rsidRPr="00D6403A">
              <w:rPr>
                <w:lang w:val="en-US"/>
              </w:rPr>
              <w:t>standard primiparae</w:t>
            </w:r>
          </w:p>
        </w:tc>
        <w:tc>
          <w:tcPr>
            <w:cnfStyle w:val="000001000000" w:firstRow="0" w:lastRow="0" w:firstColumn="0" w:lastColumn="0" w:oddVBand="0" w:evenVBand="1" w:oddHBand="0" w:evenHBand="0" w:firstRowFirstColumn="0" w:firstRowLastColumn="0" w:lastRowFirstColumn="0" w:lastRowLastColumn="0"/>
            <w:tcW w:w="1077" w:type="dxa"/>
          </w:tcPr>
          <w:p w14:paraId="5ED7ED9D" w14:textId="77777777" w:rsidR="00AE4C75" w:rsidRPr="00D6403A" w:rsidRDefault="00AE4C75" w:rsidP="00AE4C75">
            <w:pPr>
              <w:pStyle w:val="Tabletext"/>
              <w:rPr>
                <w:lang w:val="en-US"/>
              </w:rPr>
            </w:pPr>
            <w:r w:rsidRPr="00D6403A">
              <w:rPr>
                <w:lang w:val="en-US"/>
              </w:rPr>
              <w:t>13.9%</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1CC37B60" w14:textId="77777777" w:rsidR="00AE4C75" w:rsidRPr="00D6403A" w:rsidRDefault="00AE4C75" w:rsidP="00AE4C75">
            <w:pPr>
              <w:pStyle w:val="Tabletext"/>
              <w:rPr>
                <w:lang w:val="en-US"/>
              </w:rPr>
            </w:pPr>
            <w:r w:rsidRPr="00D6403A">
              <w:rPr>
                <w:lang w:val="en-US"/>
              </w:rPr>
              <w:t>15.0%</w:t>
            </w:r>
          </w:p>
        </w:tc>
        <w:tc>
          <w:tcPr>
            <w:cnfStyle w:val="000001000000" w:firstRow="0" w:lastRow="0" w:firstColumn="0" w:lastColumn="0" w:oddVBand="0" w:evenVBand="1" w:oddHBand="0" w:evenHBand="0" w:firstRowFirstColumn="0" w:firstRowLastColumn="0" w:lastRowFirstColumn="0" w:lastRowLastColumn="0"/>
            <w:tcW w:w="1077" w:type="dxa"/>
          </w:tcPr>
          <w:p w14:paraId="1260D577" w14:textId="77777777" w:rsidR="00AE4C75" w:rsidRPr="00D6403A" w:rsidRDefault="00AE4C75" w:rsidP="00AE4C75">
            <w:pPr>
              <w:pStyle w:val="Tabletext"/>
              <w:rPr>
                <w:lang w:val="en-US"/>
              </w:rPr>
            </w:pPr>
            <w:r w:rsidRPr="00D6403A">
              <w:rPr>
                <w:lang w:val="en-US"/>
              </w:rPr>
              <w:t>11.0%</w:t>
            </w:r>
          </w:p>
        </w:tc>
        <w:tc>
          <w:tcPr>
            <w:cnfStyle w:val="000010000000" w:firstRow="0" w:lastRow="0" w:firstColumn="0" w:lastColumn="0" w:oddVBand="1" w:evenVBand="0" w:oddHBand="0" w:evenHBand="0" w:firstRowFirstColumn="0" w:firstRowLastColumn="0" w:lastRowFirstColumn="0" w:lastRowLastColumn="0"/>
            <w:tcW w:w="1078" w:type="dxa"/>
          </w:tcPr>
          <w:p w14:paraId="27E9E390" w14:textId="77777777" w:rsidR="00AE4C75" w:rsidRPr="00D6403A" w:rsidRDefault="00AE4C75" w:rsidP="00AE4C75">
            <w:pPr>
              <w:pStyle w:val="Tabletext"/>
              <w:rPr>
                <w:lang w:val="en-US"/>
              </w:rPr>
            </w:pPr>
            <w:r w:rsidRPr="00D6403A">
              <w:rPr>
                <w:lang w:val="en-US"/>
              </w:rPr>
              <w:t>21.7%</w:t>
            </w:r>
          </w:p>
        </w:tc>
        <w:tc>
          <w:tcPr>
            <w:cnfStyle w:val="000001000000" w:firstRow="0" w:lastRow="0" w:firstColumn="0" w:lastColumn="0" w:oddVBand="0" w:evenVBand="1" w:oddHBand="0" w:evenHBand="0" w:firstRowFirstColumn="0" w:firstRowLastColumn="0" w:lastRowFirstColumn="0" w:lastRowLastColumn="0"/>
            <w:tcW w:w="1190" w:type="dxa"/>
          </w:tcPr>
          <w:p w14:paraId="52CBE108" w14:textId="77777777" w:rsidR="00AE4C75" w:rsidRPr="00D6403A" w:rsidRDefault="00AE4C75" w:rsidP="00AE4C75">
            <w:pPr>
              <w:pStyle w:val="Tabletext"/>
              <w:rPr>
                <w:lang w:val="en-US"/>
              </w:rPr>
            </w:pPr>
            <w:r w:rsidRPr="00D6403A">
              <w:rPr>
                <w:lang w:val="en-US"/>
              </w:rPr>
              <w:t>23.0%</w:t>
            </w:r>
          </w:p>
        </w:tc>
        <w:tc>
          <w:tcPr>
            <w:cnfStyle w:val="000010000000" w:firstRow="0" w:lastRow="0" w:firstColumn="0" w:lastColumn="0" w:oddVBand="1" w:evenVBand="0" w:oddHBand="0" w:evenHBand="0" w:firstRowFirstColumn="0" w:firstRowLastColumn="0" w:lastRowFirstColumn="0" w:lastRowLastColumn="0"/>
            <w:tcW w:w="1191" w:type="dxa"/>
          </w:tcPr>
          <w:p w14:paraId="7284C1F3" w14:textId="77777777" w:rsidR="00AE4C75" w:rsidRPr="00D6403A" w:rsidRDefault="00AE4C75" w:rsidP="00AE4C75">
            <w:pPr>
              <w:pStyle w:val="Tabletext"/>
              <w:rPr>
                <w:lang w:val="en-US"/>
              </w:rPr>
            </w:pPr>
            <w:r w:rsidRPr="00D6403A">
              <w:rPr>
                <w:lang w:val="en-US"/>
              </w:rPr>
              <w:t>6.8%</w:t>
            </w:r>
          </w:p>
        </w:tc>
      </w:tr>
      <w:tr w:rsidR="00AE4C75" w:rsidRPr="00D6403A" w14:paraId="76DFFA21"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35D48EFC" w14:textId="16671E16" w:rsidR="00AE4C75" w:rsidRPr="00AE4C75" w:rsidRDefault="00AE4C75" w:rsidP="00AE4C75">
            <w:pPr>
              <w:pStyle w:val="Tabletext"/>
              <w:jc w:val="left"/>
              <w:rPr>
                <w:rFonts w:ascii="VIC" w:hAnsi="VIC" w:cs="VIC"/>
                <w:b/>
                <w:color w:val="000000"/>
                <w:lang w:val="en-US"/>
              </w:rPr>
            </w:pPr>
            <w:r w:rsidRPr="00AE4C75">
              <w:rPr>
                <w:b/>
                <w:lang w:val="en-US"/>
              </w:rPr>
              <w:t>1bi</w:t>
            </w:r>
            <w:r>
              <w:rPr>
                <w:rFonts w:ascii="VIC" w:hAnsi="VIC" w:cs="VIC"/>
                <w:b/>
                <w:color w:val="000000"/>
                <w:lang w:val="en-US"/>
              </w:rPr>
              <w:t xml:space="preserve"> </w:t>
            </w:r>
            <w:r w:rsidRPr="00AE4C75">
              <w:t>Rate of caesarean section in</w:t>
            </w:r>
            <w:r w:rsidRPr="00D6403A">
              <w:rPr>
                <w:rFonts w:ascii="Cambria" w:hAnsi="Cambria" w:cs="Cambria"/>
                <w:lang w:val="en-US"/>
              </w:rPr>
              <w:t> </w:t>
            </w:r>
            <w:r w:rsidRPr="00D6403A">
              <w:rPr>
                <w:lang w:val="en-US"/>
              </w:rPr>
              <w:t>Robson group 1</w:t>
            </w:r>
          </w:p>
        </w:tc>
        <w:tc>
          <w:tcPr>
            <w:cnfStyle w:val="000001000000" w:firstRow="0" w:lastRow="0" w:firstColumn="0" w:lastColumn="0" w:oddVBand="0" w:evenVBand="1" w:oddHBand="0" w:evenHBand="0" w:firstRowFirstColumn="0" w:firstRowLastColumn="0" w:lastRowFirstColumn="0" w:lastRowLastColumn="0"/>
            <w:tcW w:w="1077" w:type="dxa"/>
          </w:tcPr>
          <w:p w14:paraId="367E320A" w14:textId="77777777" w:rsidR="00AE4C75" w:rsidRPr="00D6403A" w:rsidRDefault="00AE4C75" w:rsidP="00AE4C75">
            <w:pPr>
              <w:pStyle w:val="Tabletext"/>
              <w:rPr>
                <w:lang w:val="en-US"/>
              </w:rPr>
            </w:pPr>
            <w:r w:rsidRPr="00D6403A">
              <w:rPr>
                <w:lang w:val="en-US"/>
              </w:rPr>
              <w:t>18.3%</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225270F7" w14:textId="77777777" w:rsidR="00AE4C75" w:rsidRPr="00D6403A" w:rsidRDefault="00AE4C75" w:rsidP="00AE4C75">
            <w:pPr>
              <w:pStyle w:val="Tabletext"/>
              <w:rPr>
                <w:lang w:val="en-US"/>
              </w:rPr>
            </w:pPr>
            <w:r w:rsidRPr="00D6403A">
              <w:rPr>
                <w:lang w:val="en-US"/>
              </w:rPr>
              <w:t>18.3%</w:t>
            </w:r>
          </w:p>
        </w:tc>
        <w:tc>
          <w:tcPr>
            <w:cnfStyle w:val="000001000000" w:firstRow="0" w:lastRow="0" w:firstColumn="0" w:lastColumn="0" w:oddVBand="0" w:evenVBand="1" w:oddHBand="0" w:evenHBand="0" w:firstRowFirstColumn="0" w:firstRowLastColumn="0" w:lastRowFirstColumn="0" w:lastRowLastColumn="0"/>
            <w:tcW w:w="1077" w:type="dxa"/>
          </w:tcPr>
          <w:p w14:paraId="4FC48A92" w14:textId="77777777" w:rsidR="00AE4C75" w:rsidRPr="00D6403A" w:rsidRDefault="00AE4C75" w:rsidP="00AE4C75">
            <w:pPr>
              <w:pStyle w:val="Tabletext"/>
              <w:rPr>
                <w:lang w:val="en-US"/>
              </w:rPr>
            </w:pPr>
            <w:r w:rsidRPr="00D6403A">
              <w:rPr>
                <w:lang w:val="en-US"/>
              </w:rPr>
              <w:t>17.2%</w:t>
            </w:r>
          </w:p>
        </w:tc>
        <w:tc>
          <w:tcPr>
            <w:cnfStyle w:val="000010000000" w:firstRow="0" w:lastRow="0" w:firstColumn="0" w:lastColumn="0" w:oddVBand="1" w:evenVBand="0" w:oddHBand="0" w:evenHBand="0" w:firstRowFirstColumn="0" w:firstRowLastColumn="0" w:lastRowFirstColumn="0" w:lastRowLastColumn="0"/>
            <w:tcW w:w="1078" w:type="dxa"/>
          </w:tcPr>
          <w:p w14:paraId="4204F0E2" w14:textId="77777777" w:rsidR="00AE4C75" w:rsidRPr="00D6403A" w:rsidRDefault="00AE4C75" w:rsidP="00AE4C75">
            <w:pPr>
              <w:pStyle w:val="Tabletext"/>
              <w:rPr>
                <w:lang w:val="en-US"/>
              </w:rPr>
            </w:pPr>
            <w:r w:rsidRPr="00D6403A">
              <w:rPr>
                <w:lang w:val="en-US"/>
              </w:rPr>
              <w:t>23.5%</w:t>
            </w:r>
          </w:p>
        </w:tc>
        <w:tc>
          <w:tcPr>
            <w:cnfStyle w:val="000001000000" w:firstRow="0" w:lastRow="0" w:firstColumn="0" w:lastColumn="0" w:oddVBand="0" w:evenVBand="1" w:oddHBand="0" w:evenHBand="0" w:firstRowFirstColumn="0" w:firstRowLastColumn="0" w:lastRowFirstColumn="0" w:lastRowLastColumn="0"/>
            <w:tcW w:w="1190" w:type="dxa"/>
          </w:tcPr>
          <w:p w14:paraId="5299F2E1" w14:textId="77777777" w:rsidR="00AE4C75" w:rsidRPr="00D6403A" w:rsidRDefault="00AE4C75" w:rsidP="00AE4C75">
            <w:pPr>
              <w:pStyle w:val="Tabletext"/>
              <w:rPr>
                <w:lang w:val="en-US"/>
              </w:rPr>
            </w:pPr>
            <w:r w:rsidRPr="00D6403A">
              <w:rPr>
                <w:lang w:val="en-US"/>
              </w:rPr>
              <w:t>26.8%</w:t>
            </w:r>
          </w:p>
        </w:tc>
        <w:tc>
          <w:tcPr>
            <w:cnfStyle w:val="000010000000" w:firstRow="0" w:lastRow="0" w:firstColumn="0" w:lastColumn="0" w:oddVBand="1" w:evenVBand="0" w:oddHBand="0" w:evenHBand="0" w:firstRowFirstColumn="0" w:firstRowLastColumn="0" w:lastRowFirstColumn="0" w:lastRowLastColumn="0"/>
            <w:tcW w:w="1191" w:type="dxa"/>
          </w:tcPr>
          <w:p w14:paraId="77078757" w14:textId="77777777" w:rsidR="00AE4C75" w:rsidRPr="00D6403A" w:rsidRDefault="00AE4C75" w:rsidP="00AE4C75">
            <w:pPr>
              <w:pStyle w:val="Tabletext"/>
              <w:rPr>
                <w:lang w:val="en-US"/>
              </w:rPr>
            </w:pPr>
            <w:r w:rsidRPr="00D6403A">
              <w:rPr>
                <w:lang w:val="en-US"/>
              </w:rPr>
              <w:t>15.3%</w:t>
            </w:r>
          </w:p>
        </w:tc>
      </w:tr>
      <w:tr w:rsidR="00AE4C75" w:rsidRPr="00D6403A" w14:paraId="6CB9C6CB"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52AA5545" w14:textId="2A25D193" w:rsidR="00AE4C75" w:rsidRPr="00AE4C75" w:rsidRDefault="00AE4C75" w:rsidP="00AE4C75">
            <w:pPr>
              <w:pStyle w:val="Tabletext"/>
              <w:jc w:val="left"/>
              <w:rPr>
                <w:rFonts w:ascii="VIC" w:hAnsi="VIC" w:cs="VIC"/>
                <w:b/>
                <w:color w:val="000000"/>
                <w:lang w:val="en-US"/>
              </w:rPr>
            </w:pPr>
            <w:r w:rsidRPr="00AE4C75">
              <w:rPr>
                <w:b/>
                <w:lang w:val="en-US"/>
              </w:rPr>
              <w:t>1bii</w:t>
            </w:r>
            <w:r>
              <w:rPr>
                <w:rFonts w:ascii="VIC" w:hAnsi="VIC" w:cs="VIC"/>
                <w:b/>
                <w:color w:val="000000"/>
                <w:lang w:val="en-US"/>
              </w:rPr>
              <w:t xml:space="preserve"> </w:t>
            </w:r>
            <w:r w:rsidRPr="00AE4C75">
              <w:t>Rate of caesarean section in</w:t>
            </w:r>
            <w:r w:rsidRPr="00D6403A">
              <w:rPr>
                <w:rFonts w:ascii="Cambria" w:hAnsi="Cambria" w:cs="Cambria"/>
                <w:lang w:val="en-US"/>
              </w:rPr>
              <w:t> </w:t>
            </w:r>
            <w:r w:rsidRPr="00D6403A">
              <w:rPr>
                <w:lang w:val="en-US"/>
              </w:rPr>
              <w:t>modified Robson group 2</w:t>
            </w:r>
          </w:p>
        </w:tc>
        <w:tc>
          <w:tcPr>
            <w:cnfStyle w:val="000001000000" w:firstRow="0" w:lastRow="0" w:firstColumn="0" w:lastColumn="0" w:oddVBand="0" w:evenVBand="1" w:oddHBand="0" w:evenHBand="0" w:firstRowFirstColumn="0" w:firstRowLastColumn="0" w:lastRowFirstColumn="0" w:lastRowLastColumn="0"/>
            <w:tcW w:w="1077" w:type="dxa"/>
          </w:tcPr>
          <w:p w14:paraId="6B961D38" w14:textId="77777777" w:rsidR="00AE4C75" w:rsidRPr="00D6403A" w:rsidRDefault="00AE4C75" w:rsidP="00AE4C75">
            <w:pPr>
              <w:pStyle w:val="Tabletext"/>
              <w:rPr>
                <w:lang w:val="en-US"/>
              </w:rPr>
            </w:pPr>
            <w:r w:rsidRPr="00D6403A">
              <w:rPr>
                <w:lang w:val="en-US"/>
              </w:rPr>
              <w:t>32.3%</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78EBCF6C" w14:textId="77777777" w:rsidR="00AE4C75" w:rsidRPr="00D6403A" w:rsidRDefault="00AE4C75" w:rsidP="00AE4C75">
            <w:pPr>
              <w:pStyle w:val="Tabletext"/>
              <w:rPr>
                <w:lang w:val="en-US"/>
              </w:rPr>
            </w:pPr>
            <w:r w:rsidRPr="00D6403A">
              <w:rPr>
                <w:lang w:val="en-US"/>
              </w:rPr>
              <w:t>32.4%</w:t>
            </w:r>
          </w:p>
        </w:tc>
        <w:tc>
          <w:tcPr>
            <w:cnfStyle w:val="000001000000" w:firstRow="0" w:lastRow="0" w:firstColumn="0" w:lastColumn="0" w:oddVBand="0" w:evenVBand="1" w:oddHBand="0" w:evenHBand="0" w:firstRowFirstColumn="0" w:firstRowLastColumn="0" w:lastRowFirstColumn="0" w:lastRowLastColumn="0"/>
            <w:tcW w:w="1077" w:type="dxa"/>
          </w:tcPr>
          <w:p w14:paraId="09815999" w14:textId="77777777" w:rsidR="00AE4C75" w:rsidRPr="00D6403A" w:rsidRDefault="00AE4C75" w:rsidP="00AE4C75">
            <w:pPr>
              <w:pStyle w:val="Tabletext"/>
              <w:rPr>
                <w:lang w:val="en-US"/>
              </w:rPr>
            </w:pPr>
            <w:r w:rsidRPr="00D6403A">
              <w:rPr>
                <w:lang w:val="en-US"/>
              </w:rPr>
              <w:t>32.4%</w:t>
            </w:r>
          </w:p>
        </w:tc>
        <w:tc>
          <w:tcPr>
            <w:cnfStyle w:val="000010000000" w:firstRow="0" w:lastRow="0" w:firstColumn="0" w:lastColumn="0" w:oddVBand="1" w:evenVBand="0" w:oddHBand="0" w:evenHBand="0" w:firstRowFirstColumn="0" w:firstRowLastColumn="0" w:lastRowFirstColumn="0" w:lastRowLastColumn="0"/>
            <w:tcW w:w="1078" w:type="dxa"/>
          </w:tcPr>
          <w:p w14:paraId="425703B2" w14:textId="77777777" w:rsidR="00AE4C75" w:rsidRPr="00D6403A" w:rsidRDefault="00AE4C75" w:rsidP="00AE4C75">
            <w:pPr>
              <w:pStyle w:val="Tabletext"/>
              <w:rPr>
                <w:lang w:val="en-US"/>
              </w:rPr>
            </w:pPr>
            <w:r w:rsidRPr="00D6403A">
              <w:rPr>
                <w:lang w:val="en-US"/>
              </w:rPr>
              <w:t>32.6%</w:t>
            </w:r>
          </w:p>
        </w:tc>
        <w:tc>
          <w:tcPr>
            <w:cnfStyle w:val="000001000000" w:firstRow="0" w:lastRow="0" w:firstColumn="0" w:lastColumn="0" w:oddVBand="0" w:evenVBand="1" w:oddHBand="0" w:evenHBand="0" w:firstRowFirstColumn="0" w:firstRowLastColumn="0" w:lastRowFirstColumn="0" w:lastRowLastColumn="0"/>
            <w:tcW w:w="1190" w:type="dxa"/>
          </w:tcPr>
          <w:p w14:paraId="1F359796" w14:textId="77777777" w:rsidR="00AE4C75" w:rsidRPr="00D6403A" w:rsidRDefault="00AE4C75" w:rsidP="00AE4C75">
            <w:pPr>
              <w:pStyle w:val="Tabletext"/>
              <w:rPr>
                <w:lang w:val="en-US"/>
              </w:rPr>
            </w:pPr>
            <w:r w:rsidRPr="00D6403A">
              <w:rPr>
                <w:lang w:val="en-US"/>
              </w:rPr>
              <w:t>41.6%</w:t>
            </w:r>
          </w:p>
        </w:tc>
        <w:tc>
          <w:tcPr>
            <w:cnfStyle w:val="000010000000" w:firstRow="0" w:lastRow="0" w:firstColumn="0" w:lastColumn="0" w:oddVBand="1" w:evenVBand="0" w:oddHBand="0" w:evenHBand="0" w:firstRowFirstColumn="0" w:firstRowLastColumn="0" w:lastRowFirstColumn="0" w:lastRowLastColumn="0"/>
            <w:tcW w:w="1191" w:type="dxa"/>
          </w:tcPr>
          <w:p w14:paraId="660519C0" w14:textId="77777777" w:rsidR="00AE4C75" w:rsidRPr="00D6403A" w:rsidRDefault="00AE4C75" w:rsidP="00AE4C75">
            <w:pPr>
              <w:pStyle w:val="Tabletext"/>
              <w:rPr>
                <w:lang w:val="en-US"/>
              </w:rPr>
            </w:pPr>
            <w:r w:rsidRPr="00D6403A">
              <w:rPr>
                <w:lang w:val="en-US"/>
              </w:rPr>
              <w:t>29.7%</w:t>
            </w:r>
          </w:p>
        </w:tc>
      </w:tr>
      <w:tr w:rsidR="00AE4C75" w:rsidRPr="00D6403A" w14:paraId="2F74EEDB"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2A7655F1" w14:textId="1D8DCA7C" w:rsidR="00AE4C75" w:rsidRPr="00AE4C75" w:rsidRDefault="00AE4C75" w:rsidP="00AE4C75">
            <w:pPr>
              <w:pStyle w:val="Tabletext"/>
              <w:jc w:val="left"/>
              <w:rPr>
                <w:rFonts w:ascii="VIC" w:hAnsi="VIC" w:cs="VIC"/>
                <w:b/>
                <w:color w:val="000000"/>
                <w:lang w:val="en-US"/>
              </w:rPr>
            </w:pPr>
            <w:r w:rsidRPr="00AE4C75">
              <w:rPr>
                <w:b/>
                <w:lang w:val="en-US"/>
              </w:rPr>
              <w:t>1ci</w:t>
            </w:r>
            <w:r>
              <w:rPr>
                <w:rFonts w:ascii="VIC" w:hAnsi="VIC" w:cs="VIC"/>
                <w:b/>
                <w:color w:val="000000"/>
                <w:lang w:val="en-US"/>
              </w:rPr>
              <w:t xml:space="preserve"> </w:t>
            </w:r>
            <w:r w:rsidRPr="00D6403A">
              <w:rPr>
                <w:lang w:val="en-US"/>
              </w:rPr>
              <w:t>Rate of third and fourth-degree perineal tears during unassisted vaginal births to primiparae</w:t>
            </w:r>
          </w:p>
        </w:tc>
        <w:tc>
          <w:tcPr>
            <w:cnfStyle w:val="000001000000" w:firstRow="0" w:lastRow="0" w:firstColumn="0" w:lastColumn="0" w:oddVBand="0" w:evenVBand="1" w:oddHBand="0" w:evenHBand="0" w:firstRowFirstColumn="0" w:firstRowLastColumn="0" w:lastRowFirstColumn="0" w:lastRowLastColumn="0"/>
            <w:tcW w:w="1077" w:type="dxa"/>
          </w:tcPr>
          <w:p w14:paraId="18CBBBB2" w14:textId="77777777" w:rsidR="00AE4C75" w:rsidRPr="00D6403A" w:rsidRDefault="00AE4C75" w:rsidP="00AE4C75">
            <w:pPr>
              <w:pStyle w:val="Tabletext"/>
              <w:rPr>
                <w:lang w:val="en-US"/>
              </w:rPr>
            </w:pPr>
            <w:r w:rsidRPr="00D6403A">
              <w:rPr>
                <w:lang w:val="en-US"/>
              </w:rPr>
              <w:t>3.7%</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5AEC5788" w14:textId="77777777" w:rsidR="00AE4C75" w:rsidRPr="00D6403A" w:rsidRDefault="00AE4C75" w:rsidP="00AE4C75">
            <w:pPr>
              <w:pStyle w:val="Tabletext"/>
              <w:rPr>
                <w:lang w:val="en-US"/>
              </w:rPr>
            </w:pPr>
            <w:r w:rsidRPr="00D6403A">
              <w:rPr>
                <w:lang w:val="en-US"/>
              </w:rPr>
              <w:t>4.0%</w:t>
            </w:r>
          </w:p>
        </w:tc>
        <w:tc>
          <w:tcPr>
            <w:cnfStyle w:val="000001000000" w:firstRow="0" w:lastRow="0" w:firstColumn="0" w:lastColumn="0" w:oddVBand="0" w:evenVBand="1" w:oddHBand="0" w:evenHBand="0" w:firstRowFirstColumn="0" w:firstRowLastColumn="0" w:lastRowFirstColumn="0" w:lastRowLastColumn="0"/>
            <w:tcW w:w="1077" w:type="dxa"/>
          </w:tcPr>
          <w:p w14:paraId="37E6DB44" w14:textId="77777777" w:rsidR="00AE4C75" w:rsidRPr="00D6403A" w:rsidRDefault="00AE4C75" w:rsidP="00AE4C75">
            <w:pPr>
              <w:pStyle w:val="Tabletext"/>
              <w:rPr>
                <w:lang w:val="en-US"/>
              </w:rPr>
            </w:pPr>
            <w:r w:rsidRPr="00D6403A">
              <w:rPr>
                <w:lang w:val="en-US"/>
              </w:rPr>
              <w:t>4.6%</w:t>
            </w:r>
          </w:p>
        </w:tc>
        <w:tc>
          <w:tcPr>
            <w:cnfStyle w:val="000010000000" w:firstRow="0" w:lastRow="0" w:firstColumn="0" w:lastColumn="0" w:oddVBand="1" w:evenVBand="0" w:oddHBand="0" w:evenHBand="0" w:firstRowFirstColumn="0" w:firstRowLastColumn="0" w:lastRowFirstColumn="0" w:lastRowLastColumn="0"/>
            <w:tcW w:w="1078" w:type="dxa"/>
          </w:tcPr>
          <w:p w14:paraId="2E7697E5" w14:textId="77777777" w:rsidR="00AE4C75" w:rsidRPr="00D6403A" w:rsidRDefault="00AE4C75" w:rsidP="00AE4C75">
            <w:pPr>
              <w:pStyle w:val="Tabletext"/>
              <w:rPr>
                <w:lang w:val="en-US"/>
              </w:rPr>
            </w:pPr>
            <w:r w:rsidRPr="00D6403A">
              <w:rPr>
                <w:lang w:val="en-US"/>
              </w:rPr>
              <w:t>1.1%</w:t>
            </w:r>
          </w:p>
        </w:tc>
        <w:tc>
          <w:tcPr>
            <w:cnfStyle w:val="000001000000" w:firstRow="0" w:lastRow="0" w:firstColumn="0" w:lastColumn="0" w:oddVBand="0" w:evenVBand="1" w:oddHBand="0" w:evenHBand="0" w:firstRowFirstColumn="0" w:firstRowLastColumn="0" w:lastRowFirstColumn="0" w:lastRowLastColumn="0"/>
            <w:tcW w:w="1190" w:type="dxa"/>
          </w:tcPr>
          <w:p w14:paraId="16ADFE04" w14:textId="77777777" w:rsidR="00AE4C75" w:rsidRPr="00D6403A" w:rsidRDefault="00AE4C75" w:rsidP="00AE4C75">
            <w:pPr>
              <w:pStyle w:val="Tabletext"/>
              <w:rPr>
                <w:lang w:val="en-US"/>
              </w:rPr>
            </w:pPr>
            <w:r w:rsidRPr="00D6403A">
              <w:rPr>
                <w:lang w:val="en-US"/>
              </w:rPr>
              <w:t>5.2%</w:t>
            </w:r>
          </w:p>
        </w:tc>
        <w:tc>
          <w:tcPr>
            <w:cnfStyle w:val="000010000000" w:firstRow="0" w:lastRow="0" w:firstColumn="0" w:lastColumn="0" w:oddVBand="1" w:evenVBand="0" w:oddHBand="0" w:evenHBand="0" w:firstRowFirstColumn="0" w:firstRowLastColumn="0" w:lastRowFirstColumn="0" w:lastRowLastColumn="0"/>
            <w:tcW w:w="1191" w:type="dxa"/>
          </w:tcPr>
          <w:p w14:paraId="2BF6A06B" w14:textId="77777777" w:rsidR="00AE4C75" w:rsidRPr="00D6403A" w:rsidRDefault="00AE4C75" w:rsidP="00AE4C75">
            <w:pPr>
              <w:pStyle w:val="Tabletext"/>
              <w:rPr>
                <w:lang w:val="en-US"/>
              </w:rPr>
            </w:pPr>
            <w:r w:rsidRPr="00D6403A">
              <w:rPr>
                <w:lang w:val="en-US"/>
              </w:rPr>
              <w:t>0.9%</w:t>
            </w:r>
          </w:p>
        </w:tc>
      </w:tr>
      <w:tr w:rsidR="00AE4C75" w:rsidRPr="00D6403A" w14:paraId="61A80D8F"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689A6EBF" w14:textId="72BABE4A" w:rsidR="00AE4C75" w:rsidRPr="00AE4C75" w:rsidRDefault="00AE4C75" w:rsidP="00AE4C75">
            <w:pPr>
              <w:pStyle w:val="Tabletext"/>
              <w:jc w:val="left"/>
              <w:rPr>
                <w:rFonts w:ascii="VIC" w:hAnsi="VIC" w:cs="VIC"/>
                <w:b/>
                <w:color w:val="000000"/>
                <w:lang w:val="en-US"/>
              </w:rPr>
            </w:pPr>
            <w:r w:rsidRPr="00AE4C75">
              <w:rPr>
                <w:b/>
                <w:lang w:val="en-US"/>
              </w:rPr>
              <w:t>1cii</w:t>
            </w:r>
            <w:r>
              <w:rPr>
                <w:rFonts w:ascii="VIC" w:hAnsi="VIC" w:cs="VIC"/>
                <w:b/>
                <w:color w:val="000000"/>
                <w:lang w:val="en-US"/>
              </w:rPr>
              <w:t xml:space="preserve"> </w:t>
            </w:r>
            <w:r w:rsidRPr="00D6403A">
              <w:rPr>
                <w:lang w:val="en-US"/>
              </w:rPr>
              <w:t>Rate of third and fourth-degree perineal tears during assisted vaginal births to primiparae</w:t>
            </w:r>
          </w:p>
        </w:tc>
        <w:tc>
          <w:tcPr>
            <w:cnfStyle w:val="000001000000" w:firstRow="0" w:lastRow="0" w:firstColumn="0" w:lastColumn="0" w:oddVBand="0" w:evenVBand="1" w:oddHBand="0" w:evenHBand="0" w:firstRowFirstColumn="0" w:firstRowLastColumn="0" w:lastRowFirstColumn="0" w:lastRowLastColumn="0"/>
            <w:tcW w:w="1077" w:type="dxa"/>
          </w:tcPr>
          <w:p w14:paraId="0797736D" w14:textId="77777777" w:rsidR="00AE4C75" w:rsidRPr="00D6403A" w:rsidRDefault="00AE4C75" w:rsidP="00AE4C75">
            <w:pPr>
              <w:pStyle w:val="Tabletext"/>
              <w:rPr>
                <w:lang w:val="en-US"/>
              </w:rPr>
            </w:pPr>
            <w:r w:rsidRPr="00D6403A">
              <w:rPr>
                <w:lang w:val="en-US"/>
              </w:rPr>
              <w:t>5.4%</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5833CE80" w14:textId="77777777" w:rsidR="00AE4C75" w:rsidRPr="00D6403A" w:rsidRDefault="00AE4C75" w:rsidP="00AE4C75">
            <w:pPr>
              <w:pStyle w:val="Tabletext"/>
              <w:rPr>
                <w:lang w:val="en-US"/>
              </w:rPr>
            </w:pPr>
            <w:r w:rsidRPr="00D6403A">
              <w:rPr>
                <w:lang w:val="en-US"/>
              </w:rPr>
              <w:t>5.0%</w:t>
            </w:r>
          </w:p>
        </w:tc>
        <w:tc>
          <w:tcPr>
            <w:cnfStyle w:val="000001000000" w:firstRow="0" w:lastRow="0" w:firstColumn="0" w:lastColumn="0" w:oddVBand="0" w:evenVBand="1" w:oddHBand="0" w:evenHBand="0" w:firstRowFirstColumn="0" w:firstRowLastColumn="0" w:lastRowFirstColumn="0" w:lastRowLastColumn="0"/>
            <w:tcW w:w="1077" w:type="dxa"/>
          </w:tcPr>
          <w:p w14:paraId="5685DD4A" w14:textId="77777777" w:rsidR="00AE4C75" w:rsidRPr="00D6403A" w:rsidRDefault="00AE4C75" w:rsidP="00AE4C75">
            <w:pPr>
              <w:pStyle w:val="Tabletext"/>
              <w:rPr>
                <w:lang w:val="en-US"/>
              </w:rPr>
            </w:pPr>
            <w:r w:rsidRPr="00D6403A">
              <w:rPr>
                <w:lang w:val="en-US"/>
              </w:rPr>
              <w:t>5.8%</w:t>
            </w:r>
          </w:p>
        </w:tc>
        <w:tc>
          <w:tcPr>
            <w:cnfStyle w:val="000010000000" w:firstRow="0" w:lastRow="0" w:firstColumn="0" w:lastColumn="0" w:oddVBand="1" w:evenVBand="0" w:oddHBand="0" w:evenHBand="0" w:firstRowFirstColumn="0" w:firstRowLastColumn="0" w:lastRowFirstColumn="0" w:lastRowLastColumn="0"/>
            <w:tcW w:w="1078" w:type="dxa"/>
          </w:tcPr>
          <w:p w14:paraId="68874316" w14:textId="77777777" w:rsidR="00AE4C75" w:rsidRPr="00D6403A" w:rsidRDefault="00AE4C75" w:rsidP="00AE4C75">
            <w:pPr>
              <w:pStyle w:val="Tabletext"/>
              <w:rPr>
                <w:lang w:val="en-US"/>
              </w:rPr>
            </w:pPr>
            <w:r w:rsidRPr="00D6403A">
              <w:rPr>
                <w:lang w:val="en-US"/>
              </w:rPr>
              <w:t>2.7%</w:t>
            </w:r>
          </w:p>
        </w:tc>
        <w:tc>
          <w:tcPr>
            <w:cnfStyle w:val="000001000000" w:firstRow="0" w:lastRow="0" w:firstColumn="0" w:lastColumn="0" w:oddVBand="0" w:evenVBand="1" w:oddHBand="0" w:evenHBand="0" w:firstRowFirstColumn="0" w:firstRowLastColumn="0" w:lastRowFirstColumn="0" w:lastRowLastColumn="0"/>
            <w:tcW w:w="1190" w:type="dxa"/>
          </w:tcPr>
          <w:p w14:paraId="28258FB7" w14:textId="77777777" w:rsidR="00AE4C75" w:rsidRPr="00D6403A" w:rsidRDefault="00AE4C75" w:rsidP="00AE4C75">
            <w:pPr>
              <w:pStyle w:val="Tabletext"/>
              <w:rPr>
                <w:lang w:val="en-US"/>
              </w:rPr>
            </w:pPr>
            <w:r w:rsidRPr="00D6403A">
              <w:rPr>
                <w:lang w:val="en-US"/>
              </w:rPr>
              <w:t>6.6%</w:t>
            </w:r>
          </w:p>
        </w:tc>
        <w:tc>
          <w:tcPr>
            <w:cnfStyle w:val="000010000000" w:firstRow="0" w:lastRow="0" w:firstColumn="0" w:lastColumn="0" w:oddVBand="1" w:evenVBand="0" w:oddHBand="0" w:evenHBand="0" w:firstRowFirstColumn="0" w:firstRowLastColumn="0" w:lastRowFirstColumn="0" w:lastRowLastColumn="0"/>
            <w:tcW w:w="1191" w:type="dxa"/>
          </w:tcPr>
          <w:p w14:paraId="44072876" w14:textId="77777777" w:rsidR="00AE4C75" w:rsidRPr="00D6403A" w:rsidRDefault="00AE4C75" w:rsidP="00AE4C75">
            <w:pPr>
              <w:pStyle w:val="Tabletext"/>
              <w:rPr>
                <w:lang w:val="en-US"/>
              </w:rPr>
            </w:pPr>
            <w:r w:rsidRPr="00D6403A">
              <w:rPr>
                <w:lang w:val="en-US"/>
              </w:rPr>
              <w:t>2.8%</w:t>
            </w:r>
          </w:p>
        </w:tc>
      </w:tr>
      <w:tr w:rsidR="00AE4C75" w:rsidRPr="00D6403A" w14:paraId="625DEEE6"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7F9CEC93" w14:textId="232A3DAB" w:rsidR="00AE4C75" w:rsidRPr="005C596A" w:rsidRDefault="00AE4C75" w:rsidP="00AE4C75">
            <w:pPr>
              <w:pStyle w:val="Tabletext"/>
              <w:jc w:val="left"/>
              <w:rPr>
                <w:rFonts w:cstheme="minorHAnsi"/>
                <w:b/>
                <w:color w:val="000000"/>
                <w:lang w:val="en-US"/>
              </w:rPr>
            </w:pPr>
            <w:r w:rsidRPr="005C596A">
              <w:rPr>
                <w:rFonts w:cstheme="minorHAnsi"/>
                <w:b/>
                <w:lang w:val="en-US"/>
              </w:rPr>
              <w:lastRenderedPageBreak/>
              <w:t>1di</w:t>
            </w:r>
            <w:r w:rsidRPr="005C596A">
              <w:rPr>
                <w:rFonts w:cstheme="minorHAnsi"/>
                <w:b/>
                <w:color w:val="000000"/>
                <w:lang w:val="en-US"/>
              </w:rPr>
              <w:t xml:space="preserve"> </w:t>
            </w:r>
            <w:r w:rsidRPr="005C596A">
              <w:rPr>
                <w:rFonts w:cstheme="minorHAnsi"/>
                <w:lang w:val="en-US"/>
              </w:rPr>
              <w:t>Rate of primiparae who received an episiotomy during unassisted vaginal births</w:t>
            </w:r>
          </w:p>
        </w:tc>
        <w:tc>
          <w:tcPr>
            <w:cnfStyle w:val="000001000000" w:firstRow="0" w:lastRow="0" w:firstColumn="0" w:lastColumn="0" w:oddVBand="0" w:evenVBand="1" w:oddHBand="0" w:evenHBand="0" w:firstRowFirstColumn="0" w:firstRowLastColumn="0" w:lastRowFirstColumn="0" w:lastRowLastColumn="0"/>
            <w:tcW w:w="1077" w:type="dxa"/>
          </w:tcPr>
          <w:p w14:paraId="422CCE9F" w14:textId="77777777" w:rsidR="00AE4C75" w:rsidRPr="00D6403A" w:rsidRDefault="00AE4C75" w:rsidP="00AE4C75">
            <w:pPr>
              <w:pStyle w:val="Tabletext"/>
              <w:rPr>
                <w:lang w:val="en-US"/>
              </w:rPr>
            </w:pPr>
            <w:r w:rsidRPr="00D6403A">
              <w:rPr>
                <w:lang w:val="en-US"/>
              </w:rPr>
              <w:t>27.5%</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4BFF701E" w14:textId="77777777" w:rsidR="00AE4C75" w:rsidRPr="00D6403A" w:rsidRDefault="00AE4C75" w:rsidP="00AE4C75">
            <w:pPr>
              <w:pStyle w:val="Tabletext"/>
              <w:rPr>
                <w:lang w:val="en-US"/>
              </w:rPr>
            </w:pPr>
            <w:r w:rsidRPr="00D6403A">
              <w:rPr>
                <w:lang w:val="en-US"/>
              </w:rPr>
              <w:t>26.6%</w:t>
            </w:r>
          </w:p>
        </w:tc>
        <w:tc>
          <w:tcPr>
            <w:cnfStyle w:val="000001000000" w:firstRow="0" w:lastRow="0" w:firstColumn="0" w:lastColumn="0" w:oddVBand="0" w:evenVBand="1" w:oddHBand="0" w:evenHBand="0" w:firstRowFirstColumn="0" w:firstRowLastColumn="0" w:lastRowFirstColumn="0" w:lastRowLastColumn="0"/>
            <w:tcW w:w="1077" w:type="dxa"/>
          </w:tcPr>
          <w:p w14:paraId="217D1E3E" w14:textId="77777777" w:rsidR="00AE4C75" w:rsidRPr="00D6403A" w:rsidRDefault="00AE4C75" w:rsidP="00AE4C75">
            <w:pPr>
              <w:pStyle w:val="Tabletext"/>
              <w:rPr>
                <w:lang w:val="en-US"/>
              </w:rPr>
            </w:pPr>
            <w:r w:rsidRPr="00D6403A">
              <w:rPr>
                <w:lang w:val="en-US"/>
              </w:rPr>
              <w:t>26.2%</w:t>
            </w:r>
          </w:p>
        </w:tc>
        <w:tc>
          <w:tcPr>
            <w:cnfStyle w:val="000010000000" w:firstRow="0" w:lastRow="0" w:firstColumn="0" w:lastColumn="0" w:oddVBand="1" w:evenVBand="0" w:oddHBand="0" w:evenHBand="0" w:firstRowFirstColumn="0" w:firstRowLastColumn="0" w:lastRowFirstColumn="0" w:lastRowLastColumn="0"/>
            <w:tcW w:w="1078" w:type="dxa"/>
          </w:tcPr>
          <w:p w14:paraId="57FE0737" w14:textId="77777777" w:rsidR="00AE4C75" w:rsidRPr="00D6403A" w:rsidRDefault="00AE4C75" w:rsidP="00AE4C75">
            <w:pPr>
              <w:pStyle w:val="Tabletext"/>
              <w:rPr>
                <w:lang w:val="en-US"/>
              </w:rPr>
            </w:pPr>
            <w:r w:rsidRPr="00D6403A">
              <w:rPr>
                <w:lang w:val="en-US"/>
              </w:rPr>
              <w:t>30.3%</w:t>
            </w:r>
          </w:p>
        </w:tc>
        <w:tc>
          <w:tcPr>
            <w:cnfStyle w:val="000001000000" w:firstRow="0" w:lastRow="0" w:firstColumn="0" w:lastColumn="0" w:oddVBand="0" w:evenVBand="1" w:oddHBand="0" w:evenHBand="0" w:firstRowFirstColumn="0" w:firstRowLastColumn="0" w:lastRowFirstColumn="0" w:lastRowLastColumn="0"/>
            <w:tcW w:w="1190" w:type="dxa"/>
          </w:tcPr>
          <w:p w14:paraId="4767A8E3" w14:textId="77777777" w:rsidR="00AE4C75" w:rsidRPr="00D6403A" w:rsidRDefault="00AE4C75" w:rsidP="00AE4C75">
            <w:pPr>
              <w:pStyle w:val="Tabletext"/>
              <w:rPr>
                <w:lang w:val="en-US"/>
              </w:rPr>
            </w:pPr>
            <w:r w:rsidRPr="00D6403A">
              <w:rPr>
                <w:lang w:val="en-US"/>
              </w:rPr>
              <w:t>31.8%</w:t>
            </w:r>
          </w:p>
        </w:tc>
        <w:tc>
          <w:tcPr>
            <w:cnfStyle w:val="000010000000" w:firstRow="0" w:lastRow="0" w:firstColumn="0" w:lastColumn="0" w:oddVBand="1" w:evenVBand="0" w:oddHBand="0" w:evenHBand="0" w:firstRowFirstColumn="0" w:firstRowLastColumn="0" w:lastRowFirstColumn="0" w:lastRowLastColumn="0"/>
            <w:tcW w:w="1191" w:type="dxa"/>
          </w:tcPr>
          <w:p w14:paraId="6EC6F97C" w14:textId="77777777" w:rsidR="00AE4C75" w:rsidRPr="00D6403A" w:rsidRDefault="00AE4C75" w:rsidP="00AE4C75">
            <w:pPr>
              <w:pStyle w:val="Tabletext"/>
              <w:rPr>
                <w:lang w:val="en-US"/>
              </w:rPr>
            </w:pPr>
            <w:r w:rsidRPr="00D6403A">
              <w:rPr>
                <w:lang w:val="en-US"/>
              </w:rPr>
              <w:t>20.5%</w:t>
            </w:r>
          </w:p>
        </w:tc>
      </w:tr>
      <w:tr w:rsidR="00AE4C75" w:rsidRPr="00D6403A" w14:paraId="7D3697FE"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2A9C9EC6" w14:textId="6DD1B21D" w:rsidR="00AE4C75" w:rsidRPr="005C596A" w:rsidRDefault="00AE4C75" w:rsidP="00AE4C75">
            <w:pPr>
              <w:pStyle w:val="Tabletext"/>
              <w:jc w:val="left"/>
              <w:rPr>
                <w:rFonts w:cstheme="minorHAnsi"/>
                <w:b/>
                <w:color w:val="000000"/>
                <w:lang w:val="en-US"/>
              </w:rPr>
            </w:pPr>
            <w:r w:rsidRPr="005C596A">
              <w:rPr>
                <w:rFonts w:cstheme="minorHAnsi"/>
                <w:b/>
                <w:lang w:val="en-US"/>
              </w:rPr>
              <w:t>1dii</w:t>
            </w:r>
            <w:r w:rsidRPr="005C596A">
              <w:rPr>
                <w:rFonts w:cstheme="minorHAnsi"/>
                <w:b/>
                <w:color w:val="000000"/>
                <w:lang w:val="en-US"/>
              </w:rPr>
              <w:t xml:space="preserve"> </w:t>
            </w:r>
            <w:r w:rsidRPr="005C596A">
              <w:rPr>
                <w:rFonts w:cstheme="minorHAnsi"/>
                <w:lang w:val="en-US"/>
              </w:rPr>
              <w:t>Rate of primiparae who received an episiotomy during assisted vaginal births</w:t>
            </w:r>
          </w:p>
        </w:tc>
        <w:tc>
          <w:tcPr>
            <w:cnfStyle w:val="000001000000" w:firstRow="0" w:lastRow="0" w:firstColumn="0" w:lastColumn="0" w:oddVBand="0" w:evenVBand="1" w:oddHBand="0" w:evenHBand="0" w:firstRowFirstColumn="0" w:firstRowLastColumn="0" w:lastRowFirstColumn="0" w:lastRowLastColumn="0"/>
            <w:tcW w:w="1077" w:type="dxa"/>
          </w:tcPr>
          <w:p w14:paraId="5583E89F" w14:textId="77777777" w:rsidR="00AE4C75" w:rsidRPr="00D6403A" w:rsidRDefault="00AE4C75" w:rsidP="00AE4C75">
            <w:pPr>
              <w:pStyle w:val="Tabletext"/>
              <w:rPr>
                <w:lang w:val="en-US"/>
              </w:rPr>
            </w:pPr>
            <w:r w:rsidRPr="00D6403A">
              <w:rPr>
                <w:lang w:val="en-US"/>
              </w:rPr>
              <w:t>86.4%</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407FFBAC" w14:textId="77777777" w:rsidR="00AE4C75" w:rsidRPr="00D6403A" w:rsidRDefault="00AE4C75" w:rsidP="00AE4C75">
            <w:pPr>
              <w:pStyle w:val="Tabletext"/>
              <w:rPr>
                <w:lang w:val="en-US"/>
              </w:rPr>
            </w:pPr>
            <w:r w:rsidRPr="00D6403A">
              <w:rPr>
                <w:lang w:val="en-US"/>
              </w:rPr>
              <w:t>86.5%</w:t>
            </w:r>
          </w:p>
        </w:tc>
        <w:tc>
          <w:tcPr>
            <w:cnfStyle w:val="000001000000" w:firstRow="0" w:lastRow="0" w:firstColumn="0" w:lastColumn="0" w:oddVBand="0" w:evenVBand="1" w:oddHBand="0" w:evenHBand="0" w:firstRowFirstColumn="0" w:firstRowLastColumn="0" w:lastRowFirstColumn="0" w:lastRowLastColumn="0"/>
            <w:tcW w:w="1077" w:type="dxa"/>
          </w:tcPr>
          <w:p w14:paraId="08E6BC25" w14:textId="77777777" w:rsidR="00AE4C75" w:rsidRPr="00D6403A" w:rsidRDefault="00AE4C75" w:rsidP="00AE4C75">
            <w:pPr>
              <w:pStyle w:val="Tabletext"/>
              <w:rPr>
                <w:lang w:val="en-US"/>
              </w:rPr>
            </w:pPr>
            <w:r w:rsidRPr="00D6403A">
              <w:rPr>
                <w:lang w:val="en-US"/>
              </w:rPr>
              <w:t>91.2%</w:t>
            </w:r>
          </w:p>
        </w:tc>
        <w:tc>
          <w:tcPr>
            <w:cnfStyle w:val="000010000000" w:firstRow="0" w:lastRow="0" w:firstColumn="0" w:lastColumn="0" w:oddVBand="1" w:evenVBand="0" w:oddHBand="0" w:evenHBand="0" w:firstRowFirstColumn="0" w:firstRowLastColumn="0" w:lastRowFirstColumn="0" w:lastRowLastColumn="0"/>
            <w:tcW w:w="1078" w:type="dxa"/>
          </w:tcPr>
          <w:p w14:paraId="16CC95EF" w14:textId="77777777" w:rsidR="00AE4C75" w:rsidRPr="00D6403A" w:rsidRDefault="00AE4C75" w:rsidP="00AE4C75">
            <w:pPr>
              <w:pStyle w:val="Tabletext"/>
              <w:rPr>
                <w:lang w:val="en-US"/>
              </w:rPr>
            </w:pPr>
            <w:r w:rsidRPr="00D6403A">
              <w:rPr>
                <w:lang w:val="en-US"/>
              </w:rPr>
              <w:t>73.1%</w:t>
            </w:r>
          </w:p>
        </w:tc>
        <w:tc>
          <w:tcPr>
            <w:cnfStyle w:val="000001000000" w:firstRow="0" w:lastRow="0" w:firstColumn="0" w:lastColumn="0" w:oddVBand="0" w:evenVBand="1" w:oddHBand="0" w:evenHBand="0" w:firstRowFirstColumn="0" w:firstRowLastColumn="0" w:lastRowFirstColumn="0" w:lastRowLastColumn="0"/>
            <w:tcW w:w="1190" w:type="dxa"/>
          </w:tcPr>
          <w:p w14:paraId="41A0B808" w14:textId="77777777" w:rsidR="00AE4C75" w:rsidRPr="00D6403A" w:rsidRDefault="00AE4C75" w:rsidP="00AE4C75">
            <w:pPr>
              <w:pStyle w:val="Tabletext"/>
              <w:rPr>
                <w:lang w:val="en-US"/>
              </w:rPr>
            </w:pPr>
            <w:r w:rsidRPr="00D6403A">
              <w:rPr>
                <w:lang w:val="en-US"/>
              </w:rPr>
              <w:t>78.8%</w:t>
            </w:r>
          </w:p>
        </w:tc>
        <w:tc>
          <w:tcPr>
            <w:cnfStyle w:val="000010000000" w:firstRow="0" w:lastRow="0" w:firstColumn="0" w:lastColumn="0" w:oddVBand="1" w:evenVBand="0" w:oddHBand="0" w:evenHBand="0" w:firstRowFirstColumn="0" w:firstRowLastColumn="0" w:lastRowFirstColumn="0" w:lastRowLastColumn="0"/>
            <w:tcW w:w="1191" w:type="dxa"/>
          </w:tcPr>
          <w:p w14:paraId="4DC0EC50" w14:textId="77777777" w:rsidR="00AE4C75" w:rsidRPr="00D6403A" w:rsidRDefault="00AE4C75" w:rsidP="00AE4C75">
            <w:pPr>
              <w:pStyle w:val="Tabletext"/>
              <w:rPr>
                <w:lang w:val="en-US"/>
              </w:rPr>
            </w:pPr>
            <w:r w:rsidRPr="00D6403A">
              <w:rPr>
                <w:lang w:val="en-US"/>
              </w:rPr>
              <w:t>92.0%</w:t>
            </w:r>
          </w:p>
        </w:tc>
      </w:tr>
      <w:tr w:rsidR="00AE4C75" w:rsidRPr="00D6403A" w14:paraId="41ABE1A5"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582F8FF5" w14:textId="1D0E5E6A" w:rsidR="00AE4C75" w:rsidRPr="005C596A" w:rsidRDefault="00AE4C75" w:rsidP="00AE4C75">
            <w:pPr>
              <w:pStyle w:val="Tabletext"/>
              <w:jc w:val="left"/>
              <w:rPr>
                <w:rFonts w:cstheme="minorHAnsi"/>
                <w:b/>
                <w:color w:val="000000"/>
                <w:lang w:val="en-US"/>
              </w:rPr>
            </w:pPr>
            <w:r w:rsidRPr="005C596A">
              <w:rPr>
                <w:rFonts w:cstheme="minorHAnsi"/>
                <w:b/>
                <w:lang w:val="en-US"/>
              </w:rPr>
              <w:t xml:space="preserve">2 </w:t>
            </w:r>
            <w:r w:rsidRPr="005C596A">
              <w:rPr>
                <w:rFonts w:cstheme="minorHAnsi"/>
                <w:lang w:val="en-US"/>
              </w:rPr>
              <w:t>Rate of term babies without congenital anomalies who required additional care*</w:t>
            </w:r>
            <w:r w:rsidRPr="004B7BEA">
              <w:rPr>
                <w:rFonts w:cstheme="minorHAnsi"/>
                <w:vertAlign w:val="superscript"/>
                <w:lang w:val="en-US"/>
              </w:rPr>
              <w:t>†</w:t>
            </w:r>
          </w:p>
        </w:tc>
        <w:tc>
          <w:tcPr>
            <w:cnfStyle w:val="000001000000" w:firstRow="0" w:lastRow="0" w:firstColumn="0" w:lastColumn="0" w:oddVBand="0" w:evenVBand="1" w:oddHBand="0" w:evenHBand="0" w:firstRowFirstColumn="0" w:firstRowLastColumn="0" w:lastRowFirstColumn="0" w:lastRowLastColumn="0"/>
            <w:tcW w:w="1077" w:type="dxa"/>
          </w:tcPr>
          <w:p w14:paraId="33B29FA4" w14:textId="77777777" w:rsidR="00AE4C75" w:rsidRPr="00D6403A" w:rsidRDefault="00AE4C75" w:rsidP="00AE4C75">
            <w:pPr>
              <w:pStyle w:val="Tabletext"/>
              <w:rPr>
                <w:lang w:val="en-US"/>
              </w:rPr>
            </w:pPr>
            <w:r w:rsidRPr="00D6403A">
              <w:rPr>
                <w:lang w:val="en-US"/>
              </w:rPr>
              <w:t>11.7%*</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66A33729"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077" w:type="dxa"/>
          </w:tcPr>
          <w:p w14:paraId="1E87FEE8" w14:textId="77777777" w:rsidR="00AE4C75" w:rsidRPr="00D6403A" w:rsidRDefault="00AE4C75" w:rsidP="00AE4C75">
            <w:pPr>
              <w:pStyle w:val="Tabletext"/>
              <w:rPr>
                <w:lang w:val="en-US"/>
              </w:rPr>
            </w:pPr>
            <w:r w:rsidRPr="00D6403A">
              <w:rPr>
                <w:lang w:val="en-US"/>
              </w:rPr>
              <w:t>11.0%</w:t>
            </w:r>
          </w:p>
        </w:tc>
        <w:tc>
          <w:tcPr>
            <w:cnfStyle w:val="000010000000" w:firstRow="0" w:lastRow="0" w:firstColumn="0" w:lastColumn="0" w:oddVBand="1" w:evenVBand="0" w:oddHBand="0" w:evenHBand="0" w:firstRowFirstColumn="0" w:firstRowLastColumn="0" w:lastRowFirstColumn="0" w:lastRowLastColumn="0"/>
            <w:tcW w:w="1078" w:type="dxa"/>
          </w:tcPr>
          <w:p w14:paraId="624ACA0B"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190" w:type="dxa"/>
          </w:tcPr>
          <w:p w14:paraId="6A35F7F0" w14:textId="77777777" w:rsidR="00AE4C75" w:rsidRPr="00D6403A" w:rsidRDefault="00AE4C75" w:rsidP="00AE4C75">
            <w:pPr>
              <w:pStyle w:val="Tabletext"/>
              <w:rPr>
                <w:lang w:val="en-US"/>
              </w:rPr>
            </w:pPr>
            <w:r w:rsidRPr="00D6403A">
              <w:rPr>
                <w:lang w:val="en-US"/>
              </w:rPr>
              <w:t>12.4%</w:t>
            </w:r>
          </w:p>
        </w:tc>
        <w:tc>
          <w:tcPr>
            <w:cnfStyle w:val="000010000000" w:firstRow="0" w:lastRow="0" w:firstColumn="0" w:lastColumn="0" w:oddVBand="1" w:evenVBand="0" w:oddHBand="0" w:evenHBand="0" w:firstRowFirstColumn="0" w:firstRowLastColumn="0" w:lastRowFirstColumn="0" w:lastRowLastColumn="0"/>
            <w:tcW w:w="1191" w:type="dxa"/>
          </w:tcPr>
          <w:p w14:paraId="33759A44" w14:textId="77777777" w:rsidR="00AE4C75" w:rsidRPr="00D6403A" w:rsidRDefault="00AE4C75" w:rsidP="00AE4C75">
            <w:pPr>
              <w:pStyle w:val="Tabletext"/>
              <w:rPr>
                <w:lang w:val="en-US"/>
              </w:rPr>
            </w:pPr>
            <w:r w:rsidRPr="00D6403A">
              <w:rPr>
                <w:lang w:val="en-US"/>
              </w:rPr>
              <w:t>8.4%</w:t>
            </w:r>
          </w:p>
        </w:tc>
      </w:tr>
      <w:tr w:rsidR="00AE4C75" w:rsidRPr="00D6403A" w14:paraId="3F31EE2F"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5D46F643" w14:textId="51340AB3" w:rsidR="00AE4C75" w:rsidRPr="005C596A" w:rsidRDefault="00AE4C75" w:rsidP="00AE4C75">
            <w:pPr>
              <w:pStyle w:val="Tabletext"/>
              <w:jc w:val="left"/>
              <w:rPr>
                <w:rFonts w:cstheme="minorHAnsi"/>
                <w:b/>
                <w:color w:val="000000"/>
                <w:lang w:val="en-US"/>
              </w:rPr>
            </w:pPr>
            <w:r w:rsidRPr="005C596A">
              <w:rPr>
                <w:rFonts w:cstheme="minorHAnsi"/>
                <w:b/>
                <w:lang w:val="en-US"/>
              </w:rPr>
              <w:t>3a</w:t>
            </w:r>
            <w:r w:rsidRPr="005C596A">
              <w:rPr>
                <w:rFonts w:cstheme="minorHAnsi"/>
                <w:b/>
                <w:color w:val="000000"/>
                <w:lang w:val="en-US"/>
              </w:rPr>
              <w:t xml:space="preserve"> </w:t>
            </w:r>
            <w:r w:rsidRPr="005C596A">
              <w:rPr>
                <w:rFonts w:cstheme="minorHAnsi"/>
              </w:rPr>
              <w:t>Rate of severe fetal growth restriction in a singleton pregnancy undelivered by 40</w:t>
            </w:r>
            <w:r w:rsidRPr="005C596A">
              <w:rPr>
                <w:rFonts w:cstheme="minorHAnsi"/>
                <w:lang w:val="en-US"/>
              </w:rPr>
              <w:t xml:space="preserve"> weeks </w:t>
            </w:r>
          </w:p>
        </w:tc>
        <w:tc>
          <w:tcPr>
            <w:cnfStyle w:val="000001000000" w:firstRow="0" w:lastRow="0" w:firstColumn="0" w:lastColumn="0" w:oddVBand="0" w:evenVBand="1" w:oddHBand="0" w:evenHBand="0" w:firstRowFirstColumn="0" w:firstRowLastColumn="0" w:lastRowFirstColumn="0" w:lastRowLastColumn="0"/>
            <w:tcW w:w="1077" w:type="dxa"/>
          </w:tcPr>
          <w:p w14:paraId="066249AD" w14:textId="77777777" w:rsidR="00AE4C75" w:rsidRPr="00D6403A" w:rsidRDefault="00AE4C75" w:rsidP="00AE4C75">
            <w:pPr>
              <w:pStyle w:val="Tabletext"/>
              <w:rPr>
                <w:lang w:val="en-US"/>
              </w:rPr>
            </w:pPr>
            <w:r w:rsidRPr="00D6403A">
              <w:rPr>
                <w:lang w:val="en-US"/>
              </w:rPr>
              <w:t>20.8%</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03B12374" w14:textId="77777777" w:rsidR="00AE4C75" w:rsidRPr="00D6403A" w:rsidRDefault="00AE4C75" w:rsidP="00AE4C75">
            <w:pPr>
              <w:pStyle w:val="Tabletext"/>
              <w:rPr>
                <w:lang w:val="en-US"/>
              </w:rPr>
            </w:pPr>
            <w:r w:rsidRPr="00D6403A">
              <w:rPr>
                <w:lang w:val="en-US"/>
              </w:rPr>
              <w:t>20.0%</w:t>
            </w:r>
          </w:p>
        </w:tc>
        <w:tc>
          <w:tcPr>
            <w:cnfStyle w:val="000001000000" w:firstRow="0" w:lastRow="0" w:firstColumn="0" w:lastColumn="0" w:oddVBand="0" w:evenVBand="1" w:oddHBand="0" w:evenHBand="0" w:firstRowFirstColumn="0" w:firstRowLastColumn="0" w:lastRowFirstColumn="0" w:lastRowLastColumn="0"/>
            <w:tcW w:w="1077" w:type="dxa"/>
          </w:tcPr>
          <w:p w14:paraId="3DA9D60F" w14:textId="77777777" w:rsidR="00AE4C75" w:rsidRPr="00D6403A" w:rsidRDefault="00AE4C75" w:rsidP="00AE4C75">
            <w:pPr>
              <w:pStyle w:val="Tabletext"/>
              <w:rPr>
                <w:lang w:val="en-US"/>
              </w:rPr>
            </w:pPr>
            <w:r w:rsidRPr="00D6403A">
              <w:rPr>
                <w:lang w:val="en-US"/>
              </w:rPr>
              <w:t>20.6%</w:t>
            </w:r>
          </w:p>
        </w:tc>
        <w:tc>
          <w:tcPr>
            <w:cnfStyle w:val="000010000000" w:firstRow="0" w:lastRow="0" w:firstColumn="0" w:lastColumn="0" w:oddVBand="1" w:evenVBand="0" w:oddHBand="0" w:evenHBand="0" w:firstRowFirstColumn="0" w:firstRowLastColumn="0" w:lastRowFirstColumn="0" w:lastRowLastColumn="0"/>
            <w:tcW w:w="1078" w:type="dxa"/>
          </w:tcPr>
          <w:p w14:paraId="3785CAC7" w14:textId="77777777" w:rsidR="00AE4C75" w:rsidRPr="00D6403A" w:rsidRDefault="00AE4C75" w:rsidP="00AE4C75">
            <w:pPr>
              <w:pStyle w:val="Tabletext"/>
              <w:rPr>
                <w:lang w:val="en-US"/>
              </w:rPr>
            </w:pPr>
            <w:r w:rsidRPr="00D6403A">
              <w:rPr>
                <w:lang w:val="en-US"/>
              </w:rPr>
              <w:t>17.5%</w:t>
            </w:r>
          </w:p>
        </w:tc>
        <w:tc>
          <w:tcPr>
            <w:cnfStyle w:val="000001000000" w:firstRow="0" w:lastRow="0" w:firstColumn="0" w:lastColumn="0" w:oddVBand="0" w:evenVBand="1" w:oddHBand="0" w:evenHBand="0" w:firstRowFirstColumn="0" w:firstRowLastColumn="0" w:lastRowFirstColumn="0" w:lastRowLastColumn="0"/>
            <w:tcW w:w="1190" w:type="dxa"/>
          </w:tcPr>
          <w:p w14:paraId="22C0F927" w14:textId="77777777" w:rsidR="00AE4C75" w:rsidRPr="00D6403A" w:rsidRDefault="00AE4C75" w:rsidP="00AE4C75">
            <w:pPr>
              <w:pStyle w:val="Tabletext"/>
              <w:rPr>
                <w:lang w:val="en-US"/>
              </w:rPr>
            </w:pPr>
            <w:r w:rsidRPr="00D6403A">
              <w:rPr>
                <w:lang w:val="en-US"/>
              </w:rPr>
              <w:t>24.0%^</w:t>
            </w:r>
          </w:p>
        </w:tc>
        <w:tc>
          <w:tcPr>
            <w:cnfStyle w:val="000010000000" w:firstRow="0" w:lastRow="0" w:firstColumn="0" w:lastColumn="0" w:oddVBand="1" w:evenVBand="0" w:oddHBand="0" w:evenHBand="0" w:firstRowFirstColumn="0" w:firstRowLastColumn="0" w:lastRowFirstColumn="0" w:lastRowLastColumn="0"/>
            <w:tcW w:w="1191" w:type="dxa"/>
          </w:tcPr>
          <w:p w14:paraId="6023243C" w14:textId="77777777" w:rsidR="00AE4C75" w:rsidRPr="00D6403A" w:rsidRDefault="00AE4C75" w:rsidP="00AE4C75">
            <w:pPr>
              <w:pStyle w:val="Tabletext"/>
              <w:rPr>
                <w:lang w:val="en-US"/>
              </w:rPr>
            </w:pPr>
            <w:r w:rsidRPr="00D6403A">
              <w:rPr>
                <w:lang w:val="en-US"/>
              </w:rPr>
              <w:t>14.0%^</w:t>
            </w:r>
          </w:p>
        </w:tc>
      </w:tr>
      <w:tr w:rsidR="00AE4C75" w:rsidRPr="00D6403A" w14:paraId="595461F4"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71F4F722" w14:textId="396ADED8" w:rsidR="00AE4C75" w:rsidRPr="005C596A" w:rsidRDefault="00AE4C75" w:rsidP="00AE4C75">
            <w:pPr>
              <w:pStyle w:val="Tabletext"/>
              <w:jc w:val="left"/>
              <w:rPr>
                <w:rFonts w:cstheme="minorHAnsi"/>
                <w:b/>
                <w:color w:val="000000"/>
                <w:lang w:val="en-US"/>
              </w:rPr>
            </w:pPr>
            <w:r w:rsidRPr="005C596A">
              <w:rPr>
                <w:rFonts w:cstheme="minorHAnsi"/>
                <w:b/>
                <w:lang w:val="en-US"/>
              </w:rPr>
              <w:t>3b</w:t>
            </w:r>
            <w:r w:rsidRPr="005C596A">
              <w:rPr>
                <w:rFonts w:cstheme="minorHAnsi"/>
                <w:b/>
                <w:color w:val="000000"/>
                <w:lang w:val="en-US"/>
              </w:rPr>
              <w:t xml:space="preserve"> </w:t>
            </w:r>
            <w:r w:rsidRPr="005C596A">
              <w:rPr>
                <w:rFonts w:cstheme="minorHAnsi"/>
              </w:rPr>
              <w:t xml:space="preserve">Rate of babies with a birthweight above the 25th centile actively </w:t>
            </w:r>
            <w:r w:rsidRPr="005C596A">
              <w:rPr>
                <w:rFonts w:cstheme="minorHAnsi"/>
                <w:spacing w:val="-2"/>
                <w:lang w:val="en-US"/>
              </w:rPr>
              <w:t xml:space="preserve">delivered for fetal growth restriction </w:t>
            </w:r>
            <w:r w:rsidRPr="005C596A">
              <w:rPr>
                <w:rFonts w:cstheme="minorHAnsi"/>
                <w:lang w:val="en-US"/>
              </w:rPr>
              <w:t>before 39 weeks’ gestation</w:t>
            </w:r>
          </w:p>
        </w:tc>
        <w:tc>
          <w:tcPr>
            <w:cnfStyle w:val="000001000000" w:firstRow="0" w:lastRow="0" w:firstColumn="0" w:lastColumn="0" w:oddVBand="0" w:evenVBand="1" w:oddHBand="0" w:evenHBand="0" w:firstRowFirstColumn="0" w:firstRowLastColumn="0" w:lastRowFirstColumn="0" w:lastRowLastColumn="0"/>
            <w:tcW w:w="1077" w:type="dxa"/>
          </w:tcPr>
          <w:p w14:paraId="5DB9D4C0" w14:textId="77777777" w:rsidR="00AE4C75" w:rsidRPr="00D6403A" w:rsidRDefault="00AE4C75" w:rsidP="00AE4C75">
            <w:pPr>
              <w:pStyle w:val="Tabletext"/>
              <w:rPr>
                <w:lang w:val="en-US"/>
              </w:rPr>
            </w:pPr>
            <w:r w:rsidRPr="00D6403A">
              <w:rPr>
                <w:lang w:val="en-US"/>
              </w:rPr>
              <w:t>NA</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3D23BE44" w14:textId="77777777" w:rsidR="00AE4C75" w:rsidRPr="00D6403A" w:rsidRDefault="00AE4C75" w:rsidP="00AE4C75">
            <w:pPr>
              <w:pStyle w:val="Tabletext"/>
              <w:rPr>
                <w:lang w:val="en-US"/>
              </w:rPr>
            </w:pPr>
            <w:r w:rsidRPr="00D6403A">
              <w:rPr>
                <w:lang w:val="en-US"/>
              </w:rPr>
              <w:t>18.2%</w:t>
            </w:r>
          </w:p>
        </w:tc>
        <w:tc>
          <w:tcPr>
            <w:cnfStyle w:val="000001000000" w:firstRow="0" w:lastRow="0" w:firstColumn="0" w:lastColumn="0" w:oddVBand="0" w:evenVBand="1" w:oddHBand="0" w:evenHBand="0" w:firstRowFirstColumn="0" w:firstRowLastColumn="0" w:lastRowFirstColumn="0" w:lastRowLastColumn="0"/>
            <w:tcW w:w="1077" w:type="dxa"/>
          </w:tcPr>
          <w:p w14:paraId="1F46FB7D" w14:textId="77777777" w:rsidR="00AE4C75" w:rsidRPr="00D6403A" w:rsidRDefault="00AE4C75" w:rsidP="00AE4C75">
            <w:pPr>
              <w:pStyle w:val="Tabletext"/>
              <w:rPr>
                <w:lang w:val="en-US"/>
              </w:rPr>
            </w:pPr>
            <w:r w:rsidRPr="00D6403A">
              <w:rPr>
                <w:lang w:val="en-US"/>
              </w:rPr>
              <w:t>16.8%</w:t>
            </w:r>
          </w:p>
        </w:tc>
        <w:tc>
          <w:tcPr>
            <w:cnfStyle w:val="000010000000" w:firstRow="0" w:lastRow="0" w:firstColumn="0" w:lastColumn="0" w:oddVBand="1" w:evenVBand="0" w:oddHBand="0" w:evenHBand="0" w:firstRowFirstColumn="0" w:firstRowLastColumn="0" w:lastRowFirstColumn="0" w:lastRowLastColumn="0"/>
            <w:tcW w:w="1078" w:type="dxa"/>
          </w:tcPr>
          <w:p w14:paraId="012ABA83" w14:textId="77777777" w:rsidR="00AE4C75" w:rsidRPr="00D6403A" w:rsidRDefault="00AE4C75" w:rsidP="00AE4C75">
            <w:pPr>
              <w:pStyle w:val="Tabletext"/>
              <w:rPr>
                <w:lang w:val="en-US"/>
              </w:rPr>
            </w:pPr>
            <w:r w:rsidRPr="00D6403A">
              <w:rPr>
                <w:lang w:val="en-US"/>
              </w:rPr>
              <w:t>22.1%</w:t>
            </w:r>
          </w:p>
        </w:tc>
        <w:tc>
          <w:tcPr>
            <w:cnfStyle w:val="000001000000" w:firstRow="0" w:lastRow="0" w:firstColumn="0" w:lastColumn="0" w:oddVBand="0" w:evenVBand="1" w:oddHBand="0" w:evenHBand="0" w:firstRowFirstColumn="0" w:firstRowLastColumn="0" w:lastRowFirstColumn="0" w:lastRowLastColumn="0"/>
            <w:tcW w:w="1190" w:type="dxa"/>
          </w:tcPr>
          <w:p w14:paraId="5F41EDBC" w14:textId="77777777" w:rsidR="00AE4C75" w:rsidRPr="00D6403A" w:rsidRDefault="00AE4C75" w:rsidP="00AE4C75">
            <w:pPr>
              <w:pStyle w:val="Tabletext"/>
              <w:rPr>
                <w:lang w:val="en-US"/>
              </w:rPr>
            </w:pPr>
            <w:r w:rsidRPr="00D6403A">
              <w:rPr>
                <w:lang w:val="en-US"/>
              </w:rPr>
              <w:t>24.2%</w:t>
            </w:r>
          </w:p>
        </w:tc>
        <w:tc>
          <w:tcPr>
            <w:cnfStyle w:val="000010000000" w:firstRow="0" w:lastRow="0" w:firstColumn="0" w:lastColumn="0" w:oddVBand="1" w:evenVBand="0" w:oddHBand="0" w:evenHBand="0" w:firstRowFirstColumn="0" w:firstRowLastColumn="0" w:lastRowFirstColumn="0" w:lastRowLastColumn="0"/>
            <w:tcW w:w="1191" w:type="dxa"/>
          </w:tcPr>
          <w:p w14:paraId="7F4A1D56" w14:textId="77777777" w:rsidR="00AE4C75" w:rsidRPr="00D6403A" w:rsidRDefault="00AE4C75" w:rsidP="00AE4C75">
            <w:pPr>
              <w:pStyle w:val="Tabletext"/>
              <w:rPr>
                <w:lang w:val="en-US"/>
              </w:rPr>
            </w:pPr>
            <w:r w:rsidRPr="00D6403A">
              <w:rPr>
                <w:lang w:val="en-US"/>
              </w:rPr>
              <w:t>12.0%</w:t>
            </w:r>
          </w:p>
        </w:tc>
      </w:tr>
      <w:tr w:rsidR="00AE4C75" w:rsidRPr="00D6403A" w14:paraId="494A0B94"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21BCD390" w14:textId="27F1890A" w:rsidR="00AE4C75" w:rsidRPr="005C596A" w:rsidRDefault="00AE4C75" w:rsidP="00AE4C75">
            <w:pPr>
              <w:pStyle w:val="Tabletext"/>
              <w:jc w:val="left"/>
              <w:rPr>
                <w:rFonts w:cstheme="minorHAnsi"/>
                <w:b/>
                <w:color w:val="000000"/>
                <w:lang w:val="en-US"/>
              </w:rPr>
            </w:pPr>
            <w:r w:rsidRPr="005C596A">
              <w:rPr>
                <w:rFonts w:cstheme="minorHAnsi"/>
                <w:b/>
                <w:lang w:val="en-US"/>
              </w:rPr>
              <w:t>4a</w:t>
            </w:r>
            <w:r w:rsidRPr="005C596A">
              <w:rPr>
                <w:rFonts w:cstheme="minorHAnsi"/>
                <w:b/>
                <w:color w:val="000000"/>
                <w:lang w:val="en-US"/>
              </w:rPr>
              <w:t xml:space="preserve"> </w:t>
            </w:r>
            <w:r w:rsidRPr="005C596A">
              <w:rPr>
                <w:rFonts w:cstheme="minorHAnsi"/>
              </w:rPr>
              <w:t>Rate of women who planned a</w:t>
            </w:r>
            <w:r w:rsidRPr="005C596A">
              <w:rPr>
                <w:rFonts w:cstheme="minorHAnsi"/>
                <w:lang w:val="en-US"/>
              </w:rPr>
              <w:t> vaginal birth after a primary caesarean section</w:t>
            </w:r>
          </w:p>
        </w:tc>
        <w:tc>
          <w:tcPr>
            <w:cnfStyle w:val="000001000000" w:firstRow="0" w:lastRow="0" w:firstColumn="0" w:lastColumn="0" w:oddVBand="0" w:evenVBand="1" w:oddHBand="0" w:evenHBand="0" w:firstRowFirstColumn="0" w:firstRowLastColumn="0" w:lastRowFirstColumn="0" w:lastRowLastColumn="0"/>
            <w:tcW w:w="1077" w:type="dxa"/>
          </w:tcPr>
          <w:p w14:paraId="640CF754" w14:textId="77777777" w:rsidR="00AE4C75" w:rsidRPr="00D6403A" w:rsidRDefault="00AE4C75" w:rsidP="00AE4C75">
            <w:pPr>
              <w:pStyle w:val="Tabletext"/>
              <w:rPr>
                <w:lang w:val="en-US"/>
              </w:rPr>
            </w:pPr>
            <w:r w:rsidRPr="00D6403A">
              <w:rPr>
                <w:lang w:val="en-US"/>
              </w:rPr>
              <w:t>22.9%</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60793E4F" w14:textId="77777777" w:rsidR="00AE4C75" w:rsidRPr="00D6403A" w:rsidRDefault="00AE4C75" w:rsidP="00AE4C75">
            <w:pPr>
              <w:pStyle w:val="Tabletext"/>
              <w:rPr>
                <w:lang w:val="en-US"/>
              </w:rPr>
            </w:pPr>
            <w:r w:rsidRPr="00D6403A">
              <w:rPr>
                <w:lang w:val="en-US"/>
              </w:rPr>
              <w:t>21.5%</w:t>
            </w:r>
          </w:p>
        </w:tc>
        <w:tc>
          <w:tcPr>
            <w:cnfStyle w:val="000001000000" w:firstRow="0" w:lastRow="0" w:firstColumn="0" w:lastColumn="0" w:oddVBand="0" w:evenVBand="1" w:oddHBand="0" w:evenHBand="0" w:firstRowFirstColumn="0" w:firstRowLastColumn="0" w:lastRowFirstColumn="0" w:lastRowLastColumn="0"/>
            <w:tcW w:w="1077" w:type="dxa"/>
          </w:tcPr>
          <w:p w14:paraId="26585303" w14:textId="77777777" w:rsidR="00AE4C75" w:rsidRPr="00D6403A" w:rsidRDefault="00AE4C75" w:rsidP="00AE4C75">
            <w:pPr>
              <w:pStyle w:val="Tabletext"/>
              <w:rPr>
                <w:lang w:val="en-US"/>
              </w:rPr>
            </w:pPr>
            <w:r w:rsidRPr="00D6403A">
              <w:rPr>
                <w:lang w:val="en-US"/>
              </w:rPr>
              <w:t>26.0%</w:t>
            </w:r>
          </w:p>
        </w:tc>
        <w:tc>
          <w:tcPr>
            <w:cnfStyle w:val="000010000000" w:firstRow="0" w:lastRow="0" w:firstColumn="0" w:lastColumn="0" w:oddVBand="1" w:evenVBand="0" w:oddHBand="0" w:evenHBand="0" w:firstRowFirstColumn="0" w:firstRowLastColumn="0" w:lastRowFirstColumn="0" w:lastRowLastColumn="0"/>
            <w:tcW w:w="1078" w:type="dxa"/>
          </w:tcPr>
          <w:p w14:paraId="25756CAA" w14:textId="77777777" w:rsidR="00AE4C75" w:rsidRPr="00D6403A" w:rsidRDefault="00AE4C75" w:rsidP="00AE4C75">
            <w:pPr>
              <w:pStyle w:val="Tabletext"/>
              <w:rPr>
                <w:lang w:val="en-US"/>
              </w:rPr>
            </w:pPr>
            <w:r w:rsidRPr="00D6403A">
              <w:rPr>
                <w:lang w:val="en-US"/>
              </w:rPr>
              <w:t>11.3%</w:t>
            </w:r>
          </w:p>
        </w:tc>
        <w:tc>
          <w:tcPr>
            <w:cnfStyle w:val="000001000000" w:firstRow="0" w:lastRow="0" w:firstColumn="0" w:lastColumn="0" w:oddVBand="0" w:evenVBand="1" w:oddHBand="0" w:evenHBand="0" w:firstRowFirstColumn="0" w:firstRowLastColumn="0" w:lastRowFirstColumn="0" w:lastRowLastColumn="0"/>
            <w:tcW w:w="1190" w:type="dxa"/>
          </w:tcPr>
          <w:p w14:paraId="24D66FAE" w14:textId="77777777" w:rsidR="00AE4C75" w:rsidRPr="00D6403A" w:rsidRDefault="00AE4C75" w:rsidP="00AE4C75">
            <w:pPr>
              <w:pStyle w:val="Tabletext"/>
              <w:rPr>
                <w:lang w:val="en-US"/>
              </w:rPr>
            </w:pPr>
            <w:r w:rsidRPr="00D6403A">
              <w:rPr>
                <w:lang w:val="en-US"/>
              </w:rPr>
              <w:t>13.9%</w:t>
            </w:r>
          </w:p>
        </w:tc>
        <w:tc>
          <w:tcPr>
            <w:cnfStyle w:val="000010000000" w:firstRow="0" w:lastRow="0" w:firstColumn="0" w:lastColumn="0" w:oddVBand="1" w:evenVBand="0" w:oddHBand="0" w:evenHBand="0" w:firstRowFirstColumn="0" w:firstRowLastColumn="0" w:lastRowFirstColumn="0" w:lastRowLastColumn="0"/>
            <w:tcW w:w="1191" w:type="dxa"/>
          </w:tcPr>
          <w:p w14:paraId="51872959" w14:textId="77777777" w:rsidR="00AE4C75" w:rsidRPr="00D6403A" w:rsidRDefault="00AE4C75" w:rsidP="00AE4C75">
            <w:pPr>
              <w:pStyle w:val="Tabletext"/>
              <w:rPr>
                <w:lang w:val="en-US"/>
              </w:rPr>
            </w:pPr>
            <w:r w:rsidRPr="00D6403A">
              <w:rPr>
                <w:lang w:val="en-US"/>
              </w:rPr>
              <w:t>27.5%</w:t>
            </w:r>
          </w:p>
        </w:tc>
      </w:tr>
      <w:tr w:rsidR="00AE4C75" w:rsidRPr="00D6403A" w14:paraId="105EBC8F"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173FB66B" w14:textId="4C79F6CF" w:rsidR="00AE4C75" w:rsidRPr="005C596A" w:rsidRDefault="00AE4C75" w:rsidP="00AE4C75">
            <w:pPr>
              <w:pStyle w:val="Tabletext"/>
              <w:jc w:val="left"/>
              <w:rPr>
                <w:rFonts w:cstheme="minorHAnsi"/>
                <w:b/>
                <w:color w:val="000000"/>
                <w:lang w:val="en-US"/>
              </w:rPr>
            </w:pPr>
            <w:r w:rsidRPr="005C596A">
              <w:rPr>
                <w:rFonts w:cstheme="minorHAnsi"/>
                <w:b/>
                <w:lang w:val="en-US"/>
              </w:rPr>
              <w:t>4b</w:t>
            </w:r>
            <w:r w:rsidRPr="005C596A">
              <w:rPr>
                <w:rFonts w:cstheme="minorHAnsi"/>
                <w:b/>
                <w:color w:val="000000"/>
                <w:lang w:val="en-US"/>
              </w:rPr>
              <w:t xml:space="preserve"> </w:t>
            </w:r>
            <w:r w:rsidRPr="005C596A">
              <w:rPr>
                <w:rFonts w:cstheme="minorHAnsi"/>
              </w:rPr>
              <w:t>Rate of women who achieved a planned vaginal birth after a</w:t>
            </w:r>
            <w:r w:rsidRPr="005C596A">
              <w:rPr>
                <w:rFonts w:cstheme="minorHAnsi"/>
                <w:lang w:val="en-US"/>
              </w:rPr>
              <w:t> primary caesarean section</w:t>
            </w:r>
          </w:p>
        </w:tc>
        <w:tc>
          <w:tcPr>
            <w:cnfStyle w:val="000001000000" w:firstRow="0" w:lastRow="0" w:firstColumn="0" w:lastColumn="0" w:oddVBand="0" w:evenVBand="1" w:oddHBand="0" w:evenHBand="0" w:firstRowFirstColumn="0" w:firstRowLastColumn="0" w:lastRowFirstColumn="0" w:lastRowLastColumn="0"/>
            <w:tcW w:w="1077" w:type="dxa"/>
          </w:tcPr>
          <w:p w14:paraId="0245EB82" w14:textId="77777777" w:rsidR="00AE4C75" w:rsidRPr="00D6403A" w:rsidRDefault="00AE4C75" w:rsidP="00AE4C75">
            <w:pPr>
              <w:pStyle w:val="Tabletext"/>
              <w:rPr>
                <w:lang w:val="en-US"/>
              </w:rPr>
            </w:pPr>
            <w:r w:rsidRPr="00D6403A">
              <w:rPr>
                <w:lang w:val="en-US"/>
              </w:rPr>
              <w:t>52.2%</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4F689C63" w14:textId="77777777" w:rsidR="00AE4C75" w:rsidRPr="00D6403A" w:rsidRDefault="00AE4C75" w:rsidP="00AE4C75">
            <w:pPr>
              <w:pStyle w:val="Tabletext"/>
              <w:rPr>
                <w:lang w:val="en-US"/>
              </w:rPr>
            </w:pPr>
            <w:r w:rsidRPr="00D6403A">
              <w:rPr>
                <w:lang w:val="en-US"/>
              </w:rPr>
              <w:t>54.3%</w:t>
            </w:r>
          </w:p>
        </w:tc>
        <w:tc>
          <w:tcPr>
            <w:cnfStyle w:val="000001000000" w:firstRow="0" w:lastRow="0" w:firstColumn="0" w:lastColumn="0" w:oddVBand="0" w:evenVBand="1" w:oddHBand="0" w:evenHBand="0" w:firstRowFirstColumn="0" w:firstRowLastColumn="0" w:lastRowFirstColumn="0" w:lastRowLastColumn="0"/>
            <w:tcW w:w="1077" w:type="dxa"/>
          </w:tcPr>
          <w:p w14:paraId="7B446AB7" w14:textId="77777777" w:rsidR="00AE4C75" w:rsidRPr="00D6403A" w:rsidRDefault="00AE4C75" w:rsidP="00AE4C75">
            <w:pPr>
              <w:pStyle w:val="Tabletext"/>
              <w:rPr>
                <w:lang w:val="en-US"/>
              </w:rPr>
            </w:pPr>
            <w:r w:rsidRPr="00D6403A">
              <w:rPr>
                <w:lang w:val="en-US"/>
              </w:rPr>
              <w:t>54.1%</w:t>
            </w:r>
          </w:p>
        </w:tc>
        <w:tc>
          <w:tcPr>
            <w:cnfStyle w:val="000010000000" w:firstRow="0" w:lastRow="0" w:firstColumn="0" w:lastColumn="0" w:oddVBand="1" w:evenVBand="0" w:oddHBand="0" w:evenHBand="0" w:firstRowFirstColumn="0" w:firstRowLastColumn="0" w:lastRowFirstColumn="0" w:lastRowLastColumn="0"/>
            <w:tcW w:w="1078" w:type="dxa"/>
          </w:tcPr>
          <w:p w14:paraId="0ABEDCC7" w14:textId="77777777" w:rsidR="00AE4C75" w:rsidRPr="00D6403A" w:rsidRDefault="00AE4C75" w:rsidP="00AE4C75">
            <w:pPr>
              <w:pStyle w:val="Tabletext"/>
              <w:rPr>
                <w:lang w:val="en-US"/>
              </w:rPr>
            </w:pPr>
            <w:r w:rsidRPr="00D6403A">
              <w:rPr>
                <w:lang w:val="en-US"/>
              </w:rPr>
              <w:t>52.6%</w:t>
            </w:r>
          </w:p>
        </w:tc>
        <w:tc>
          <w:tcPr>
            <w:cnfStyle w:val="000001000000" w:firstRow="0" w:lastRow="0" w:firstColumn="0" w:lastColumn="0" w:oddVBand="0" w:evenVBand="1" w:oddHBand="0" w:evenHBand="0" w:firstRowFirstColumn="0" w:firstRowLastColumn="0" w:lastRowFirstColumn="0" w:lastRowLastColumn="0"/>
            <w:tcW w:w="1190" w:type="dxa"/>
          </w:tcPr>
          <w:p w14:paraId="57288027" w14:textId="77777777" w:rsidR="00AE4C75" w:rsidRPr="00D6403A" w:rsidRDefault="00AE4C75" w:rsidP="00AE4C75">
            <w:pPr>
              <w:pStyle w:val="Tabletext"/>
              <w:rPr>
                <w:lang w:val="en-US"/>
              </w:rPr>
            </w:pPr>
            <w:r w:rsidRPr="00D6403A">
              <w:rPr>
                <w:lang w:val="en-US"/>
              </w:rPr>
              <w:t>49.3%</w:t>
            </w:r>
          </w:p>
        </w:tc>
        <w:tc>
          <w:tcPr>
            <w:cnfStyle w:val="000010000000" w:firstRow="0" w:lastRow="0" w:firstColumn="0" w:lastColumn="0" w:oddVBand="1" w:evenVBand="0" w:oddHBand="0" w:evenHBand="0" w:firstRowFirstColumn="0" w:firstRowLastColumn="0" w:lastRowFirstColumn="0" w:lastRowLastColumn="0"/>
            <w:tcW w:w="1191" w:type="dxa"/>
          </w:tcPr>
          <w:p w14:paraId="47C94B68" w14:textId="77777777" w:rsidR="00AE4C75" w:rsidRPr="00D6403A" w:rsidRDefault="00AE4C75" w:rsidP="00AE4C75">
            <w:pPr>
              <w:pStyle w:val="Tabletext"/>
              <w:rPr>
                <w:lang w:val="en-US"/>
              </w:rPr>
            </w:pPr>
            <w:r w:rsidRPr="00D6403A">
              <w:rPr>
                <w:lang w:val="en-US"/>
              </w:rPr>
              <w:t>62.3%</w:t>
            </w:r>
          </w:p>
        </w:tc>
      </w:tr>
      <w:tr w:rsidR="00AE4C75" w:rsidRPr="00D6403A" w14:paraId="50CF90BD"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19E0FA61" w14:textId="1D790B71" w:rsidR="00AE4C75" w:rsidRPr="005C596A" w:rsidRDefault="00AE4C75" w:rsidP="00AE4C75">
            <w:pPr>
              <w:pStyle w:val="Tabletext"/>
              <w:jc w:val="left"/>
              <w:rPr>
                <w:rFonts w:cstheme="minorHAnsi"/>
                <w:b/>
                <w:color w:val="000000"/>
                <w:lang w:val="en-US"/>
              </w:rPr>
            </w:pPr>
            <w:r w:rsidRPr="005C596A">
              <w:rPr>
                <w:rFonts w:cstheme="minorHAnsi"/>
                <w:b/>
                <w:lang w:val="en-US"/>
              </w:rPr>
              <w:t>5</w:t>
            </w:r>
            <w:r w:rsidRPr="005C596A">
              <w:rPr>
                <w:rFonts w:cstheme="minorHAnsi"/>
                <w:b/>
                <w:color w:val="000000"/>
                <w:lang w:val="en-US"/>
              </w:rPr>
              <w:t xml:space="preserve"> </w:t>
            </w:r>
            <w:r w:rsidRPr="005C596A">
              <w:rPr>
                <w:rFonts w:cstheme="minorHAnsi"/>
                <w:lang w:val="en-US"/>
              </w:rPr>
              <w:t>Five-year gestation standardised perinatal mortality ratio (GSPMR) for babies born at ≥ 32 weeks</w:t>
            </w:r>
          </w:p>
        </w:tc>
        <w:tc>
          <w:tcPr>
            <w:cnfStyle w:val="000001000000" w:firstRow="0" w:lastRow="0" w:firstColumn="0" w:lastColumn="0" w:oddVBand="0" w:evenVBand="1" w:oddHBand="0" w:evenHBand="0" w:firstRowFirstColumn="0" w:firstRowLastColumn="0" w:lastRowFirstColumn="0" w:lastRowLastColumn="0"/>
            <w:tcW w:w="1077" w:type="dxa"/>
          </w:tcPr>
          <w:p w14:paraId="66F2226B" w14:textId="77777777" w:rsidR="00AE4C75" w:rsidRPr="00D6403A" w:rsidRDefault="00AE4C75" w:rsidP="00AE4C75">
            <w:pPr>
              <w:pStyle w:val="Tabletext"/>
              <w:rPr>
                <w:lang w:val="en-US"/>
              </w:rPr>
            </w:pPr>
            <w:r w:rsidRPr="00D6403A">
              <w:rPr>
                <w:lang w:val="en-US"/>
              </w:rPr>
              <w:t>1.0</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721F5223" w14:textId="77777777" w:rsidR="00AE4C75" w:rsidRPr="00D6403A" w:rsidRDefault="00AE4C75" w:rsidP="00AE4C75">
            <w:pPr>
              <w:pStyle w:val="Tabletext"/>
              <w:rPr>
                <w:lang w:val="en-US"/>
              </w:rPr>
            </w:pPr>
            <w:r w:rsidRPr="00D6403A">
              <w:rPr>
                <w:lang w:val="en-US"/>
              </w:rPr>
              <w:t>1.0</w:t>
            </w:r>
          </w:p>
        </w:tc>
        <w:tc>
          <w:tcPr>
            <w:cnfStyle w:val="000001000000" w:firstRow="0" w:lastRow="0" w:firstColumn="0" w:lastColumn="0" w:oddVBand="0" w:evenVBand="1" w:oddHBand="0" w:evenHBand="0" w:firstRowFirstColumn="0" w:firstRowLastColumn="0" w:lastRowFirstColumn="0" w:lastRowLastColumn="0"/>
            <w:tcW w:w="1077" w:type="dxa"/>
          </w:tcPr>
          <w:p w14:paraId="369EFECD" w14:textId="77777777" w:rsidR="00AE4C75" w:rsidRPr="00D6403A" w:rsidRDefault="00AE4C75" w:rsidP="00AE4C75">
            <w:pPr>
              <w:pStyle w:val="Tabletext"/>
              <w:rPr>
                <w:lang w:val="en-US"/>
              </w:rPr>
            </w:pPr>
            <w:r w:rsidRPr="00D6403A">
              <w:rPr>
                <w:lang w:val="en-US"/>
              </w:rPr>
              <w:t>NA</w:t>
            </w:r>
          </w:p>
        </w:tc>
        <w:tc>
          <w:tcPr>
            <w:cnfStyle w:val="000010000000" w:firstRow="0" w:lastRow="0" w:firstColumn="0" w:lastColumn="0" w:oddVBand="1" w:evenVBand="0" w:oddHBand="0" w:evenHBand="0" w:firstRowFirstColumn="0" w:firstRowLastColumn="0" w:lastRowFirstColumn="0" w:lastRowLastColumn="0"/>
            <w:tcW w:w="1078" w:type="dxa"/>
          </w:tcPr>
          <w:p w14:paraId="0CA1E281"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190" w:type="dxa"/>
          </w:tcPr>
          <w:p w14:paraId="397B3526" w14:textId="77777777" w:rsidR="00AE4C75" w:rsidRPr="00D6403A" w:rsidRDefault="00AE4C75" w:rsidP="00AE4C75">
            <w:pPr>
              <w:pStyle w:val="Tabletext"/>
              <w:rPr>
                <w:lang w:val="en-US"/>
              </w:rPr>
            </w:pPr>
            <w:r w:rsidRPr="00D6403A">
              <w:rPr>
                <w:lang w:val="en-US"/>
              </w:rPr>
              <w:t>NA</w:t>
            </w:r>
          </w:p>
        </w:tc>
        <w:tc>
          <w:tcPr>
            <w:cnfStyle w:val="000010000000" w:firstRow="0" w:lastRow="0" w:firstColumn="0" w:lastColumn="0" w:oddVBand="1" w:evenVBand="0" w:oddHBand="0" w:evenHBand="0" w:firstRowFirstColumn="0" w:firstRowLastColumn="0" w:lastRowFirstColumn="0" w:lastRowLastColumn="0"/>
            <w:tcW w:w="1191" w:type="dxa"/>
          </w:tcPr>
          <w:p w14:paraId="46B2B4D1" w14:textId="77777777" w:rsidR="00AE4C75" w:rsidRPr="00D6403A" w:rsidRDefault="00AE4C75" w:rsidP="00AE4C75">
            <w:pPr>
              <w:pStyle w:val="Tabletext"/>
              <w:rPr>
                <w:lang w:val="en-US"/>
              </w:rPr>
            </w:pPr>
            <w:r w:rsidRPr="00D6403A">
              <w:rPr>
                <w:lang w:val="en-US"/>
              </w:rPr>
              <w:t>NA</w:t>
            </w:r>
          </w:p>
        </w:tc>
      </w:tr>
      <w:tr w:rsidR="00AE4C75" w:rsidRPr="00D6403A" w14:paraId="5769498F"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36BF8258" w14:textId="2FF178F4" w:rsidR="00AE4C75" w:rsidRPr="005C596A" w:rsidRDefault="00AE4C75" w:rsidP="00AE4C75">
            <w:pPr>
              <w:pStyle w:val="Tabletext"/>
              <w:jc w:val="left"/>
              <w:rPr>
                <w:rFonts w:cstheme="minorHAnsi"/>
                <w:b/>
                <w:color w:val="000000"/>
                <w:lang w:val="en-US"/>
              </w:rPr>
            </w:pPr>
            <w:r w:rsidRPr="005C596A">
              <w:rPr>
                <w:rFonts w:cstheme="minorHAnsi"/>
                <w:b/>
                <w:lang w:val="en-US"/>
              </w:rPr>
              <w:t>6a</w:t>
            </w:r>
            <w:r w:rsidRPr="005C596A">
              <w:rPr>
                <w:rFonts w:cstheme="minorHAnsi"/>
                <w:b/>
                <w:color w:val="000000"/>
                <w:lang w:val="en-US"/>
              </w:rPr>
              <w:t xml:space="preserve"> </w:t>
            </w:r>
            <w:r w:rsidRPr="005C596A">
              <w:rPr>
                <w:rFonts w:cstheme="minorHAnsi"/>
                <w:lang w:val="en-US"/>
              </w:rPr>
              <w:t>Rate of maternal readmissions during the postnatal period†</w:t>
            </w:r>
          </w:p>
        </w:tc>
        <w:tc>
          <w:tcPr>
            <w:cnfStyle w:val="000001000000" w:firstRow="0" w:lastRow="0" w:firstColumn="0" w:lastColumn="0" w:oddVBand="0" w:evenVBand="1" w:oddHBand="0" w:evenHBand="0" w:firstRowFirstColumn="0" w:firstRowLastColumn="0" w:lastRowFirstColumn="0" w:lastRowLastColumn="0"/>
            <w:tcW w:w="1077" w:type="dxa"/>
          </w:tcPr>
          <w:p w14:paraId="6BF83D10" w14:textId="77777777" w:rsidR="00AE4C75" w:rsidRPr="00D6403A" w:rsidRDefault="00AE4C75" w:rsidP="00AE4C75">
            <w:pPr>
              <w:pStyle w:val="Tabletext"/>
              <w:rPr>
                <w:lang w:val="en-US"/>
              </w:rPr>
            </w:pPr>
            <w:r w:rsidRPr="00D6403A">
              <w:rPr>
                <w:lang w:val="en-US"/>
              </w:rPr>
              <w:t>2.3%</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2D4B7983" w14:textId="77777777" w:rsidR="00AE4C75" w:rsidRPr="00D6403A" w:rsidRDefault="00AE4C75" w:rsidP="00AE4C75">
            <w:pPr>
              <w:pStyle w:val="Tabletext"/>
              <w:rPr>
                <w:lang w:val="en-US"/>
              </w:rPr>
            </w:pPr>
            <w:r w:rsidRPr="00D6403A">
              <w:rPr>
                <w:lang w:val="en-US"/>
              </w:rPr>
              <w:t>2.0%</w:t>
            </w:r>
          </w:p>
        </w:tc>
        <w:tc>
          <w:tcPr>
            <w:cnfStyle w:val="000001000000" w:firstRow="0" w:lastRow="0" w:firstColumn="0" w:lastColumn="0" w:oddVBand="0" w:evenVBand="1" w:oddHBand="0" w:evenHBand="0" w:firstRowFirstColumn="0" w:firstRowLastColumn="0" w:lastRowFirstColumn="0" w:lastRowLastColumn="0"/>
            <w:tcW w:w="1077" w:type="dxa"/>
          </w:tcPr>
          <w:p w14:paraId="4381633E" w14:textId="77777777" w:rsidR="00AE4C75" w:rsidRPr="00D6403A" w:rsidRDefault="00AE4C75" w:rsidP="00AE4C75">
            <w:pPr>
              <w:pStyle w:val="Tabletext"/>
              <w:rPr>
                <w:lang w:val="en-US"/>
              </w:rPr>
            </w:pPr>
            <w:r w:rsidRPr="00D6403A">
              <w:rPr>
                <w:lang w:val="en-US"/>
              </w:rPr>
              <w:t>2.2%</w:t>
            </w:r>
          </w:p>
        </w:tc>
        <w:tc>
          <w:tcPr>
            <w:cnfStyle w:val="000010000000" w:firstRow="0" w:lastRow="0" w:firstColumn="0" w:lastColumn="0" w:oddVBand="1" w:evenVBand="0" w:oddHBand="0" w:evenHBand="0" w:firstRowFirstColumn="0" w:firstRowLastColumn="0" w:lastRowFirstColumn="0" w:lastRowLastColumn="0"/>
            <w:tcW w:w="1078" w:type="dxa"/>
          </w:tcPr>
          <w:p w14:paraId="55C91465" w14:textId="77777777" w:rsidR="00AE4C75" w:rsidRPr="00D6403A" w:rsidRDefault="00AE4C75" w:rsidP="00AE4C75">
            <w:pPr>
              <w:pStyle w:val="Tabletext"/>
              <w:rPr>
                <w:lang w:val="en-US"/>
              </w:rPr>
            </w:pPr>
            <w:r w:rsidRPr="00D6403A">
              <w:rPr>
                <w:lang w:val="en-US"/>
              </w:rPr>
              <w:t>1.3%</w:t>
            </w:r>
          </w:p>
        </w:tc>
        <w:tc>
          <w:tcPr>
            <w:cnfStyle w:val="000001000000" w:firstRow="0" w:lastRow="0" w:firstColumn="0" w:lastColumn="0" w:oddVBand="0" w:evenVBand="1" w:oddHBand="0" w:evenHBand="0" w:firstRowFirstColumn="0" w:firstRowLastColumn="0" w:lastRowFirstColumn="0" w:lastRowLastColumn="0"/>
            <w:tcW w:w="1190" w:type="dxa"/>
          </w:tcPr>
          <w:p w14:paraId="1E203C7D" w14:textId="77777777" w:rsidR="00AE4C75" w:rsidRPr="00D6403A" w:rsidRDefault="00AE4C75" w:rsidP="00AE4C75">
            <w:pPr>
              <w:pStyle w:val="Tabletext"/>
              <w:rPr>
                <w:lang w:val="en-US"/>
              </w:rPr>
            </w:pPr>
            <w:r w:rsidRPr="00D6403A">
              <w:rPr>
                <w:lang w:val="en-US"/>
              </w:rPr>
              <w:t>2.4%</w:t>
            </w:r>
          </w:p>
        </w:tc>
        <w:tc>
          <w:tcPr>
            <w:cnfStyle w:val="000010000000" w:firstRow="0" w:lastRow="0" w:firstColumn="0" w:lastColumn="0" w:oddVBand="1" w:evenVBand="0" w:oddHBand="0" w:evenHBand="0" w:firstRowFirstColumn="0" w:firstRowLastColumn="0" w:lastRowFirstColumn="0" w:lastRowLastColumn="0"/>
            <w:tcW w:w="1191" w:type="dxa"/>
          </w:tcPr>
          <w:p w14:paraId="55BD3A10" w14:textId="77777777" w:rsidR="00AE4C75" w:rsidRPr="00D6403A" w:rsidRDefault="00AE4C75" w:rsidP="00AE4C75">
            <w:pPr>
              <w:pStyle w:val="Tabletext"/>
              <w:rPr>
                <w:lang w:val="en-US"/>
              </w:rPr>
            </w:pPr>
            <w:r w:rsidRPr="00D6403A">
              <w:rPr>
                <w:lang w:val="en-US"/>
              </w:rPr>
              <w:t>1.4%</w:t>
            </w:r>
          </w:p>
        </w:tc>
      </w:tr>
      <w:tr w:rsidR="00AE4C75" w:rsidRPr="00D6403A" w14:paraId="0A5AABF7"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61B247CD" w14:textId="5C787689" w:rsidR="00AE4C75" w:rsidRPr="005C596A" w:rsidRDefault="00AE4C75" w:rsidP="00AE4C75">
            <w:pPr>
              <w:pStyle w:val="Tabletext"/>
              <w:jc w:val="left"/>
              <w:rPr>
                <w:rFonts w:cstheme="minorHAnsi"/>
                <w:b/>
                <w:color w:val="000000"/>
                <w:lang w:val="en-US"/>
              </w:rPr>
            </w:pPr>
            <w:r w:rsidRPr="005C596A">
              <w:rPr>
                <w:rFonts w:cstheme="minorHAnsi"/>
                <w:b/>
                <w:lang w:val="en-US"/>
              </w:rPr>
              <w:t>6b</w:t>
            </w:r>
            <w:r w:rsidRPr="005C596A">
              <w:rPr>
                <w:rFonts w:cstheme="minorHAnsi"/>
                <w:b/>
                <w:color w:val="000000"/>
                <w:lang w:val="en-US"/>
              </w:rPr>
              <w:t xml:space="preserve"> </w:t>
            </w:r>
            <w:r w:rsidRPr="005C596A">
              <w:rPr>
                <w:rFonts w:cstheme="minorHAnsi"/>
                <w:lang w:val="en-US"/>
              </w:rPr>
              <w:t>Rate of newborn readmissions during the postnatal period*</w:t>
            </w:r>
            <w:r w:rsidRPr="004B7BEA">
              <w:rPr>
                <w:rFonts w:cstheme="minorHAnsi"/>
                <w:vertAlign w:val="superscript"/>
                <w:lang w:val="en-US"/>
              </w:rPr>
              <w:t>†</w:t>
            </w:r>
          </w:p>
        </w:tc>
        <w:tc>
          <w:tcPr>
            <w:cnfStyle w:val="000001000000" w:firstRow="0" w:lastRow="0" w:firstColumn="0" w:lastColumn="0" w:oddVBand="0" w:evenVBand="1" w:oddHBand="0" w:evenHBand="0" w:firstRowFirstColumn="0" w:firstRowLastColumn="0" w:lastRowFirstColumn="0" w:lastRowLastColumn="0"/>
            <w:tcW w:w="1077" w:type="dxa"/>
          </w:tcPr>
          <w:p w14:paraId="0F79760B" w14:textId="77777777" w:rsidR="00AE4C75" w:rsidRPr="00D6403A" w:rsidRDefault="00AE4C75" w:rsidP="00AE4C75">
            <w:pPr>
              <w:pStyle w:val="Tabletext"/>
              <w:rPr>
                <w:lang w:val="en-US"/>
              </w:rPr>
            </w:pPr>
            <w:r w:rsidRPr="00D6403A">
              <w:rPr>
                <w:lang w:val="en-US"/>
              </w:rPr>
              <w:t>4.6%*</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41B22D0F"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077" w:type="dxa"/>
          </w:tcPr>
          <w:p w14:paraId="6B77609A" w14:textId="77777777" w:rsidR="00AE4C75" w:rsidRPr="00D6403A" w:rsidRDefault="00AE4C75" w:rsidP="00AE4C75">
            <w:pPr>
              <w:pStyle w:val="Tabletext"/>
              <w:rPr>
                <w:lang w:val="en-US"/>
              </w:rPr>
            </w:pPr>
            <w:r w:rsidRPr="00D6403A">
              <w:rPr>
                <w:lang w:val="en-US"/>
              </w:rPr>
              <w:t>4.9%</w:t>
            </w:r>
          </w:p>
        </w:tc>
        <w:tc>
          <w:tcPr>
            <w:cnfStyle w:val="000010000000" w:firstRow="0" w:lastRow="0" w:firstColumn="0" w:lastColumn="0" w:oddVBand="1" w:evenVBand="0" w:oddHBand="0" w:evenHBand="0" w:firstRowFirstColumn="0" w:firstRowLastColumn="0" w:lastRowFirstColumn="0" w:lastRowLastColumn="0"/>
            <w:tcW w:w="1078" w:type="dxa"/>
          </w:tcPr>
          <w:p w14:paraId="5DC1F113"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190" w:type="dxa"/>
          </w:tcPr>
          <w:p w14:paraId="744A4CED" w14:textId="77777777" w:rsidR="00AE4C75" w:rsidRPr="00D6403A" w:rsidRDefault="00AE4C75" w:rsidP="00AE4C75">
            <w:pPr>
              <w:pStyle w:val="Tabletext"/>
              <w:rPr>
                <w:lang w:val="en-US"/>
              </w:rPr>
            </w:pPr>
            <w:r w:rsidRPr="00D6403A">
              <w:rPr>
                <w:lang w:val="en-US"/>
              </w:rPr>
              <w:t>5.0%</w:t>
            </w:r>
          </w:p>
        </w:tc>
        <w:tc>
          <w:tcPr>
            <w:cnfStyle w:val="000010000000" w:firstRow="0" w:lastRow="0" w:firstColumn="0" w:lastColumn="0" w:oddVBand="1" w:evenVBand="0" w:oddHBand="0" w:evenHBand="0" w:firstRowFirstColumn="0" w:firstRowLastColumn="0" w:lastRowFirstColumn="0" w:lastRowLastColumn="0"/>
            <w:tcW w:w="1191" w:type="dxa"/>
          </w:tcPr>
          <w:p w14:paraId="617616EF" w14:textId="77777777" w:rsidR="00AE4C75" w:rsidRPr="00D6403A" w:rsidRDefault="00AE4C75" w:rsidP="00AE4C75">
            <w:pPr>
              <w:pStyle w:val="Tabletext"/>
              <w:rPr>
                <w:lang w:val="en-US"/>
              </w:rPr>
            </w:pPr>
            <w:r w:rsidRPr="00D6403A">
              <w:rPr>
                <w:lang w:val="en-US"/>
              </w:rPr>
              <w:t>2.7%</w:t>
            </w:r>
          </w:p>
        </w:tc>
      </w:tr>
      <w:tr w:rsidR="00AE4C75" w:rsidRPr="00D6403A" w14:paraId="45FF0AE2"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0278AF8B" w14:textId="700C442E" w:rsidR="00AE4C75" w:rsidRPr="005C596A" w:rsidRDefault="00AE4C75" w:rsidP="00AE4C75">
            <w:pPr>
              <w:pStyle w:val="Tabletext"/>
              <w:jc w:val="left"/>
              <w:rPr>
                <w:rFonts w:cstheme="minorHAnsi"/>
                <w:b/>
                <w:color w:val="000000"/>
                <w:lang w:val="en-US"/>
              </w:rPr>
            </w:pPr>
            <w:r w:rsidRPr="005C596A">
              <w:rPr>
                <w:rFonts w:cstheme="minorHAnsi"/>
                <w:b/>
                <w:lang w:val="en-US"/>
              </w:rPr>
              <w:t>7</w:t>
            </w:r>
            <w:r w:rsidRPr="005C596A">
              <w:rPr>
                <w:rFonts w:cstheme="minorHAnsi"/>
                <w:b/>
                <w:color w:val="000000"/>
                <w:lang w:val="en-US"/>
              </w:rPr>
              <w:t xml:space="preserve"> </w:t>
            </w:r>
            <w:r w:rsidRPr="005C596A">
              <w:rPr>
                <w:rFonts w:cstheme="minorHAnsi"/>
                <w:lang w:val="en-US"/>
              </w:rPr>
              <w:t>Rate of smoking cessation during pregnancy</w:t>
            </w:r>
          </w:p>
        </w:tc>
        <w:tc>
          <w:tcPr>
            <w:cnfStyle w:val="000001000000" w:firstRow="0" w:lastRow="0" w:firstColumn="0" w:lastColumn="0" w:oddVBand="0" w:evenVBand="1" w:oddHBand="0" w:evenHBand="0" w:firstRowFirstColumn="0" w:firstRowLastColumn="0" w:lastRowFirstColumn="0" w:lastRowLastColumn="0"/>
            <w:tcW w:w="1077" w:type="dxa"/>
          </w:tcPr>
          <w:p w14:paraId="6AF31FD7" w14:textId="77777777" w:rsidR="00AE4C75" w:rsidRPr="00D6403A" w:rsidRDefault="00AE4C75" w:rsidP="00AE4C75">
            <w:pPr>
              <w:pStyle w:val="Tabletext"/>
              <w:rPr>
                <w:lang w:val="en-US"/>
              </w:rPr>
            </w:pPr>
            <w:r w:rsidRPr="00D6403A">
              <w:rPr>
                <w:lang w:val="en-US"/>
              </w:rPr>
              <w:t>33.5%</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0C196BBB" w14:textId="77777777" w:rsidR="00AE4C75" w:rsidRPr="00D6403A" w:rsidRDefault="00AE4C75" w:rsidP="00AE4C75">
            <w:pPr>
              <w:pStyle w:val="Tabletext"/>
              <w:rPr>
                <w:lang w:val="en-US"/>
              </w:rPr>
            </w:pPr>
            <w:r w:rsidRPr="00D6403A">
              <w:rPr>
                <w:lang w:val="en-US"/>
              </w:rPr>
              <w:t>31.4%</w:t>
            </w:r>
          </w:p>
        </w:tc>
        <w:tc>
          <w:tcPr>
            <w:cnfStyle w:val="000001000000" w:firstRow="0" w:lastRow="0" w:firstColumn="0" w:lastColumn="0" w:oddVBand="0" w:evenVBand="1" w:oddHBand="0" w:evenHBand="0" w:firstRowFirstColumn="0" w:firstRowLastColumn="0" w:lastRowFirstColumn="0" w:lastRowLastColumn="0"/>
            <w:tcW w:w="1077" w:type="dxa"/>
          </w:tcPr>
          <w:p w14:paraId="46468946" w14:textId="77777777" w:rsidR="00AE4C75" w:rsidRPr="00D6403A" w:rsidRDefault="00AE4C75" w:rsidP="00AE4C75">
            <w:pPr>
              <w:pStyle w:val="Tabletext"/>
              <w:rPr>
                <w:lang w:val="en-US"/>
              </w:rPr>
            </w:pPr>
            <w:r w:rsidRPr="00D6403A">
              <w:rPr>
                <w:lang w:val="en-US"/>
              </w:rPr>
              <w:t>30.5%</w:t>
            </w:r>
          </w:p>
        </w:tc>
        <w:tc>
          <w:tcPr>
            <w:cnfStyle w:val="000010000000" w:firstRow="0" w:lastRow="0" w:firstColumn="0" w:lastColumn="0" w:oddVBand="1" w:evenVBand="0" w:oddHBand="0" w:evenHBand="0" w:firstRowFirstColumn="0" w:firstRowLastColumn="0" w:lastRowFirstColumn="0" w:lastRowLastColumn="0"/>
            <w:tcW w:w="1078" w:type="dxa"/>
          </w:tcPr>
          <w:p w14:paraId="1B0D1FF1" w14:textId="77777777" w:rsidR="00AE4C75" w:rsidRPr="00D6403A" w:rsidRDefault="00AE4C75" w:rsidP="00AE4C75">
            <w:pPr>
              <w:pStyle w:val="Tabletext"/>
              <w:rPr>
                <w:lang w:val="en-US"/>
              </w:rPr>
            </w:pPr>
            <w:r w:rsidRPr="00D6403A">
              <w:rPr>
                <w:lang w:val="en-US"/>
              </w:rPr>
              <w:t>57.3%</w:t>
            </w:r>
          </w:p>
        </w:tc>
        <w:tc>
          <w:tcPr>
            <w:cnfStyle w:val="000001000000" w:firstRow="0" w:lastRow="0" w:firstColumn="0" w:lastColumn="0" w:oddVBand="0" w:evenVBand="1" w:oddHBand="0" w:evenHBand="0" w:firstRowFirstColumn="0" w:firstRowLastColumn="0" w:lastRowFirstColumn="0" w:lastRowLastColumn="0"/>
            <w:tcW w:w="1190" w:type="dxa"/>
          </w:tcPr>
          <w:p w14:paraId="618F2E66" w14:textId="77777777" w:rsidR="00AE4C75" w:rsidRPr="00D6403A" w:rsidRDefault="00AE4C75" w:rsidP="00AE4C75">
            <w:pPr>
              <w:pStyle w:val="Tabletext"/>
              <w:rPr>
                <w:lang w:val="en-US"/>
              </w:rPr>
            </w:pPr>
            <w:r w:rsidRPr="00D6403A">
              <w:rPr>
                <w:lang w:val="en-US"/>
              </w:rPr>
              <w:t>19.7%^</w:t>
            </w:r>
          </w:p>
        </w:tc>
        <w:tc>
          <w:tcPr>
            <w:cnfStyle w:val="000010000000" w:firstRow="0" w:lastRow="0" w:firstColumn="0" w:lastColumn="0" w:oddVBand="1" w:evenVBand="0" w:oddHBand="0" w:evenHBand="0" w:firstRowFirstColumn="0" w:firstRowLastColumn="0" w:lastRowFirstColumn="0" w:lastRowLastColumn="0"/>
            <w:tcW w:w="1191" w:type="dxa"/>
          </w:tcPr>
          <w:p w14:paraId="4CF3F4B1" w14:textId="77777777" w:rsidR="00AE4C75" w:rsidRPr="00D6403A" w:rsidRDefault="00AE4C75" w:rsidP="00AE4C75">
            <w:pPr>
              <w:pStyle w:val="Tabletext"/>
              <w:rPr>
                <w:lang w:val="en-US"/>
              </w:rPr>
            </w:pPr>
            <w:r w:rsidRPr="00D6403A">
              <w:rPr>
                <w:lang w:val="en-US"/>
              </w:rPr>
              <w:t>38.9%^</w:t>
            </w:r>
          </w:p>
        </w:tc>
      </w:tr>
      <w:tr w:rsidR="00AE4C75" w:rsidRPr="00D6403A" w14:paraId="2DEA9D0B"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20BA9B4D" w14:textId="029A675E" w:rsidR="00AE4C75" w:rsidRPr="005C596A" w:rsidRDefault="00AE4C75" w:rsidP="00AE4C75">
            <w:pPr>
              <w:pStyle w:val="Tabletext"/>
              <w:jc w:val="left"/>
              <w:rPr>
                <w:rFonts w:cstheme="minorHAnsi"/>
                <w:b/>
                <w:color w:val="000000"/>
                <w:lang w:val="en-US"/>
              </w:rPr>
            </w:pPr>
            <w:r w:rsidRPr="005C596A">
              <w:rPr>
                <w:rFonts w:cstheme="minorHAnsi"/>
                <w:b/>
                <w:lang w:val="en-US"/>
              </w:rPr>
              <w:t>8a</w:t>
            </w:r>
            <w:r w:rsidRPr="005C596A">
              <w:rPr>
                <w:rFonts w:cstheme="minorHAnsi"/>
                <w:b/>
                <w:color w:val="000000"/>
                <w:lang w:val="en-US"/>
              </w:rPr>
              <w:t xml:space="preserve"> </w:t>
            </w:r>
            <w:r w:rsidRPr="005C596A">
              <w:rPr>
                <w:rFonts w:cstheme="minorHAnsi"/>
                <w:lang w:val="en-US"/>
              </w:rPr>
              <w:t>Rate of breastfeeding initiation for babies born at ≥ 37 weeks’ gestation</w:t>
            </w:r>
          </w:p>
        </w:tc>
        <w:tc>
          <w:tcPr>
            <w:cnfStyle w:val="000001000000" w:firstRow="0" w:lastRow="0" w:firstColumn="0" w:lastColumn="0" w:oddVBand="0" w:evenVBand="1" w:oddHBand="0" w:evenHBand="0" w:firstRowFirstColumn="0" w:firstRowLastColumn="0" w:lastRowFirstColumn="0" w:lastRowLastColumn="0"/>
            <w:tcW w:w="1077" w:type="dxa"/>
          </w:tcPr>
          <w:p w14:paraId="31E4A28E" w14:textId="77777777" w:rsidR="00AE4C75" w:rsidRPr="00D6403A" w:rsidRDefault="00AE4C75" w:rsidP="00AE4C75">
            <w:pPr>
              <w:pStyle w:val="Tabletext"/>
              <w:rPr>
                <w:lang w:val="en-US"/>
              </w:rPr>
            </w:pPr>
            <w:r w:rsidRPr="00D6403A">
              <w:rPr>
                <w:lang w:val="en-US"/>
              </w:rPr>
              <w:t>95.6%</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2B3CE34D" w14:textId="77777777" w:rsidR="00AE4C75" w:rsidRPr="00D6403A" w:rsidRDefault="00AE4C75" w:rsidP="00AE4C75">
            <w:pPr>
              <w:pStyle w:val="Tabletext"/>
              <w:rPr>
                <w:lang w:val="en-US"/>
              </w:rPr>
            </w:pPr>
            <w:r w:rsidRPr="00D6403A">
              <w:rPr>
                <w:lang w:val="en-US"/>
              </w:rPr>
              <w:t>95.5%</w:t>
            </w:r>
          </w:p>
        </w:tc>
        <w:tc>
          <w:tcPr>
            <w:cnfStyle w:val="000001000000" w:firstRow="0" w:lastRow="0" w:firstColumn="0" w:lastColumn="0" w:oddVBand="0" w:evenVBand="1" w:oddHBand="0" w:evenHBand="0" w:firstRowFirstColumn="0" w:firstRowLastColumn="0" w:lastRowFirstColumn="0" w:lastRowLastColumn="0"/>
            <w:tcW w:w="1077" w:type="dxa"/>
          </w:tcPr>
          <w:p w14:paraId="59E8BFE9" w14:textId="77777777" w:rsidR="00AE4C75" w:rsidRPr="00D6403A" w:rsidRDefault="00AE4C75" w:rsidP="00AE4C75">
            <w:pPr>
              <w:pStyle w:val="Tabletext"/>
              <w:rPr>
                <w:lang w:val="en-US"/>
              </w:rPr>
            </w:pPr>
            <w:r w:rsidRPr="00D6403A">
              <w:rPr>
                <w:lang w:val="en-US"/>
              </w:rPr>
              <w:t>95.4%</w:t>
            </w:r>
          </w:p>
        </w:tc>
        <w:tc>
          <w:tcPr>
            <w:cnfStyle w:val="000010000000" w:firstRow="0" w:lastRow="0" w:firstColumn="0" w:lastColumn="0" w:oddVBand="1" w:evenVBand="0" w:oddHBand="0" w:evenHBand="0" w:firstRowFirstColumn="0" w:firstRowLastColumn="0" w:lastRowFirstColumn="0" w:lastRowLastColumn="0"/>
            <w:tcW w:w="1078" w:type="dxa"/>
          </w:tcPr>
          <w:p w14:paraId="51173DA9" w14:textId="77777777" w:rsidR="00AE4C75" w:rsidRPr="00D6403A" w:rsidRDefault="00AE4C75" w:rsidP="00AE4C75">
            <w:pPr>
              <w:pStyle w:val="Tabletext"/>
              <w:rPr>
                <w:lang w:val="en-US"/>
              </w:rPr>
            </w:pPr>
            <w:r w:rsidRPr="00D6403A">
              <w:rPr>
                <w:lang w:val="en-US"/>
              </w:rPr>
              <w:t>95.8%</w:t>
            </w:r>
          </w:p>
        </w:tc>
        <w:tc>
          <w:tcPr>
            <w:cnfStyle w:val="000001000000" w:firstRow="0" w:lastRow="0" w:firstColumn="0" w:lastColumn="0" w:oddVBand="0" w:evenVBand="1" w:oddHBand="0" w:evenHBand="0" w:firstRowFirstColumn="0" w:firstRowLastColumn="0" w:lastRowFirstColumn="0" w:lastRowLastColumn="0"/>
            <w:tcW w:w="1190" w:type="dxa"/>
          </w:tcPr>
          <w:p w14:paraId="03A56B71" w14:textId="77777777" w:rsidR="00AE4C75" w:rsidRPr="00D6403A" w:rsidRDefault="00AE4C75" w:rsidP="00AE4C75">
            <w:pPr>
              <w:pStyle w:val="Tabletext"/>
              <w:rPr>
                <w:lang w:val="en-US"/>
              </w:rPr>
            </w:pPr>
            <w:r w:rsidRPr="00D6403A">
              <w:rPr>
                <w:lang w:val="en-US"/>
              </w:rPr>
              <w:t>93.8%</w:t>
            </w:r>
          </w:p>
        </w:tc>
        <w:tc>
          <w:tcPr>
            <w:cnfStyle w:val="000010000000" w:firstRow="0" w:lastRow="0" w:firstColumn="0" w:lastColumn="0" w:oddVBand="1" w:evenVBand="0" w:oddHBand="0" w:evenHBand="0" w:firstRowFirstColumn="0" w:firstRowLastColumn="0" w:lastRowFirstColumn="0" w:lastRowLastColumn="0"/>
            <w:tcW w:w="1191" w:type="dxa"/>
          </w:tcPr>
          <w:p w14:paraId="7C1788DE" w14:textId="77777777" w:rsidR="00AE4C75" w:rsidRPr="00D6403A" w:rsidRDefault="00AE4C75" w:rsidP="00AE4C75">
            <w:pPr>
              <w:pStyle w:val="Tabletext"/>
              <w:rPr>
                <w:lang w:val="en-US"/>
              </w:rPr>
            </w:pPr>
            <w:r w:rsidRPr="00D6403A">
              <w:rPr>
                <w:lang w:val="en-US"/>
              </w:rPr>
              <w:t>96.6%</w:t>
            </w:r>
          </w:p>
        </w:tc>
      </w:tr>
      <w:tr w:rsidR="00AE4C75" w:rsidRPr="00D6403A" w14:paraId="4570E5B7"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794FEF1B" w14:textId="04EAA544" w:rsidR="00AE4C75" w:rsidRPr="005C596A" w:rsidRDefault="00AE4C75" w:rsidP="00AE4C75">
            <w:pPr>
              <w:pStyle w:val="Tabletext"/>
              <w:jc w:val="left"/>
              <w:rPr>
                <w:rFonts w:cstheme="minorHAnsi"/>
                <w:b/>
                <w:color w:val="000000"/>
                <w:lang w:val="en-US"/>
              </w:rPr>
            </w:pPr>
            <w:r w:rsidRPr="005C596A">
              <w:rPr>
                <w:rFonts w:cstheme="minorHAnsi"/>
                <w:b/>
                <w:lang w:val="en-US"/>
              </w:rPr>
              <w:t>8b</w:t>
            </w:r>
            <w:r w:rsidRPr="005C596A">
              <w:rPr>
                <w:rFonts w:cstheme="minorHAnsi"/>
                <w:b/>
                <w:color w:val="000000"/>
                <w:lang w:val="en-US"/>
              </w:rPr>
              <w:t xml:space="preserve"> </w:t>
            </w:r>
            <w:r w:rsidRPr="005C596A">
              <w:rPr>
                <w:rFonts w:cstheme="minorHAnsi"/>
                <w:lang w:val="en-US"/>
              </w:rPr>
              <w:t>Rate of use of infant formula in hospital by breastfed babies born at ≥ 37 weeks’ gestation</w:t>
            </w:r>
          </w:p>
        </w:tc>
        <w:tc>
          <w:tcPr>
            <w:cnfStyle w:val="000001000000" w:firstRow="0" w:lastRow="0" w:firstColumn="0" w:lastColumn="0" w:oddVBand="0" w:evenVBand="1" w:oddHBand="0" w:evenHBand="0" w:firstRowFirstColumn="0" w:firstRowLastColumn="0" w:lastRowFirstColumn="0" w:lastRowLastColumn="0"/>
            <w:tcW w:w="1077" w:type="dxa"/>
          </w:tcPr>
          <w:p w14:paraId="0A94D114" w14:textId="77777777" w:rsidR="00AE4C75" w:rsidRPr="00D6403A" w:rsidRDefault="00AE4C75" w:rsidP="00AE4C75">
            <w:pPr>
              <w:pStyle w:val="Tabletext"/>
              <w:rPr>
                <w:lang w:val="en-US"/>
              </w:rPr>
            </w:pPr>
            <w:r w:rsidRPr="00D6403A">
              <w:rPr>
                <w:lang w:val="en-US"/>
              </w:rPr>
              <w:t>30.5%</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0A259FE5" w14:textId="77777777" w:rsidR="00AE4C75" w:rsidRPr="00D6403A" w:rsidRDefault="00AE4C75" w:rsidP="00AE4C75">
            <w:pPr>
              <w:pStyle w:val="Tabletext"/>
              <w:rPr>
                <w:lang w:val="en-US"/>
              </w:rPr>
            </w:pPr>
            <w:r w:rsidRPr="00D6403A">
              <w:rPr>
                <w:lang w:val="en-US"/>
              </w:rPr>
              <w:t>30.0%</w:t>
            </w:r>
          </w:p>
        </w:tc>
        <w:tc>
          <w:tcPr>
            <w:cnfStyle w:val="000001000000" w:firstRow="0" w:lastRow="0" w:firstColumn="0" w:lastColumn="0" w:oddVBand="0" w:evenVBand="1" w:oddHBand="0" w:evenHBand="0" w:firstRowFirstColumn="0" w:firstRowLastColumn="0" w:lastRowFirstColumn="0" w:lastRowLastColumn="0"/>
            <w:tcW w:w="1077" w:type="dxa"/>
          </w:tcPr>
          <w:p w14:paraId="6073CD6F" w14:textId="77777777" w:rsidR="00AE4C75" w:rsidRPr="00D6403A" w:rsidRDefault="00AE4C75" w:rsidP="00AE4C75">
            <w:pPr>
              <w:pStyle w:val="Tabletext"/>
              <w:rPr>
                <w:lang w:val="en-US"/>
              </w:rPr>
            </w:pPr>
            <w:r w:rsidRPr="00D6403A">
              <w:rPr>
                <w:lang w:val="en-US"/>
              </w:rPr>
              <w:t>26.7%</w:t>
            </w:r>
          </w:p>
        </w:tc>
        <w:tc>
          <w:tcPr>
            <w:cnfStyle w:val="000010000000" w:firstRow="0" w:lastRow="0" w:firstColumn="0" w:lastColumn="0" w:oddVBand="1" w:evenVBand="0" w:oddHBand="0" w:evenHBand="0" w:firstRowFirstColumn="0" w:firstRowLastColumn="0" w:lastRowFirstColumn="0" w:lastRowLastColumn="0"/>
            <w:tcW w:w="1078" w:type="dxa"/>
          </w:tcPr>
          <w:p w14:paraId="559D12D5" w14:textId="77777777" w:rsidR="00AE4C75" w:rsidRPr="00D6403A" w:rsidRDefault="00AE4C75" w:rsidP="00AE4C75">
            <w:pPr>
              <w:pStyle w:val="Tabletext"/>
              <w:rPr>
                <w:lang w:val="en-US"/>
              </w:rPr>
            </w:pPr>
            <w:r w:rsidRPr="00D6403A">
              <w:rPr>
                <w:lang w:val="en-US"/>
              </w:rPr>
              <w:t>42.0%</w:t>
            </w:r>
          </w:p>
        </w:tc>
        <w:tc>
          <w:tcPr>
            <w:cnfStyle w:val="000001000000" w:firstRow="0" w:lastRow="0" w:firstColumn="0" w:lastColumn="0" w:oddVBand="0" w:evenVBand="1" w:oddHBand="0" w:evenHBand="0" w:firstRowFirstColumn="0" w:firstRowLastColumn="0" w:lastRowFirstColumn="0" w:lastRowLastColumn="0"/>
            <w:tcW w:w="1190" w:type="dxa"/>
          </w:tcPr>
          <w:p w14:paraId="05E86AB8" w14:textId="77777777" w:rsidR="00AE4C75" w:rsidRPr="00D6403A" w:rsidRDefault="00AE4C75" w:rsidP="00AE4C75">
            <w:pPr>
              <w:pStyle w:val="Tabletext"/>
              <w:rPr>
                <w:lang w:val="en-US"/>
              </w:rPr>
            </w:pPr>
            <w:r w:rsidRPr="00D6403A">
              <w:rPr>
                <w:lang w:val="en-US"/>
              </w:rPr>
              <w:t>35.6%</w:t>
            </w:r>
          </w:p>
        </w:tc>
        <w:tc>
          <w:tcPr>
            <w:cnfStyle w:val="000010000000" w:firstRow="0" w:lastRow="0" w:firstColumn="0" w:lastColumn="0" w:oddVBand="1" w:evenVBand="0" w:oddHBand="0" w:evenHBand="0" w:firstRowFirstColumn="0" w:firstRowLastColumn="0" w:lastRowFirstColumn="0" w:lastRowLastColumn="0"/>
            <w:tcW w:w="1191" w:type="dxa"/>
          </w:tcPr>
          <w:p w14:paraId="4052D98E" w14:textId="77777777" w:rsidR="00AE4C75" w:rsidRPr="00D6403A" w:rsidRDefault="00AE4C75" w:rsidP="00AE4C75">
            <w:pPr>
              <w:pStyle w:val="Tabletext"/>
              <w:rPr>
                <w:lang w:val="en-US"/>
              </w:rPr>
            </w:pPr>
            <w:r w:rsidRPr="00D6403A">
              <w:rPr>
                <w:lang w:val="en-US"/>
              </w:rPr>
              <w:t>17.9%</w:t>
            </w:r>
          </w:p>
        </w:tc>
      </w:tr>
      <w:tr w:rsidR="00AE4C75" w:rsidRPr="00D6403A" w14:paraId="198F41E2"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2E7143D7" w14:textId="1C8C12F2" w:rsidR="00AE4C75" w:rsidRPr="005C596A" w:rsidRDefault="00AE4C75" w:rsidP="00AE4C75">
            <w:pPr>
              <w:pStyle w:val="Tabletext"/>
              <w:jc w:val="left"/>
              <w:rPr>
                <w:rFonts w:cstheme="minorHAnsi"/>
                <w:b/>
                <w:color w:val="000000"/>
                <w:lang w:val="en-US"/>
              </w:rPr>
            </w:pPr>
            <w:r w:rsidRPr="005C596A">
              <w:rPr>
                <w:rFonts w:cstheme="minorHAnsi"/>
                <w:b/>
                <w:lang w:val="en-US"/>
              </w:rPr>
              <w:t>8c</w:t>
            </w:r>
            <w:r w:rsidRPr="005C596A">
              <w:rPr>
                <w:rFonts w:cstheme="minorHAnsi"/>
                <w:b/>
                <w:color w:val="000000"/>
                <w:lang w:val="en-US"/>
              </w:rPr>
              <w:t xml:space="preserve"> </w:t>
            </w:r>
            <w:r w:rsidRPr="005C596A">
              <w:rPr>
                <w:rFonts w:cstheme="minorHAnsi"/>
              </w:rPr>
              <w:t>Rate of final feed being taken directly from the breast by breastfed babies born at ≥</w:t>
            </w:r>
            <w:r w:rsidRPr="005C596A">
              <w:rPr>
                <w:rFonts w:cstheme="minorHAnsi"/>
                <w:lang w:val="en-US"/>
              </w:rPr>
              <w:t> </w:t>
            </w:r>
            <w:r w:rsidRPr="005C596A">
              <w:rPr>
                <w:rFonts w:cstheme="minorHAnsi"/>
              </w:rPr>
              <w:t>37</w:t>
            </w:r>
            <w:r w:rsidRPr="005C596A">
              <w:rPr>
                <w:rFonts w:cstheme="minorHAnsi"/>
                <w:lang w:val="en-US"/>
              </w:rPr>
              <w:t> weeks’ gestation</w:t>
            </w:r>
          </w:p>
        </w:tc>
        <w:tc>
          <w:tcPr>
            <w:cnfStyle w:val="000001000000" w:firstRow="0" w:lastRow="0" w:firstColumn="0" w:lastColumn="0" w:oddVBand="0" w:evenVBand="1" w:oddHBand="0" w:evenHBand="0" w:firstRowFirstColumn="0" w:firstRowLastColumn="0" w:lastRowFirstColumn="0" w:lastRowLastColumn="0"/>
            <w:tcW w:w="1077" w:type="dxa"/>
          </w:tcPr>
          <w:p w14:paraId="4A445683" w14:textId="77777777" w:rsidR="00AE4C75" w:rsidRPr="00D6403A" w:rsidRDefault="00AE4C75" w:rsidP="00AE4C75">
            <w:pPr>
              <w:pStyle w:val="Tabletext"/>
              <w:rPr>
                <w:lang w:val="en-US"/>
              </w:rPr>
            </w:pPr>
            <w:r w:rsidRPr="00D6403A">
              <w:rPr>
                <w:lang w:val="en-US"/>
              </w:rPr>
              <w:t>73.1%</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3AB7BD67" w14:textId="77777777" w:rsidR="00AE4C75" w:rsidRPr="00D6403A" w:rsidRDefault="00AE4C75" w:rsidP="00AE4C75">
            <w:pPr>
              <w:pStyle w:val="Tabletext"/>
              <w:rPr>
                <w:lang w:val="en-US"/>
              </w:rPr>
            </w:pPr>
            <w:r w:rsidRPr="00D6403A">
              <w:rPr>
                <w:lang w:val="en-US"/>
              </w:rPr>
              <w:t>74.2%</w:t>
            </w:r>
          </w:p>
        </w:tc>
        <w:tc>
          <w:tcPr>
            <w:cnfStyle w:val="000001000000" w:firstRow="0" w:lastRow="0" w:firstColumn="0" w:lastColumn="0" w:oddVBand="0" w:evenVBand="1" w:oddHBand="0" w:evenHBand="0" w:firstRowFirstColumn="0" w:firstRowLastColumn="0" w:lastRowFirstColumn="0" w:lastRowLastColumn="0"/>
            <w:tcW w:w="1077" w:type="dxa"/>
          </w:tcPr>
          <w:p w14:paraId="35E9DBC8" w14:textId="77777777" w:rsidR="00AE4C75" w:rsidRPr="00D6403A" w:rsidRDefault="00AE4C75" w:rsidP="00AE4C75">
            <w:pPr>
              <w:pStyle w:val="Tabletext"/>
              <w:rPr>
                <w:lang w:val="en-US"/>
              </w:rPr>
            </w:pPr>
            <w:r w:rsidRPr="00D6403A">
              <w:rPr>
                <w:lang w:val="en-US"/>
              </w:rPr>
              <w:t>76.6%</w:t>
            </w:r>
          </w:p>
        </w:tc>
        <w:tc>
          <w:tcPr>
            <w:cnfStyle w:val="000010000000" w:firstRow="0" w:lastRow="0" w:firstColumn="0" w:lastColumn="0" w:oddVBand="1" w:evenVBand="0" w:oddHBand="0" w:evenHBand="0" w:firstRowFirstColumn="0" w:firstRowLastColumn="0" w:lastRowFirstColumn="0" w:lastRowLastColumn="0"/>
            <w:tcW w:w="1078" w:type="dxa"/>
          </w:tcPr>
          <w:p w14:paraId="67A14672" w14:textId="77777777" w:rsidR="00AE4C75" w:rsidRPr="00D6403A" w:rsidRDefault="00AE4C75" w:rsidP="00AE4C75">
            <w:pPr>
              <w:pStyle w:val="Tabletext"/>
              <w:rPr>
                <w:lang w:val="en-US"/>
              </w:rPr>
            </w:pPr>
            <w:r w:rsidRPr="00D6403A">
              <w:rPr>
                <w:lang w:val="en-US"/>
              </w:rPr>
              <w:t>65.4%</w:t>
            </w:r>
          </w:p>
        </w:tc>
        <w:tc>
          <w:tcPr>
            <w:cnfStyle w:val="000001000000" w:firstRow="0" w:lastRow="0" w:firstColumn="0" w:lastColumn="0" w:oddVBand="0" w:evenVBand="1" w:oddHBand="0" w:evenHBand="0" w:firstRowFirstColumn="0" w:firstRowLastColumn="0" w:lastRowFirstColumn="0" w:lastRowLastColumn="0"/>
            <w:tcW w:w="1190" w:type="dxa"/>
          </w:tcPr>
          <w:p w14:paraId="3118657F" w14:textId="77777777" w:rsidR="00AE4C75" w:rsidRPr="00D6403A" w:rsidRDefault="00AE4C75" w:rsidP="00AE4C75">
            <w:pPr>
              <w:pStyle w:val="Tabletext"/>
              <w:rPr>
                <w:lang w:val="en-US"/>
              </w:rPr>
            </w:pPr>
            <w:r w:rsidRPr="00D6403A">
              <w:rPr>
                <w:lang w:val="en-US"/>
              </w:rPr>
              <w:t>71.3%</w:t>
            </w:r>
          </w:p>
        </w:tc>
        <w:tc>
          <w:tcPr>
            <w:cnfStyle w:val="000010000000" w:firstRow="0" w:lastRow="0" w:firstColumn="0" w:lastColumn="0" w:oddVBand="1" w:evenVBand="0" w:oddHBand="0" w:evenHBand="0" w:firstRowFirstColumn="0" w:firstRowLastColumn="0" w:lastRowFirstColumn="0" w:lastRowLastColumn="0"/>
            <w:tcW w:w="1191" w:type="dxa"/>
          </w:tcPr>
          <w:p w14:paraId="0FFA8A10" w14:textId="77777777" w:rsidR="00AE4C75" w:rsidRPr="00D6403A" w:rsidRDefault="00AE4C75" w:rsidP="00AE4C75">
            <w:pPr>
              <w:pStyle w:val="Tabletext"/>
              <w:rPr>
                <w:lang w:val="en-US"/>
              </w:rPr>
            </w:pPr>
            <w:r w:rsidRPr="00D6403A">
              <w:rPr>
                <w:lang w:val="en-US"/>
              </w:rPr>
              <w:t>85.4%</w:t>
            </w:r>
          </w:p>
        </w:tc>
      </w:tr>
      <w:tr w:rsidR="00AE4C75" w:rsidRPr="00D6403A" w14:paraId="057E81B9"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3C7A225B" w14:textId="44940B8A" w:rsidR="00AE4C75" w:rsidRPr="005C596A" w:rsidRDefault="00AE4C75" w:rsidP="00AE4C75">
            <w:pPr>
              <w:pStyle w:val="Tabletext"/>
              <w:jc w:val="left"/>
              <w:rPr>
                <w:rFonts w:cstheme="minorHAnsi"/>
                <w:b/>
                <w:color w:val="000000"/>
                <w:lang w:val="en-US"/>
              </w:rPr>
            </w:pPr>
            <w:r w:rsidRPr="005C596A">
              <w:rPr>
                <w:rFonts w:cstheme="minorHAnsi"/>
                <w:b/>
                <w:lang w:val="en-US"/>
              </w:rPr>
              <w:t>9</w:t>
            </w:r>
            <w:r w:rsidRPr="005C596A">
              <w:rPr>
                <w:rFonts w:cstheme="minorHAnsi"/>
                <w:b/>
                <w:color w:val="000000"/>
                <w:lang w:val="en-US"/>
              </w:rPr>
              <w:t xml:space="preserve"> </w:t>
            </w:r>
            <w:r w:rsidRPr="005C596A">
              <w:rPr>
                <w:rFonts w:cstheme="minorHAnsi"/>
                <w:lang w:val="en-US"/>
              </w:rPr>
              <w:t>Rate of women attending their first antenatal visit prior to 12 weeks’ gestation</w:t>
            </w:r>
          </w:p>
        </w:tc>
        <w:tc>
          <w:tcPr>
            <w:cnfStyle w:val="000001000000" w:firstRow="0" w:lastRow="0" w:firstColumn="0" w:lastColumn="0" w:oddVBand="0" w:evenVBand="1" w:oddHBand="0" w:evenHBand="0" w:firstRowFirstColumn="0" w:firstRowLastColumn="0" w:lastRowFirstColumn="0" w:lastRowLastColumn="0"/>
            <w:tcW w:w="1077" w:type="dxa"/>
          </w:tcPr>
          <w:p w14:paraId="3484C5E4" w14:textId="77777777" w:rsidR="00AE4C75" w:rsidRPr="00D6403A" w:rsidRDefault="00AE4C75" w:rsidP="00AE4C75">
            <w:pPr>
              <w:pStyle w:val="Tabletext"/>
              <w:rPr>
                <w:lang w:val="en-US"/>
              </w:rPr>
            </w:pPr>
            <w:r w:rsidRPr="00D6403A">
              <w:rPr>
                <w:lang w:val="en-US"/>
              </w:rPr>
              <w:t>73.6%</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64A88495" w14:textId="77777777" w:rsidR="00AE4C75" w:rsidRPr="00D6403A" w:rsidRDefault="00AE4C75" w:rsidP="00AE4C75">
            <w:pPr>
              <w:pStyle w:val="Tabletext"/>
              <w:rPr>
                <w:lang w:val="en-US"/>
              </w:rPr>
            </w:pPr>
            <w:r w:rsidRPr="00D6403A">
              <w:rPr>
                <w:lang w:val="en-US"/>
              </w:rPr>
              <w:t>76.5%</w:t>
            </w:r>
          </w:p>
        </w:tc>
        <w:tc>
          <w:tcPr>
            <w:cnfStyle w:val="000001000000" w:firstRow="0" w:lastRow="0" w:firstColumn="0" w:lastColumn="0" w:oddVBand="0" w:evenVBand="1" w:oddHBand="0" w:evenHBand="0" w:firstRowFirstColumn="0" w:firstRowLastColumn="0" w:lastRowFirstColumn="0" w:lastRowLastColumn="0"/>
            <w:tcW w:w="1077" w:type="dxa"/>
          </w:tcPr>
          <w:p w14:paraId="2FF33048" w14:textId="77777777" w:rsidR="00AE4C75" w:rsidRPr="00D6403A" w:rsidRDefault="00AE4C75" w:rsidP="00AE4C75">
            <w:pPr>
              <w:pStyle w:val="Tabletext"/>
              <w:rPr>
                <w:lang w:val="en-US"/>
              </w:rPr>
            </w:pPr>
            <w:r w:rsidRPr="00D6403A">
              <w:rPr>
                <w:lang w:val="en-US"/>
              </w:rPr>
              <w:t>73.4%</w:t>
            </w:r>
          </w:p>
        </w:tc>
        <w:tc>
          <w:tcPr>
            <w:cnfStyle w:val="000010000000" w:firstRow="0" w:lastRow="0" w:firstColumn="0" w:lastColumn="0" w:oddVBand="1" w:evenVBand="0" w:oddHBand="0" w:evenHBand="0" w:firstRowFirstColumn="0" w:firstRowLastColumn="0" w:lastRowFirstColumn="0" w:lastRowLastColumn="0"/>
            <w:tcW w:w="1078" w:type="dxa"/>
          </w:tcPr>
          <w:p w14:paraId="1F900011" w14:textId="77777777" w:rsidR="00AE4C75" w:rsidRPr="00D6403A" w:rsidRDefault="00AE4C75" w:rsidP="00AE4C75">
            <w:pPr>
              <w:pStyle w:val="Tabletext"/>
              <w:rPr>
                <w:lang w:val="en-US"/>
              </w:rPr>
            </w:pPr>
            <w:r w:rsidRPr="00D6403A">
              <w:rPr>
                <w:lang w:val="en-US"/>
              </w:rPr>
              <w:t>87.6%</w:t>
            </w:r>
          </w:p>
        </w:tc>
        <w:tc>
          <w:tcPr>
            <w:cnfStyle w:val="000001000000" w:firstRow="0" w:lastRow="0" w:firstColumn="0" w:lastColumn="0" w:oddVBand="0" w:evenVBand="1" w:oddHBand="0" w:evenHBand="0" w:firstRowFirstColumn="0" w:firstRowLastColumn="0" w:lastRowFirstColumn="0" w:lastRowLastColumn="0"/>
            <w:tcW w:w="1190" w:type="dxa"/>
          </w:tcPr>
          <w:p w14:paraId="725F51B5" w14:textId="77777777" w:rsidR="00AE4C75" w:rsidRPr="00D6403A" w:rsidRDefault="00AE4C75" w:rsidP="00AE4C75">
            <w:pPr>
              <w:pStyle w:val="Tabletext"/>
              <w:rPr>
                <w:lang w:val="en-US"/>
              </w:rPr>
            </w:pPr>
            <w:r w:rsidRPr="00D6403A">
              <w:rPr>
                <w:lang w:val="en-US"/>
              </w:rPr>
              <w:t>73.3%</w:t>
            </w:r>
          </w:p>
        </w:tc>
        <w:tc>
          <w:tcPr>
            <w:cnfStyle w:val="000010000000" w:firstRow="0" w:lastRow="0" w:firstColumn="0" w:lastColumn="0" w:oddVBand="1" w:evenVBand="0" w:oddHBand="0" w:evenHBand="0" w:firstRowFirstColumn="0" w:firstRowLastColumn="0" w:lastRowFirstColumn="0" w:lastRowLastColumn="0"/>
            <w:tcW w:w="1191" w:type="dxa"/>
          </w:tcPr>
          <w:p w14:paraId="4DCE7C2C" w14:textId="77777777" w:rsidR="00AE4C75" w:rsidRPr="00D6403A" w:rsidRDefault="00AE4C75" w:rsidP="00AE4C75">
            <w:pPr>
              <w:pStyle w:val="Tabletext"/>
              <w:rPr>
                <w:lang w:val="en-US"/>
              </w:rPr>
            </w:pPr>
            <w:r w:rsidRPr="00D6403A">
              <w:rPr>
                <w:lang w:val="en-US"/>
              </w:rPr>
              <w:t>90.4%</w:t>
            </w:r>
          </w:p>
        </w:tc>
      </w:tr>
      <w:tr w:rsidR="00AE4C75" w:rsidRPr="00D6403A" w14:paraId="018D956E"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6EC4A0DB" w14:textId="2D64CB7C" w:rsidR="00AE4C75" w:rsidRPr="005C596A" w:rsidRDefault="00AE4C75" w:rsidP="00AE4C75">
            <w:pPr>
              <w:pStyle w:val="Tabletext"/>
              <w:jc w:val="left"/>
              <w:rPr>
                <w:rFonts w:cstheme="minorHAnsi"/>
                <w:b/>
                <w:color w:val="000000"/>
                <w:lang w:val="en-US"/>
              </w:rPr>
            </w:pPr>
            <w:r w:rsidRPr="005C596A">
              <w:rPr>
                <w:rFonts w:cstheme="minorHAnsi"/>
                <w:b/>
                <w:lang w:val="en-US"/>
              </w:rPr>
              <w:t>10</w:t>
            </w:r>
            <w:r w:rsidRPr="005C596A">
              <w:rPr>
                <w:rFonts w:cstheme="minorHAnsi"/>
                <w:b/>
                <w:color w:val="000000"/>
                <w:lang w:val="en-US"/>
              </w:rPr>
              <w:t xml:space="preserve"> </w:t>
            </w:r>
            <w:r w:rsidRPr="005C596A">
              <w:rPr>
                <w:rFonts w:cstheme="minorHAnsi"/>
                <w:lang w:val="en-US"/>
              </w:rPr>
              <w:t>Rate of term babies without congenital anomalies with an Apgar score &lt; 7 at 5 minutes</w:t>
            </w:r>
          </w:p>
        </w:tc>
        <w:tc>
          <w:tcPr>
            <w:cnfStyle w:val="000001000000" w:firstRow="0" w:lastRow="0" w:firstColumn="0" w:lastColumn="0" w:oddVBand="0" w:evenVBand="1" w:oddHBand="0" w:evenHBand="0" w:firstRowFirstColumn="0" w:firstRowLastColumn="0" w:lastRowFirstColumn="0" w:lastRowLastColumn="0"/>
            <w:tcW w:w="1077" w:type="dxa"/>
          </w:tcPr>
          <w:p w14:paraId="085BD345" w14:textId="77777777" w:rsidR="00AE4C75" w:rsidRPr="00D6403A" w:rsidRDefault="00AE4C75" w:rsidP="00AE4C75">
            <w:pPr>
              <w:pStyle w:val="Tabletext"/>
              <w:rPr>
                <w:lang w:val="en-US"/>
              </w:rPr>
            </w:pPr>
            <w:r w:rsidRPr="00D6403A">
              <w:rPr>
                <w:lang w:val="en-US"/>
              </w:rPr>
              <w:t>1.2%</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45C4AC26" w14:textId="77777777" w:rsidR="00AE4C75" w:rsidRPr="00D6403A" w:rsidRDefault="00AE4C75" w:rsidP="00AE4C75">
            <w:pPr>
              <w:pStyle w:val="Tabletext"/>
              <w:rPr>
                <w:lang w:val="en-US"/>
              </w:rPr>
            </w:pPr>
            <w:r w:rsidRPr="00D6403A">
              <w:rPr>
                <w:lang w:val="en-US"/>
              </w:rPr>
              <w:t>1.2%</w:t>
            </w:r>
          </w:p>
        </w:tc>
        <w:tc>
          <w:tcPr>
            <w:cnfStyle w:val="000001000000" w:firstRow="0" w:lastRow="0" w:firstColumn="0" w:lastColumn="0" w:oddVBand="0" w:evenVBand="1" w:oddHBand="0" w:evenHBand="0" w:firstRowFirstColumn="0" w:firstRowLastColumn="0" w:lastRowFirstColumn="0" w:lastRowLastColumn="0"/>
            <w:tcW w:w="1077" w:type="dxa"/>
          </w:tcPr>
          <w:p w14:paraId="250CFC7B" w14:textId="77777777" w:rsidR="00AE4C75" w:rsidRPr="00D6403A" w:rsidRDefault="00AE4C75" w:rsidP="00AE4C75">
            <w:pPr>
              <w:pStyle w:val="Tabletext"/>
              <w:rPr>
                <w:lang w:val="en-US"/>
              </w:rPr>
            </w:pPr>
            <w:r w:rsidRPr="00D6403A">
              <w:rPr>
                <w:lang w:val="en-US"/>
              </w:rPr>
              <w:t>1.3%</w:t>
            </w:r>
          </w:p>
        </w:tc>
        <w:tc>
          <w:tcPr>
            <w:cnfStyle w:val="000010000000" w:firstRow="0" w:lastRow="0" w:firstColumn="0" w:lastColumn="0" w:oddVBand="1" w:evenVBand="0" w:oddHBand="0" w:evenHBand="0" w:firstRowFirstColumn="0" w:firstRowLastColumn="0" w:lastRowFirstColumn="0" w:lastRowLastColumn="0"/>
            <w:tcW w:w="1078" w:type="dxa"/>
          </w:tcPr>
          <w:p w14:paraId="7E3EC9E1" w14:textId="77777777" w:rsidR="00AE4C75" w:rsidRPr="00D6403A" w:rsidRDefault="00AE4C75" w:rsidP="00AE4C75">
            <w:pPr>
              <w:pStyle w:val="Tabletext"/>
              <w:rPr>
                <w:lang w:val="en-US"/>
              </w:rPr>
            </w:pPr>
            <w:r w:rsidRPr="00D6403A">
              <w:rPr>
                <w:lang w:val="en-US"/>
              </w:rPr>
              <w:t>0.9%</w:t>
            </w:r>
          </w:p>
        </w:tc>
        <w:tc>
          <w:tcPr>
            <w:cnfStyle w:val="000001000000" w:firstRow="0" w:lastRow="0" w:firstColumn="0" w:lastColumn="0" w:oddVBand="0" w:evenVBand="1" w:oddHBand="0" w:evenHBand="0" w:firstRowFirstColumn="0" w:firstRowLastColumn="0" w:lastRowFirstColumn="0" w:lastRowLastColumn="0"/>
            <w:tcW w:w="1190" w:type="dxa"/>
          </w:tcPr>
          <w:p w14:paraId="49D3BCB7" w14:textId="77777777" w:rsidR="00AE4C75" w:rsidRPr="00D6403A" w:rsidRDefault="00AE4C75" w:rsidP="00AE4C75">
            <w:pPr>
              <w:pStyle w:val="Tabletext"/>
              <w:rPr>
                <w:lang w:val="en-US"/>
              </w:rPr>
            </w:pPr>
            <w:r w:rsidRPr="00D6403A">
              <w:rPr>
                <w:lang w:val="en-US"/>
              </w:rPr>
              <w:t>1.5%</w:t>
            </w:r>
          </w:p>
        </w:tc>
        <w:tc>
          <w:tcPr>
            <w:cnfStyle w:val="000010000000" w:firstRow="0" w:lastRow="0" w:firstColumn="0" w:lastColumn="0" w:oddVBand="1" w:evenVBand="0" w:oddHBand="0" w:evenHBand="0" w:firstRowFirstColumn="0" w:firstRowLastColumn="0" w:lastRowFirstColumn="0" w:lastRowLastColumn="0"/>
            <w:tcW w:w="1191" w:type="dxa"/>
          </w:tcPr>
          <w:p w14:paraId="5AFB9B9C" w14:textId="77777777" w:rsidR="00AE4C75" w:rsidRPr="00D6403A" w:rsidRDefault="00AE4C75" w:rsidP="00AE4C75">
            <w:pPr>
              <w:pStyle w:val="Tabletext"/>
              <w:rPr>
                <w:lang w:val="en-US"/>
              </w:rPr>
            </w:pPr>
            <w:r w:rsidRPr="00D6403A">
              <w:rPr>
                <w:lang w:val="en-US"/>
              </w:rPr>
              <w:t>0.8%</w:t>
            </w:r>
          </w:p>
        </w:tc>
      </w:tr>
      <w:tr w:rsidR="00AE4C75" w:rsidRPr="00D6403A" w14:paraId="4586E4A0"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31F40059" w14:textId="2D747AF2" w:rsidR="00AE4C75" w:rsidRPr="005C596A" w:rsidRDefault="00AE4C75" w:rsidP="00AE4C75">
            <w:pPr>
              <w:pStyle w:val="Tabletext"/>
              <w:jc w:val="left"/>
              <w:rPr>
                <w:rFonts w:cstheme="minorHAnsi"/>
                <w:b/>
                <w:color w:val="000000"/>
                <w:lang w:val="en-US"/>
              </w:rPr>
            </w:pPr>
            <w:r w:rsidRPr="005C596A">
              <w:rPr>
                <w:rFonts w:cstheme="minorHAnsi"/>
                <w:b/>
                <w:lang w:val="en-US"/>
              </w:rPr>
              <w:t>11a</w:t>
            </w:r>
            <w:r w:rsidRPr="005C596A">
              <w:rPr>
                <w:rFonts w:cstheme="minorHAnsi"/>
                <w:b/>
                <w:color w:val="000000"/>
                <w:lang w:val="en-US"/>
              </w:rPr>
              <w:t xml:space="preserve"> </w:t>
            </w:r>
            <w:r w:rsidRPr="005C596A">
              <w:rPr>
                <w:rFonts w:cstheme="minorHAnsi"/>
                <w:lang w:val="en-US"/>
              </w:rPr>
              <w:t>Rate of women who felt involved as much as they wanted to be in making decisions about their care*</w:t>
            </w:r>
          </w:p>
        </w:tc>
        <w:tc>
          <w:tcPr>
            <w:cnfStyle w:val="000001000000" w:firstRow="0" w:lastRow="0" w:firstColumn="0" w:lastColumn="0" w:oddVBand="0" w:evenVBand="1" w:oddHBand="0" w:evenHBand="0" w:firstRowFirstColumn="0" w:firstRowLastColumn="0" w:lastRowFirstColumn="0" w:lastRowLastColumn="0"/>
            <w:tcW w:w="1077" w:type="dxa"/>
          </w:tcPr>
          <w:p w14:paraId="78BE1EE6" w14:textId="77777777" w:rsidR="00AE4C75" w:rsidRPr="00D6403A" w:rsidRDefault="00AE4C75" w:rsidP="00AE4C75">
            <w:pPr>
              <w:pStyle w:val="Tabletext"/>
              <w:rPr>
                <w:lang w:val="en-US"/>
              </w:rPr>
            </w:pPr>
            <w:r w:rsidRPr="00D6403A">
              <w:rPr>
                <w:lang w:val="en-US"/>
              </w:rPr>
              <w:t>NA</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30B44778"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077" w:type="dxa"/>
          </w:tcPr>
          <w:p w14:paraId="0F2683AA" w14:textId="77777777" w:rsidR="00AE4C75" w:rsidRPr="00D6403A" w:rsidRDefault="00AE4C75" w:rsidP="00AE4C75">
            <w:pPr>
              <w:pStyle w:val="Tabletext"/>
              <w:rPr>
                <w:lang w:val="en-US"/>
              </w:rPr>
            </w:pPr>
            <w:r w:rsidRPr="00D6403A">
              <w:rPr>
                <w:lang w:val="en-US"/>
              </w:rPr>
              <w:t>71.2%</w:t>
            </w:r>
          </w:p>
        </w:tc>
        <w:tc>
          <w:tcPr>
            <w:cnfStyle w:val="000010000000" w:firstRow="0" w:lastRow="0" w:firstColumn="0" w:lastColumn="0" w:oddVBand="1" w:evenVBand="0" w:oddHBand="0" w:evenHBand="0" w:firstRowFirstColumn="0" w:firstRowLastColumn="0" w:lastRowFirstColumn="0" w:lastRowLastColumn="0"/>
            <w:tcW w:w="1078" w:type="dxa"/>
          </w:tcPr>
          <w:p w14:paraId="5395C5A8"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190" w:type="dxa"/>
          </w:tcPr>
          <w:p w14:paraId="33CCA103" w14:textId="77777777" w:rsidR="00AE4C75" w:rsidRPr="00D6403A" w:rsidRDefault="00AE4C75" w:rsidP="00AE4C75">
            <w:pPr>
              <w:pStyle w:val="Tabletext"/>
              <w:rPr>
                <w:lang w:val="en-US"/>
              </w:rPr>
            </w:pPr>
            <w:r w:rsidRPr="00D6403A">
              <w:rPr>
                <w:lang w:val="en-US"/>
              </w:rPr>
              <w:t>NA</w:t>
            </w:r>
          </w:p>
        </w:tc>
        <w:tc>
          <w:tcPr>
            <w:cnfStyle w:val="000010000000" w:firstRow="0" w:lastRow="0" w:firstColumn="0" w:lastColumn="0" w:oddVBand="1" w:evenVBand="0" w:oddHBand="0" w:evenHBand="0" w:firstRowFirstColumn="0" w:firstRowLastColumn="0" w:lastRowFirstColumn="0" w:lastRowLastColumn="0"/>
            <w:tcW w:w="1191" w:type="dxa"/>
          </w:tcPr>
          <w:p w14:paraId="4C49C7E8" w14:textId="77777777" w:rsidR="00AE4C75" w:rsidRPr="00D6403A" w:rsidRDefault="00AE4C75" w:rsidP="00AE4C75">
            <w:pPr>
              <w:pStyle w:val="Tabletext"/>
              <w:rPr>
                <w:lang w:val="en-US"/>
              </w:rPr>
            </w:pPr>
            <w:r w:rsidRPr="00D6403A">
              <w:rPr>
                <w:lang w:val="en-US"/>
              </w:rPr>
              <w:t>NA</w:t>
            </w:r>
          </w:p>
        </w:tc>
      </w:tr>
      <w:tr w:rsidR="00AE4C75" w:rsidRPr="00D6403A" w14:paraId="1679A44A"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377DA7C6" w14:textId="6FFFF2EB" w:rsidR="00AE4C75" w:rsidRPr="005C596A" w:rsidRDefault="00AE4C75" w:rsidP="00AE4C75">
            <w:pPr>
              <w:pStyle w:val="Tabletext"/>
              <w:jc w:val="left"/>
              <w:rPr>
                <w:rFonts w:cstheme="minorHAnsi"/>
                <w:b/>
                <w:color w:val="000000"/>
                <w:lang w:val="en-US"/>
              </w:rPr>
            </w:pPr>
            <w:r w:rsidRPr="005C596A">
              <w:rPr>
                <w:rFonts w:cstheme="minorHAnsi"/>
                <w:b/>
                <w:lang w:val="en-US"/>
              </w:rPr>
              <w:t>11b</w:t>
            </w:r>
            <w:r w:rsidRPr="005C596A">
              <w:rPr>
                <w:rFonts w:cstheme="minorHAnsi"/>
                <w:b/>
                <w:color w:val="000000"/>
                <w:lang w:val="en-US"/>
              </w:rPr>
              <w:t xml:space="preserve"> </w:t>
            </w:r>
            <w:r w:rsidRPr="005C596A">
              <w:rPr>
                <w:rFonts w:cstheme="minorHAnsi"/>
                <w:lang w:val="en-US"/>
              </w:rPr>
              <w:t>Rate of women who felt that staff gave them active support and encouragement to feed their baby in the way they wanted to*</w:t>
            </w:r>
          </w:p>
        </w:tc>
        <w:tc>
          <w:tcPr>
            <w:cnfStyle w:val="000001000000" w:firstRow="0" w:lastRow="0" w:firstColumn="0" w:lastColumn="0" w:oddVBand="0" w:evenVBand="1" w:oddHBand="0" w:evenHBand="0" w:firstRowFirstColumn="0" w:firstRowLastColumn="0" w:lastRowFirstColumn="0" w:lastRowLastColumn="0"/>
            <w:tcW w:w="1077" w:type="dxa"/>
          </w:tcPr>
          <w:p w14:paraId="6A9A350A" w14:textId="77777777" w:rsidR="00AE4C75" w:rsidRPr="00D6403A" w:rsidRDefault="00AE4C75" w:rsidP="00AE4C75">
            <w:pPr>
              <w:pStyle w:val="Tabletext"/>
              <w:rPr>
                <w:lang w:val="en-US"/>
              </w:rPr>
            </w:pPr>
            <w:r w:rsidRPr="00D6403A">
              <w:rPr>
                <w:lang w:val="en-US"/>
              </w:rPr>
              <w:t>NA</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38F19FDE"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077" w:type="dxa"/>
          </w:tcPr>
          <w:p w14:paraId="288EDC52" w14:textId="77777777" w:rsidR="00AE4C75" w:rsidRPr="00D6403A" w:rsidRDefault="00AE4C75" w:rsidP="00AE4C75">
            <w:pPr>
              <w:pStyle w:val="Tabletext"/>
              <w:rPr>
                <w:lang w:val="en-US"/>
              </w:rPr>
            </w:pPr>
            <w:r w:rsidRPr="00D6403A">
              <w:rPr>
                <w:lang w:val="en-US"/>
              </w:rPr>
              <w:t>87.2%</w:t>
            </w:r>
          </w:p>
        </w:tc>
        <w:tc>
          <w:tcPr>
            <w:cnfStyle w:val="000010000000" w:firstRow="0" w:lastRow="0" w:firstColumn="0" w:lastColumn="0" w:oddVBand="1" w:evenVBand="0" w:oddHBand="0" w:evenHBand="0" w:firstRowFirstColumn="0" w:firstRowLastColumn="0" w:lastRowFirstColumn="0" w:lastRowLastColumn="0"/>
            <w:tcW w:w="1078" w:type="dxa"/>
          </w:tcPr>
          <w:p w14:paraId="0BA6F302" w14:textId="77777777" w:rsidR="00AE4C75" w:rsidRPr="00D6403A" w:rsidRDefault="00AE4C75"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190" w:type="dxa"/>
          </w:tcPr>
          <w:p w14:paraId="1EC55691" w14:textId="77777777" w:rsidR="00AE4C75" w:rsidRPr="00D6403A" w:rsidRDefault="00AE4C75" w:rsidP="00AE4C75">
            <w:pPr>
              <w:pStyle w:val="Tabletext"/>
              <w:rPr>
                <w:lang w:val="en-US"/>
              </w:rPr>
            </w:pPr>
            <w:r w:rsidRPr="00D6403A">
              <w:rPr>
                <w:lang w:val="en-US"/>
              </w:rPr>
              <w:t>NA</w:t>
            </w:r>
          </w:p>
        </w:tc>
        <w:tc>
          <w:tcPr>
            <w:cnfStyle w:val="000010000000" w:firstRow="0" w:lastRow="0" w:firstColumn="0" w:lastColumn="0" w:oddVBand="1" w:evenVBand="0" w:oddHBand="0" w:evenHBand="0" w:firstRowFirstColumn="0" w:firstRowLastColumn="0" w:lastRowFirstColumn="0" w:lastRowLastColumn="0"/>
            <w:tcW w:w="1191" w:type="dxa"/>
          </w:tcPr>
          <w:p w14:paraId="1396AD0E" w14:textId="77777777" w:rsidR="00AE4C75" w:rsidRPr="00D6403A" w:rsidRDefault="00AE4C75" w:rsidP="00AE4C75">
            <w:pPr>
              <w:pStyle w:val="Tabletext"/>
              <w:rPr>
                <w:lang w:val="en-US"/>
              </w:rPr>
            </w:pPr>
            <w:r w:rsidRPr="00D6403A">
              <w:rPr>
                <w:lang w:val="en-US"/>
              </w:rPr>
              <w:t>NA</w:t>
            </w:r>
          </w:p>
        </w:tc>
      </w:tr>
      <w:tr w:rsidR="00AE4C75" w:rsidRPr="00D6403A" w14:paraId="5CB5681C"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4E55D2CB" w14:textId="2B4E528A" w:rsidR="00AE4C75" w:rsidRPr="005C596A" w:rsidRDefault="00AE4C75" w:rsidP="00AE4C75">
            <w:pPr>
              <w:pStyle w:val="Tabletext"/>
              <w:jc w:val="left"/>
              <w:rPr>
                <w:rFonts w:cstheme="minorHAnsi"/>
                <w:b/>
                <w:color w:val="000000"/>
                <w:lang w:val="en-US"/>
              </w:rPr>
            </w:pPr>
            <w:r w:rsidRPr="005C596A">
              <w:rPr>
                <w:rFonts w:cstheme="minorHAnsi"/>
                <w:b/>
                <w:lang w:val="en-US"/>
              </w:rPr>
              <w:t>12a</w:t>
            </w:r>
            <w:r w:rsidRPr="005C596A">
              <w:rPr>
                <w:rFonts w:cstheme="minorHAnsi"/>
                <w:b/>
                <w:color w:val="000000"/>
                <w:lang w:val="en-US"/>
              </w:rPr>
              <w:t xml:space="preserve"> </w:t>
            </w:r>
            <w:r w:rsidRPr="005C596A">
              <w:rPr>
                <w:rFonts w:cstheme="minorHAnsi"/>
                <w:lang w:val="en-US"/>
              </w:rPr>
              <w:t>Rate of women vaccinated for pertussis during pregnancy</w:t>
            </w:r>
          </w:p>
        </w:tc>
        <w:tc>
          <w:tcPr>
            <w:cnfStyle w:val="000001000000" w:firstRow="0" w:lastRow="0" w:firstColumn="0" w:lastColumn="0" w:oddVBand="0" w:evenVBand="1" w:oddHBand="0" w:evenHBand="0" w:firstRowFirstColumn="0" w:firstRowLastColumn="0" w:lastRowFirstColumn="0" w:lastRowLastColumn="0"/>
            <w:tcW w:w="1077" w:type="dxa"/>
          </w:tcPr>
          <w:p w14:paraId="4D84A3F7" w14:textId="77777777" w:rsidR="00AE4C75" w:rsidRPr="00D6403A" w:rsidRDefault="00AE4C75" w:rsidP="00AE4C75">
            <w:pPr>
              <w:pStyle w:val="Tabletext"/>
              <w:rPr>
                <w:lang w:val="en-US"/>
              </w:rPr>
            </w:pPr>
            <w:r w:rsidRPr="00D6403A">
              <w:rPr>
                <w:lang w:val="en-US"/>
              </w:rPr>
              <w:t>84.3%</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74931BFC" w14:textId="77777777" w:rsidR="00AE4C75" w:rsidRPr="00D6403A" w:rsidRDefault="00AE4C75" w:rsidP="00AE4C75">
            <w:pPr>
              <w:pStyle w:val="Tabletext"/>
              <w:rPr>
                <w:lang w:val="en-US"/>
              </w:rPr>
            </w:pPr>
            <w:r w:rsidRPr="00D6403A">
              <w:rPr>
                <w:lang w:val="en-US"/>
              </w:rPr>
              <w:t>81.4%</w:t>
            </w:r>
          </w:p>
        </w:tc>
        <w:tc>
          <w:tcPr>
            <w:cnfStyle w:val="000001000000" w:firstRow="0" w:lastRow="0" w:firstColumn="0" w:lastColumn="0" w:oddVBand="0" w:evenVBand="1" w:oddHBand="0" w:evenHBand="0" w:firstRowFirstColumn="0" w:firstRowLastColumn="0" w:lastRowFirstColumn="0" w:lastRowLastColumn="0"/>
            <w:tcW w:w="1077" w:type="dxa"/>
          </w:tcPr>
          <w:p w14:paraId="4AA589E8" w14:textId="77777777" w:rsidR="00AE4C75" w:rsidRPr="00D6403A" w:rsidRDefault="00AE4C75" w:rsidP="00AE4C75">
            <w:pPr>
              <w:pStyle w:val="Tabletext"/>
              <w:rPr>
                <w:lang w:val="en-US"/>
              </w:rPr>
            </w:pPr>
            <w:r w:rsidRPr="00D6403A">
              <w:rPr>
                <w:lang w:val="en-US"/>
              </w:rPr>
              <w:t>87.3%</w:t>
            </w:r>
          </w:p>
        </w:tc>
        <w:tc>
          <w:tcPr>
            <w:cnfStyle w:val="000010000000" w:firstRow="0" w:lastRow="0" w:firstColumn="0" w:lastColumn="0" w:oddVBand="1" w:evenVBand="0" w:oddHBand="0" w:evenHBand="0" w:firstRowFirstColumn="0" w:firstRowLastColumn="0" w:lastRowFirstColumn="0" w:lastRowLastColumn="0"/>
            <w:tcW w:w="1078" w:type="dxa"/>
          </w:tcPr>
          <w:p w14:paraId="4BA870C2" w14:textId="77777777" w:rsidR="00AE4C75" w:rsidRPr="00D6403A" w:rsidRDefault="00AE4C75" w:rsidP="00AE4C75">
            <w:pPr>
              <w:pStyle w:val="Tabletext"/>
              <w:rPr>
                <w:lang w:val="en-US"/>
              </w:rPr>
            </w:pPr>
            <w:r w:rsidRPr="00D6403A">
              <w:rPr>
                <w:lang w:val="en-US"/>
              </w:rPr>
              <w:t>62.4%</w:t>
            </w:r>
          </w:p>
        </w:tc>
        <w:tc>
          <w:tcPr>
            <w:cnfStyle w:val="000001000000" w:firstRow="0" w:lastRow="0" w:firstColumn="0" w:lastColumn="0" w:oddVBand="0" w:evenVBand="1" w:oddHBand="0" w:evenHBand="0" w:firstRowFirstColumn="0" w:firstRowLastColumn="0" w:lastRowFirstColumn="0" w:lastRowLastColumn="0"/>
            <w:tcW w:w="1190" w:type="dxa"/>
          </w:tcPr>
          <w:p w14:paraId="17FA9666" w14:textId="77777777" w:rsidR="00AE4C75" w:rsidRPr="00D6403A" w:rsidRDefault="00AE4C75" w:rsidP="00AE4C75">
            <w:pPr>
              <w:pStyle w:val="Tabletext"/>
              <w:rPr>
                <w:lang w:val="en-US"/>
              </w:rPr>
            </w:pPr>
            <w:r w:rsidRPr="00D6403A">
              <w:rPr>
                <w:lang w:val="en-US"/>
              </w:rPr>
              <w:t>89.7%</w:t>
            </w:r>
          </w:p>
        </w:tc>
        <w:tc>
          <w:tcPr>
            <w:cnfStyle w:val="000010000000" w:firstRow="0" w:lastRow="0" w:firstColumn="0" w:lastColumn="0" w:oddVBand="1" w:evenVBand="0" w:oddHBand="0" w:evenHBand="0" w:firstRowFirstColumn="0" w:firstRowLastColumn="0" w:lastRowFirstColumn="0" w:lastRowLastColumn="0"/>
            <w:tcW w:w="1191" w:type="dxa"/>
          </w:tcPr>
          <w:p w14:paraId="03688B52" w14:textId="77777777" w:rsidR="00AE4C75" w:rsidRPr="00D6403A" w:rsidRDefault="00AE4C75" w:rsidP="00AE4C75">
            <w:pPr>
              <w:pStyle w:val="Tabletext"/>
              <w:rPr>
                <w:lang w:val="en-US"/>
              </w:rPr>
            </w:pPr>
            <w:r w:rsidRPr="00D6403A">
              <w:rPr>
                <w:lang w:val="en-US"/>
              </w:rPr>
              <w:t>95.2%</w:t>
            </w:r>
          </w:p>
        </w:tc>
      </w:tr>
      <w:tr w:rsidR="00AE4C75" w:rsidRPr="00D6403A" w14:paraId="347A85FF"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47D00DAD" w14:textId="54404C68" w:rsidR="00AE4C75" w:rsidRPr="005C596A" w:rsidRDefault="00AE4C75" w:rsidP="00AE4C75">
            <w:pPr>
              <w:pStyle w:val="Tabletext"/>
              <w:jc w:val="left"/>
              <w:rPr>
                <w:rFonts w:cstheme="minorHAnsi"/>
                <w:b/>
                <w:color w:val="000000"/>
                <w:lang w:val="en-US"/>
              </w:rPr>
            </w:pPr>
            <w:r w:rsidRPr="005C596A">
              <w:rPr>
                <w:rFonts w:cstheme="minorHAnsi"/>
                <w:b/>
                <w:lang w:val="en-US"/>
              </w:rPr>
              <w:lastRenderedPageBreak/>
              <w:t xml:space="preserve">12b </w:t>
            </w:r>
            <w:r w:rsidRPr="005C596A">
              <w:rPr>
                <w:rFonts w:cstheme="minorHAnsi"/>
                <w:lang w:val="en-US"/>
              </w:rPr>
              <w:t>Rate of women vaccinated for influenza during pregnancy</w:t>
            </w:r>
          </w:p>
        </w:tc>
        <w:tc>
          <w:tcPr>
            <w:cnfStyle w:val="000001000000" w:firstRow="0" w:lastRow="0" w:firstColumn="0" w:lastColumn="0" w:oddVBand="0" w:evenVBand="1" w:oddHBand="0" w:evenHBand="0" w:firstRowFirstColumn="0" w:firstRowLastColumn="0" w:lastRowFirstColumn="0" w:lastRowLastColumn="0"/>
            <w:tcW w:w="1077" w:type="dxa"/>
          </w:tcPr>
          <w:p w14:paraId="13A98263" w14:textId="77777777" w:rsidR="00AE4C75" w:rsidRPr="00D6403A" w:rsidRDefault="00AE4C75" w:rsidP="00AE4C75">
            <w:pPr>
              <w:pStyle w:val="Tabletext"/>
              <w:rPr>
                <w:lang w:val="en-US"/>
              </w:rPr>
            </w:pPr>
            <w:r w:rsidRPr="00D6403A">
              <w:rPr>
                <w:lang w:val="en-US"/>
              </w:rPr>
              <w:t>81.8%</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68FBCFF4" w14:textId="77777777" w:rsidR="00AE4C75" w:rsidRPr="00D6403A" w:rsidRDefault="00AE4C75" w:rsidP="00AE4C75">
            <w:pPr>
              <w:pStyle w:val="Tabletext"/>
              <w:rPr>
                <w:lang w:val="en-US"/>
              </w:rPr>
            </w:pPr>
            <w:r w:rsidRPr="00D6403A">
              <w:rPr>
                <w:lang w:val="en-US"/>
              </w:rPr>
              <w:t>73.7%</w:t>
            </w:r>
          </w:p>
        </w:tc>
        <w:tc>
          <w:tcPr>
            <w:cnfStyle w:val="000001000000" w:firstRow="0" w:lastRow="0" w:firstColumn="0" w:lastColumn="0" w:oddVBand="0" w:evenVBand="1" w:oddHBand="0" w:evenHBand="0" w:firstRowFirstColumn="0" w:firstRowLastColumn="0" w:lastRowFirstColumn="0" w:lastRowLastColumn="0"/>
            <w:tcW w:w="1077" w:type="dxa"/>
          </w:tcPr>
          <w:p w14:paraId="1F65A221" w14:textId="77777777" w:rsidR="00AE4C75" w:rsidRPr="00D6403A" w:rsidRDefault="00AE4C75" w:rsidP="00AE4C75">
            <w:pPr>
              <w:pStyle w:val="Tabletext"/>
              <w:rPr>
                <w:lang w:val="en-US"/>
              </w:rPr>
            </w:pPr>
            <w:r w:rsidRPr="00D6403A">
              <w:rPr>
                <w:lang w:val="en-US"/>
              </w:rPr>
              <w:t>73.7%</w:t>
            </w:r>
          </w:p>
        </w:tc>
        <w:tc>
          <w:tcPr>
            <w:cnfStyle w:val="000010000000" w:firstRow="0" w:lastRow="0" w:firstColumn="0" w:lastColumn="0" w:oddVBand="1" w:evenVBand="0" w:oddHBand="0" w:evenHBand="0" w:firstRowFirstColumn="0" w:firstRowLastColumn="0" w:lastRowFirstColumn="0" w:lastRowLastColumn="0"/>
            <w:tcW w:w="1078" w:type="dxa"/>
          </w:tcPr>
          <w:p w14:paraId="19098157" w14:textId="77777777" w:rsidR="00AE4C75" w:rsidRPr="00D6403A" w:rsidRDefault="00AE4C75" w:rsidP="00AE4C75">
            <w:pPr>
              <w:pStyle w:val="Tabletext"/>
              <w:rPr>
                <w:lang w:val="en-US"/>
              </w:rPr>
            </w:pPr>
            <w:r w:rsidRPr="00D6403A">
              <w:rPr>
                <w:lang w:val="en-US"/>
              </w:rPr>
              <w:t>74.7%</w:t>
            </w:r>
          </w:p>
        </w:tc>
        <w:tc>
          <w:tcPr>
            <w:cnfStyle w:val="000001000000" w:firstRow="0" w:lastRow="0" w:firstColumn="0" w:lastColumn="0" w:oddVBand="0" w:evenVBand="1" w:oddHBand="0" w:evenHBand="0" w:firstRowFirstColumn="0" w:firstRowLastColumn="0" w:lastRowFirstColumn="0" w:lastRowLastColumn="0"/>
            <w:tcW w:w="1190" w:type="dxa"/>
          </w:tcPr>
          <w:p w14:paraId="1CB3A6AC" w14:textId="77777777" w:rsidR="00AE4C75" w:rsidRPr="00D6403A" w:rsidRDefault="00AE4C75" w:rsidP="00AE4C75">
            <w:pPr>
              <w:pStyle w:val="Tabletext"/>
              <w:rPr>
                <w:lang w:val="en-US"/>
              </w:rPr>
            </w:pPr>
            <w:r w:rsidRPr="00D6403A">
              <w:rPr>
                <w:lang w:val="en-US"/>
              </w:rPr>
              <w:t>69.5%</w:t>
            </w:r>
          </w:p>
        </w:tc>
        <w:tc>
          <w:tcPr>
            <w:cnfStyle w:val="000010000000" w:firstRow="0" w:lastRow="0" w:firstColumn="0" w:lastColumn="0" w:oddVBand="1" w:evenVBand="0" w:oddHBand="0" w:evenHBand="0" w:firstRowFirstColumn="0" w:firstRowLastColumn="0" w:lastRowFirstColumn="0" w:lastRowLastColumn="0"/>
            <w:tcW w:w="1191" w:type="dxa"/>
          </w:tcPr>
          <w:p w14:paraId="330DD393" w14:textId="77777777" w:rsidR="00AE4C75" w:rsidRPr="00D6403A" w:rsidRDefault="00AE4C75" w:rsidP="00AE4C75">
            <w:pPr>
              <w:pStyle w:val="Tabletext"/>
              <w:rPr>
                <w:lang w:val="en-US"/>
              </w:rPr>
            </w:pPr>
            <w:r w:rsidRPr="00D6403A">
              <w:rPr>
                <w:lang w:val="en-US"/>
              </w:rPr>
              <w:t>83.1%</w:t>
            </w:r>
          </w:p>
        </w:tc>
      </w:tr>
      <w:tr w:rsidR="00AE4C75" w:rsidRPr="00D6403A" w14:paraId="49AA9AA5" w14:textId="77777777" w:rsidTr="009233EA">
        <w:trPr>
          <w:trHeight w:val="283"/>
        </w:trPr>
        <w:tc>
          <w:tcPr>
            <w:cnfStyle w:val="000010000000" w:firstRow="0" w:lastRow="0" w:firstColumn="0" w:lastColumn="0" w:oddVBand="1" w:evenVBand="0" w:oddHBand="0" w:evenHBand="0" w:firstRowFirstColumn="0" w:firstRowLastColumn="0" w:lastRowFirstColumn="0" w:lastRowLastColumn="0"/>
            <w:tcW w:w="3515" w:type="dxa"/>
          </w:tcPr>
          <w:p w14:paraId="70A0E2D5" w14:textId="7D2C8502" w:rsidR="00AE4C75" w:rsidRPr="005C596A" w:rsidRDefault="00AE4C75" w:rsidP="00AE4C75">
            <w:pPr>
              <w:pStyle w:val="Tabletext"/>
              <w:jc w:val="left"/>
              <w:rPr>
                <w:rFonts w:cstheme="minorHAnsi"/>
                <w:b/>
                <w:color w:val="000000"/>
                <w:lang w:val="en-US"/>
              </w:rPr>
            </w:pPr>
            <w:r w:rsidRPr="005C596A">
              <w:rPr>
                <w:rFonts w:cstheme="minorHAnsi"/>
                <w:b/>
                <w:lang w:val="en-US"/>
              </w:rPr>
              <w:t>13</w:t>
            </w:r>
            <w:r w:rsidRPr="005C596A">
              <w:rPr>
                <w:rFonts w:cstheme="minorHAnsi"/>
                <w:b/>
                <w:color w:val="000000"/>
                <w:lang w:val="en-US"/>
              </w:rPr>
              <w:t xml:space="preserve"> </w:t>
            </w:r>
            <w:r w:rsidRPr="005C596A">
              <w:rPr>
                <w:rFonts w:cstheme="minorHAnsi"/>
                <w:lang w:val="en-US"/>
              </w:rPr>
              <w:t>Rate of women with severe postpartum haemorrhage</w:t>
            </w:r>
          </w:p>
        </w:tc>
        <w:tc>
          <w:tcPr>
            <w:cnfStyle w:val="000001000000" w:firstRow="0" w:lastRow="0" w:firstColumn="0" w:lastColumn="0" w:oddVBand="0" w:evenVBand="1" w:oddHBand="0" w:evenHBand="0" w:firstRowFirstColumn="0" w:firstRowLastColumn="0" w:lastRowFirstColumn="0" w:lastRowLastColumn="0"/>
            <w:tcW w:w="1077" w:type="dxa"/>
          </w:tcPr>
          <w:p w14:paraId="672AEEBA" w14:textId="77777777" w:rsidR="00AE4C75" w:rsidRPr="00D6403A" w:rsidRDefault="00AE4C75" w:rsidP="00AE4C75">
            <w:pPr>
              <w:pStyle w:val="Tabletext"/>
              <w:rPr>
                <w:lang w:val="en-US"/>
              </w:rPr>
            </w:pPr>
            <w:r w:rsidRPr="00D6403A">
              <w:rPr>
                <w:lang w:val="en-US"/>
              </w:rPr>
              <w:t>2.6%</w:t>
            </w:r>
          </w:p>
        </w:tc>
        <w:tc>
          <w:tcPr>
            <w:cnfStyle w:val="000010000000" w:firstRow="0" w:lastRow="0" w:firstColumn="0" w:lastColumn="0" w:oddVBand="1" w:evenVBand="0" w:oddHBand="0" w:evenHBand="0" w:firstRowFirstColumn="0" w:firstRowLastColumn="0" w:lastRowFirstColumn="0" w:lastRowLastColumn="0"/>
            <w:tcW w:w="1077" w:type="dxa"/>
            <w:shd w:val="clear" w:color="auto" w:fill="F2F2F2" w:themeFill="background1" w:themeFillShade="F2"/>
          </w:tcPr>
          <w:p w14:paraId="75153E64" w14:textId="77777777" w:rsidR="00AE4C75" w:rsidRPr="00D6403A" w:rsidRDefault="00AE4C75" w:rsidP="00AE4C75">
            <w:pPr>
              <w:pStyle w:val="Tabletext"/>
              <w:rPr>
                <w:lang w:val="en-US"/>
              </w:rPr>
            </w:pPr>
            <w:r w:rsidRPr="00D6403A">
              <w:rPr>
                <w:lang w:val="en-US"/>
              </w:rPr>
              <w:t>2.3%</w:t>
            </w:r>
          </w:p>
        </w:tc>
        <w:tc>
          <w:tcPr>
            <w:cnfStyle w:val="000001000000" w:firstRow="0" w:lastRow="0" w:firstColumn="0" w:lastColumn="0" w:oddVBand="0" w:evenVBand="1" w:oddHBand="0" w:evenHBand="0" w:firstRowFirstColumn="0" w:firstRowLastColumn="0" w:lastRowFirstColumn="0" w:lastRowLastColumn="0"/>
            <w:tcW w:w="1077" w:type="dxa"/>
          </w:tcPr>
          <w:p w14:paraId="4B0786F3" w14:textId="77777777" w:rsidR="00AE4C75" w:rsidRPr="00D6403A" w:rsidRDefault="00AE4C75" w:rsidP="00AE4C75">
            <w:pPr>
              <w:pStyle w:val="Tabletext"/>
              <w:rPr>
                <w:lang w:val="en-US"/>
              </w:rPr>
            </w:pPr>
            <w:r w:rsidRPr="00D6403A">
              <w:rPr>
                <w:lang w:val="en-US"/>
              </w:rPr>
              <w:t>2.7%</w:t>
            </w:r>
          </w:p>
        </w:tc>
        <w:tc>
          <w:tcPr>
            <w:cnfStyle w:val="000010000000" w:firstRow="0" w:lastRow="0" w:firstColumn="0" w:lastColumn="0" w:oddVBand="1" w:evenVBand="0" w:oddHBand="0" w:evenHBand="0" w:firstRowFirstColumn="0" w:firstRowLastColumn="0" w:lastRowFirstColumn="0" w:lastRowLastColumn="0"/>
            <w:tcW w:w="1078" w:type="dxa"/>
          </w:tcPr>
          <w:p w14:paraId="7AD10598" w14:textId="77777777" w:rsidR="00AE4C75" w:rsidRPr="00D6403A" w:rsidRDefault="00AE4C75" w:rsidP="00AE4C75">
            <w:pPr>
              <w:pStyle w:val="Tabletext"/>
              <w:rPr>
                <w:lang w:val="en-US"/>
              </w:rPr>
            </w:pPr>
            <w:r w:rsidRPr="00D6403A">
              <w:rPr>
                <w:lang w:val="en-US"/>
              </w:rPr>
              <w:t>1.1%</w:t>
            </w:r>
          </w:p>
        </w:tc>
        <w:tc>
          <w:tcPr>
            <w:cnfStyle w:val="000001000000" w:firstRow="0" w:lastRow="0" w:firstColumn="0" w:lastColumn="0" w:oddVBand="0" w:evenVBand="1" w:oddHBand="0" w:evenHBand="0" w:firstRowFirstColumn="0" w:firstRowLastColumn="0" w:lastRowFirstColumn="0" w:lastRowLastColumn="0"/>
            <w:tcW w:w="1190" w:type="dxa"/>
          </w:tcPr>
          <w:p w14:paraId="3FD098F2" w14:textId="77777777" w:rsidR="00AE4C75" w:rsidRPr="00D6403A" w:rsidRDefault="00AE4C75" w:rsidP="00AE4C75">
            <w:pPr>
              <w:pStyle w:val="Tabletext"/>
              <w:rPr>
                <w:lang w:val="en-US"/>
              </w:rPr>
            </w:pPr>
            <w:r w:rsidRPr="00D6403A">
              <w:rPr>
                <w:lang w:val="en-US"/>
              </w:rPr>
              <w:t>2.9%</w:t>
            </w:r>
          </w:p>
        </w:tc>
        <w:tc>
          <w:tcPr>
            <w:cnfStyle w:val="000010000000" w:firstRow="0" w:lastRow="0" w:firstColumn="0" w:lastColumn="0" w:oddVBand="1" w:evenVBand="0" w:oddHBand="0" w:evenHBand="0" w:firstRowFirstColumn="0" w:firstRowLastColumn="0" w:lastRowFirstColumn="0" w:lastRowLastColumn="0"/>
            <w:tcW w:w="1191" w:type="dxa"/>
          </w:tcPr>
          <w:p w14:paraId="40885827" w14:textId="77777777" w:rsidR="00AE4C75" w:rsidRPr="00D6403A" w:rsidRDefault="00AE4C75" w:rsidP="00AE4C75">
            <w:pPr>
              <w:pStyle w:val="Tabletext"/>
              <w:rPr>
                <w:lang w:val="en-US"/>
              </w:rPr>
            </w:pPr>
            <w:r w:rsidRPr="00D6403A">
              <w:rPr>
                <w:lang w:val="en-US"/>
              </w:rPr>
              <w:t>1.3%</w:t>
            </w:r>
          </w:p>
        </w:tc>
      </w:tr>
    </w:tbl>
    <w:p w14:paraId="5EB0557D" w14:textId="77777777" w:rsidR="00064DE9" w:rsidRDefault="00D6403A" w:rsidP="00064DE9">
      <w:pPr>
        <w:pStyle w:val="FootnoteText"/>
        <w:rPr>
          <w:lang w:val="en-GB"/>
        </w:rPr>
      </w:pPr>
      <w:r w:rsidRPr="00D6403A">
        <w:rPr>
          <w:lang w:val="en-GB"/>
        </w:rPr>
        <w:t>Notes:</w:t>
      </w:r>
      <w:r w:rsidRPr="00D6403A">
        <w:rPr>
          <w:lang w:val="en-GB"/>
        </w:rPr>
        <w:tab/>
      </w:r>
    </w:p>
    <w:p w14:paraId="3F72B6DC" w14:textId="291D28BB" w:rsidR="00D6403A" w:rsidRPr="00D6403A" w:rsidRDefault="00D6403A" w:rsidP="00064DE9">
      <w:pPr>
        <w:pStyle w:val="FootnoteText"/>
        <w:rPr>
          <w:lang w:val="en-GB"/>
        </w:rPr>
      </w:pPr>
      <w:r w:rsidRPr="00D6403A">
        <w:rPr>
          <w:lang w:val="en-GB"/>
        </w:rPr>
        <w:t>Quartiles are calculated for statewide public and private health services combined, unless stated otherwise.</w:t>
      </w:r>
    </w:p>
    <w:p w14:paraId="2EDDE413" w14:textId="77777777" w:rsidR="00D6403A" w:rsidRPr="00D6403A" w:rsidRDefault="00D6403A" w:rsidP="003478E2">
      <w:pPr>
        <w:pStyle w:val="FootnoteText"/>
        <w:ind w:left="284" w:hanging="284"/>
        <w:rPr>
          <w:lang w:val="en-GB"/>
        </w:rPr>
      </w:pPr>
      <w:r w:rsidRPr="00D6403A">
        <w:rPr>
          <w:lang w:val="en-GB"/>
        </w:rPr>
        <w:t>*</w:t>
      </w:r>
      <w:r w:rsidRPr="00D6403A">
        <w:rPr>
          <w:lang w:val="en-GB"/>
        </w:rPr>
        <w:tab/>
        <w:t>Result includes public hospitals only.</w:t>
      </w:r>
    </w:p>
    <w:p w14:paraId="118371B1" w14:textId="77777777" w:rsidR="00D6403A" w:rsidRPr="00D6403A" w:rsidRDefault="00D6403A" w:rsidP="003478E2">
      <w:pPr>
        <w:pStyle w:val="FootnoteText"/>
        <w:ind w:left="284" w:hanging="284"/>
        <w:rPr>
          <w:lang w:val="en-GB"/>
        </w:rPr>
      </w:pPr>
      <w:r w:rsidRPr="00D6403A">
        <w:rPr>
          <w:lang w:val="en-GB"/>
        </w:rPr>
        <w:t>†</w:t>
      </w:r>
      <w:r w:rsidRPr="00D6403A">
        <w:rPr>
          <w:lang w:val="en-GB"/>
        </w:rPr>
        <w:tab/>
        <w:t>Results shown are for 2021–22 FY as they are sourced from the VAED.</w:t>
      </w:r>
    </w:p>
    <w:p w14:paraId="7AAD3D08" w14:textId="77777777" w:rsidR="00D6403A" w:rsidRPr="00D6403A" w:rsidRDefault="00D6403A" w:rsidP="003478E2">
      <w:pPr>
        <w:pStyle w:val="FootnoteText"/>
        <w:ind w:left="284" w:hanging="284"/>
        <w:rPr>
          <w:lang w:val="en-GB"/>
        </w:rPr>
      </w:pPr>
      <w:r w:rsidRPr="00D6403A">
        <w:rPr>
          <w:lang w:val="en-GB"/>
        </w:rPr>
        <w:t>^</w:t>
      </w:r>
      <w:r w:rsidRPr="00D6403A">
        <w:rPr>
          <w:lang w:val="en-GB"/>
        </w:rPr>
        <w:tab/>
        <w:t>Results include hospitals that meet thresholds only.</w:t>
      </w:r>
    </w:p>
    <w:p w14:paraId="630B62C6" w14:textId="77777777" w:rsidR="00D6403A" w:rsidRPr="00D6403A" w:rsidRDefault="00D6403A" w:rsidP="003478E2">
      <w:pPr>
        <w:pStyle w:val="FootnoteText"/>
        <w:ind w:left="284" w:hanging="284"/>
        <w:rPr>
          <w:lang w:val="en-GB"/>
        </w:rPr>
      </w:pPr>
      <w:r w:rsidRPr="00D6403A">
        <w:rPr>
          <w:lang w:val="en-GB"/>
        </w:rPr>
        <w:tab/>
        <w:t>NA – not applicable</w:t>
      </w:r>
    </w:p>
    <w:p w14:paraId="1A904804" w14:textId="77777777" w:rsidR="00064DE9" w:rsidRDefault="00064DE9">
      <w:pPr>
        <w:rPr>
          <w:rFonts w:asciiTheme="majorHAnsi" w:eastAsiaTheme="majorEastAsia" w:hAnsiTheme="majorHAnsi" w:cs="Times New Roman (Headings CS)"/>
          <w:b/>
          <w:bCs/>
          <w:color w:val="007586" w:themeColor="text2"/>
          <w:sz w:val="28"/>
          <w:szCs w:val="26"/>
          <w:lang w:val="en-GB"/>
        </w:rPr>
      </w:pPr>
      <w:bookmarkStart w:id="14" w:name="_Toc159326572"/>
      <w:r>
        <w:rPr>
          <w:lang w:val="en-GB"/>
        </w:rPr>
        <w:br w:type="page"/>
      </w:r>
    </w:p>
    <w:p w14:paraId="46D94455" w14:textId="2DCC8829" w:rsidR="00D6403A" w:rsidRPr="00D6403A" w:rsidRDefault="00D6403A" w:rsidP="00064DE9">
      <w:pPr>
        <w:pStyle w:val="Heading1"/>
        <w:framePr w:wrap="around"/>
        <w:rPr>
          <w:lang w:val="en-GB"/>
        </w:rPr>
      </w:pPr>
      <w:r w:rsidRPr="00D6403A">
        <w:rPr>
          <w:lang w:val="en-GB"/>
        </w:rPr>
        <w:lastRenderedPageBreak/>
        <w:t>1a: Induction of labour in standard primiparae</w:t>
      </w:r>
      <w:bookmarkEnd w:id="14"/>
    </w:p>
    <w:p w14:paraId="181F5B21" w14:textId="468B0FD7" w:rsidR="00D6403A" w:rsidRPr="00D6403A" w:rsidRDefault="00D6403A" w:rsidP="00D6403A">
      <w:pPr>
        <w:pStyle w:val="IntroductoryText"/>
        <w:rPr>
          <w:lang w:val="en-GB"/>
        </w:rPr>
      </w:pPr>
      <w:r w:rsidRPr="00D6403A">
        <w:rPr>
          <w:lang w:val="en-GB"/>
        </w:rPr>
        <w:t>Induction of labour is the stimulation of the process of cervical effacement/dilatation and uterine contractions during pregnancy before labour begins on its own with the aim of achieving a vaginal birth. A clinician may recommend induction of labour for various reasons when there is concern for the health of the mother or fetus.</w:t>
      </w:r>
    </w:p>
    <w:p w14:paraId="05F7CA32" w14:textId="77777777" w:rsidR="00D6403A" w:rsidRPr="00D6403A" w:rsidRDefault="00D6403A" w:rsidP="005939CC">
      <w:pPr>
        <w:pStyle w:val="Heading2"/>
        <w:rPr>
          <w:lang w:val="en-GB"/>
        </w:rPr>
      </w:pPr>
      <w:bookmarkStart w:id="15" w:name="_Toc159326573"/>
      <w:r w:rsidRPr="00D6403A">
        <w:rPr>
          <w:lang w:val="en-GB"/>
        </w:rPr>
        <w:t>About this indicator</w:t>
      </w:r>
      <w:bookmarkEnd w:id="15"/>
    </w:p>
    <w:p w14:paraId="0E14A567" w14:textId="4A2BA5AE" w:rsidR="00D6403A" w:rsidRPr="00D6403A" w:rsidRDefault="00D6403A" w:rsidP="00862996">
      <w:pPr>
        <w:rPr>
          <w:lang w:val="en-GB"/>
        </w:rPr>
      </w:pPr>
      <w:r w:rsidRPr="00D6403A">
        <w:rPr>
          <w:lang w:val="en-GB"/>
        </w:rPr>
        <w:t xml:space="preserve">For indicator 1a the term </w:t>
      </w:r>
      <w:hyperlink w:anchor="primipara" w:history="1">
        <w:r w:rsidRPr="00BC316A">
          <w:rPr>
            <w:rStyle w:val="Hyperlink"/>
            <w:lang w:val="en-GB"/>
          </w:rPr>
          <w:t>standard primipara</w:t>
        </w:r>
      </w:hyperlink>
      <w:r w:rsidRPr="00D6403A">
        <w:rPr>
          <w:lang w:val="en-GB"/>
        </w:rPr>
        <w:t xml:space="preserve"> is used to describe a low-risk woman who is giving birth to her first child (primipara) and expected to need little intervention. By excluding women with complicated pregnancies, this indicator considers hospital-to-hospital variation only instead of individual patient populations (complexity).</w:t>
      </w:r>
    </w:p>
    <w:p w14:paraId="491A0D99" w14:textId="5C6FFA5D" w:rsidR="00D6403A" w:rsidRDefault="00D6403A" w:rsidP="00862996">
      <w:pPr>
        <w:rPr>
          <w:lang w:val="en-GB"/>
        </w:rPr>
      </w:pPr>
      <w:r w:rsidRPr="00D6403A">
        <w:rPr>
          <w:lang w:val="en-GB"/>
        </w:rPr>
        <w:t xml:space="preserve">This indicator shows the rate of induction of labour for the </w:t>
      </w:r>
      <w:hyperlink w:anchor="primipara" w:history="1">
        <w:r w:rsidRPr="00BC316A">
          <w:rPr>
            <w:rStyle w:val="Hyperlink"/>
            <w:lang w:val="en-GB"/>
          </w:rPr>
          <w:t>standard primipara</w:t>
        </w:r>
      </w:hyperlink>
      <w:r w:rsidRPr="00D6403A">
        <w:rPr>
          <w:lang w:val="en-GB"/>
        </w:rPr>
        <w:t>.</w:t>
      </w:r>
    </w:p>
    <w:p w14:paraId="42825D6A" w14:textId="1306328A" w:rsidR="00064DE9" w:rsidRPr="00D6403A" w:rsidRDefault="00064DE9" w:rsidP="00862996">
      <w:pPr>
        <w:rPr>
          <w:lang w:val="en-GB"/>
        </w:rPr>
      </w:pPr>
      <w:r w:rsidRPr="003A32F6">
        <w:rPr>
          <w:lang w:val="en-GB"/>
        </w:rPr>
        <w:t>[Break out box text:</w:t>
      </w:r>
    </w:p>
    <w:p w14:paraId="43AC1091" w14:textId="77777777" w:rsidR="00064DE9" w:rsidRPr="00D6403A" w:rsidRDefault="00064DE9" w:rsidP="00064DE9">
      <w:pPr>
        <w:pStyle w:val="Heading3"/>
        <w:rPr>
          <w:lang w:val="en-GB"/>
        </w:rPr>
      </w:pPr>
      <w:r w:rsidRPr="00D6403A">
        <w:rPr>
          <w:lang w:val="en-GB"/>
        </w:rPr>
        <w:t>What pregnant women and families need to know</w:t>
      </w:r>
    </w:p>
    <w:p w14:paraId="3B045D9F" w14:textId="5FEB8CA9" w:rsidR="00064DE9" w:rsidRPr="00D6403A" w:rsidRDefault="00064DE9" w:rsidP="00005134">
      <w:pPr>
        <w:rPr>
          <w:lang w:val="en-GB"/>
        </w:rPr>
      </w:pPr>
      <w:r w:rsidRPr="00D6403A">
        <w:rPr>
          <w:lang w:val="en-GB"/>
        </w:rPr>
        <w:t>Labour will usually start on its own between 37 and 42 weeks for most women. If you and your baby are healthy, then waiting for labour to begin on its own is recommended. If you or your baby are unwell, your doctor or midwife might recommend bringing on or inducing labour. Inducing labour may be associated with more interventions that need help from doctors and midwives, such as an epidural for pain relief or instrumental birth (also known as an assisted birth [vacuum or forceps]).</w:t>
      </w:r>
    </w:p>
    <w:p w14:paraId="31887986" w14:textId="6A801C43" w:rsidR="00064DE9" w:rsidRPr="00D6403A" w:rsidRDefault="00064DE9" w:rsidP="00005134">
      <w:pPr>
        <w:rPr>
          <w:lang w:val="en-GB"/>
        </w:rPr>
      </w:pPr>
      <w:r w:rsidRPr="00D6403A">
        <w:rPr>
          <w:lang w:val="en-GB"/>
        </w:rPr>
        <w:t>However, recent studies suggest that for some women there may be some benefit for mothers and babies in considering an induction of labour from 39 weeks.</w:t>
      </w:r>
      <w:r w:rsidRPr="00D6403A">
        <w:rPr>
          <w:vertAlign w:val="superscript"/>
          <w:lang w:val="en-GB"/>
        </w:rPr>
        <w:footnoteReference w:id="1"/>
      </w:r>
      <w:r w:rsidRPr="00D6403A">
        <w:rPr>
          <w:vertAlign w:val="superscript"/>
          <w:lang w:val="en-GB"/>
        </w:rPr>
        <w:t>,</w:t>
      </w:r>
      <w:r w:rsidRPr="00D6403A">
        <w:rPr>
          <w:vertAlign w:val="superscript"/>
          <w:lang w:val="en-GB"/>
        </w:rPr>
        <w:footnoteReference w:id="2"/>
      </w:r>
      <w:r w:rsidRPr="00D6403A">
        <w:rPr>
          <w:lang w:val="en-GB"/>
        </w:rPr>
        <w:t xml:space="preserve"> The risks and benefits of induction should be thoroughly discussed with your doctor or midwife.</w:t>
      </w:r>
    </w:p>
    <w:p w14:paraId="5BAADE92" w14:textId="74CE2935" w:rsidR="00064DE9" w:rsidRPr="00D6403A" w:rsidRDefault="00064DE9" w:rsidP="00005134">
      <w:pPr>
        <w:rPr>
          <w:lang w:val="en-GB"/>
        </w:rPr>
      </w:pPr>
      <w:r w:rsidRPr="00D6403A">
        <w:rPr>
          <w:lang w:val="en-GB"/>
        </w:rPr>
        <w:t>When possible, for pregnancies without complications, being born as close as possible to your due date and waiting for labour to start on its own is usually best for you and the development of your baby.</w:t>
      </w:r>
      <w:r w:rsidRPr="00D6403A">
        <w:rPr>
          <w:vertAlign w:val="superscript"/>
          <w:lang w:val="en-GB"/>
        </w:rPr>
        <w:footnoteReference w:id="3"/>
      </w:r>
    </w:p>
    <w:p w14:paraId="45297F86" w14:textId="4FC9339F" w:rsidR="00064DE9" w:rsidRPr="00D6403A" w:rsidRDefault="00064DE9" w:rsidP="00005134">
      <w:pPr>
        <w:rPr>
          <w:color w:val="000000"/>
          <w:lang w:val="en-GB"/>
        </w:rPr>
      </w:pPr>
      <w:r w:rsidRPr="00D6403A">
        <w:rPr>
          <w:lang w:val="en-GB"/>
        </w:rPr>
        <w:t>The graph on the following page (Figure 4) shows there are differences between Victorian hospitals in how many low-risk, first time mothers have labour induced.</w:t>
      </w:r>
    </w:p>
    <w:p w14:paraId="6392BCA6" w14:textId="32980BF5" w:rsidR="00D6403A" w:rsidRPr="00064DE9" w:rsidRDefault="00064DE9" w:rsidP="00064DE9">
      <w:r w:rsidRPr="003F4460">
        <w:t>End of break out box text.]</w:t>
      </w:r>
    </w:p>
    <w:p w14:paraId="50A04D77" w14:textId="77777777" w:rsidR="00064DE9" w:rsidRDefault="00064DE9">
      <w:pPr>
        <w:rPr>
          <w:rFonts w:asciiTheme="majorHAnsi" w:eastAsiaTheme="majorEastAsia" w:hAnsiTheme="majorHAnsi" w:cs="Times New Roman (Headings CS)"/>
          <w:b/>
          <w:bCs/>
          <w:color w:val="007586" w:themeColor="text2"/>
          <w:sz w:val="28"/>
          <w:szCs w:val="26"/>
          <w:lang w:val="en-GB"/>
        </w:rPr>
      </w:pPr>
      <w:bookmarkStart w:id="16" w:name="_Toc159326574"/>
      <w:r>
        <w:rPr>
          <w:lang w:val="en-GB"/>
        </w:rPr>
        <w:br w:type="page"/>
      </w:r>
    </w:p>
    <w:p w14:paraId="5B21EB8E" w14:textId="6D1EC60A" w:rsidR="00D6403A" w:rsidRPr="00D6403A" w:rsidRDefault="00D6403A" w:rsidP="005939CC">
      <w:pPr>
        <w:pStyle w:val="Heading2"/>
        <w:rPr>
          <w:lang w:val="en-GB"/>
        </w:rPr>
      </w:pPr>
      <w:r w:rsidRPr="00D6403A">
        <w:rPr>
          <w:lang w:val="en-GB"/>
        </w:rPr>
        <w:lastRenderedPageBreak/>
        <w:t>Observations on the data</w:t>
      </w:r>
      <w:bookmarkEnd w:id="16"/>
    </w:p>
    <w:p w14:paraId="3F569E3F" w14:textId="77777777" w:rsidR="00D6403A" w:rsidRPr="00D6403A" w:rsidRDefault="00D6403A" w:rsidP="00005134">
      <w:pPr>
        <w:rPr>
          <w:lang w:val="en-GB"/>
        </w:rPr>
      </w:pPr>
      <w:r w:rsidRPr="00D6403A">
        <w:rPr>
          <w:lang w:val="en-GB"/>
        </w:rPr>
        <w:t>The statewide rate for 2021 was 15.0%, which is slightly higher than the previous year’s rate which was 13.9%. Of note, the rate was 17.3% in 2019. The impact of the COVID-19 pandemic on rates of induction of</w:t>
      </w:r>
      <w:r w:rsidRPr="00D6403A">
        <w:rPr>
          <w:rFonts w:ascii="Cambria" w:hAnsi="Cambria" w:cs="Cambria"/>
          <w:color w:val="000000"/>
          <w:lang w:val="en-GB"/>
        </w:rPr>
        <w:t> </w:t>
      </w:r>
      <w:r w:rsidRPr="00D6403A">
        <w:rPr>
          <w:lang w:val="en-GB"/>
        </w:rPr>
        <w:t>labour is yet to be determined.</w:t>
      </w:r>
    </w:p>
    <w:p w14:paraId="7901B3CB" w14:textId="77777777" w:rsidR="00D6403A" w:rsidRPr="00D6403A" w:rsidRDefault="00D6403A" w:rsidP="00862996">
      <w:pPr>
        <w:rPr>
          <w:lang w:val="en-GB"/>
        </w:rPr>
      </w:pPr>
      <w:r w:rsidRPr="00D6403A">
        <w:rPr>
          <w:lang w:val="en-GB"/>
        </w:rPr>
        <w:t>Like previous years, the rate in 2021 of standard primiparae having an induced labour in private hospitals was higher compared with public hospitals (21.7% and 11.0%, respectively).</w:t>
      </w:r>
    </w:p>
    <w:p w14:paraId="515B7BF0" w14:textId="77777777" w:rsidR="00D6403A" w:rsidRPr="00D6403A" w:rsidRDefault="00D6403A" w:rsidP="00862996">
      <w:pPr>
        <w:rPr>
          <w:lang w:val="en-GB"/>
        </w:rPr>
      </w:pPr>
      <w:r w:rsidRPr="00D6403A">
        <w:rPr>
          <w:lang w:val="en-GB"/>
        </w:rPr>
        <w:t>There remains considerable variation in hospital rates for this indicator, from zero to 37.9% (Figure 4, Figure 5, Figure 6 and Table 2). While this indicator attempts to account for different patient populations, each health service should consider its rate in relation to others of a similar capability level and reflect on their own practice for improvement.</w:t>
      </w:r>
    </w:p>
    <w:p w14:paraId="3DAE9681" w14:textId="77777777" w:rsidR="00D6403A" w:rsidRPr="00D6403A" w:rsidRDefault="00D6403A" w:rsidP="005939CC">
      <w:pPr>
        <w:pStyle w:val="Heading2"/>
        <w:rPr>
          <w:lang w:val="en-GB"/>
        </w:rPr>
      </w:pPr>
      <w:bookmarkStart w:id="17" w:name="_Toc159326575"/>
      <w:r w:rsidRPr="00D6403A">
        <w:rPr>
          <w:lang w:val="en-GB"/>
        </w:rPr>
        <w:t>Strategies for improvement</w:t>
      </w:r>
      <w:bookmarkEnd w:id="17"/>
    </w:p>
    <w:p w14:paraId="6DD0B76A" w14:textId="77777777" w:rsidR="00D6403A" w:rsidRPr="00D6403A" w:rsidRDefault="00D6403A" w:rsidP="00005134">
      <w:pPr>
        <w:pStyle w:val="Bullet1"/>
        <w:rPr>
          <w:lang w:val="en-GB"/>
        </w:rPr>
      </w:pPr>
      <w:r w:rsidRPr="00D6403A">
        <w:rPr>
          <w:lang w:val="en-GB"/>
        </w:rPr>
        <w:t>Individual health services are encouraged to understand this data by undertaking a deep dive analysis with women, families and health service staff to determine the most appropriate improvement and prevention strategies.</w:t>
      </w:r>
    </w:p>
    <w:p w14:paraId="7B195491" w14:textId="6CE86BFB" w:rsidR="00D6403A" w:rsidRPr="00D6403A" w:rsidRDefault="00D6403A" w:rsidP="00005134">
      <w:pPr>
        <w:pStyle w:val="Bullet1"/>
        <w:rPr>
          <w:lang w:val="en-GB"/>
        </w:rPr>
      </w:pPr>
      <w:r w:rsidRPr="00D6403A">
        <w:rPr>
          <w:lang w:val="en-GB"/>
        </w:rPr>
        <w:t xml:space="preserve">Individual health services should provide women with verbal and written evidence-based information about </w:t>
      </w:r>
      <w:hyperlink r:id="rId32" w:history="1">
        <w:r w:rsidRPr="00064DE9">
          <w:rPr>
            <w:rStyle w:val="Hyperlink"/>
            <w:lang w:val="en-GB"/>
          </w:rPr>
          <w:t>timing of birth</w:t>
        </w:r>
      </w:hyperlink>
      <w:r w:rsidRPr="00D6403A">
        <w:rPr>
          <w:lang w:val="en-GB"/>
        </w:rPr>
        <w:t xml:space="preserve"> &lt;https://stillbirthcre.org.au/parents/safer-baby/timing-of-birth&gt;.</w:t>
      </w:r>
    </w:p>
    <w:p w14:paraId="15CE30A5" w14:textId="77777777" w:rsidR="00D6403A" w:rsidRPr="00D6403A" w:rsidRDefault="00D6403A" w:rsidP="00870C38">
      <w:pPr>
        <w:pStyle w:val="Bullet1"/>
        <w:rPr>
          <w:lang w:val="en-GB"/>
        </w:rPr>
      </w:pPr>
      <w:r w:rsidRPr="00D6403A">
        <w:rPr>
          <w:lang w:val="en-GB"/>
        </w:rPr>
        <w:t>Individual health services are encouraged to review their current booking processes for induction of</w:t>
      </w:r>
      <w:r w:rsidRPr="00D6403A">
        <w:rPr>
          <w:rFonts w:ascii="Cambria" w:hAnsi="Cambria" w:cs="Cambria"/>
          <w:color w:val="000000"/>
          <w:lang w:val="en-GB"/>
        </w:rPr>
        <w:t> </w:t>
      </w:r>
      <w:r w:rsidRPr="00D6403A">
        <w:rPr>
          <w:lang w:val="en-GB"/>
        </w:rPr>
        <w:t>labour, ensuring it is consistent with the principles of shared decision making.</w:t>
      </w:r>
    </w:p>
    <w:p w14:paraId="6E19B5C7" w14:textId="77777777" w:rsidR="00064DE9" w:rsidRDefault="00064DE9">
      <w:pPr>
        <w:rPr>
          <w:b/>
          <w:bCs/>
          <w:color w:val="007586" w:themeColor="text2"/>
          <w:spacing w:val="2"/>
          <w:szCs w:val="18"/>
          <w:lang w:val="en-GB"/>
        </w:rPr>
      </w:pPr>
      <w:r>
        <w:rPr>
          <w:lang w:val="en-GB"/>
        </w:rPr>
        <w:br w:type="page"/>
      </w:r>
    </w:p>
    <w:p w14:paraId="2FCF512E" w14:textId="2B837B30" w:rsidR="00D6403A" w:rsidRPr="00D6403A" w:rsidRDefault="00D6403A" w:rsidP="00870C38">
      <w:pPr>
        <w:pStyle w:val="Tablechartdiagramheading"/>
      </w:pPr>
      <w:r w:rsidRPr="00D6403A">
        <w:lastRenderedPageBreak/>
        <w:t>Figure 4. Indicator 1a: Rate of induction of labour in standard primiparae, 2021</w:t>
      </w:r>
    </w:p>
    <w:p w14:paraId="658EA37B" w14:textId="501167AC" w:rsidR="00D6403A" w:rsidRPr="00D6403A" w:rsidRDefault="00064DE9" w:rsidP="00862996">
      <w:pPr>
        <w:rPr>
          <w:lang w:val="en-GB"/>
        </w:rPr>
      </w:pPr>
      <w:r>
        <w:rPr>
          <w:noProof/>
          <w:lang w:val="en-GB"/>
        </w:rPr>
        <w:drawing>
          <wp:inline distT="0" distB="0" distL="0" distR="0" wp14:anchorId="46C31C7B" wp14:editId="4DB15B88">
            <wp:extent cx="6476365" cy="6301105"/>
            <wp:effectExtent l="0" t="0" r="635" b="0"/>
            <wp:docPr id="7" name="Picture 7" descr="Bar chart for Indicator 1a.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_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6365" cy="6301105"/>
                    </a:xfrm>
                    <a:prstGeom prst="rect">
                      <a:avLst/>
                    </a:prstGeom>
                  </pic:spPr>
                </pic:pic>
              </a:graphicData>
            </a:graphic>
          </wp:inline>
        </w:drawing>
      </w:r>
    </w:p>
    <w:p w14:paraId="2DC176B9" w14:textId="77777777" w:rsidR="00064DE9" w:rsidRDefault="00064DE9">
      <w:pPr>
        <w:rPr>
          <w:b/>
          <w:bCs/>
          <w:color w:val="007586" w:themeColor="text2"/>
          <w:spacing w:val="2"/>
          <w:szCs w:val="18"/>
        </w:rPr>
      </w:pPr>
      <w:r>
        <w:br w:type="page"/>
      </w:r>
    </w:p>
    <w:p w14:paraId="2C229674" w14:textId="25223E6C" w:rsidR="00D6403A" w:rsidRPr="00D6403A" w:rsidRDefault="00D6403A" w:rsidP="00870C38">
      <w:pPr>
        <w:pStyle w:val="Tablechartdiagramheading"/>
      </w:pPr>
      <w:r w:rsidRPr="00D6403A">
        <w:lastRenderedPageBreak/>
        <w:t>Figure 5. Funnel plot of rate of induction of labour in standard primiparae, 2021</w:t>
      </w:r>
    </w:p>
    <w:p w14:paraId="45F2A1C7" w14:textId="40311C43" w:rsidR="00D6403A" w:rsidRPr="00D6403A" w:rsidRDefault="003478E2" w:rsidP="00862996">
      <w:pPr>
        <w:rPr>
          <w:lang w:val="en-GB"/>
        </w:rPr>
      </w:pPr>
      <w:r>
        <w:rPr>
          <w:noProof/>
          <w:lang w:val="en-GB"/>
        </w:rPr>
        <w:drawing>
          <wp:inline distT="0" distB="0" distL="0" distR="0" wp14:anchorId="3715FC53" wp14:editId="28408169">
            <wp:extent cx="6019800" cy="3403600"/>
            <wp:effectExtent l="0" t="0" r="0" b="0"/>
            <wp:docPr id="8" name="Picture 8"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_5.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019800" cy="3403600"/>
                    </a:xfrm>
                    <a:prstGeom prst="rect">
                      <a:avLst/>
                    </a:prstGeom>
                  </pic:spPr>
                </pic:pic>
              </a:graphicData>
            </a:graphic>
          </wp:inline>
        </w:drawing>
      </w:r>
      <w:r w:rsidR="00D6403A" w:rsidRPr="00D6403A">
        <w:rPr>
          <w:lang w:val="en-GB"/>
        </w:rPr>
        <w:t xml:space="preserve"> </w:t>
      </w:r>
    </w:p>
    <w:p w14:paraId="69A10ACC" w14:textId="4766DC3C"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7B244743" w14:textId="77777777" w:rsidR="00D6403A" w:rsidRPr="00D6403A" w:rsidRDefault="00D6403A" w:rsidP="00887B5A">
      <w:pPr>
        <w:pStyle w:val="Tablechartdiagramheading"/>
        <w:rPr>
          <w:lang w:val="en-GB"/>
        </w:rPr>
      </w:pPr>
      <w:r w:rsidRPr="00D6403A">
        <w:rPr>
          <w:lang w:val="en-GB"/>
        </w:rPr>
        <w:t>Table 2. Rate of induction of labour in standard primiparae,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5B323166" w14:textId="77777777" w:rsidTr="003478E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39CEC402" w14:textId="77777777" w:rsidR="00D6403A" w:rsidRPr="003478E2" w:rsidRDefault="00D6403A" w:rsidP="003478E2">
            <w:pPr>
              <w:pStyle w:val="Tableheader"/>
              <w:jc w:val="right"/>
              <w:rPr>
                <w:b/>
              </w:rPr>
            </w:pPr>
          </w:p>
        </w:tc>
        <w:tc>
          <w:tcPr>
            <w:cnfStyle w:val="000001000000" w:firstRow="0" w:lastRow="0" w:firstColumn="0" w:lastColumn="0" w:oddVBand="0" w:evenVBand="1" w:oddHBand="0" w:evenHBand="0" w:firstRowFirstColumn="0" w:firstRowLastColumn="0" w:lastRowFirstColumn="0" w:lastRowLastColumn="0"/>
            <w:tcW w:w="737" w:type="dxa"/>
          </w:tcPr>
          <w:p w14:paraId="4C426581" w14:textId="77777777" w:rsidR="00D6403A" w:rsidRPr="003478E2" w:rsidRDefault="00D6403A" w:rsidP="003478E2">
            <w:pPr>
              <w:pStyle w:val="Tableheader"/>
              <w:jc w:val="right"/>
              <w:rPr>
                <w:b/>
              </w:rPr>
            </w:pPr>
            <w:r w:rsidRPr="003478E2">
              <w:rPr>
                <w:b/>
              </w:rPr>
              <w:t>2017</w:t>
            </w:r>
          </w:p>
        </w:tc>
        <w:tc>
          <w:tcPr>
            <w:cnfStyle w:val="000010000000" w:firstRow="0" w:lastRow="0" w:firstColumn="0" w:lastColumn="0" w:oddVBand="1" w:evenVBand="0" w:oddHBand="0" w:evenHBand="0" w:firstRowFirstColumn="0" w:firstRowLastColumn="0" w:lastRowFirstColumn="0" w:lastRowLastColumn="0"/>
            <w:tcW w:w="737" w:type="dxa"/>
          </w:tcPr>
          <w:p w14:paraId="2A3CEB78" w14:textId="77777777" w:rsidR="00D6403A" w:rsidRPr="003478E2" w:rsidRDefault="00D6403A" w:rsidP="003478E2">
            <w:pPr>
              <w:pStyle w:val="Tableheader"/>
              <w:jc w:val="right"/>
              <w:rPr>
                <w:b/>
              </w:rPr>
            </w:pPr>
            <w:r w:rsidRPr="003478E2">
              <w:rPr>
                <w:b/>
              </w:rPr>
              <w:t>2018</w:t>
            </w:r>
          </w:p>
        </w:tc>
        <w:tc>
          <w:tcPr>
            <w:cnfStyle w:val="000001000000" w:firstRow="0" w:lastRow="0" w:firstColumn="0" w:lastColumn="0" w:oddVBand="0" w:evenVBand="1" w:oddHBand="0" w:evenHBand="0" w:firstRowFirstColumn="0" w:firstRowLastColumn="0" w:lastRowFirstColumn="0" w:lastRowLastColumn="0"/>
            <w:tcW w:w="737" w:type="dxa"/>
          </w:tcPr>
          <w:p w14:paraId="7E2219C1" w14:textId="77777777" w:rsidR="00D6403A" w:rsidRPr="003478E2" w:rsidRDefault="00D6403A" w:rsidP="003478E2">
            <w:pPr>
              <w:pStyle w:val="Tableheader"/>
              <w:jc w:val="right"/>
              <w:rPr>
                <w:b/>
              </w:rPr>
            </w:pPr>
            <w:r w:rsidRPr="003478E2">
              <w:rPr>
                <w:b/>
              </w:rPr>
              <w:t>2019</w:t>
            </w:r>
          </w:p>
        </w:tc>
        <w:tc>
          <w:tcPr>
            <w:cnfStyle w:val="000010000000" w:firstRow="0" w:lastRow="0" w:firstColumn="0" w:lastColumn="0" w:oddVBand="1" w:evenVBand="0" w:oddHBand="0" w:evenHBand="0" w:firstRowFirstColumn="0" w:firstRowLastColumn="0" w:lastRowFirstColumn="0" w:lastRowLastColumn="0"/>
            <w:tcW w:w="737" w:type="dxa"/>
          </w:tcPr>
          <w:p w14:paraId="7D430608" w14:textId="77777777" w:rsidR="00D6403A" w:rsidRPr="003478E2" w:rsidRDefault="00D6403A" w:rsidP="003478E2">
            <w:pPr>
              <w:pStyle w:val="Tableheader"/>
              <w:jc w:val="right"/>
              <w:rPr>
                <w:b/>
              </w:rPr>
            </w:pPr>
            <w:r w:rsidRPr="003478E2">
              <w:rPr>
                <w:b/>
              </w:rPr>
              <w:t>2020</w:t>
            </w:r>
          </w:p>
        </w:tc>
        <w:tc>
          <w:tcPr>
            <w:cnfStyle w:val="000001000000" w:firstRow="0" w:lastRow="0" w:firstColumn="0" w:lastColumn="0" w:oddVBand="0" w:evenVBand="1" w:oddHBand="0" w:evenHBand="0" w:firstRowFirstColumn="0" w:firstRowLastColumn="0" w:lastRowFirstColumn="0" w:lastRowLastColumn="0"/>
            <w:tcW w:w="737" w:type="dxa"/>
          </w:tcPr>
          <w:p w14:paraId="0F4B6A1A" w14:textId="77777777" w:rsidR="00D6403A" w:rsidRPr="003478E2" w:rsidRDefault="00D6403A" w:rsidP="003478E2">
            <w:pPr>
              <w:pStyle w:val="Tableheader"/>
              <w:jc w:val="right"/>
              <w:rPr>
                <w:b/>
              </w:rPr>
            </w:pPr>
            <w:r w:rsidRPr="003478E2">
              <w:rPr>
                <w:b/>
              </w:rPr>
              <w:t>2021</w:t>
            </w:r>
          </w:p>
        </w:tc>
      </w:tr>
      <w:tr w:rsidR="00D6403A" w:rsidRPr="00D6403A" w14:paraId="03BF9B71" w14:textId="77777777" w:rsidTr="003478E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2F9DFA9C" w14:textId="3CBFB071" w:rsidR="00D6403A" w:rsidRPr="003478E2" w:rsidRDefault="00D6403A" w:rsidP="003478E2">
            <w:pPr>
              <w:pStyle w:val="Tabletext"/>
              <w:jc w:val="left"/>
              <w:rPr>
                <w:b/>
                <w:color w:val="009859"/>
                <w:lang w:val="en-GB"/>
              </w:rPr>
            </w:pPr>
            <w:r w:rsidRPr="003478E2">
              <w:rPr>
                <w:b/>
                <w:lang w:val="en-G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5AA4035E" w14:textId="77777777" w:rsidR="00D6403A" w:rsidRPr="00D6403A" w:rsidRDefault="00D6403A" w:rsidP="003478E2">
            <w:pPr>
              <w:pStyle w:val="Tabletext"/>
              <w:rPr>
                <w:lang w:val="en-US"/>
              </w:rPr>
            </w:pPr>
            <w:r w:rsidRPr="00D6403A">
              <w:rPr>
                <w:lang w:val="en-US"/>
              </w:rPr>
              <w:t>7.4%</w:t>
            </w:r>
          </w:p>
        </w:tc>
        <w:tc>
          <w:tcPr>
            <w:cnfStyle w:val="000010000000" w:firstRow="0" w:lastRow="0" w:firstColumn="0" w:lastColumn="0" w:oddVBand="1" w:evenVBand="0" w:oddHBand="0" w:evenHBand="0" w:firstRowFirstColumn="0" w:firstRowLastColumn="0" w:lastRowFirstColumn="0" w:lastRowLastColumn="0"/>
            <w:tcW w:w="737" w:type="dxa"/>
          </w:tcPr>
          <w:p w14:paraId="61221F0A" w14:textId="77777777" w:rsidR="00D6403A" w:rsidRPr="00D6403A" w:rsidRDefault="00D6403A" w:rsidP="003478E2">
            <w:pPr>
              <w:pStyle w:val="Tabletext"/>
              <w:rPr>
                <w:lang w:val="en-US"/>
              </w:rPr>
            </w:pPr>
            <w:r w:rsidRPr="00D6403A">
              <w:rPr>
                <w:lang w:val="en-US"/>
              </w:rPr>
              <w:t>9.4%</w:t>
            </w:r>
          </w:p>
        </w:tc>
        <w:tc>
          <w:tcPr>
            <w:cnfStyle w:val="000001000000" w:firstRow="0" w:lastRow="0" w:firstColumn="0" w:lastColumn="0" w:oddVBand="0" w:evenVBand="1" w:oddHBand="0" w:evenHBand="0" w:firstRowFirstColumn="0" w:firstRowLastColumn="0" w:lastRowFirstColumn="0" w:lastRowLastColumn="0"/>
            <w:tcW w:w="737" w:type="dxa"/>
          </w:tcPr>
          <w:p w14:paraId="750DA011" w14:textId="77777777" w:rsidR="00D6403A" w:rsidRPr="00D6403A" w:rsidRDefault="00D6403A" w:rsidP="003478E2">
            <w:pPr>
              <w:pStyle w:val="Tabletext"/>
              <w:rPr>
                <w:lang w:val="en-US"/>
              </w:rPr>
            </w:pPr>
            <w:r w:rsidRPr="00D6403A">
              <w:rPr>
                <w:lang w:val="en-US"/>
              </w:rPr>
              <w:t>11.8%</w:t>
            </w:r>
          </w:p>
        </w:tc>
        <w:tc>
          <w:tcPr>
            <w:cnfStyle w:val="000010000000" w:firstRow="0" w:lastRow="0" w:firstColumn="0" w:lastColumn="0" w:oddVBand="1" w:evenVBand="0" w:oddHBand="0" w:evenHBand="0" w:firstRowFirstColumn="0" w:firstRowLastColumn="0" w:lastRowFirstColumn="0" w:lastRowLastColumn="0"/>
            <w:tcW w:w="737" w:type="dxa"/>
          </w:tcPr>
          <w:p w14:paraId="26C2996C" w14:textId="77777777" w:rsidR="00D6403A" w:rsidRPr="00D6403A" w:rsidRDefault="00D6403A" w:rsidP="003478E2">
            <w:pPr>
              <w:pStyle w:val="Tabletext"/>
              <w:rPr>
                <w:lang w:val="en-US"/>
              </w:rPr>
            </w:pPr>
            <w:r w:rsidRPr="00D6403A">
              <w:rPr>
                <w:lang w:val="en-US"/>
              </w:rPr>
              <w:t>8.1%</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128497C8" w14:textId="77777777" w:rsidR="00D6403A" w:rsidRPr="00D6403A" w:rsidRDefault="00D6403A" w:rsidP="003478E2">
            <w:pPr>
              <w:pStyle w:val="Tabletext"/>
              <w:rPr>
                <w:lang w:val="en-US"/>
              </w:rPr>
            </w:pPr>
            <w:r w:rsidRPr="00D6403A">
              <w:rPr>
                <w:lang w:val="en-US"/>
              </w:rPr>
              <w:t>11.0%</w:t>
            </w:r>
          </w:p>
        </w:tc>
      </w:tr>
      <w:tr w:rsidR="00D6403A" w:rsidRPr="00D6403A" w14:paraId="3DA99B92" w14:textId="77777777" w:rsidTr="003478E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68BAF1F9" w14:textId="68165504" w:rsidR="00D6403A" w:rsidRPr="003478E2" w:rsidRDefault="00D6403A" w:rsidP="003478E2">
            <w:pPr>
              <w:pStyle w:val="Tabletext"/>
              <w:jc w:val="left"/>
              <w:rPr>
                <w:b/>
                <w:color w:val="009859"/>
                <w:lang w:val="en-GB"/>
              </w:rPr>
            </w:pPr>
            <w:r w:rsidRPr="003478E2">
              <w:rPr>
                <w:b/>
                <w:lang w:val="en-G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66E1D8F0" w14:textId="77777777" w:rsidR="00D6403A" w:rsidRPr="00D6403A" w:rsidRDefault="00D6403A" w:rsidP="003478E2">
            <w:pPr>
              <w:pStyle w:val="Tabletext"/>
              <w:rPr>
                <w:lang w:val="en-US"/>
              </w:rPr>
            </w:pPr>
            <w:r w:rsidRPr="00D6403A">
              <w:rPr>
                <w:lang w:val="en-US"/>
              </w:rPr>
              <w:t>18.1%</w:t>
            </w:r>
          </w:p>
        </w:tc>
        <w:tc>
          <w:tcPr>
            <w:cnfStyle w:val="000010000000" w:firstRow="0" w:lastRow="0" w:firstColumn="0" w:lastColumn="0" w:oddVBand="1" w:evenVBand="0" w:oddHBand="0" w:evenHBand="0" w:firstRowFirstColumn="0" w:firstRowLastColumn="0" w:lastRowFirstColumn="0" w:lastRowLastColumn="0"/>
            <w:tcW w:w="737" w:type="dxa"/>
          </w:tcPr>
          <w:p w14:paraId="014C5638" w14:textId="77777777" w:rsidR="00D6403A" w:rsidRPr="00D6403A" w:rsidRDefault="00D6403A" w:rsidP="003478E2">
            <w:pPr>
              <w:pStyle w:val="Tabletext"/>
              <w:rPr>
                <w:lang w:val="en-US"/>
              </w:rPr>
            </w:pPr>
            <w:r w:rsidRPr="00D6403A">
              <w:rPr>
                <w:lang w:val="en-US"/>
              </w:rPr>
              <w:t>21.1%</w:t>
            </w:r>
          </w:p>
        </w:tc>
        <w:tc>
          <w:tcPr>
            <w:cnfStyle w:val="000001000000" w:firstRow="0" w:lastRow="0" w:firstColumn="0" w:lastColumn="0" w:oddVBand="0" w:evenVBand="1" w:oddHBand="0" w:evenHBand="0" w:firstRowFirstColumn="0" w:firstRowLastColumn="0" w:lastRowFirstColumn="0" w:lastRowLastColumn="0"/>
            <w:tcW w:w="737" w:type="dxa"/>
          </w:tcPr>
          <w:p w14:paraId="68944C74" w14:textId="77777777" w:rsidR="00D6403A" w:rsidRPr="00D6403A" w:rsidRDefault="00D6403A" w:rsidP="003478E2">
            <w:pPr>
              <w:pStyle w:val="Tabletext"/>
              <w:rPr>
                <w:lang w:val="en-US"/>
              </w:rPr>
            </w:pPr>
            <w:r w:rsidRPr="00D6403A">
              <w:rPr>
                <w:lang w:val="en-US"/>
              </w:rPr>
              <w:t>26.5%</w:t>
            </w:r>
          </w:p>
        </w:tc>
        <w:tc>
          <w:tcPr>
            <w:cnfStyle w:val="000010000000" w:firstRow="0" w:lastRow="0" w:firstColumn="0" w:lastColumn="0" w:oddVBand="1" w:evenVBand="0" w:oddHBand="0" w:evenHBand="0" w:firstRowFirstColumn="0" w:firstRowLastColumn="0" w:lastRowFirstColumn="0" w:lastRowLastColumn="0"/>
            <w:tcW w:w="737" w:type="dxa"/>
          </w:tcPr>
          <w:p w14:paraId="1C45DB21" w14:textId="77777777" w:rsidR="00D6403A" w:rsidRPr="00D6403A" w:rsidRDefault="00D6403A" w:rsidP="003478E2">
            <w:pPr>
              <w:pStyle w:val="Tabletext"/>
              <w:rPr>
                <w:lang w:val="en-US"/>
              </w:rPr>
            </w:pPr>
            <w:r w:rsidRPr="00D6403A">
              <w:rPr>
                <w:lang w:val="en-US"/>
              </w:rPr>
              <w:t>23.7%</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3EF44FE3" w14:textId="77777777" w:rsidR="00D6403A" w:rsidRPr="00D6403A" w:rsidRDefault="00D6403A" w:rsidP="003478E2">
            <w:pPr>
              <w:pStyle w:val="Tabletext"/>
              <w:rPr>
                <w:lang w:val="en-US"/>
              </w:rPr>
            </w:pPr>
            <w:r w:rsidRPr="00D6403A">
              <w:rPr>
                <w:lang w:val="en-US"/>
              </w:rPr>
              <w:t>21.7%</w:t>
            </w:r>
          </w:p>
        </w:tc>
      </w:tr>
      <w:tr w:rsidR="00D6403A" w:rsidRPr="00D6403A" w14:paraId="0D13B546" w14:textId="77777777" w:rsidTr="003478E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2EC1FD4B" w14:textId="11BDB73F" w:rsidR="00D6403A" w:rsidRPr="003478E2" w:rsidRDefault="00D6403A" w:rsidP="003478E2">
            <w:pPr>
              <w:pStyle w:val="Tabletext"/>
              <w:jc w:val="left"/>
              <w:rPr>
                <w:b/>
                <w:color w:val="009859"/>
                <w:lang w:val="en-GB"/>
              </w:rPr>
            </w:pPr>
            <w:r w:rsidRPr="003478E2">
              <w:rPr>
                <w:b/>
                <w:position w:val="2"/>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631EE423" w14:textId="77777777" w:rsidR="00D6403A" w:rsidRPr="00D6403A" w:rsidRDefault="00D6403A" w:rsidP="003478E2">
            <w:pPr>
              <w:pStyle w:val="Tabletext"/>
              <w:rPr>
                <w:lang w:val="en-US"/>
              </w:rPr>
            </w:pPr>
            <w:r w:rsidRPr="00D6403A">
              <w:rPr>
                <w:lang w:val="en-US"/>
              </w:rPr>
              <w:t>11.3%</w:t>
            </w:r>
          </w:p>
        </w:tc>
        <w:tc>
          <w:tcPr>
            <w:cnfStyle w:val="000010000000" w:firstRow="0" w:lastRow="0" w:firstColumn="0" w:lastColumn="0" w:oddVBand="1" w:evenVBand="0" w:oddHBand="0" w:evenHBand="0" w:firstRowFirstColumn="0" w:firstRowLastColumn="0" w:lastRowFirstColumn="0" w:lastRowLastColumn="0"/>
            <w:tcW w:w="737" w:type="dxa"/>
          </w:tcPr>
          <w:p w14:paraId="3322EDE7" w14:textId="77777777" w:rsidR="00D6403A" w:rsidRPr="00D6403A" w:rsidRDefault="00D6403A" w:rsidP="003478E2">
            <w:pPr>
              <w:pStyle w:val="Tabletext"/>
              <w:rPr>
                <w:lang w:val="en-US"/>
              </w:rPr>
            </w:pPr>
            <w:r w:rsidRPr="00D6403A">
              <w:rPr>
                <w:lang w:val="en-US"/>
              </w:rPr>
              <w:t>13.6%</w:t>
            </w:r>
          </w:p>
        </w:tc>
        <w:tc>
          <w:tcPr>
            <w:cnfStyle w:val="000001000000" w:firstRow="0" w:lastRow="0" w:firstColumn="0" w:lastColumn="0" w:oddVBand="0" w:evenVBand="1" w:oddHBand="0" w:evenHBand="0" w:firstRowFirstColumn="0" w:firstRowLastColumn="0" w:lastRowFirstColumn="0" w:lastRowLastColumn="0"/>
            <w:tcW w:w="737" w:type="dxa"/>
          </w:tcPr>
          <w:p w14:paraId="5E0D92EE" w14:textId="77777777" w:rsidR="00D6403A" w:rsidRPr="00D6403A" w:rsidRDefault="00D6403A" w:rsidP="003478E2">
            <w:pPr>
              <w:pStyle w:val="Tabletext"/>
              <w:rPr>
                <w:lang w:val="en-US"/>
              </w:rPr>
            </w:pPr>
            <w:r w:rsidRPr="00D6403A">
              <w:rPr>
                <w:lang w:val="en-US"/>
              </w:rPr>
              <w:t>17.3%</w:t>
            </w:r>
          </w:p>
        </w:tc>
        <w:tc>
          <w:tcPr>
            <w:cnfStyle w:val="000010000000" w:firstRow="0" w:lastRow="0" w:firstColumn="0" w:lastColumn="0" w:oddVBand="1" w:evenVBand="0" w:oddHBand="0" w:evenHBand="0" w:firstRowFirstColumn="0" w:firstRowLastColumn="0" w:lastRowFirstColumn="0" w:lastRowLastColumn="0"/>
            <w:tcW w:w="737" w:type="dxa"/>
          </w:tcPr>
          <w:p w14:paraId="49CA9066" w14:textId="77777777" w:rsidR="00D6403A" w:rsidRPr="00D6403A" w:rsidRDefault="00D6403A" w:rsidP="003478E2">
            <w:pPr>
              <w:pStyle w:val="Tabletext"/>
              <w:rPr>
                <w:lang w:val="en-US"/>
              </w:rPr>
            </w:pPr>
            <w:r w:rsidRPr="00D6403A">
              <w:rPr>
                <w:lang w:val="en-US"/>
              </w:rPr>
              <w:t>13.9%</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7B126E05" w14:textId="77777777" w:rsidR="00D6403A" w:rsidRPr="00D6403A" w:rsidRDefault="00D6403A" w:rsidP="003478E2">
            <w:pPr>
              <w:pStyle w:val="Tabletext"/>
              <w:rPr>
                <w:lang w:val="en-US"/>
              </w:rPr>
            </w:pPr>
            <w:r w:rsidRPr="00D6403A">
              <w:rPr>
                <w:lang w:val="en-US"/>
              </w:rPr>
              <w:t>15.0%</w:t>
            </w:r>
          </w:p>
        </w:tc>
      </w:tr>
    </w:tbl>
    <w:p w14:paraId="3FADE4C4" w14:textId="77777777" w:rsidR="00D6403A" w:rsidRPr="00D6403A" w:rsidRDefault="00D6403A" w:rsidP="00870C38">
      <w:pPr>
        <w:pStyle w:val="Tablechartdiagramheading"/>
      </w:pPr>
      <w:r w:rsidRPr="00D6403A">
        <w:t>Figure 6. Time trend of Indicator 1a, 2017–2021</w:t>
      </w:r>
    </w:p>
    <w:p w14:paraId="0D2DF990" w14:textId="3A94AE0D" w:rsidR="00D6403A" w:rsidRPr="00D6403A" w:rsidRDefault="003478E2" w:rsidP="00862996">
      <w:pPr>
        <w:rPr>
          <w:lang w:val="en-GB"/>
        </w:rPr>
      </w:pPr>
      <w:r>
        <w:rPr>
          <w:noProof/>
          <w:lang w:val="en-GB"/>
        </w:rPr>
        <w:drawing>
          <wp:inline distT="0" distB="0" distL="0" distR="0" wp14:anchorId="74E60CF9" wp14:editId="26B27BB4">
            <wp:extent cx="3098800" cy="1295400"/>
            <wp:effectExtent l="0" t="0" r="0" b="0"/>
            <wp:docPr id="9" name="Picture 9" descr="Line chart of Table 2 indicator 1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_6.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37CBD24B" w14:textId="77777777" w:rsidR="00D6403A" w:rsidRPr="00D6403A" w:rsidRDefault="00D6403A" w:rsidP="00862996">
      <w:pPr>
        <w:rPr>
          <w:lang w:val="en-GB"/>
        </w:rPr>
      </w:pPr>
    </w:p>
    <w:p w14:paraId="214F5DF1" w14:textId="77777777" w:rsidR="00D6403A" w:rsidRPr="00D6403A" w:rsidRDefault="00D6403A" w:rsidP="005939CC">
      <w:pPr>
        <w:pStyle w:val="Heading2"/>
        <w:rPr>
          <w:lang w:val="en-GB"/>
        </w:rPr>
      </w:pPr>
      <w:bookmarkStart w:id="18" w:name="_Toc159326576"/>
      <w:r w:rsidRPr="00D6403A">
        <w:rPr>
          <w:lang w:val="en-GB"/>
        </w:rPr>
        <w:lastRenderedPageBreak/>
        <w:t>Definition and data source</w:t>
      </w:r>
      <w:bookmarkEnd w:id="18"/>
    </w:p>
    <w:p w14:paraId="7CD3A018" w14:textId="77777777" w:rsidR="00D6403A" w:rsidRPr="00D6403A" w:rsidRDefault="00D6403A" w:rsidP="008340E5">
      <w:pPr>
        <w:pStyle w:val="Heading3"/>
        <w:rPr>
          <w:lang w:val="en-GB"/>
        </w:rPr>
      </w:pPr>
      <w:r w:rsidRPr="00D6403A">
        <w:rPr>
          <w:lang w:val="en-GB"/>
        </w:rPr>
        <w:t>Definition</w:t>
      </w:r>
    </w:p>
    <w:p w14:paraId="5DB1A5BD" w14:textId="77777777" w:rsidR="00D6403A" w:rsidRPr="00D6403A" w:rsidRDefault="00D6403A" w:rsidP="00005134">
      <w:pPr>
        <w:rPr>
          <w:lang w:val="en-GB"/>
        </w:rPr>
      </w:pPr>
      <w:r w:rsidRPr="00D6403A">
        <w:rPr>
          <w:lang w:val="en-GB"/>
        </w:rPr>
        <w:t>The standard primipara in this indicator is defined as a woman, 20 to 39 years of age, with a BMI less than 40 kg/m</w:t>
      </w:r>
      <w:r w:rsidRPr="00D6403A">
        <w:rPr>
          <w:rFonts w:ascii="VIC" w:hAnsi="VIC" w:cs="VIC"/>
          <w:color w:val="000000"/>
          <w:vertAlign w:val="superscript"/>
          <w:lang w:val="en-GB"/>
        </w:rPr>
        <w:t>2</w:t>
      </w:r>
      <w:r w:rsidRPr="00D6403A">
        <w:rPr>
          <w:lang w:val="en-GB"/>
        </w:rPr>
        <w:t xml:space="preserve"> and free of obstetric and specified medical complications (pre-existing hypertension, diabetes, cardiac disease or serious psychiatric conditions), giving birth for the first time with a singleton pregnancy between 37 and 40 weeks’ completed gestation (259–286 days), with a non-small for gestational age (greater than 10th centile) infant and a vertex presentation.</w:t>
      </w:r>
    </w:p>
    <w:p w14:paraId="03302898" w14:textId="77777777" w:rsidR="00D6403A" w:rsidRPr="00D6403A" w:rsidRDefault="00D6403A" w:rsidP="008340E5">
      <w:pPr>
        <w:pStyle w:val="Heading3"/>
        <w:rPr>
          <w:lang w:val="en-GB"/>
        </w:rPr>
      </w:pPr>
      <w:r w:rsidRPr="00D6403A">
        <w:rPr>
          <w:lang w:val="en-GB"/>
        </w:rPr>
        <w:t>Data source: Victorian Perinatal Data Collection (VPDC)</w:t>
      </w:r>
    </w:p>
    <w:p w14:paraId="6991F608" w14:textId="77777777" w:rsidR="00D6403A" w:rsidRPr="00D6403A" w:rsidRDefault="00D6403A" w:rsidP="00005134">
      <w:pPr>
        <w:rPr>
          <w:lang w:val="en-GB"/>
        </w:rPr>
      </w:pPr>
      <w:r w:rsidRPr="00D6403A">
        <w:rPr>
          <w:lang w:val="en-GB"/>
        </w:rPr>
        <w:t>Data for this indicator is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1F986E32" w14:textId="77777777" w:rsidR="00D6403A" w:rsidRPr="00D6403A" w:rsidRDefault="00D6403A" w:rsidP="00862996">
      <w:pPr>
        <w:rPr>
          <w:lang w:val="en-GB"/>
        </w:rPr>
      </w:pPr>
      <w:r w:rsidRPr="00D6403A">
        <w:rPr>
          <w:lang w:val="en-GB"/>
        </w:rPr>
        <w:t>This indicator is derived using the following VPDC variables and the International Classification of Diseases and Related Health Problems, 10th edition, Australian Modification (ICD-10-AM) codes: ‘Parity’, ‘Maternal age’, ‘Height – self reported – mother’, ‘Weight – self reported – mother’, ‘Plurality’, ‘Estimated gestational age’, ‘Birth presentation’, ‘Obstetric complications – ICD-10-AM code’, ‘Maternal medical conditions – ICD-10-AM code’, ‘Indication for induction (main reason) – ICD-10-AM code’, ‘Birthweight’, ‘Sex’ and ‘Labour type’.</w:t>
      </w:r>
    </w:p>
    <w:p w14:paraId="35C8441D" w14:textId="77777777" w:rsidR="00D6403A" w:rsidRPr="00D6403A" w:rsidRDefault="00D6403A" w:rsidP="00005134">
      <w:pPr>
        <w:rPr>
          <w:lang w:val="en-GB"/>
        </w:rPr>
      </w:pPr>
      <w:r w:rsidRPr="00D6403A">
        <w:rPr>
          <w:lang w:val="en-GB"/>
        </w:rPr>
        <w:t>The inclusion criteria for the standard primipara were reviewed for the 2020–21 PSPI report. The upper age limit was increased to 39 years. The medical conditions that exclude women are now limited to pre</w:t>
      </w:r>
      <w:r w:rsidRPr="00D6403A">
        <w:rPr>
          <w:rFonts w:ascii="Cambria Math" w:hAnsi="Cambria Math" w:cs="Cambria Math"/>
          <w:color w:val="000000"/>
          <w:lang w:val="en-GB"/>
        </w:rPr>
        <w:t>‑</w:t>
      </w:r>
      <w:r w:rsidRPr="00D6403A">
        <w:rPr>
          <w:lang w:val="en-GB"/>
        </w:rPr>
        <w:t>existing hypertension, diabetes (type 1, type 2 and gestational diabetes), cardiac disease, BMI &gt; 40 or serious psychiatric conditions (schizophrenia, other psychotic disorders and bipolar disorder). Women are excluded if they have any obstetric conditions recorded in the ‘obstetric complications’ or ‘indication for induction (main reason)’ variable (any condition listed in the ‘O’ chapter of ICD-10-AM that occurs before the onset of labour, but not those related to gestation or spurious [false] labour).</w:t>
      </w:r>
    </w:p>
    <w:p w14:paraId="5EE9DF1B"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32086848" w14:textId="77777777" w:rsidTr="003478E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4D20EF17" w14:textId="77777777" w:rsidR="00D6403A" w:rsidRPr="00D6403A" w:rsidRDefault="00D6403A" w:rsidP="003478E2">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03812EDC" w14:textId="77777777" w:rsidR="00D6403A" w:rsidRPr="00D6403A" w:rsidRDefault="00D6403A" w:rsidP="003478E2">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0DEF57CF" w14:textId="77777777" w:rsidR="00D6403A" w:rsidRPr="00D6403A" w:rsidRDefault="00D6403A" w:rsidP="003478E2">
            <w:pPr>
              <w:pStyle w:val="Tableheader"/>
              <w:rPr>
                <w:b/>
                <w:lang w:val="en-GB"/>
              </w:rPr>
            </w:pPr>
            <w:r w:rsidRPr="00D6403A">
              <w:rPr>
                <w:b/>
                <w:lang w:val="en-GB"/>
              </w:rPr>
              <w:t>Denominator</w:t>
            </w:r>
          </w:p>
        </w:tc>
      </w:tr>
      <w:tr w:rsidR="00D6403A" w:rsidRPr="00D6403A" w14:paraId="75B29468" w14:textId="77777777" w:rsidTr="003478E2">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079561F5" w14:textId="77777777" w:rsidR="00D6403A" w:rsidRPr="008D5874" w:rsidRDefault="00D6403A" w:rsidP="008D5874">
            <w:pPr>
              <w:pStyle w:val="Tabletext"/>
              <w:jc w:val="left"/>
              <w:rPr>
                <w:b/>
                <w:lang w:val="en-GB"/>
              </w:rPr>
            </w:pPr>
            <w:r w:rsidRPr="008D5874">
              <w:rPr>
                <w:b/>
                <w:lang w:val="en-GB"/>
              </w:rPr>
              <w:t>Indicator 1a: Rate of induction of labour in standard primiparae</w:t>
            </w:r>
          </w:p>
        </w:tc>
        <w:tc>
          <w:tcPr>
            <w:cnfStyle w:val="000001000000" w:firstRow="0" w:lastRow="0" w:firstColumn="0" w:lastColumn="0" w:oddVBand="0" w:evenVBand="1" w:oddHBand="0" w:evenHBand="0" w:firstRowFirstColumn="0" w:firstRowLastColumn="0" w:lastRowFirstColumn="0" w:lastRowLastColumn="0"/>
            <w:tcW w:w="3401" w:type="dxa"/>
          </w:tcPr>
          <w:p w14:paraId="08DBB8A4" w14:textId="77777777" w:rsidR="00D6403A" w:rsidRPr="00D6403A" w:rsidRDefault="00D6403A" w:rsidP="003478E2">
            <w:pPr>
              <w:pStyle w:val="Tabletext"/>
              <w:jc w:val="left"/>
              <w:rPr>
                <w:lang w:val="en-US"/>
              </w:rPr>
            </w:pPr>
            <w:r w:rsidRPr="00D6403A">
              <w:rPr>
                <w:lang w:val="en-US"/>
              </w:rPr>
              <w:t>The number of standard primiparae who give birth undergoing induction of labour</w:t>
            </w:r>
          </w:p>
        </w:tc>
        <w:tc>
          <w:tcPr>
            <w:cnfStyle w:val="000010000000" w:firstRow="0" w:lastRow="0" w:firstColumn="0" w:lastColumn="0" w:oddVBand="1" w:evenVBand="0" w:oddHBand="0" w:evenHBand="0" w:firstRowFirstColumn="0" w:firstRowLastColumn="0" w:lastRowFirstColumn="0" w:lastRowLastColumn="0"/>
            <w:tcW w:w="3402" w:type="dxa"/>
          </w:tcPr>
          <w:p w14:paraId="70472DBD" w14:textId="77777777" w:rsidR="00D6403A" w:rsidRPr="00D6403A" w:rsidRDefault="00D6403A" w:rsidP="003478E2">
            <w:pPr>
              <w:pStyle w:val="Tabletext"/>
              <w:jc w:val="left"/>
              <w:rPr>
                <w:lang w:val="en-US"/>
              </w:rPr>
            </w:pPr>
            <w:r w:rsidRPr="00D6403A">
              <w:rPr>
                <w:lang w:val="en-US"/>
              </w:rPr>
              <w:t>The number of standard primiparae</w:t>
            </w:r>
          </w:p>
        </w:tc>
      </w:tr>
    </w:tbl>
    <w:p w14:paraId="5EF45796" w14:textId="77777777" w:rsidR="00D6403A" w:rsidRPr="00D6403A" w:rsidRDefault="00D6403A" w:rsidP="00862996">
      <w:pPr>
        <w:rPr>
          <w:lang w:val="en-GB"/>
        </w:rPr>
      </w:pPr>
    </w:p>
    <w:p w14:paraId="5ED0EE6E" w14:textId="77777777" w:rsidR="00D6403A" w:rsidRPr="00D6403A" w:rsidRDefault="00D6403A" w:rsidP="00D6403A">
      <w:pPr>
        <w:pStyle w:val="Heading1"/>
        <w:framePr w:wrap="around"/>
        <w:rPr>
          <w:lang w:val="en-GB"/>
        </w:rPr>
      </w:pPr>
    </w:p>
    <w:p w14:paraId="19FE31C7" w14:textId="77777777" w:rsidR="003478E2" w:rsidRDefault="003478E2">
      <w:pPr>
        <w:rPr>
          <w:rStyle w:val="Heading1Char"/>
        </w:rPr>
      </w:pPr>
      <w:bookmarkStart w:id="19" w:name="_Toc159326577"/>
      <w:r>
        <w:rPr>
          <w:rStyle w:val="Heading1Char"/>
        </w:rPr>
        <w:br w:type="page"/>
      </w:r>
    </w:p>
    <w:p w14:paraId="1057E31B" w14:textId="4BABD459" w:rsidR="00D6403A" w:rsidRPr="003478E2" w:rsidRDefault="00D6403A" w:rsidP="003478E2">
      <w:pPr>
        <w:pStyle w:val="Heading1"/>
        <w:framePr w:wrap="around"/>
      </w:pPr>
      <w:r w:rsidRPr="003478E2">
        <w:lastRenderedPageBreak/>
        <w:t>1bi and 1bii: Caesarean sections in</w:t>
      </w:r>
      <w:bookmarkEnd w:id="19"/>
      <w:r w:rsidRPr="00D6403A">
        <w:rPr>
          <w:rFonts w:ascii="Cambria" w:hAnsi="Cambria" w:cs="Cambria"/>
          <w:color w:val="009859"/>
          <w:szCs w:val="48"/>
          <w:lang w:val="en-GB"/>
        </w:rPr>
        <w:t> </w:t>
      </w:r>
      <w:r w:rsidRPr="003478E2">
        <w:t>primiparae</w:t>
      </w:r>
    </w:p>
    <w:p w14:paraId="16B040ED" w14:textId="77777777" w:rsidR="00D6403A" w:rsidRPr="00D6403A" w:rsidRDefault="00D6403A" w:rsidP="00D64F24">
      <w:pPr>
        <w:pStyle w:val="IntroductoryText"/>
        <w:rPr>
          <w:lang w:val="en-GB"/>
        </w:rPr>
      </w:pPr>
      <w:r w:rsidRPr="00D64F24">
        <w:t>Caesarean section is a surgical procedure in which a baby is born through an incision in the mother’s abdominal wall and uterus. Caesarean sections are recommended when vaginal birth may pose a risk to the mother or baby and are also sometimes carried out on request from the mother. Although a caesarean section is a relatively safe operation, there is the potential for complications for both mother and baby and an increased risk of complications in future births as well as an increased cost to</w:t>
      </w:r>
      <w:r w:rsidRPr="00D6403A">
        <w:rPr>
          <w:rFonts w:ascii="Cambria" w:hAnsi="Cambria" w:cs="Cambria"/>
          <w:lang w:val="en-GB"/>
        </w:rPr>
        <w:t> </w:t>
      </w:r>
      <w:r w:rsidRPr="00D64F24">
        <w:t>the</w:t>
      </w:r>
      <w:r w:rsidRPr="00D6403A">
        <w:rPr>
          <w:rFonts w:ascii="Cambria" w:hAnsi="Cambria" w:cs="Cambria"/>
          <w:lang w:val="en-GB"/>
        </w:rPr>
        <w:t> </w:t>
      </w:r>
      <w:r w:rsidRPr="00D6403A">
        <w:rPr>
          <w:lang w:val="en-GB"/>
        </w:rPr>
        <w:t>healthcare system.</w:t>
      </w:r>
    </w:p>
    <w:p w14:paraId="02B78DD5" w14:textId="77777777" w:rsidR="00D6403A" w:rsidRPr="00D6403A" w:rsidRDefault="00D6403A" w:rsidP="005939CC">
      <w:pPr>
        <w:pStyle w:val="Heading2"/>
        <w:rPr>
          <w:lang w:val="en-GB"/>
        </w:rPr>
      </w:pPr>
      <w:bookmarkStart w:id="20" w:name="_Toc159326578"/>
      <w:r w:rsidRPr="00D6403A">
        <w:rPr>
          <w:lang w:val="en-GB"/>
        </w:rPr>
        <w:t>About this indicator</w:t>
      </w:r>
      <w:bookmarkEnd w:id="20"/>
    </w:p>
    <w:p w14:paraId="56C8CDAA" w14:textId="77777777" w:rsidR="00D6403A" w:rsidRPr="00D6403A" w:rsidRDefault="00D6403A" w:rsidP="00005134">
      <w:pPr>
        <w:rPr>
          <w:lang w:val="en-GB"/>
        </w:rPr>
      </w:pPr>
      <w:r w:rsidRPr="00D6403A">
        <w:rPr>
          <w:lang w:val="en-GB"/>
        </w:rPr>
        <w:t>This indicator shows the rate of caesarean section for women having their first birth (primiparae), following spontaneous or induced onset of labour. It includes only those that are singleton, presenting head-first (cephalic), and at least 37 weeks’ gestation. It excludes women who have a caesarean section before labour begins. The Robson classification system</w:t>
      </w:r>
      <w:r w:rsidRPr="00D6403A">
        <w:rPr>
          <w:rFonts w:ascii="VIC" w:hAnsi="VIC" w:cs="VIC"/>
          <w:color w:val="000000"/>
          <w:vertAlign w:val="superscript"/>
          <w:lang w:val="en-GB"/>
        </w:rPr>
        <w:footnoteReference w:id="4"/>
      </w:r>
      <w:r w:rsidRPr="00D6403A">
        <w:rPr>
          <w:lang w:val="en-GB"/>
        </w:rPr>
        <w:t xml:space="preserve"> (also known as the 10-group classification) categorises all women having a caesarean section into one of 10 groups that are mutually exclusive based on basic obstetric characteristics (refer to Appendix 4: Robson classifications).</w:t>
      </w:r>
    </w:p>
    <w:p w14:paraId="7086CFD2" w14:textId="77777777" w:rsidR="00D6403A" w:rsidRPr="00D6403A" w:rsidRDefault="00D6403A" w:rsidP="00005134">
      <w:pPr>
        <w:pStyle w:val="Bullet1"/>
        <w:rPr>
          <w:lang w:val="en-GB"/>
        </w:rPr>
      </w:pPr>
      <w:r w:rsidRPr="00D6403A">
        <w:rPr>
          <w:lang w:val="en-GB"/>
        </w:rPr>
        <w:t>Indicator 1bi (Robson group 1) considers the proportion of caesarean sections in women whose labour began spontaneously.</w:t>
      </w:r>
    </w:p>
    <w:p w14:paraId="7EDF8CB1" w14:textId="6D38F80B" w:rsidR="00D6403A" w:rsidRDefault="00D6403A" w:rsidP="00005134">
      <w:pPr>
        <w:pStyle w:val="Bullet1"/>
        <w:rPr>
          <w:lang w:val="en-GB"/>
        </w:rPr>
      </w:pPr>
      <w:r w:rsidRPr="00D6403A">
        <w:rPr>
          <w:lang w:val="en-GB"/>
        </w:rPr>
        <w:t>Indicator 1bii (modified Robson Group 2) considers the proportion of caesarean sections in women whose labour was induced (but excludes those undergoing caesarean section without labour).</w:t>
      </w:r>
    </w:p>
    <w:p w14:paraId="3D90ACD1" w14:textId="5BAFD360" w:rsidR="003478E2" w:rsidRPr="004E3E9A" w:rsidRDefault="004E3E9A" w:rsidP="004E3E9A">
      <w:r w:rsidRPr="00B21DB5">
        <w:t>[Break out box text:</w:t>
      </w:r>
    </w:p>
    <w:p w14:paraId="5C726254" w14:textId="77777777" w:rsidR="001214FF" w:rsidRPr="00D6403A" w:rsidRDefault="001214FF" w:rsidP="001214FF">
      <w:pPr>
        <w:pStyle w:val="Heading3"/>
        <w:rPr>
          <w:lang w:val="en-GB"/>
        </w:rPr>
      </w:pPr>
      <w:r w:rsidRPr="00D6403A">
        <w:rPr>
          <w:lang w:val="en-GB"/>
        </w:rPr>
        <w:t>What pregnant women and families need to know</w:t>
      </w:r>
    </w:p>
    <w:p w14:paraId="2B33124C" w14:textId="0FA8AC8F" w:rsidR="001214FF" w:rsidRPr="00D6403A" w:rsidRDefault="001214FF" w:rsidP="00005134">
      <w:pPr>
        <w:rPr>
          <w:lang w:val="en-GB"/>
        </w:rPr>
      </w:pPr>
      <w:r w:rsidRPr="00D6403A">
        <w:rPr>
          <w:lang w:val="en-GB"/>
        </w:rPr>
        <w:t>A caesarean section (‘c-section’ or ‘caesarean’) is a surgical procedure in which a baby is born through a cut (incision) made in the mother’s abdominal wall and the wall of the womb (uterus) your baby will need to be born by caesarean section if there are problems that prevent the baby being born by a vaginal birth.</w:t>
      </w:r>
      <w:r w:rsidRPr="00D6403A">
        <w:rPr>
          <w:vertAlign w:val="superscript"/>
          <w:lang w:val="en-GB"/>
        </w:rPr>
        <w:footnoteReference w:id="5"/>
      </w:r>
    </w:p>
    <w:p w14:paraId="6151C905" w14:textId="54F0B387" w:rsidR="001214FF" w:rsidRPr="00D6403A" w:rsidRDefault="001214FF" w:rsidP="00005134">
      <w:pPr>
        <w:rPr>
          <w:lang w:val="en-GB"/>
        </w:rPr>
      </w:pPr>
      <w:r w:rsidRPr="00D6403A">
        <w:rPr>
          <w:lang w:val="en-GB"/>
        </w:rPr>
        <w:t>Most women who have started labour should be able to have a vaginal birth. If you have no</w:t>
      </w:r>
      <w:r w:rsidRPr="00D6403A">
        <w:rPr>
          <w:rFonts w:ascii="Cambria" w:hAnsi="Cambria" w:cs="Cambria"/>
          <w:lang w:val="en-GB"/>
        </w:rPr>
        <w:t> </w:t>
      </w:r>
      <w:r w:rsidRPr="00D6403A">
        <w:rPr>
          <w:lang w:val="en-GB"/>
        </w:rPr>
        <w:t>serious problems with your pregnancy or labour, a vaginal birth is usually the safest way for</w:t>
      </w:r>
      <w:r w:rsidRPr="00D6403A">
        <w:rPr>
          <w:rFonts w:ascii="Cambria" w:hAnsi="Cambria" w:cs="Cambria"/>
          <w:lang w:val="en-GB"/>
        </w:rPr>
        <w:t> </w:t>
      </w:r>
      <w:r w:rsidRPr="00D6403A">
        <w:rPr>
          <w:lang w:val="en-GB"/>
        </w:rPr>
        <w:t>your baby to be born.</w:t>
      </w:r>
    </w:p>
    <w:p w14:paraId="1999B5BC" w14:textId="77777777" w:rsidR="001214FF" w:rsidRPr="00D6403A" w:rsidRDefault="001214FF" w:rsidP="001214FF">
      <w:pPr>
        <w:rPr>
          <w:lang w:val="en-GB"/>
        </w:rPr>
      </w:pPr>
      <w:r w:rsidRPr="00D6403A">
        <w:rPr>
          <w:lang w:val="en-GB"/>
        </w:rPr>
        <w:t>A caesarean section may be planned before the start of labour (elective) if there are health problems or pregnancy complications that mean that a caesarean birth would be safer than a vaginal birth. A caesarean section may be needed in an emergency (unplanned) if there are urgent concerns for the mother or the baby’s wellbeing before or during labour.</w:t>
      </w:r>
    </w:p>
    <w:p w14:paraId="38DDBCDF" w14:textId="31242A1F" w:rsidR="001214FF" w:rsidRPr="00D6403A" w:rsidRDefault="001214FF" w:rsidP="001214FF">
      <w:pPr>
        <w:rPr>
          <w:lang w:val="en-GB"/>
        </w:rPr>
      </w:pPr>
      <w:r w:rsidRPr="00D6403A">
        <w:rPr>
          <w:lang w:val="en-GB"/>
        </w:rPr>
        <w:t>The graphs on the following pages show the rates of caesarean section for first-time mothers having a baby at 37 or more weeks of pregnancy.</w:t>
      </w:r>
    </w:p>
    <w:p w14:paraId="2DA38D1B" w14:textId="77777777" w:rsidR="001214FF" w:rsidRPr="00D6403A" w:rsidRDefault="001214FF" w:rsidP="001214FF">
      <w:pPr>
        <w:rPr>
          <w:lang w:val="en-GB"/>
        </w:rPr>
      </w:pPr>
      <w:r w:rsidRPr="00D6403A">
        <w:rPr>
          <w:lang w:val="en-GB"/>
        </w:rPr>
        <w:t>In this indicator:</w:t>
      </w:r>
    </w:p>
    <w:p w14:paraId="76691355" w14:textId="77777777" w:rsidR="001214FF" w:rsidRPr="00D6403A" w:rsidRDefault="001214FF" w:rsidP="001214FF">
      <w:pPr>
        <w:pStyle w:val="Bullet1"/>
        <w:rPr>
          <w:lang w:val="en-GB"/>
        </w:rPr>
      </w:pPr>
      <w:r w:rsidRPr="00D6403A">
        <w:rPr>
          <w:lang w:val="en-GB"/>
        </w:rPr>
        <w:lastRenderedPageBreak/>
        <w:t>1bi looks at the number of first-time mothers who have a caesarean section after going into labour naturally (‘spontaneously’) or on their own.</w:t>
      </w:r>
    </w:p>
    <w:p w14:paraId="38178B81" w14:textId="77777777" w:rsidR="001214FF" w:rsidRPr="00D6403A" w:rsidRDefault="001214FF" w:rsidP="001214FF">
      <w:pPr>
        <w:pStyle w:val="Bullet1"/>
        <w:rPr>
          <w:lang w:val="en-GB"/>
        </w:rPr>
      </w:pPr>
      <w:r w:rsidRPr="00D6403A">
        <w:rPr>
          <w:lang w:val="en-GB"/>
        </w:rPr>
        <w:t>1bii looks at the number of first-time mothers who have a caesarean section after having their labour induced (or brought on).</w:t>
      </w:r>
    </w:p>
    <w:p w14:paraId="7A4FB5CB" w14:textId="77777777" w:rsidR="001214FF" w:rsidRPr="00D6403A" w:rsidRDefault="001214FF" w:rsidP="001214FF">
      <w:pPr>
        <w:rPr>
          <w:lang w:val="en-GB"/>
        </w:rPr>
      </w:pPr>
      <w:r w:rsidRPr="00D6403A">
        <w:rPr>
          <w:lang w:val="en-GB"/>
        </w:rPr>
        <w:t>There is a lot of variation between hospitals. Ideally this should be similar between hospitals.</w:t>
      </w:r>
    </w:p>
    <w:p w14:paraId="5EFE1618" w14:textId="4477E747" w:rsidR="001214FF" w:rsidRPr="00D6403A" w:rsidRDefault="001214FF" w:rsidP="00005134">
      <w:pPr>
        <w:rPr>
          <w:color w:val="000000"/>
          <w:lang w:val="en-GB"/>
        </w:rPr>
      </w:pPr>
      <w:r w:rsidRPr="00D6403A">
        <w:rPr>
          <w:lang w:val="en-GB"/>
        </w:rPr>
        <w:t xml:space="preserve">More information can be found on the </w:t>
      </w:r>
      <w:hyperlink r:id="rId36" w:history="1">
        <w:r w:rsidRPr="001214FF">
          <w:rPr>
            <w:rStyle w:val="Hyperlink"/>
            <w:lang w:val="en-GB"/>
          </w:rPr>
          <w:t>Better Health Channel website</w:t>
        </w:r>
      </w:hyperlink>
      <w:r w:rsidRPr="00D6403A">
        <w:rPr>
          <w:lang w:val="en-GB"/>
        </w:rPr>
        <w:t xml:space="preserve"> &lt;https://www.betterhealth.vic.gov.au/health/healthyliving/caesarean-section&gt;. Discuss the information contained in this document with your doctor or midwife if you have any questions.</w:t>
      </w:r>
    </w:p>
    <w:p w14:paraId="11D17BD6" w14:textId="77777777" w:rsidR="001214FF" w:rsidRDefault="001214FF" w:rsidP="001214FF">
      <w:r w:rsidRPr="00B21DB5">
        <w:t>End of break out box text.]</w:t>
      </w:r>
    </w:p>
    <w:p w14:paraId="1F9D52AE" w14:textId="77777777" w:rsidR="00D6403A" w:rsidRPr="00D6403A" w:rsidRDefault="00D6403A" w:rsidP="005939CC">
      <w:pPr>
        <w:pStyle w:val="Heading2"/>
        <w:rPr>
          <w:lang w:val="en-GB"/>
        </w:rPr>
      </w:pPr>
      <w:bookmarkStart w:id="21" w:name="_Toc159326579"/>
      <w:r w:rsidRPr="00D6403A">
        <w:rPr>
          <w:lang w:val="en-GB"/>
        </w:rPr>
        <w:t>Observations on the data</w:t>
      </w:r>
      <w:bookmarkEnd w:id="21"/>
    </w:p>
    <w:p w14:paraId="71799BA0" w14:textId="77777777" w:rsidR="00D6403A" w:rsidRPr="00D6403A" w:rsidRDefault="00D6403A" w:rsidP="00862996">
      <w:pPr>
        <w:rPr>
          <w:lang w:val="en-GB"/>
        </w:rPr>
      </w:pPr>
      <w:r w:rsidRPr="00D6403A">
        <w:rPr>
          <w:lang w:val="en-GB"/>
        </w:rPr>
        <w:t>The statewide rate of primiparae who gave birth by caesarean section (Indicator 1bi: Robson group 1) was 18.3%. This rate remained the same as 2020 (the rate was 16.4% in 2016). The rate was lower across public hospitals (17.2%) than private hospitals (23.5%).</w:t>
      </w:r>
    </w:p>
    <w:p w14:paraId="61542EBA" w14:textId="77777777" w:rsidR="00D6403A" w:rsidRPr="00D6403A" w:rsidRDefault="00D6403A" w:rsidP="00862996">
      <w:pPr>
        <w:rPr>
          <w:lang w:val="en-GB"/>
        </w:rPr>
      </w:pPr>
      <w:r w:rsidRPr="00D6403A">
        <w:rPr>
          <w:lang w:val="en-GB"/>
        </w:rPr>
        <w:t>The statewide rate of primiparae who gave birth by caesarean section following induction of labour (Indicator 1bii: Modified Robson group 2) was 32.4% and has remained steady compared with 2020 (32.3%). The rate across public hospitals was comparable to private hospitals (32.4% and 32.6%, respectively).</w:t>
      </w:r>
    </w:p>
    <w:p w14:paraId="75917B18" w14:textId="77777777" w:rsidR="00D6403A" w:rsidRPr="00D6403A" w:rsidRDefault="00D6403A" w:rsidP="00005134">
      <w:pPr>
        <w:rPr>
          <w:lang w:val="en-GB"/>
        </w:rPr>
      </w:pPr>
      <w:r w:rsidRPr="00D6403A">
        <w:rPr>
          <w:lang w:val="en-GB"/>
        </w:rPr>
        <w:t>There was considerable variation between hospitals across the state and within maternity capability levels as shown in Figures 7 to 9 and Table 3 (Indicator 1bi) and Figures 10 to 12 and Table 4 (Indicator</w:t>
      </w:r>
      <w:r w:rsidRPr="00D6403A">
        <w:rPr>
          <w:rFonts w:ascii="Cambria" w:hAnsi="Cambria" w:cs="Cambria"/>
          <w:color w:val="000000"/>
          <w:lang w:val="en-GB"/>
        </w:rPr>
        <w:t> </w:t>
      </w:r>
      <w:r w:rsidRPr="00D6403A">
        <w:rPr>
          <w:lang w:val="en-GB"/>
        </w:rPr>
        <w:t>1bii). This variation may reflect differences in practice but may also reflect the influence of low</w:t>
      </w:r>
      <w:r w:rsidRPr="00D6403A">
        <w:rPr>
          <w:rFonts w:ascii="Cambria" w:hAnsi="Cambria" w:cs="Cambria"/>
          <w:color w:val="000000"/>
          <w:lang w:val="en-GB"/>
        </w:rPr>
        <w:t> </w:t>
      </w:r>
      <w:r w:rsidRPr="00D6403A">
        <w:rPr>
          <w:lang w:val="en-GB"/>
        </w:rPr>
        <w:t>birthing numbers in some rural or regional services.</w:t>
      </w:r>
    </w:p>
    <w:p w14:paraId="692C4CA4" w14:textId="77777777" w:rsidR="00D6403A" w:rsidRPr="00D6403A" w:rsidRDefault="00D6403A" w:rsidP="005939CC">
      <w:pPr>
        <w:pStyle w:val="Heading2"/>
        <w:rPr>
          <w:lang w:val="en-GB"/>
        </w:rPr>
      </w:pPr>
      <w:bookmarkStart w:id="22" w:name="_Toc159326580"/>
      <w:r w:rsidRPr="00D6403A">
        <w:rPr>
          <w:lang w:val="en-GB"/>
        </w:rPr>
        <w:t>Strategies for improvement</w:t>
      </w:r>
      <w:bookmarkEnd w:id="22"/>
    </w:p>
    <w:p w14:paraId="63851268" w14:textId="77777777" w:rsidR="00D6403A" w:rsidRPr="00D6403A" w:rsidRDefault="00D6403A" w:rsidP="00FD141D">
      <w:pPr>
        <w:pStyle w:val="Bullet1"/>
        <w:rPr>
          <w:lang w:val="en-GB"/>
        </w:rPr>
      </w:pPr>
      <w:r w:rsidRPr="00D6403A">
        <w:t>Health services should develop processes to ensure women are part of the shared decision-making process about mode of birth and are informed of the benefits and risks for each of the options with</w:t>
      </w:r>
      <w:r w:rsidRPr="00D6403A">
        <w:rPr>
          <w:rFonts w:ascii="Cambria" w:hAnsi="Cambria" w:cs="Cambria"/>
          <w:lang w:val="en-GB"/>
        </w:rPr>
        <w:t> </w:t>
      </w:r>
      <w:r w:rsidRPr="00D6403A">
        <w:rPr>
          <w:lang w:val="en-GB"/>
        </w:rPr>
        <w:t>both written and verbal information provided.</w:t>
      </w:r>
    </w:p>
    <w:p w14:paraId="03201007" w14:textId="5370A633" w:rsidR="00D6403A" w:rsidRPr="00D6403A" w:rsidRDefault="00D6403A" w:rsidP="00FD141D">
      <w:pPr>
        <w:pStyle w:val="Bullet1"/>
        <w:rPr>
          <w:lang w:val="en-GB"/>
        </w:rPr>
      </w:pPr>
      <w:r w:rsidRPr="00D6403A">
        <w:rPr>
          <w:lang w:val="en-GB"/>
        </w:rPr>
        <w:t>Health services should develop strategies to monitor and review their caesarean rates. Each service should develop triggers for reviewing individual cases as part of governance of ongoing quality</w:t>
      </w:r>
      <w:r w:rsidRPr="00D6403A">
        <w:rPr>
          <w:rFonts w:ascii="Cambria" w:hAnsi="Cambria" w:cs="Cambria"/>
          <w:lang w:val="en-GB"/>
        </w:rPr>
        <w:t> </w:t>
      </w:r>
      <w:r w:rsidRPr="00D6403A">
        <w:rPr>
          <w:lang w:val="en-GB"/>
        </w:rPr>
        <w:t>improvement.</w:t>
      </w:r>
    </w:p>
    <w:p w14:paraId="001393C5" w14:textId="77777777" w:rsidR="00D6403A" w:rsidRPr="00D6403A" w:rsidRDefault="00D6403A" w:rsidP="00FD141D">
      <w:pPr>
        <w:pStyle w:val="Bullet1"/>
      </w:pPr>
      <w:r w:rsidRPr="00D6403A">
        <w:rPr>
          <w:lang w:val="en-GB"/>
        </w:rPr>
        <w:t>Health services should review their management of labour and birth particularly in relation to</w:t>
      </w:r>
      <w:r w:rsidRPr="00D6403A">
        <w:rPr>
          <w:rFonts w:ascii="Cambria" w:hAnsi="Cambria" w:cs="Cambria"/>
          <w:lang w:val="en-GB"/>
        </w:rPr>
        <w:t> </w:t>
      </w:r>
      <w:r w:rsidRPr="00D6403A">
        <w:t>management of synthetic oxytocin, uterine contractility and cervical ripening.</w:t>
      </w:r>
    </w:p>
    <w:p w14:paraId="1112F335" w14:textId="77777777" w:rsidR="001214FF" w:rsidRDefault="001214FF">
      <w:pPr>
        <w:rPr>
          <w:b/>
          <w:bCs/>
          <w:color w:val="007586" w:themeColor="text2"/>
          <w:spacing w:val="2"/>
          <w:szCs w:val="18"/>
        </w:rPr>
      </w:pPr>
      <w:r>
        <w:br w:type="page"/>
      </w:r>
    </w:p>
    <w:p w14:paraId="378BDECD" w14:textId="1F08E8CF" w:rsidR="00D6403A" w:rsidRPr="001214FF" w:rsidRDefault="00D6403A" w:rsidP="001214FF">
      <w:pPr>
        <w:pStyle w:val="Tablechartdiagramheading"/>
      </w:pPr>
      <w:r w:rsidRPr="00D6403A">
        <w:lastRenderedPageBreak/>
        <w:t>Figure 7. Indicator 1bi: Rate of caesarean section in Robson group 1, 2021</w:t>
      </w:r>
    </w:p>
    <w:p w14:paraId="0BEF2249" w14:textId="04A98FF7" w:rsidR="00D6403A" w:rsidRPr="00D6403A" w:rsidRDefault="001214FF" w:rsidP="00862996">
      <w:pPr>
        <w:rPr>
          <w:lang w:val="en-GB"/>
        </w:rPr>
      </w:pPr>
      <w:r>
        <w:rPr>
          <w:noProof/>
          <w:lang w:val="en-GB"/>
        </w:rPr>
        <w:drawing>
          <wp:inline distT="0" distB="0" distL="0" distR="0" wp14:anchorId="7804B657" wp14:editId="028AECFE">
            <wp:extent cx="6476365" cy="6638925"/>
            <wp:effectExtent l="0" t="0" r="635" b="3175"/>
            <wp:docPr id="10" name="Picture 10" descr="Bar chart for Indicator 1bi.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_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6365" cy="6638925"/>
                    </a:xfrm>
                    <a:prstGeom prst="rect">
                      <a:avLst/>
                    </a:prstGeom>
                  </pic:spPr>
                </pic:pic>
              </a:graphicData>
            </a:graphic>
          </wp:inline>
        </w:drawing>
      </w:r>
    </w:p>
    <w:p w14:paraId="3B3D5072" w14:textId="77777777" w:rsidR="001214FF" w:rsidRDefault="001214FF">
      <w:pPr>
        <w:rPr>
          <w:b/>
          <w:bCs/>
          <w:color w:val="007586" w:themeColor="text2"/>
          <w:spacing w:val="2"/>
          <w:szCs w:val="18"/>
        </w:rPr>
      </w:pPr>
      <w:r>
        <w:br w:type="page"/>
      </w:r>
    </w:p>
    <w:p w14:paraId="70030CC1" w14:textId="5C68CAEA" w:rsidR="00D6403A" w:rsidRPr="00D6403A" w:rsidRDefault="00D6403A" w:rsidP="00870C38">
      <w:pPr>
        <w:pStyle w:val="Tablechartdiagramheading"/>
      </w:pPr>
      <w:r w:rsidRPr="00D6403A">
        <w:lastRenderedPageBreak/>
        <w:t>Figure 8. Funnel plot of the rate of caesarean section in Robson group 1, 2021</w:t>
      </w:r>
    </w:p>
    <w:p w14:paraId="400D37D5" w14:textId="5ACCF301" w:rsidR="00D6403A" w:rsidRPr="00D6403A" w:rsidRDefault="001214FF" w:rsidP="00862996">
      <w:pPr>
        <w:rPr>
          <w:lang w:val="en-GB"/>
        </w:rPr>
      </w:pPr>
      <w:r>
        <w:rPr>
          <w:noProof/>
          <w:lang w:val="en-GB"/>
        </w:rPr>
        <w:drawing>
          <wp:inline distT="0" distB="0" distL="0" distR="0" wp14:anchorId="03934D93" wp14:editId="736EF3C6">
            <wp:extent cx="6019800" cy="3416300"/>
            <wp:effectExtent l="0" t="0" r="0" b="0"/>
            <wp:docPr id="11" name="Picture 11"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_8.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19800" cy="3416300"/>
                    </a:xfrm>
                    <a:prstGeom prst="rect">
                      <a:avLst/>
                    </a:prstGeom>
                  </pic:spPr>
                </pic:pic>
              </a:graphicData>
            </a:graphic>
          </wp:inline>
        </w:drawing>
      </w:r>
    </w:p>
    <w:p w14:paraId="529AA7FE"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33950166" w14:textId="77777777" w:rsidR="00D6403A" w:rsidRPr="00D6403A" w:rsidRDefault="00D6403A" w:rsidP="00887B5A">
      <w:pPr>
        <w:pStyle w:val="Tablechartdiagramheading"/>
        <w:rPr>
          <w:lang w:val="en-GB"/>
        </w:rPr>
      </w:pPr>
      <w:r w:rsidRPr="00D6403A">
        <w:rPr>
          <w:lang w:val="en-GB"/>
        </w:rPr>
        <w:t>Table 3. Rate of caesarean section in Robson group 1,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5EF82AD9" w14:textId="77777777" w:rsidTr="001214F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4961" w:type="dxa"/>
            <w:gridSpan w:val="6"/>
          </w:tcPr>
          <w:p w14:paraId="76636A76" w14:textId="77777777" w:rsidR="00D6403A" w:rsidRPr="007275FD" w:rsidRDefault="00D6403A" w:rsidP="007275FD">
            <w:pPr>
              <w:pStyle w:val="Tableheader"/>
              <w:jc w:val="center"/>
              <w:rPr>
                <w:rFonts w:ascii="VIC" w:hAnsi="VIC" w:cs="VIC"/>
                <w:b/>
                <w:bCs/>
                <w:lang w:val="en-GB"/>
              </w:rPr>
            </w:pPr>
            <w:r w:rsidRPr="007275FD">
              <w:rPr>
                <w:b/>
                <w:lang w:val="en-GB"/>
              </w:rPr>
              <w:t>Indicator 1bi: Robson group 1</w:t>
            </w:r>
          </w:p>
        </w:tc>
      </w:tr>
      <w:tr w:rsidR="00D6403A" w:rsidRPr="00D6403A" w14:paraId="5D9D6000" w14:textId="77777777" w:rsidTr="001214F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7190BBF1" w14:textId="77777777" w:rsidR="00D6403A" w:rsidRPr="00D6403A" w:rsidRDefault="00D6403A" w:rsidP="00D6403A">
            <w:pPr>
              <w:autoSpaceDE w:val="0"/>
              <w:autoSpaceDN w:val="0"/>
              <w:adjustRightInd w:val="0"/>
              <w:spacing w:line="240" w:lineRule="auto"/>
              <w:rPr>
                <w:rFonts w:ascii="VIC" w:hAnsi="VIC"/>
                <w:sz w:val="24"/>
                <w:szCs w:val="24"/>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58870915" w14:textId="77777777" w:rsidR="00D6403A" w:rsidRPr="00D6403A" w:rsidRDefault="00D6403A" w:rsidP="003478E2">
            <w:pPr>
              <w:pStyle w:val="Tableheader"/>
              <w:rPr>
                <w:b/>
                <w:lang w:val="en-GB"/>
              </w:rPr>
            </w:pPr>
            <w:r w:rsidRPr="00D6403A">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4F744045" w14:textId="77777777" w:rsidR="00D6403A" w:rsidRPr="00D6403A" w:rsidRDefault="00D6403A" w:rsidP="003478E2">
            <w:pPr>
              <w:pStyle w:val="Tableheader"/>
              <w:rPr>
                <w:b/>
                <w:lang w:val="en-GB"/>
              </w:rPr>
            </w:pPr>
            <w:r w:rsidRPr="00D6403A">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39D28882" w14:textId="77777777" w:rsidR="00D6403A" w:rsidRPr="00D6403A" w:rsidRDefault="00D6403A" w:rsidP="003478E2">
            <w:pPr>
              <w:pStyle w:val="Tableheader"/>
              <w:rPr>
                <w:b/>
                <w:lang w:val="en-GB"/>
              </w:rPr>
            </w:pPr>
            <w:r w:rsidRPr="00D6403A">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5CCBBD37" w14:textId="77777777" w:rsidR="00D6403A" w:rsidRPr="00D6403A" w:rsidRDefault="00D6403A" w:rsidP="003478E2">
            <w:pPr>
              <w:pStyle w:val="Tableheader"/>
              <w:rPr>
                <w:b/>
                <w:lang w:val="en-GB"/>
              </w:rPr>
            </w:pPr>
            <w:r w:rsidRPr="00D6403A">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0F26C698" w14:textId="77777777" w:rsidR="00D6403A" w:rsidRPr="00D6403A" w:rsidRDefault="00D6403A" w:rsidP="003478E2">
            <w:pPr>
              <w:pStyle w:val="Tableheader"/>
              <w:rPr>
                <w:b/>
                <w:lang w:val="en-GB"/>
              </w:rPr>
            </w:pPr>
            <w:r w:rsidRPr="00D6403A">
              <w:rPr>
                <w:b/>
                <w:lang w:val="en-GB"/>
              </w:rPr>
              <w:t>2021</w:t>
            </w:r>
          </w:p>
        </w:tc>
      </w:tr>
      <w:tr w:rsidR="00D6403A" w:rsidRPr="00D6403A" w14:paraId="79AF39CB" w14:textId="77777777" w:rsidTr="001214F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7978D556" w14:textId="41833DE3" w:rsidR="00D6403A" w:rsidRPr="007275FD" w:rsidRDefault="00D6403A" w:rsidP="007275FD">
            <w:pPr>
              <w:pStyle w:val="Tabletext"/>
              <w:jc w:val="left"/>
              <w:rPr>
                <w:b/>
                <w:color w:val="009859"/>
                <w:lang w:val="en-GB"/>
              </w:rPr>
            </w:pPr>
            <w:r w:rsidRPr="007275FD">
              <w:rPr>
                <w:b/>
                <w:lang w:val="en-G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2B9D2F51" w14:textId="77777777" w:rsidR="00D6403A" w:rsidRPr="00D6403A" w:rsidRDefault="00D6403A" w:rsidP="00AE4C75">
            <w:pPr>
              <w:pStyle w:val="Tabletext"/>
              <w:rPr>
                <w:lang w:val="en-US"/>
              </w:rPr>
            </w:pPr>
            <w:r w:rsidRPr="00D6403A">
              <w:rPr>
                <w:lang w:val="en-US"/>
              </w:rPr>
              <w:t>15.0%</w:t>
            </w:r>
          </w:p>
        </w:tc>
        <w:tc>
          <w:tcPr>
            <w:cnfStyle w:val="000010000000" w:firstRow="0" w:lastRow="0" w:firstColumn="0" w:lastColumn="0" w:oddVBand="1" w:evenVBand="0" w:oddHBand="0" w:evenHBand="0" w:firstRowFirstColumn="0" w:firstRowLastColumn="0" w:lastRowFirstColumn="0" w:lastRowLastColumn="0"/>
            <w:tcW w:w="737" w:type="dxa"/>
          </w:tcPr>
          <w:p w14:paraId="482CFFA1" w14:textId="77777777" w:rsidR="00D6403A" w:rsidRPr="00D6403A" w:rsidRDefault="00D6403A" w:rsidP="00AE4C75">
            <w:pPr>
              <w:pStyle w:val="Tabletext"/>
              <w:rPr>
                <w:lang w:val="en-US"/>
              </w:rPr>
            </w:pPr>
            <w:r w:rsidRPr="00D6403A">
              <w:rPr>
                <w:lang w:val="en-US"/>
              </w:rPr>
              <w:t>15.3%</w:t>
            </w:r>
          </w:p>
        </w:tc>
        <w:tc>
          <w:tcPr>
            <w:cnfStyle w:val="000001000000" w:firstRow="0" w:lastRow="0" w:firstColumn="0" w:lastColumn="0" w:oddVBand="0" w:evenVBand="1" w:oddHBand="0" w:evenHBand="0" w:firstRowFirstColumn="0" w:firstRowLastColumn="0" w:lastRowFirstColumn="0" w:lastRowLastColumn="0"/>
            <w:tcW w:w="737" w:type="dxa"/>
          </w:tcPr>
          <w:p w14:paraId="0157AF17" w14:textId="77777777" w:rsidR="00D6403A" w:rsidRPr="00D6403A" w:rsidRDefault="00D6403A" w:rsidP="00AE4C75">
            <w:pPr>
              <w:pStyle w:val="Tabletext"/>
              <w:rPr>
                <w:lang w:val="en-US"/>
              </w:rPr>
            </w:pPr>
            <w:r w:rsidRPr="00D6403A">
              <w:rPr>
                <w:lang w:val="en-US"/>
              </w:rPr>
              <w:t>16.9%</w:t>
            </w:r>
          </w:p>
        </w:tc>
        <w:tc>
          <w:tcPr>
            <w:cnfStyle w:val="000010000000" w:firstRow="0" w:lastRow="0" w:firstColumn="0" w:lastColumn="0" w:oddVBand="1" w:evenVBand="0" w:oddHBand="0" w:evenHBand="0" w:firstRowFirstColumn="0" w:firstRowLastColumn="0" w:lastRowFirstColumn="0" w:lastRowLastColumn="0"/>
            <w:tcW w:w="737" w:type="dxa"/>
          </w:tcPr>
          <w:p w14:paraId="1BE4B28A" w14:textId="77777777" w:rsidR="00D6403A" w:rsidRPr="00D6403A" w:rsidRDefault="00D6403A" w:rsidP="00AE4C75">
            <w:pPr>
              <w:pStyle w:val="Tabletext"/>
              <w:rPr>
                <w:lang w:val="en-US"/>
              </w:rPr>
            </w:pPr>
            <w:r w:rsidRPr="00D6403A">
              <w:rPr>
                <w:lang w:val="en-US"/>
              </w:rPr>
              <w:t>17.0%</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2FA21FEB" w14:textId="77777777" w:rsidR="00D6403A" w:rsidRPr="00D6403A" w:rsidRDefault="00D6403A" w:rsidP="00AE4C75">
            <w:pPr>
              <w:pStyle w:val="Tabletext"/>
              <w:rPr>
                <w:lang w:val="en-US"/>
              </w:rPr>
            </w:pPr>
            <w:r w:rsidRPr="00D6403A">
              <w:rPr>
                <w:lang w:val="en-US"/>
              </w:rPr>
              <w:t>17.2%</w:t>
            </w:r>
          </w:p>
        </w:tc>
      </w:tr>
      <w:tr w:rsidR="00D6403A" w:rsidRPr="00D6403A" w14:paraId="3A6C45E5" w14:textId="77777777" w:rsidTr="001214F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2492AE0" w14:textId="483820B9" w:rsidR="00D6403A" w:rsidRPr="007275FD" w:rsidRDefault="00D6403A" w:rsidP="007275FD">
            <w:pPr>
              <w:pStyle w:val="Tabletext"/>
              <w:jc w:val="left"/>
              <w:rPr>
                <w:b/>
                <w:color w:val="009859"/>
                <w:lang w:val="en-GB"/>
              </w:rPr>
            </w:pPr>
            <w:r w:rsidRPr="007275FD">
              <w:rPr>
                <w:b/>
                <w:lang w:val="en-G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5BFEBAD9" w14:textId="77777777" w:rsidR="00D6403A" w:rsidRPr="00D6403A" w:rsidRDefault="00D6403A" w:rsidP="00AE4C75">
            <w:pPr>
              <w:pStyle w:val="Tabletext"/>
              <w:rPr>
                <w:lang w:val="en-US"/>
              </w:rPr>
            </w:pPr>
            <w:r w:rsidRPr="00D6403A">
              <w:rPr>
                <w:lang w:val="en-US"/>
              </w:rPr>
              <w:t>22.5%</w:t>
            </w:r>
          </w:p>
        </w:tc>
        <w:tc>
          <w:tcPr>
            <w:cnfStyle w:val="000010000000" w:firstRow="0" w:lastRow="0" w:firstColumn="0" w:lastColumn="0" w:oddVBand="1" w:evenVBand="0" w:oddHBand="0" w:evenHBand="0" w:firstRowFirstColumn="0" w:firstRowLastColumn="0" w:lastRowFirstColumn="0" w:lastRowLastColumn="0"/>
            <w:tcW w:w="737" w:type="dxa"/>
          </w:tcPr>
          <w:p w14:paraId="5653111D" w14:textId="77777777" w:rsidR="00D6403A" w:rsidRPr="00D6403A" w:rsidRDefault="00D6403A" w:rsidP="00AE4C75">
            <w:pPr>
              <w:pStyle w:val="Tabletext"/>
              <w:rPr>
                <w:lang w:val="en-US"/>
              </w:rPr>
            </w:pPr>
            <w:r w:rsidRPr="00D6403A">
              <w:rPr>
                <w:lang w:val="en-US"/>
              </w:rPr>
              <w:t>21.8%</w:t>
            </w:r>
          </w:p>
        </w:tc>
        <w:tc>
          <w:tcPr>
            <w:cnfStyle w:val="000001000000" w:firstRow="0" w:lastRow="0" w:firstColumn="0" w:lastColumn="0" w:oddVBand="0" w:evenVBand="1" w:oddHBand="0" w:evenHBand="0" w:firstRowFirstColumn="0" w:firstRowLastColumn="0" w:lastRowFirstColumn="0" w:lastRowLastColumn="0"/>
            <w:tcW w:w="737" w:type="dxa"/>
          </w:tcPr>
          <w:p w14:paraId="4BC47028" w14:textId="77777777" w:rsidR="00D6403A" w:rsidRPr="00D6403A" w:rsidRDefault="00D6403A" w:rsidP="00AE4C75">
            <w:pPr>
              <w:pStyle w:val="Tabletext"/>
              <w:rPr>
                <w:lang w:val="en-US"/>
              </w:rPr>
            </w:pPr>
            <w:r w:rsidRPr="00D6403A">
              <w:rPr>
                <w:lang w:val="en-US"/>
              </w:rPr>
              <w:t>22.0%</w:t>
            </w:r>
          </w:p>
        </w:tc>
        <w:tc>
          <w:tcPr>
            <w:cnfStyle w:val="000010000000" w:firstRow="0" w:lastRow="0" w:firstColumn="0" w:lastColumn="0" w:oddVBand="1" w:evenVBand="0" w:oddHBand="0" w:evenHBand="0" w:firstRowFirstColumn="0" w:firstRowLastColumn="0" w:lastRowFirstColumn="0" w:lastRowLastColumn="0"/>
            <w:tcW w:w="737" w:type="dxa"/>
          </w:tcPr>
          <w:p w14:paraId="4A0F9A94" w14:textId="77777777" w:rsidR="00D6403A" w:rsidRPr="00D6403A" w:rsidRDefault="00D6403A" w:rsidP="00AE4C75">
            <w:pPr>
              <w:pStyle w:val="Tabletext"/>
              <w:rPr>
                <w:lang w:val="en-US"/>
              </w:rPr>
            </w:pPr>
            <w:r w:rsidRPr="00D6403A">
              <w:rPr>
                <w:lang w:val="en-US"/>
              </w:rPr>
              <w:t>24.2%</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53A9F6C2" w14:textId="77777777" w:rsidR="00D6403A" w:rsidRPr="00D6403A" w:rsidRDefault="00D6403A" w:rsidP="00AE4C75">
            <w:pPr>
              <w:pStyle w:val="Tabletext"/>
              <w:rPr>
                <w:lang w:val="en-US"/>
              </w:rPr>
            </w:pPr>
            <w:r w:rsidRPr="00D6403A">
              <w:rPr>
                <w:lang w:val="en-US"/>
              </w:rPr>
              <w:t>23.5%</w:t>
            </w:r>
          </w:p>
        </w:tc>
      </w:tr>
      <w:tr w:rsidR="00D6403A" w:rsidRPr="00D6403A" w14:paraId="64A46A96" w14:textId="77777777" w:rsidTr="001214F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66C23EBA" w14:textId="01101364" w:rsidR="00D6403A" w:rsidRPr="007275FD" w:rsidRDefault="00D6403A" w:rsidP="007275FD">
            <w:pPr>
              <w:pStyle w:val="Tabletext"/>
              <w:jc w:val="left"/>
              <w:rPr>
                <w:b/>
                <w:color w:val="009859"/>
                <w:lang w:val="en-GB"/>
              </w:rPr>
            </w:pPr>
            <w:r w:rsidRPr="007275FD">
              <w:rPr>
                <w:b/>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44ED4BEC" w14:textId="77777777" w:rsidR="00D6403A" w:rsidRPr="00D6403A" w:rsidRDefault="00D6403A" w:rsidP="00AE4C75">
            <w:pPr>
              <w:pStyle w:val="Tabletext"/>
              <w:rPr>
                <w:lang w:val="en-US"/>
              </w:rPr>
            </w:pPr>
            <w:r w:rsidRPr="00D6403A">
              <w:rPr>
                <w:lang w:val="en-US"/>
              </w:rPr>
              <w:t>16.7%</w:t>
            </w:r>
          </w:p>
        </w:tc>
        <w:tc>
          <w:tcPr>
            <w:cnfStyle w:val="000010000000" w:firstRow="0" w:lastRow="0" w:firstColumn="0" w:lastColumn="0" w:oddVBand="1" w:evenVBand="0" w:oddHBand="0" w:evenHBand="0" w:firstRowFirstColumn="0" w:firstRowLastColumn="0" w:lastRowFirstColumn="0" w:lastRowLastColumn="0"/>
            <w:tcW w:w="737" w:type="dxa"/>
          </w:tcPr>
          <w:p w14:paraId="5E867B38" w14:textId="77777777" w:rsidR="00D6403A" w:rsidRPr="00D6403A" w:rsidRDefault="00D6403A" w:rsidP="00AE4C75">
            <w:pPr>
              <w:pStyle w:val="Tabletext"/>
              <w:rPr>
                <w:lang w:val="en-US"/>
              </w:rPr>
            </w:pPr>
            <w:r w:rsidRPr="00D6403A">
              <w:rPr>
                <w:lang w:val="en-US"/>
              </w:rPr>
              <w:t>16.7%</w:t>
            </w:r>
          </w:p>
        </w:tc>
        <w:tc>
          <w:tcPr>
            <w:cnfStyle w:val="000001000000" w:firstRow="0" w:lastRow="0" w:firstColumn="0" w:lastColumn="0" w:oddVBand="0" w:evenVBand="1" w:oddHBand="0" w:evenHBand="0" w:firstRowFirstColumn="0" w:firstRowLastColumn="0" w:lastRowFirstColumn="0" w:lastRowLastColumn="0"/>
            <w:tcW w:w="737" w:type="dxa"/>
          </w:tcPr>
          <w:p w14:paraId="6831EF0E" w14:textId="77777777" w:rsidR="00D6403A" w:rsidRPr="00D6403A" w:rsidRDefault="00D6403A" w:rsidP="00AE4C75">
            <w:pPr>
              <w:pStyle w:val="Tabletext"/>
              <w:rPr>
                <w:lang w:val="en-US"/>
              </w:rPr>
            </w:pPr>
            <w:r w:rsidRPr="00D6403A">
              <w:rPr>
                <w:lang w:val="en-US"/>
              </w:rPr>
              <w:t>18.0%</w:t>
            </w:r>
          </w:p>
        </w:tc>
        <w:tc>
          <w:tcPr>
            <w:cnfStyle w:val="000010000000" w:firstRow="0" w:lastRow="0" w:firstColumn="0" w:lastColumn="0" w:oddVBand="1" w:evenVBand="0" w:oddHBand="0" w:evenHBand="0" w:firstRowFirstColumn="0" w:firstRowLastColumn="0" w:lastRowFirstColumn="0" w:lastRowLastColumn="0"/>
            <w:tcW w:w="737" w:type="dxa"/>
          </w:tcPr>
          <w:p w14:paraId="5EACD283" w14:textId="77777777" w:rsidR="00D6403A" w:rsidRPr="00D6403A" w:rsidRDefault="00D6403A" w:rsidP="00AE4C75">
            <w:pPr>
              <w:pStyle w:val="Tabletext"/>
              <w:rPr>
                <w:lang w:val="en-US"/>
              </w:rPr>
            </w:pPr>
            <w:r w:rsidRPr="00D6403A">
              <w:rPr>
                <w:lang w:val="en-US"/>
              </w:rPr>
              <w:t>18.3%</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2714D10B" w14:textId="77777777" w:rsidR="00D6403A" w:rsidRPr="00D6403A" w:rsidRDefault="00D6403A" w:rsidP="00AE4C75">
            <w:pPr>
              <w:pStyle w:val="Tabletext"/>
              <w:rPr>
                <w:lang w:val="en-US"/>
              </w:rPr>
            </w:pPr>
            <w:r w:rsidRPr="00D6403A">
              <w:rPr>
                <w:lang w:val="en-US"/>
              </w:rPr>
              <w:t>18.3%</w:t>
            </w:r>
          </w:p>
        </w:tc>
      </w:tr>
    </w:tbl>
    <w:p w14:paraId="1BDB25B3" w14:textId="60C4936E" w:rsidR="00D6403A" w:rsidRPr="00036E1B" w:rsidRDefault="00D6403A" w:rsidP="00036E1B">
      <w:pPr>
        <w:pStyle w:val="Tablechartdiagramheading"/>
      </w:pPr>
      <w:r w:rsidRPr="00D6403A">
        <w:t>Figure 9. Time trend of Indicator 1bi, 2017–2021</w:t>
      </w:r>
    </w:p>
    <w:p w14:paraId="41420657" w14:textId="1AD67901" w:rsidR="00D6403A" w:rsidRPr="00D6403A" w:rsidRDefault="00036E1B" w:rsidP="00862996">
      <w:pPr>
        <w:rPr>
          <w:lang w:val="en-GB"/>
        </w:rPr>
      </w:pPr>
      <w:r>
        <w:rPr>
          <w:noProof/>
          <w:lang w:val="en-GB"/>
        </w:rPr>
        <w:drawing>
          <wp:inline distT="0" distB="0" distL="0" distR="0" wp14:anchorId="30ECD0CA" wp14:editId="74797AF5">
            <wp:extent cx="3098800" cy="1295400"/>
            <wp:effectExtent l="0" t="0" r="0" b="0"/>
            <wp:docPr id="12" name="Picture 12" descr="Line chart of Table 3 indicator 1bi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_9.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3F0F0483" w14:textId="73978CD1" w:rsidR="00D6403A" w:rsidRPr="00036E1B" w:rsidRDefault="00D6403A" w:rsidP="00036E1B">
      <w:pPr>
        <w:pStyle w:val="Tablechartdiagramheading"/>
      </w:pPr>
      <w:r w:rsidRPr="00D6403A">
        <w:lastRenderedPageBreak/>
        <w:t>Figure 10. Indicator 1bii: Rate of caesarean section in modified Robson group 2, 2021</w:t>
      </w:r>
    </w:p>
    <w:p w14:paraId="3E2CE145" w14:textId="5E3AE697" w:rsidR="00D6403A" w:rsidRPr="00D6403A" w:rsidRDefault="00816EE1" w:rsidP="00862996">
      <w:pPr>
        <w:rPr>
          <w:lang w:val="en-GB"/>
        </w:rPr>
      </w:pPr>
      <w:r>
        <w:rPr>
          <w:noProof/>
          <w:lang w:val="en-GB"/>
        </w:rPr>
        <w:drawing>
          <wp:inline distT="0" distB="0" distL="0" distR="0" wp14:anchorId="14AD0806" wp14:editId="354D6070">
            <wp:extent cx="6476365" cy="7014845"/>
            <wp:effectExtent l="0" t="0" r="635" b="0"/>
            <wp:docPr id="27" name="Picture 27" descr="Bar chart for Indicator 1bii.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_10.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76365" cy="7014845"/>
                    </a:xfrm>
                    <a:prstGeom prst="rect">
                      <a:avLst/>
                    </a:prstGeom>
                  </pic:spPr>
                </pic:pic>
              </a:graphicData>
            </a:graphic>
          </wp:inline>
        </w:drawing>
      </w:r>
    </w:p>
    <w:p w14:paraId="5ACAD913" w14:textId="77777777" w:rsidR="00D6403A" w:rsidRPr="00D6403A" w:rsidRDefault="00D6403A" w:rsidP="00870C38">
      <w:pPr>
        <w:pStyle w:val="Tablechartdiagramheading"/>
      </w:pPr>
      <w:r w:rsidRPr="00D6403A">
        <w:lastRenderedPageBreak/>
        <w:t>Figure 11. Funnel plot of the rate of caesarean section in modified Robson group 2, 2021</w:t>
      </w:r>
    </w:p>
    <w:p w14:paraId="32F692E8" w14:textId="0C21DE84" w:rsidR="00D6403A" w:rsidRPr="00D6403A" w:rsidRDefault="00036E1B" w:rsidP="00862996">
      <w:pPr>
        <w:rPr>
          <w:lang w:val="en-GB"/>
        </w:rPr>
      </w:pPr>
      <w:r>
        <w:rPr>
          <w:noProof/>
          <w:lang w:val="en-GB"/>
        </w:rPr>
        <w:drawing>
          <wp:inline distT="0" distB="0" distL="0" distR="0" wp14:anchorId="0A6229AD" wp14:editId="54BB6CE5">
            <wp:extent cx="6019800" cy="3416300"/>
            <wp:effectExtent l="0" t="0" r="0" b="0"/>
            <wp:docPr id="14" name="Picture 14"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_1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19800" cy="3416300"/>
                    </a:xfrm>
                    <a:prstGeom prst="rect">
                      <a:avLst/>
                    </a:prstGeom>
                  </pic:spPr>
                </pic:pic>
              </a:graphicData>
            </a:graphic>
          </wp:inline>
        </w:drawing>
      </w:r>
    </w:p>
    <w:p w14:paraId="2D2C8966"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075A08C4" w14:textId="77777777" w:rsidR="00D6403A" w:rsidRPr="00D6403A" w:rsidRDefault="00D6403A" w:rsidP="00887B5A">
      <w:pPr>
        <w:pStyle w:val="Tablechartdiagramheading"/>
        <w:rPr>
          <w:lang w:val="en-GB"/>
        </w:rPr>
      </w:pPr>
      <w:r w:rsidRPr="00D6403A">
        <w:rPr>
          <w:lang w:val="en-GB"/>
        </w:rPr>
        <w:t>Table 4. Rate of caesarean section in modified Robson group 2,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6E93ECCB" w14:textId="77777777" w:rsidTr="00036E1B">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4961" w:type="dxa"/>
            <w:gridSpan w:val="6"/>
          </w:tcPr>
          <w:p w14:paraId="240F0086" w14:textId="77777777" w:rsidR="00D6403A" w:rsidRPr="00036E1B" w:rsidRDefault="00D6403A" w:rsidP="00036E1B">
            <w:pPr>
              <w:pStyle w:val="Tableheader"/>
              <w:jc w:val="center"/>
              <w:rPr>
                <w:rFonts w:ascii="VIC" w:hAnsi="VIC" w:cs="VIC"/>
                <w:b/>
                <w:bCs/>
                <w:lang w:val="en-GB"/>
              </w:rPr>
            </w:pPr>
            <w:r w:rsidRPr="00036E1B">
              <w:rPr>
                <w:b/>
                <w:lang w:val="en-GB"/>
              </w:rPr>
              <w:t>Indicator 1bii: Modified Robson group 2</w:t>
            </w:r>
          </w:p>
        </w:tc>
      </w:tr>
      <w:tr w:rsidR="00D6403A" w:rsidRPr="00D6403A" w14:paraId="2C2B82FE" w14:textId="77777777" w:rsidTr="00036E1B">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3BF018F7" w14:textId="77777777" w:rsidR="00D6403A" w:rsidRPr="00036E1B" w:rsidRDefault="00D6403A" w:rsidP="00036E1B">
            <w:pPr>
              <w:pStyle w:val="Tableheader"/>
              <w:jc w:val="center"/>
              <w:rPr>
                <w:rFonts w:ascii="VIC" w:hAnsi="VIC"/>
                <w:b/>
                <w:sz w:val="24"/>
                <w:szCs w:val="24"/>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04FA80E5" w14:textId="77777777" w:rsidR="00D6403A" w:rsidRPr="00036E1B" w:rsidRDefault="00D6403A" w:rsidP="00036E1B">
            <w:pPr>
              <w:pStyle w:val="Tableheader"/>
              <w:jc w:val="right"/>
              <w:rPr>
                <w:b/>
                <w:lang w:val="en-GB"/>
              </w:rPr>
            </w:pPr>
            <w:r w:rsidRPr="00036E1B">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192F7768" w14:textId="77777777" w:rsidR="00D6403A" w:rsidRPr="00036E1B" w:rsidRDefault="00D6403A" w:rsidP="00036E1B">
            <w:pPr>
              <w:pStyle w:val="Tableheader"/>
              <w:jc w:val="right"/>
              <w:rPr>
                <w:b/>
                <w:lang w:val="en-GB"/>
              </w:rPr>
            </w:pPr>
            <w:r w:rsidRPr="00036E1B">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4D049CAF" w14:textId="77777777" w:rsidR="00D6403A" w:rsidRPr="00036E1B" w:rsidRDefault="00D6403A" w:rsidP="00036E1B">
            <w:pPr>
              <w:pStyle w:val="Tableheader"/>
              <w:jc w:val="right"/>
              <w:rPr>
                <w:b/>
                <w:lang w:val="en-GB"/>
              </w:rPr>
            </w:pPr>
            <w:r w:rsidRPr="00036E1B">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44FBBF7D" w14:textId="77777777" w:rsidR="00D6403A" w:rsidRPr="00036E1B" w:rsidRDefault="00D6403A" w:rsidP="00036E1B">
            <w:pPr>
              <w:pStyle w:val="Tableheader"/>
              <w:jc w:val="right"/>
              <w:rPr>
                <w:b/>
                <w:lang w:val="en-GB"/>
              </w:rPr>
            </w:pPr>
            <w:r w:rsidRPr="00036E1B">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08EDF70E" w14:textId="77777777" w:rsidR="00D6403A" w:rsidRPr="00036E1B" w:rsidRDefault="00D6403A" w:rsidP="00036E1B">
            <w:pPr>
              <w:pStyle w:val="Tableheader"/>
              <w:jc w:val="right"/>
              <w:rPr>
                <w:b/>
                <w:lang w:val="en-GB"/>
              </w:rPr>
            </w:pPr>
            <w:r w:rsidRPr="00036E1B">
              <w:rPr>
                <w:b/>
                <w:lang w:val="en-GB"/>
              </w:rPr>
              <w:t>2021</w:t>
            </w:r>
          </w:p>
        </w:tc>
      </w:tr>
      <w:tr w:rsidR="00D6403A" w:rsidRPr="00D6403A" w14:paraId="5D9B87E8" w14:textId="77777777" w:rsidTr="00036E1B">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1C4D18E0" w14:textId="7137B6B2" w:rsidR="00D6403A" w:rsidRPr="007275FD" w:rsidRDefault="00D6403A" w:rsidP="007275FD">
            <w:pPr>
              <w:pStyle w:val="Tabletext"/>
              <w:jc w:val="left"/>
              <w:rPr>
                <w:b/>
                <w:color w:val="009859"/>
                <w:lang w:val="en-GB"/>
              </w:rPr>
            </w:pPr>
            <w:r w:rsidRPr="007275FD">
              <w:rPr>
                <w:b/>
                <w:lang w:val="en-G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54C0119B" w14:textId="77777777" w:rsidR="00D6403A" w:rsidRPr="00D6403A" w:rsidRDefault="00D6403A" w:rsidP="00AE4C75">
            <w:pPr>
              <w:pStyle w:val="Tabletext"/>
              <w:rPr>
                <w:lang w:val="en-US"/>
              </w:rPr>
            </w:pPr>
            <w:r w:rsidRPr="00D6403A">
              <w:rPr>
                <w:lang w:val="en-US"/>
              </w:rPr>
              <w:t>29.6%</w:t>
            </w:r>
          </w:p>
        </w:tc>
        <w:tc>
          <w:tcPr>
            <w:cnfStyle w:val="000010000000" w:firstRow="0" w:lastRow="0" w:firstColumn="0" w:lastColumn="0" w:oddVBand="1" w:evenVBand="0" w:oddHBand="0" w:evenHBand="0" w:firstRowFirstColumn="0" w:firstRowLastColumn="0" w:lastRowFirstColumn="0" w:lastRowLastColumn="0"/>
            <w:tcW w:w="737" w:type="dxa"/>
          </w:tcPr>
          <w:p w14:paraId="6770450B" w14:textId="77777777" w:rsidR="00D6403A" w:rsidRPr="00D6403A" w:rsidRDefault="00D6403A" w:rsidP="00AE4C75">
            <w:pPr>
              <w:pStyle w:val="Tabletext"/>
              <w:rPr>
                <w:lang w:val="en-US"/>
              </w:rPr>
            </w:pPr>
            <w:r w:rsidRPr="00D6403A">
              <w:rPr>
                <w:lang w:val="en-US"/>
              </w:rPr>
              <w:t>30.2%</w:t>
            </w:r>
          </w:p>
        </w:tc>
        <w:tc>
          <w:tcPr>
            <w:cnfStyle w:val="000001000000" w:firstRow="0" w:lastRow="0" w:firstColumn="0" w:lastColumn="0" w:oddVBand="0" w:evenVBand="1" w:oddHBand="0" w:evenHBand="0" w:firstRowFirstColumn="0" w:firstRowLastColumn="0" w:lastRowFirstColumn="0" w:lastRowLastColumn="0"/>
            <w:tcW w:w="737" w:type="dxa"/>
          </w:tcPr>
          <w:p w14:paraId="591599C0" w14:textId="77777777" w:rsidR="00D6403A" w:rsidRPr="00D6403A" w:rsidRDefault="00D6403A" w:rsidP="00AE4C75">
            <w:pPr>
              <w:pStyle w:val="Tabletext"/>
              <w:rPr>
                <w:lang w:val="en-US"/>
              </w:rPr>
            </w:pPr>
            <w:r w:rsidRPr="00D6403A">
              <w:rPr>
                <w:lang w:val="en-US"/>
              </w:rPr>
              <w:t>31.2%</w:t>
            </w:r>
          </w:p>
        </w:tc>
        <w:tc>
          <w:tcPr>
            <w:cnfStyle w:val="000010000000" w:firstRow="0" w:lastRow="0" w:firstColumn="0" w:lastColumn="0" w:oddVBand="1" w:evenVBand="0" w:oddHBand="0" w:evenHBand="0" w:firstRowFirstColumn="0" w:firstRowLastColumn="0" w:lastRowFirstColumn="0" w:lastRowLastColumn="0"/>
            <w:tcW w:w="737" w:type="dxa"/>
          </w:tcPr>
          <w:p w14:paraId="2CB84407" w14:textId="77777777" w:rsidR="00D6403A" w:rsidRPr="00D6403A" w:rsidRDefault="00D6403A" w:rsidP="00AE4C75">
            <w:pPr>
              <w:pStyle w:val="Tabletext"/>
              <w:rPr>
                <w:lang w:val="en-US"/>
              </w:rPr>
            </w:pPr>
            <w:r w:rsidRPr="00D6403A">
              <w:rPr>
                <w:lang w:val="en-US"/>
              </w:rPr>
              <w:t>32.2%</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34167BE3" w14:textId="77777777" w:rsidR="00D6403A" w:rsidRPr="00D6403A" w:rsidRDefault="00D6403A" w:rsidP="00AE4C75">
            <w:pPr>
              <w:pStyle w:val="Tabletext"/>
              <w:rPr>
                <w:lang w:val="en-US"/>
              </w:rPr>
            </w:pPr>
            <w:r w:rsidRPr="00D6403A">
              <w:rPr>
                <w:lang w:val="en-US"/>
              </w:rPr>
              <w:t>32.4%</w:t>
            </w:r>
          </w:p>
        </w:tc>
      </w:tr>
      <w:tr w:rsidR="00D6403A" w:rsidRPr="00D6403A" w14:paraId="10E53458" w14:textId="77777777" w:rsidTr="00036E1B">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32B9C452" w14:textId="2C3B7866" w:rsidR="00D6403A" w:rsidRPr="007275FD" w:rsidRDefault="00D6403A" w:rsidP="007275FD">
            <w:pPr>
              <w:pStyle w:val="Tabletext"/>
              <w:jc w:val="left"/>
              <w:rPr>
                <w:b/>
                <w:color w:val="009859"/>
                <w:lang w:val="en-GB"/>
              </w:rPr>
            </w:pPr>
            <w:r w:rsidRPr="007275FD">
              <w:rPr>
                <w:b/>
                <w:lang w:val="en-G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1BAD4CFE" w14:textId="77777777" w:rsidR="00D6403A" w:rsidRPr="00D6403A" w:rsidRDefault="00D6403A" w:rsidP="00AE4C75">
            <w:pPr>
              <w:pStyle w:val="Tabletext"/>
              <w:rPr>
                <w:lang w:val="en-US"/>
              </w:rPr>
            </w:pPr>
            <w:r w:rsidRPr="00D6403A">
              <w:rPr>
                <w:lang w:val="en-US"/>
              </w:rPr>
              <w:t>32.3%</w:t>
            </w:r>
          </w:p>
        </w:tc>
        <w:tc>
          <w:tcPr>
            <w:cnfStyle w:val="000010000000" w:firstRow="0" w:lastRow="0" w:firstColumn="0" w:lastColumn="0" w:oddVBand="1" w:evenVBand="0" w:oddHBand="0" w:evenHBand="0" w:firstRowFirstColumn="0" w:firstRowLastColumn="0" w:lastRowFirstColumn="0" w:lastRowLastColumn="0"/>
            <w:tcW w:w="737" w:type="dxa"/>
          </w:tcPr>
          <w:p w14:paraId="626F5F86" w14:textId="77777777" w:rsidR="00D6403A" w:rsidRPr="00D6403A" w:rsidRDefault="00D6403A" w:rsidP="00AE4C75">
            <w:pPr>
              <w:pStyle w:val="Tabletext"/>
              <w:rPr>
                <w:lang w:val="en-US"/>
              </w:rPr>
            </w:pPr>
            <w:r w:rsidRPr="00D6403A">
              <w:rPr>
                <w:lang w:val="en-US"/>
              </w:rPr>
              <w:t>31.9%</w:t>
            </w:r>
          </w:p>
        </w:tc>
        <w:tc>
          <w:tcPr>
            <w:cnfStyle w:val="000001000000" w:firstRow="0" w:lastRow="0" w:firstColumn="0" w:lastColumn="0" w:oddVBand="0" w:evenVBand="1" w:oddHBand="0" w:evenHBand="0" w:firstRowFirstColumn="0" w:firstRowLastColumn="0" w:lastRowFirstColumn="0" w:lastRowLastColumn="0"/>
            <w:tcW w:w="737" w:type="dxa"/>
          </w:tcPr>
          <w:p w14:paraId="65B07ACF" w14:textId="77777777" w:rsidR="00D6403A" w:rsidRPr="00D6403A" w:rsidRDefault="00D6403A" w:rsidP="00AE4C75">
            <w:pPr>
              <w:pStyle w:val="Tabletext"/>
              <w:rPr>
                <w:lang w:val="en-US"/>
              </w:rPr>
            </w:pPr>
            <w:r w:rsidRPr="00D6403A">
              <w:rPr>
                <w:lang w:val="en-US"/>
              </w:rPr>
              <w:t>33.2%</w:t>
            </w:r>
          </w:p>
        </w:tc>
        <w:tc>
          <w:tcPr>
            <w:cnfStyle w:val="000010000000" w:firstRow="0" w:lastRow="0" w:firstColumn="0" w:lastColumn="0" w:oddVBand="1" w:evenVBand="0" w:oddHBand="0" w:evenHBand="0" w:firstRowFirstColumn="0" w:firstRowLastColumn="0" w:lastRowFirstColumn="0" w:lastRowLastColumn="0"/>
            <w:tcW w:w="737" w:type="dxa"/>
          </w:tcPr>
          <w:p w14:paraId="3E643CF4" w14:textId="77777777" w:rsidR="00D6403A" w:rsidRPr="00D6403A" w:rsidRDefault="00D6403A" w:rsidP="00AE4C75">
            <w:pPr>
              <w:pStyle w:val="Tabletext"/>
              <w:rPr>
                <w:lang w:val="en-US"/>
              </w:rPr>
            </w:pPr>
            <w:r w:rsidRPr="00D6403A">
              <w:rPr>
                <w:lang w:val="en-US"/>
              </w:rPr>
              <w:t>32.6%</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268329BE" w14:textId="77777777" w:rsidR="00D6403A" w:rsidRPr="00D6403A" w:rsidRDefault="00D6403A" w:rsidP="00AE4C75">
            <w:pPr>
              <w:pStyle w:val="Tabletext"/>
              <w:rPr>
                <w:lang w:val="en-US"/>
              </w:rPr>
            </w:pPr>
            <w:r w:rsidRPr="00D6403A">
              <w:rPr>
                <w:lang w:val="en-US"/>
              </w:rPr>
              <w:t>32.6%</w:t>
            </w:r>
          </w:p>
        </w:tc>
      </w:tr>
      <w:tr w:rsidR="00D6403A" w:rsidRPr="00D6403A" w14:paraId="049A3627" w14:textId="77777777" w:rsidTr="00036E1B">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4415D109" w14:textId="46F71754" w:rsidR="00D6403A" w:rsidRPr="007275FD" w:rsidRDefault="00D6403A" w:rsidP="007275FD">
            <w:pPr>
              <w:pStyle w:val="Tabletext"/>
              <w:jc w:val="left"/>
              <w:rPr>
                <w:b/>
                <w:color w:val="009859"/>
                <w:lang w:val="en-GB"/>
              </w:rPr>
            </w:pPr>
            <w:r w:rsidRPr="007275FD">
              <w:rPr>
                <w:b/>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14012189" w14:textId="77777777" w:rsidR="00D6403A" w:rsidRPr="00D6403A" w:rsidRDefault="00D6403A" w:rsidP="00AE4C75">
            <w:pPr>
              <w:pStyle w:val="Tabletext"/>
              <w:rPr>
                <w:lang w:val="en-US"/>
              </w:rPr>
            </w:pPr>
            <w:r w:rsidRPr="00D6403A">
              <w:rPr>
                <w:lang w:val="en-US"/>
              </w:rPr>
              <w:t>30.1%</w:t>
            </w:r>
          </w:p>
        </w:tc>
        <w:tc>
          <w:tcPr>
            <w:cnfStyle w:val="000010000000" w:firstRow="0" w:lastRow="0" w:firstColumn="0" w:lastColumn="0" w:oddVBand="1" w:evenVBand="0" w:oddHBand="0" w:evenHBand="0" w:firstRowFirstColumn="0" w:firstRowLastColumn="0" w:lastRowFirstColumn="0" w:lastRowLastColumn="0"/>
            <w:tcW w:w="737" w:type="dxa"/>
          </w:tcPr>
          <w:p w14:paraId="0A704164" w14:textId="77777777" w:rsidR="00D6403A" w:rsidRPr="00D6403A" w:rsidRDefault="00D6403A" w:rsidP="00AE4C75">
            <w:pPr>
              <w:pStyle w:val="Tabletext"/>
              <w:rPr>
                <w:lang w:val="en-US"/>
              </w:rPr>
            </w:pPr>
            <w:r w:rsidRPr="00D6403A">
              <w:rPr>
                <w:lang w:val="en-US"/>
              </w:rPr>
              <w:t>30.6%</w:t>
            </w:r>
          </w:p>
        </w:tc>
        <w:tc>
          <w:tcPr>
            <w:cnfStyle w:val="000001000000" w:firstRow="0" w:lastRow="0" w:firstColumn="0" w:lastColumn="0" w:oddVBand="0" w:evenVBand="1" w:oddHBand="0" w:evenHBand="0" w:firstRowFirstColumn="0" w:firstRowLastColumn="0" w:lastRowFirstColumn="0" w:lastRowLastColumn="0"/>
            <w:tcW w:w="737" w:type="dxa"/>
          </w:tcPr>
          <w:p w14:paraId="0F894AC9" w14:textId="77777777" w:rsidR="00D6403A" w:rsidRPr="00D6403A" w:rsidRDefault="00D6403A" w:rsidP="00AE4C75">
            <w:pPr>
              <w:pStyle w:val="Tabletext"/>
              <w:rPr>
                <w:lang w:val="en-US"/>
              </w:rPr>
            </w:pPr>
            <w:r w:rsidRPr="00D6403A">
              <w:rPr>
                <w:lang w:val="en-US"/>
              </w:rPr>
              <w:t>31.6%</w:t>
            </w:r>
          </w:p>
        </w:tc>
        <w:tc>
          <w:tcPr>
            <w:cnfStyle w:val="000010000000" w:firstRow="0" w:lastRow="0" w:firstColumn="0" w:lastColumn="0" w:oddVBand="1" w:evenVBand="0" w:oddHBand="0" w:evenHBand="0" w:firstRowFirstColumn="0" w:firstRowLastColumn="0" w:lastRowFirstColumn="0" w:lastRowLastColumn="0"/>
            <w:tcW w:w="737" w:type="dxa"/>
          </w:tcPr>
          <w:p w14:paraId="2106B000" w14:textId="77777777" w:rsidR="00D6403A" w:rsidRPr="00D6403A" w:rsidRDefault="00D6403A" w:rsidP="00AE4C75">
            <w:pPr>
              <w:pStyle w:val="Tabletext"/>
              <w:rPr>
                <w:lang w:val="en-US"/>
              </w:rPr>
            </w:pPr>
            <w:r w:rsidRPr="00D6403A">
              <w:rPr>
                <w:lang w:val="en-US"/>
              </w:rPr>
              <w:t>32.3%</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189AC592" w14:textId="77777777" w:rsidR="00D6403A" w:rsidRPr="00D6403A" w:rsidRDefault="00D6403A" w:rsidP="00AE4C75">
            <w:pPr>
              <w:pStyle w:val="Tabletext"/>
              <w:rPr>
                <w:lang w:val="en-US"/>
              </w:rPr>
            </w:pPr>
            <w:r w:rsidRPr="00D6403A">
              <w:rPr>
                <w:lang w:val="en-US"/>
              </w:rPr>
              <w:t>32.4%</w:t>
            </w:r>
          </w:p>
        </w:tc>
      </w:tr>
    </w:tbl>
    <w:p w14:paraId="731A493D" w14:textId="77777777" w:rsidR="00D6403A" w:rsidRPr="00D6403A" w:rsidRDefault="00D6403A" w:rsidP="00870C38">
      <w:pPr>
        <w:pStyle w:val="Tablechartdiagramheading"/>
      </w:pPr>
      <w:r w:rsidRPr="00D6403A">
        <w:t>Figure 12. Time trend of Indicator 1bii, 2017–2021</w:t>
      </w:r>
    </w:p>
    <w:p w14:paraId="5278A431" w14:textId="07182D9F" w:rsidR="00D6403A" w:rsidRPr="00D6403A" w:rsidRDefault="00036E1B" w:rsidP="00862996">
      <w:pPr>
        <w:rPr>
          <w:lang w:val="en-GB"/>
        </w:rPr>
      </w:pPr>
      <w:r>
        <w:rPr>
          <w:noProof/>
          <w:lang w:val="en-GB"/>
        </w:rPr>
        <w:drawing>
          <wp:inline distT="0" distB="0" distL="0" distR="0" wp14:anchorId="459ACE1B" wp14:editId="14C49601">
            <wp:extent cx="3098800" cy="1295400"/>
            <wp:effectExtent l="0" t="0" r="0" b="0"/>
            <wp:docPr id="15" name="Picture 15" descr="Line chart of Table 4 indicator 1bii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_12.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2009652E" w14:textId="77777777" w:rsidR="00D6403A" w:rsidRPr="00D6403A" w:rsidRDefault="00D6403A" w:rsidP="005939CC">
      <w:pPr>
        <w:pStyle w:val="Heading2"/>
        <w:rPr>
          <w:lang w:val="en-GB"/>
        </w:rPr>
      </w:pPr>
      <w:bookmarkStart w:id="23" w:name="_Toc159326581"/>
      <w:r w:rsidRPr="00D6403A">
        <w:rPr>
          <w:lang w:val="en-GB"/>
        </w:rPr>
        <w:lastRenderedPageBreak/>
        <w:t>Definition and data source</w:t>
      </w:r>
      <w:bookmarkEnd w:id="23"/>
    </w:p>
    <w:p w14:paraId="237B685C" w14:textId="77777777" w:rsidR="00D6403A" w:rsidRPr="00D6403A" w:rsidRDefault="00D6403A" w:rsidP="008340E5">
      <w:pPr>
        <w:pStyle w:val="Heading3"/>
        <w:rPr>
          <w:lang w:val="en-GB"/>
        </w:rPr>
      </w:pPr>
      <w:r w:rsidRPr="00D6403A">
        <w:rPr>
          <w:lang w:val="en-GB"/>
        </w:rPr>
        <w:t>Definition</w:t>
      </w:r>
    </w:p>
    <w:p w14:paraId="505F524F" w14:textId="77777777" w:rsidR="00D6403A" w:rsidRPr="00D6403A" w:rsidRDefault="00D6403A" w:rsidP="00005134">
      <w:pPr>
        <w:rPr>
          <w:lang w:val="en-GB"/>
        </w:rPr>
      </w:pPr>
      <w:r w:rsidRPr="00D6403A">
        <w:rPr>
          <w:lang w:val="en-GB"/>
        </w:rPr>
        <w:t>Robson group 1 (Indicator 1bi) includes first-time birthing women with a singleton cephalic pregnancy, at</w:t>
      </w:r>
      <w:r w:rsidRPr="00D6403A">
        <w:rPr>
          <w:rFonts w:ascii="Cambria" w:hAnsi="Cambria" w:cs="Cambria"/>
          <w:color w:val="000000"/>
          <w:lang w:val="en-GB"/>
        </w:rPr>
        <w:t> </w:t>
      </w:r>
      <w:r w:rsidRPr="00D6403A">
        <w:rPr>
          <w:lang w:val="en-GB"/>
        </w:rPr>
        <w:t>greater than or equal to 37 weeks’ gestation in spontaneous labour.</w:t>
      </w:r>
    </w:p>
    <w:p w14:paraId="73E58613" w14:textId="77777777" w:rsidR="00D6403A" w:rsidRPr="00D6403A" w:rsidRDefault="00D6403A" w:rsidP="00862996">
      <w:pPr>
        <w:rPr>
          <w:lang w:val="en-GB"/>
        </w:rPr>
      </w:pPr>
      <w:r w:rsidRPr="00D6403A">
        <w:rPr>
          <w:lang w:val="en-GB"/>
        </w:rPr>
        <w:t>Modified Robson group 2 (Indicator 1bii) includes women having their first baby with a singleton cephalic pregnancy, at greater than or equal to 37 weeks’ gestation who had labour induced. Modified Robson group 2 excludes pre-labour caesareans, which are included in the standard Robson group 2.</w:t>
      </w:r>
    </w:p>
    <w:p w14:paraId="47557DE3" w14:textId="77777777" w:rsidR="00D6403A" w:rsidRPr="00D6403A" w:rsidRDefault="00D6403A" w:rsidP="008340E5">
      <w:pPr>
        <w:pStyle w:val="Heading3"/>
        <w:rPr>
          <w:lang w:val="en-GB"/>
        </w:rPr>
      </w:pPr>
      <w:r w:rsidRPr="00D6403A">
        <w:rPr>
          <w:lang w:val="en-GB"/>
        </w:rPr>
        <w:t>Data source: Victorian Perinatal Data Collection</w:t>
      </w:r>
    </w:p>
    <w:p w14:paraId="35CB5863" w14:textId="77777777" w:rsidR="00D6403A" w:rsidRPr="00D6403A" w:rsidRDefault="00D6403A" w:rsidP="00005134">
      <w:pPr>
        <w:rPr>
          <w:lang w:val="en-GB"/>
        </w:rPr>
      </w:pPr>
      <w:r w:rsidRPr="00D6403A">
        <w:rPr>
          <w:lang w:val="en-GB"/>
        </w:rPr>
        <w:t>Data for these indicators are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550AAF85" w14:textId="77777777" w:rsidR="00D6403A" w:rsidRPr="00D6403A" w:rsidRDefault="00D6403A" w:rsidP="00862996">
      <w:pPr>
        <w:rPr>
          <w:lang w:val="en-GB"/>
        </w:rPr>
      </w:pPr>
      <w:r w:rsidRPr="00D6403A">
        <w:rPr>
          <w:lang w:val="en-GB"/>
        </w:rPr>
        <w:t>The indicators are derived using the following VPDC variables: ‘Parity’, ‘Plurality’, ‘Birth presentation’, ‘Estimated gestational age’, ‘Labour type’ and ‘Method of birth’.</w:t>
      </w:r>
    </w:p>
    <w:p w14:paraId="15FC6E31"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689D8214" w14:textId="77777777" w:rsidTr="00036E1B">
        <w:trPr>
          <w:cnfStyle w:val="100000000000" w:firstRow="1" w:lastRow="0" w:firstColumn="0" w:lastColumn="0" w:oddVBand="0" w:evenVBand="0" w:oddHBand="0" w:evenHBand="0" w:firstRowFirstColumn="0" w:firstRowLastColumn="0" w:lastRowFirstColumn="0" w:lastRowLastColumn="0"/>
          <w:trHeight w:val="283"/>
        </w:trPr>
        <w:tc>
          <w:tcPr>
            <w:cnfStyle w:val="000010000000" w:firstRow="0" w:lastRow="0" w:firstColumn="0" w:lastColumn="0" w:oddVBand="1" w:evenVBand="0" w:oddHBand="0" w:evenHBand="0" w:firstRowFirstColumn="0" w:firstRowLastColumn="0" w:lastRowFirstColumn="0" w:lastRowLastColumn="0"/>
            <w:tcW w:w="3402" w:type="dxa"/>
            <w:vAlign w:val="top"/>
          </w:tcPr>
          <w:p w14:paraId="101BFE5C" w14:textId="77777777" w:rsidR="00D6403A" w:rsidRPr="00D6403A" w:rsidRDefault="00D6403A" w:rsidP="00036E1B">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vAlign w:val="top"/>
          </w:tcPr>
          <w:p w14:paraId="1CF9B783" w14:textId="77777777" w:rsidR="00D6403A" w:rsidRPr="00D6403A" w:rsidRDefault="00D6403A" w:rsidP="00036E1B">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vAlign w:val="top"/>
          </w:tcPr>
          <w:p w14:paraId="3301D6E3" w14:textId="77777777" w:rsidR="00D6403A" w:rsidRPr="00D6403A" w:rsidRDefault="00D6403A" w:rsidP="00036E1B">
            <w:pPr>
              <w:pStyle w:val="Tableheader"/>
              <w:rPr>
                <w:b/>
                <w:lang w:val="en-GB"/>
              </w:rPr>
            </w:pPr>
            <w:r w:rsidRPr="00D6403A">
              <w:rPr>
                <w:b/>
                <w:lang w:val="en-GB"/>
              </w:rPr>
              <w:t>Denominator</w:t>
            </w:r>
          </w:p>
        </w:tc>
      </w:tr>
      <w:tr w:rsidR="00D6403A" w:rsidRPr="00D6403A" w14:paraId="63C0B919" w14:textId="77777777" w:rsidTr="00036E1B">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7D941B45" w14:textId="77777777" w:rsidR="00D6403A" w:rsidRPr="008D5874" w:rsidRDefault="00D6403A" w:rsidP="008D5874">
            <w:pPr>
              <w:pStyle w:val="Tabletext"/>
              <w:jc w:val="left"/>
              <w:rPr>
                <w:b/>
                <w:lang w:val="en-GB"/>
              </w:rPr>
            </w:pPr>
            <w:r w:rsidRPr="008D5874">
              <w:rPr>
                <w:b/>
                <w:lang w:val="en-GB"/>
              </w:rPr>
              <w:t>Indicator 1bi: Rate of caesarean section in Robson group 1</w:t>
            </w:r>
          </w:p>
        </w:tc>
        <w:tc>
          <w:tcPr>
            <w:cnfStyle w:val="000001000000" w:firstRow="0" w:lastRow="0" w:firstColumn="0" w:lastColumn="0" w:oddVBand="0" w:evenVBand="1" w:oddHBand="0" w:evenHBand="0" w:firstRowFirstColumn="0" w:firstRowLastColumn="0" w:lastRowFirstColumn="0" w:lastRowLastColumn="0"/>
            <w:tcW w:w="3401" w:type="dxa"/>
          </w:tcPr>
          <w:p w14:paraId="35E71663" w14:textId="77777777" w:rsidR="00D6403A" w:rsidRPr="00036E1B" w:rsidRDefault="00D6403A" w:rsidP="00036E1B">
            <w:pPr>
              <w:pStyle w:val="Tabletext"/>
              <w:jc w:val="left"/>
            </w:pPr>
            <w:r w:rsidRPr="00036E1B">
              <w:t>The number of women giving birth for the first time, with spontaneous onset of labour and a singleton, cephalic-presenting baby born at 37 or more weeks by caesarean section</w:t>
            </w:r>
          </w:p>
        </w:tc>
        <w:tc>
          <w:tcPr>
            <w:cnfStyle w:val="000010000000" w:firstRow="0" w:lastRow="0" w:firstColumn="0" w:lastColumn="0" w:oddVBand="1" w:evenVBand="0" w:oddHBand="0" w:evenHBand="0" w:firstRowFirstColumn="0" w:firstRowLastColumn="0" w:lastRowFirstColumn="0" w:lastRowLastColumn="0"/>
            <w:tcW w:w="3402" w:type="dxa"/>
          </w:tcPr>
          <w:p w14:paraId="7D52923A" w14:textId="77777777" w:rsidR="00D6403A" w:rsidRPr="00036E1B" w:rsidRDefault="00D6403A" w:rsidP="00036E1B">
            <w:pPr>
              <w:pStyle w:val="Tabletext"/>
              <w:jc w:val="left"/>
            </w:pPr>
            <w:r w:rsidRPr="00036E1B">
              <w:t>The number of women giving birth for the first time, with spontaneous onset of labour and a singleton, cephalic-presenting baby born at 37 or more weeks</w:t>
            </w:r>
          </w:p>
        </w:tc>
      </w:tr>
      <w:tr w:rsidR="00D6403A" w:rsidRPr="00D6403A" w14:paraId="7E2C574A" w14:textId="77777777" w:rsidTr="00036E1B">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7389E200" w14:textId="77777777" w:rsidR="00D6403A" w:rsidRPr="008D5874" w:rsidRDefault="00D6403A" w:rsidP="008D5874">
            <w:pPr>
              <w:pStyle w:val="Tabletext"/>
              <w:jc w:val="left"/>
              <w:rPr>
                <w:b/>
                <w:lang w:val="en-GB"/>
              </w:rPr>
            </w:pPr>
            <w:r w:rsidRPr="008D5874">
              <w:rPr>
                <w:b/>
                <w:lang w:val="en-GB"/>
              </w:rPr>
              <w:t>Indicator 1bii: Rate of caesarean section in modified Robson group 2</w:t>
            </w:r>
          </w:p>
        </w:tc>
        <w:tc>
          <w:tcPr>
            <w:cnfStyle w:val="000001000000" w:firstRow="0" w:lastRow="0" w:firstColumn="0" w:lastColumn="0" w:oddVBand="0" w:evenVBand="1" w:oddHBand="0" w:evenHBand="0" w:firstRowFirstColumn="0" w:firstRowLastColumn="0" w:lastRowFirstColumn="0" w:lastRowLastColumn="0"/>
            <w:tcW w:w="3401" w:type="dxa"/>
          </w:tcPr>
          <w:p w14:paraId="0BB005C0" w14:textId="77777777" w:rsidR="00D6403A" w:rsidRPr="00036E1B" w:rsidRDefault="00D6403A" w:rsidP="00036E1B">
            <w:pPr>
              <w:pStyle w:val="Tabletext"/>
              <w:jc w:val="left"/>
            </w:pPr>
            <w:r w:rsidRPr="00036E1B">
              <w:t>The number of women giving birth for the first time, with induced labour (excluding pre-labour caesarean) and a singleton, cephalic-presenting baby born at 37 or more weeks by caesarean section</w:t>
            </w:r>
          </w:p>
        </w:tc>
        <w:tc>
          <w:tcPr>
            <w:cnfStyle w:val="000010000000" w:firstRow="0" w:lastRow="0" w:firstColumn="0" w:lastColumn="0" w:oddVBand="1" w:evenVBand="0" w:oddHBand="0" w:evenHBand="0" w:firstRowFirstColumn="0" w:firstRowLastColumn="0" w:lastRowFirstColumn="0" w:lastRowLastColumn="0"/>
            <w:tcW w:w="3402" w:type="dxa"/>
          </w:tcPr>
          <w:p w14:paraId="7AD95204" w14:textId="77777777" w:rsidR="00D6403A" w:rsidRPr="00036E1B" w:rsidRDefault="00D6403A" w:rsidP="00036E1B">
            <w:pPr>
              <w:pStyle w:val="Tabletext"/>
              <w:jc w:val="left"/>
            </w:pPr>
            <w:r w:rsidRPr="00036E1B">
              <w:t>The number of women giving birth for the first time, with induced labour (excluding pre-labour caesarean) and a singleton, cephalic-presenting baby born at 37 or more weeks</w:t>
            </w:r>
          </w:p>
        </w:tc>
      </w:tr>
    </w:tbl>
    <w:p w14:paraId="19F739D9" w14:textId="77777777" w:rsidR="00036E1B" w:rsidRDefault="00036E1B" w:rsidP="00036E1B">
      <w:pPr>
        <w:pStyle w:val="Heading2"/>
        <w:rPr>
          <w:lang w:val="en-GB"/>
        </w:rPr>
      </w:pPr>
      <w:bookmarkStart w:id="24" w:name="_Toc159326582"/>
    </w:p>
    <w:p w14:paraId="23AFD736" w14:textId="77777777" w:rsidR="00036E1B" w:rsidRDefault="00036E1B">
      <w:pPr>
        <w:rPr>
          <w:rFonts w:asciiTheme="majorHAnsi" w:eastAsiaTheme="majorEastAsia" w:hAnsiTheme="majorHAnsi" w:cs="Times New Roman (Headings CS)"/>
          <w:b/>
          <w:bCs/>
          <w:color w:val="007586" w:themeColor="text2"/>
          <w:sz w:val="28"/>
          <w:szCs w:val="26"/>
          <w:lang w:val="en-GB"/>
        </w:rPr>
      </w:pPr>
      <w:r>
        <w:rPr>
          <w:lang w:val="en-GB"/>
        </w:rPr>
        <w:br w:type="page"/>
      </w:r>
    </w:p>
    <w:p w14:paraId="3ABE7014" w14:textId="3C7305BC" w:rsidR="00D6403A" w:rsidRPr="00D6403A" w:rsidRDefault="00D6403A" w:rsidP="00036E1B">
      <w:pPr>
        <w:pStyle w:val="Heading1"/>
        <w:framePr w:wrap="around"/>
        <w:rPr>
          <w:lang w:val="en-GB"/>
        </w:rPr>
      </w:pPr>
      <w:r w:rsidRPr="00D6403A">
        <w:rPr>
          <w:lang w:val="en-GB"/>
        </w:rPr>
        <w:lastRenderedPageBreak/>
        <w:t>1ci and 1cii: Perineal tears in primiparae</w:t>
      </w:r>
      <w:bookmarkEnd w:id="24"/>
    </w:p>
    <w:p w14:paraId="107876EB" w14:textId="77777777" w:rsidR="00D6403A" w:rsidRPr="00D6403A" w:rsidRDefault="00D6403A" w:rsidP="00D64F24">
      <w:pPr>
        <w:pStyle w:val="IntroductoryText"/>
        <w:rPr>
          <w:lang w:val="en-GB"/>
        </w:rPr>
      </w:pPr>
      <w:r w:rsidRPr="00D64F24">
        <w:t>A perineal tear is a laceration of the skin and other soft tissue structures in the area between the vagina and the anus. Perineal tears that are classified as third- or fourth-degree tears (severe</w:t>
      </w:r>
      <w:r w:rsidRPr="00D6403A">
        <w:rPr>
          <w:rFonts w:ascii="Cambria" w:hAnsi="Cambria" w:cs="Cambria"/>
          <w:lang w:val="en-GB"/>
        </w:rPr>
        <w:t> </w:t>
      </w:r>
      <w:r w:rsidRPr="00D64F24">
        <w:t>perineal tears) are a significant birth-related complication that can have long-term consequences if not diagnosed and</w:t>
      </w:r>
      <w:r w:rsidRPr="00D6403A">
        <w:rPr>
          <w:rFonts w:ascii="Cambria" w:hAnsi="Cambria" w:cs="Cambria"/>
          <w:lang w:val="en-GB"/>
        </w:rPr>
        <w:t> </w:t>
      </w:r>
      <w:r w:rsidRPr="00D64F24">
        <w:t>managed appropriately. Women having their first vaginal birth are 4 times more likely to experience a severe perineal tear than women having their second or subsequent birth. There</w:t>
      </w:r>
      <w:r w:rsidRPr="00D6403A">
        <w:rPr>
          <w:rFonts w:ascii="Cambria" w:hAnsi="Cambria" w:cs="Cambria"/>
          <w:lang w:val="en-GB"/>
        </w:rPr>
        <w:t> </w:t>
      </w:r>
      <w:r w:rsidRPr="00D64F24">
        <w:t>is</w:t>
      </w:r>
      <w:r w:rsidRPr="00D6403A">
        <w:rPr>
          <w:rFonts w:ascii="Cambria" w:hAnsi="Cambria" w:cs="Cambria"/>
          <w:lang w:val="en-GB"/>
        </w:rPr>
        <w:t> </w:t>
      </w:r>
      <w:r w:rsidRPr="00D64F24">
        <w:t>significant variation in the rate of severe perineal tears between healthcare services in Victoria. This may indicate differences in the detection of severe tears and the accuracy of reporting but may also reflect variations in quality of care. Detection of severe perineal tears is critical for women to receive appropriate therapy and advice after birth. The rate of detection is a variable that</w:t>
      </w:r>
      <w:r w:rsidRPr="00D6403A">
        <w:rPr>
          <w:rFonts w:ascii="Cambria" w:hAnsi="Cambria" w:cs="Cambria"/>
          <w:lang w:val="en-GB"/>
        </w:rPr>
        <w:t> </w:t>
      </w:r>
      <w:r w:rsidRPr="00D64F24">
        <w:t>is</w:t>
      </w:r>
      <w:r w:rsidRPr="00D6403A">
        <w:rPr>
          <w:rFonts w:ascii="Cambria" w:hAnsi="Cambria" w:cs="Cambria"/>
          <w:lang w:val="en-GB"/>
        </w:rPr>
        <w:t> </w:t>
      </w:r>
      <w:r w:rsidRPr="00D64F24">
        <w:t>not</w:t>
      </w:r>
      <w:r w:rsidRPr="00D6403A">
        <w:rPr>
          <w:rFonts w:ascii="Cambria" w:hAnsi="Cambria" w:cs="Cambria"/>
          <w:lang w:val="en-GB"/>
        </w:rPr>
        <w:t> </w:t>
      </w:r>
      <w:r w:rsidRPr="00D64F24">
        <w:t>considered in</w:t>
      </w:r>
      <w:r w:rsidRPr="00D6403A">
        <w:rPr>
          <w:rFonts w:ascii="Cambria" w:hAnsi="Cambria" w:cs="Cambria"/>
          <w:lang w:val="en-GB"/>
        </w:rPr>
        <w:t> </w:t>
      </w:r>
      <w:r w:rsidRPr="00D6403A">
        <w:rPr>
          <w:lang w:val="en-GB"/>
        </w:rPr>
        <w:t>this indicator.</w:t>
      </w:r>
    </w:p>
    <w:p w14:paraId="7876C758" w14:textId="0992703F" w:rsidR="00D6403A" w:rsidRPr="00D6403A" w:rsidRDefault="00D6403A" w:rsidP="00862996">
      <w:pPr>
        <w:rPr>
          <w:lang w:val="en-GB"/>
        </w:rPr>
      </w:pPr>
      <w:r w:rsidRPr="00D6403A">
        <w:rPr>
          <w:lang w:val="en-GB"/>
        </w:rPr>
        <w:t xml:space="preserve">From 2019 until 2021, Safer Care Victoria and the Institute for Healthcare Improvement partnered to deliver the </w:t>
      </w:r>
      <w:hyperlink r:id="rId43" w:history="1">
        <w:r w:rsidRPr="00036E1B">
          <w:rPr>
            <w:rStyle w:val="Hyperlink"/>
            <w:lang w:val="en-GB"/>
          </w:rPr>
          <w:t>Better births for women collaborative</w:t>
        </w:r>
      </w:hyperlink>
      <w:r w:rsidRPr="00D6403A">
        <w:rPr>
          <w:lang w:val="en-GB"/>
        </w:rPr>
        <w:t xml:space="preserve"> &lt;https://www.safercare.vic.gov.au/improvement/projects/mbc/better-births&gt;. The collaborative aimed to reduce the rate of third- or fourth-degree perineal tears by introducing an evidence-based clinical care bundle. This bundle of interventions includes practices before, during and after birth to better prevent and recognise severe perineal trauma and reduce the rate of third- and fourth-degree tears and associated consequences for all women giving birth vaginally. Safer Care Victoria’s Maternity and Newborn Learning Health Network (MNLHN) is partnering with Victorian health services to reduce the incidence of severe perineal trauma for Victorian women (refer to the </w:t>
      </w:r>
      <w:hyperlink r:id="rId44" w:history="1">
        <w:r w:rsidRPr="00036E1B">
          <w:rPr>
            <w:rStyle w:val="Hyperlink"/>
            <w:lang w:val="en-GB"/>
          </w:rPr>
          <w:t>MNLHN webpage</w:t>
        </w:r>
      </w:hyperlink>
      <w:r w:rsidRPr="00D6403A">
        <w:rPr>
          <w:lang w:val="en-GB"/>
        </w:rPr>
        <w:t xml:space="preserve"> &lt;https://www.safercare.vic.gov.au/improvement/learning-health-networks/maternity-and-newborn-lhn&gt; for information).</w:t>
      </w:r>
    </w:p>
    <w:p w14:paraId="7FCA8116" w14:textId="0F59BE10" w:rsidR="00D6403A" w:rsidRPr="00D6403A" w:rsidRDefault="00D6403A" w:rsidP="00862996">
      <w:pPr>
        <w:rPr>
          <w:lang w:val="en-GB"/>
        </w:rPr>
      </w:pPr>
      <w:r w:rsidRPr="00D6403A">
        <w:rPr>
          <w:lang w:val="en-GB"/>
        </w:rPr>
        <w:t xml:space="preserve">The Australian Commission on Safety and Quality in Health Care’s </w:t>
      </w:r>
      <w:hyperlink r:id="rId45" w:history="1">
        <w:r w:rsidRPr="00036E1B">
          <w:rPr>
            <w:rStyle w:val="Hyperlink"/>
            <w:lang w:val="en-GB"/>
          </w:rPr>
          <w:t>Third and Fourth Degree Perineal Tears Clinical Care Standard</w:t>
        </w:r>
      </w:hyperlink>
      <w:r w:rsidRPr="00D6403A">
        <w:rPr>
          <w:lang w:val="en-GB"/>
        </w:rPr>
        <w:t xml:space="preserve"> &lt;https://www.safetyandquality.gov.au/standards/clinical-care-standards/third-and-fourth-degree-perineal-tears-clinical-care-standard&gt;, released in 2021, recognises the significant clinical variation and aims to provide safe and appropriate care.</w:t>
      </w:r>
    </w:p>
    <w:p w14:paraId="16C72E98" w14:textId="77777777" w:rsidR="00D6403A" w:rsidRPr="00D6403A" w:rsidRDefault="00D6403A" w:rsidP="005939CC">
      <w:pPr>
        <w:pStyle w:val="Heading2"/>
        <w:rPr>
          <w:lang w:val="en-GB"/>
        </w:rPr>
      </w:pPr>
      <w:bookmarkStart w:id="25" w:name="_Toc159326583"/>
      <w:r w:rsidRPr="00D6403A">
        <w:rPr>
          <w:lang w:val="en-GB"/>
        </w:rPr>
        <w:t>About this indicator</w:t>
      </w:r>
      <w:bookmarkEnd w:id="25"/>
    </w:p>
    <w:p w14:paraId="72532B99" w14:textId="77777777" w:rsidR="00D6403A" w:rsidRPr="00D6403A" w:rsidRDefault="00D6403A" w:rsidP="00005134">
      <w:pPr>
        <w:rPr>
          <w:lang w:val="en-GB"/>
        </w:rPr>
      </w:pPr>
      <w:r w:rsidRPr="00D6403A">
        <w:rPr>
          <w:lang w:val="en-GB"/>
        </w:rPr>
        <w:t>This indicator, 1c, shows the rate of third- and fourth-degree perineal tears in women who gave birth for</w:t>
      </w:r>
      <w:r w:rsidRPr="00D6403A">
        <w:rPr>
          <w:rFonts w:ascii="Cambria" w:hAnsi="Cambria" w:cs="Cambria"/>
          <w:color w:val="000000"/>
          <w:lang w:val="en-GB"/>
        </w:rPr>
        <w:t> </w:t>
      </w:r>
      <w:r w:rsidRPr="00D6403A">
        <w:rPr>
          <w:lang w:val="en-GB"/>
        </w:rPr>
        <w:t>the first time and who had a vaginal birth (with or without the use of instruments).</w:t>
      </w:r>
    </w:p>
    <w:p w14:paraId="7BBC7720" w14:textId="77777777" w:rsidR="00D6403A" w:rsidRPr="00D6403A" w:rsidRDefault="00D6403A" w:rsidP="00005134">
      <w:pPr>
        <w:pStyle w:val="Bullet1"/>
        <w:rPr>
          <w:lang w:val="en-GB"/>
        </w:rPr>
      </w:pPr>
      <w:r w:rsidRPr="00D6403A">
        <w:rPr>
          <w:lang w:val="en-GB"/>
        </w:rPr>
        <w:t>Indicator 1ci refers to unassisted vaginal births. An unassisted vaginal birth is one that occurs without instruments (forceps or vacuum).</w:t>
      </w:r>
    </w:p>
    <w:p w14:paraId="08331238" w14:textId="77777777" w:rsidR="00D6403A" w:rsidRPr="00D6403A" w:rsidRDefault="00D6403A" w:rsidP="00005134">
      <w:pPr>
        <w:pStyle w:val="Bullet1"/>
        <w:rPr>
          <w:lang w:val="en-GB"/>
        </w:rPr>
      </w:pPr>
      <w:r w:rsidRPr="00D6403A">
        <w:rPr>
          <w:lang w:val="en-GB"/>
        </w:rPr>
        <w:t>Indicator 1cii refers to assisted vaginal births. An assisted (or operative/instrumental) vaginal birth refers to a forceps- or vacuum-assisted birth. Operative intervention in the second stage of labour may be indicated by conditions of the fetus or the mother.</w:t>
      </w:r>
    </w:p>
    <w:p w14:paraId="2A4EB11B" w14:textId="333D822F" w:rsidR="00D6403A" w:rsidRPr="00036E1B" w:rsidRDefault="00036E1B" w:rsidP="00036E1B">
      <w:r w:rsidRPr="00B21DB5">
        <w:t>[Break out box text:</w:t>
      </w:r>
    </w:p>
    <w:p w14:paraId="42948C23" w14:textId="77777777" w:rsidR="00036E1B" w:rsidRPr="00D6403A" w:rsidRDefault="00036E1B" w:rsidP="00036E1B">
      <w:pPr>
        <w:pStyle w:val="Heading3"/>
        <w:rPr>
          <w:lang w:val="en-GB"/>
        </w:rPr>
      </w:pPr>
      <w:r w:rsidRPr="00D6403A">
        <w:rPr>
          <w:lang w:val="en-GB"/>
        </w:rPr>
        <w:t>What pregnant women and families need to know</w:t>
      </w:r>
    </w:p>
    <w:p w14:paraId="57D0EB43" w14:textId="23A4E28C" w:rsidR="00036E1B" w:rsidRPr="00D6403A" w:rsidRDefault="00036E1B" w:rsidP="00036E1B">
      <w:pPr>
        <w:rPr>
          <w:lang w:val="en-GB"/>
        </w:rPr>
      </w:pPr>
      <w:r w:rsidRPr="00D6403A">
        <w:rPr>
          <w:lang w:val="en-GB"/>
        </w:rPr>
        <w:t>A perineal tear occurs when the skin and tissue between the vaginal opening and the anus (perineum) tears during childbirth. This is sometimes unavoidable with a vaginal birth. Doctors and midwives will do their best to reduce the chances of a severe tear happening.</w:t>
      </w:r>
    </w:p>
    <w:p w14:paraId="04DE4D4C" w14:textId="0793DD8B" w:rsidR="00036E1B" w:rsidRPr="00D6403A" w:rsidRDefault="00036E1B" w:rsidP="00036E1B">
      <w:pPr>
        <w:rPr>
          <w:lang w:val="en-GB"/>
        </w:rPr>
      </w:pPr>
      <w:r w:rsidRPr="00D6403A">
        <w:rPr>
          <w:lang w:val="en-GB"/>
        </w:rPr>
        <w:lastRenderedPageBreak/>
        <w:t>When needed, an episiotomy may be cut to reduce the chance of severe tearing and to make the opening bigger to allow the baby to fit through. The risk of a tear is slightly higher if an assisted birth is needed (using obstetrics forceps or vacuum).</w:t>
      </w:r>
    </w:p>
    <w:p w14:paraId="5F481BEC" w14:textId="77777777" w:rsidR="00036E1B" w:rsidRPr="00D6403A" w:rsidRDefault="00036E1B" w:rsidP="00036E1B">
      <w:pPr>
        <w:rPr>
          <w:color w:val="000000"/>
          <w:lang w:val="en-GB"/>
        </w:rPr>
      </w:pPr>
      <w:r w:rsidRPr="00D6403A">
        <w:rPr>
          <w:lang w:val="en-GB"/>
        </w:rPr>
        <w:t>More severe tears (referred to as third- or fourth-degree) can result in long-term complications if they are not identified and correctly repaired. The graphs on the following pages (Figure 13 and Figure 16) show differences between hospitals in how often severe tearing occurs. We aim to</w:t>
      </w:r>
      <w:r w:rsidRPr="00D6403A">
        <w:rPr>
          <w:rFonts w:ascii="Cambria" w:hAnsi="Cambria" w:cs="Cambria"/>
          <w:lang w:val="en-GB"/>
        </w:rPr>
        <w:t> </w:t>
      </w:r>
      <w:r w:rsidRPr="00D6403A">
        <w:rPr>
          <w:lang w:val="en-GB"/>
        </w:rPr>
        <w:t>have the rate of severe tearing as low as possible, with the results similar between hospitals.</w:t>
      </w:r>
    </w:p>
    <w:p w14:paraId="2FA17522" w14:textId="008AFD61" w:rsidR="00D6403A" w:rsidRPr="00036E1B" w:rsidRDefault="00036E1B" w:rsidP="00036E1B">
      <w:r w:rsidRPr="00B21DB5">
        <w:t>End of break out box text.]</w:t>
      </w:r>
    </w:p>
    <w:p w14:paraId="601777D6" w14:textId="77777777" w:rsidR="00D6403A" w:rsidRPr="00D6403A" w:rsidRDefault="00D6403A" w:rsidP="005939CC">
      <w:pPr>
        <w:pStyle w:val="Heading2"/>
        <w:rPr>
          <w:lang w:val="en-GB"/>
        </w:rPr>
      </w:pPr>
      <w:bookmarkStart w:id="26" w:name="_Toc159326584"/>
      <w:r w:rsidRPr="00D6403A">
        <w:rPr>
          <w:lang w:val="en-GB"/>
        </w:rPr>
        <w:t>Observations on the data</w:t>
      </w:r>
      <w:bookmarkEnd w:id="26"/>
    </w:p>
    <w:p w14:paraId="7F5D2873" w14:textId="77777777" w:rsidR="00D6403A" w:rsidRPr="00D6403A" w:rsidRDefault="00D6403A" w:rsidP="00005134">
      <w:pPr>
        <w:rPr>
          <w:lang w:val="en-GB"/>
        </w:rPr>
      </w:pPr>
      <w:r w:rsidRPr="00D6403A">
        <w:rPr>
          <w:lang w:val="en-GB"/>
        </w:rPr>
        <w:t>The statewide rate of third- and fourth-degree perineal tears in unassisted vaginal births (Indicator</w:t>
      </w:r>
      <w:r w:rsidRPr="00D6403A">
        <w:rPr>
          <w:rFonts w:ascii="Cambria" w:hAnsi="Cambria" w:cs="Cambria"/>
          <w:color w:val="000000"/>
          <w:lang w:val="en-GB"/>
        </w:rPr>
        <w:t> </w:t>
      </w:r>
      <w:r w:rsidRPr="00D6403A">
        <w:rPr>
          <w:lang w:val="en-GB"/>
        </w:rPr>
        <w:t>1ci) was 4.0%, an increase from the previous year’s rate of 3.7%. The rate in 2017 was 3.2%. The rate was higher in public hospitals (4.6%) compared with private hospitals (1.1%). Refer to Table 5 for year</w:t>
      </w:r>
      <w:r w:rsidRPr="00D6403A">
        <w:rPr>
          <w:rFonts w:ascii="Cambria Math" w:hAnsi="Cambria Math" w:cs="Cambria Math"/>
          <w:color w:val="000000"/>
          <w:lang w:val="en-GB"/>
        </w:rPr>
        <w:t>‑</w:t>
      </w:r>
      <w:r w:rsidRPr="00D6403A">
        <w:rPr>
          <w:lang w:val="en-GB"/>
        </w:rPr>
        <w:t>on</w:t>
      </w:r>
      <w:r w:rsidRPr="00D6403A">
        <w:rPr>
          <w:rFonts w:ascii="Cambria Math" w:hAnsi="Cambria Math" w:cs="Cambria Math"/>
          <w:color w:val="000000"/>
          <w:lang w:val="en-GB"/>
        </w:rPr>
        <w:t>‑</w:t>
      </w:r>
      <w:r w:rsidRPr="00D6403A">
        <w:rPr>
          <w:lang w:val="en-GB"/>
        </w:rPr>
        <w:t>year</w:t>
      </w:r>
      <w:r w:rsidRPr="00D6403A">
        <w:rPr>
          <w:rFonts w:ascii="Cambria" w:hAnsi="Cambria" w:cs="Cambria"/>
          <w:color w:val="000000"/>
          <w:lang w:val="en-GB"/>
        </w:rPr>
        <w:t> </w:t>
      </w:r>
      <w:r w:rsidRPr="00D6403A">
        <w:rPr>
          <w:lang w:val="en-GB"/>
        </w:rPr>
        <w:t>rates.</w:t>
      </w:r>
    </w:p>
    <w:p w14:paraId="33E5D092" w14:textId="77777777" w:rsidR="00D6403A" w:rsidRPr="00D6403A" w:rsidRDefault="00D6403A" w:rsidP="00862996">
      <w:pPr>
        <w:rPr>
          <w:lang w:val="en-GB"/>
        </w:rPr>
      </w:pPr>
      <w:r w:rsidRPr="00D6403A">
        <w:rPr>
          <w:lang w:val="en-GB"/>
        </w:rPr>
        <w:t>The statewide rate of third- and fourth-degree tears in assisted vaginal births (Indicator 1cii) was 5.0%, slightly lower compared with the previous year’s rate of 5.4%. The rate was higher in public hospitals (5.8%) compared with private hospitals (2.7%). Refer to Table 6 for year-on-year rates.</w:t>
      </w:r>
    </w:p>
    <w:p w14:paraId="34691973" w14:textId="52623C24" w:rsidR="00D6403A" w:rsidRPr="00D6403A" w:rsidRDefault="00D6403A" w:rsidP="00036E1B">
      <w:pPr>
        <w:rPr>
          <w:lang w:val="en-GB"/>
        </w:rPr>
      </w:pPr>
      <w:r w:rsidRPr="00D6403A">
        <w:rPr>
          <w:lang w:val="en-GB"/>
        </w:rPr>
        <w:t>The bar graphs and funnel plots (Figure 13 and Figure 14 (Indicator 1ci) and Figure 16 and Figure 17 (Indicator 1cii)) show that there is variation (zero to 13.7%) between hospitals across the state and within maternity capability levels, also within private hospitals in the rate of third- and fourth-degree perineal tears in both assisted and unassisted vaginal births. Figures 15 and 18 show trends over time.</w:t>
      </w:r>
    </w:p>
    <w:p w14:paraId="3F023375" w14:textId="77777777" w:rsidR="00D6403A" w:rsidRPr="00D6403A" w:rsidRDefault="00D6403A" w:rsidP="005939CC">
      <w:pPr>
        <w:pStyle w:val="Heading2"/>
        <w:rPr>
          <w:lang w:val="en-GB"/>
        </w:rPr>
      </w:pPr>
      <w:bookmarkStart w:id="27" w:name="_Toc159326585"/>
      <w:r w:rsidRPr="00D6403A">
        <w:rPr>
          <w:lang w:val="en-GB"/>
        </w:rPr>
        <w:t>Strategies for improvement</w:t>
      </w:r>
      <w:bookmarkEnd w:id="27"/>
    </w:p>
    <w:p w14:paraId="527CF1CF" w14:textId="0AC21D6B" w:rsidR="00D6403A" w:rsidRPr="00D6403A" w:rsidRDefault="00D6403A" w:rsidP="00005134">
      <w:pPr>
        <w:pStyle w:val="Bullet1"/>
        <w:rPr>
          <w:lang w:val="en-GB"/>
        </w:rPr>
      </w:pPr>
      <w:r w:rsidRPr="00D6403A">
        <w:rPr>
          <w:lang w:val="en-GB"/>
        </w:rPr>
        <w:t xml:space="preserve">Health services should review and align current practices with the </w:t>
      </w:r>
      <w:hyperlink r:id="rId46" w:history="1">
        <w:r w:rsidRPr="00036E1B">
          <w:rPr>
            <w:rStyle w:val="Hyperlink"/>
            <w:lang w:val="en-GB"/>
          </w:rPr>
          <w:t>Third and Fourth Degree Perineal Tears Clinical Care Standard</w:t>
        </w:r>
      </w:hyperlink>
      <w:r w:rsidRPr="00D6403A">
        <w:rPr>
          <w:lang w:val="en-GB"/>
        </w:rPr>
        <w:t xml:space="preserve"> &lt;https://www.safetyandquality.gov.au/publications-and-resources/resource-library/third-and-fourth-degree-perineal-tears-clinical-care-standard&gt;.</w:t>
      </w:r>
    </w:p>
    <w:p w14:paraId="1E557807" w14:textId="4EA6D850" w:rsidR="00D6403A" w:rsidRPr="00D6403A" w:rsidRDefault="00D6403A" w:rsidP="00005134">
      <w:pPr>
        <w:pStyle w:val="Bullet1"/>
        <w:rPr>
          <w:lang w:val="en-GB"/>
        </w:rPr>
      </w:pPr>
      <w:r w:rsidRPr="00D6403A">
        <w:rPr>
          <w:lang w:val="en-GB"/>
        </w:rPr>
        <w:t xml:space="preserve">Health services could consider implementing the Safer Care Victoria </w:t>
      </w:r>
      <w:hyperlink r:id="rId47" w:history="1">
        <w:r w:rsidRPr="00036E1B">
          <w:rPr>
            <w:rStyle w:val="Hyperlink"/>
            <w:lang w:val="en-GB"/>
          </w:rPr>
          <w:t>Better Births for Women toolkit</w:t>
        </w:r>
      </w:hyperlink>
      <w:r w:rsidRPr="00D6403A">
        <w:rPr>
          <w:lang w:val="en-GB"/>
        </w:rPr>
        <w:t xml:space="preserve"> &lt;https://www.safercare.vic.gov.au/improvement/projects/mbc/better-births&gt; and the perineal tear audit tool.</w:t>
      </w:r>
    </w:p>
    <w:p w14:paraId="4FEA789D" w14:textId="71D2932E" w:rsidR="00D6403A" w:rsidRPr="00D6403A" w:rsidRDefault="00D6403A" w:rsidP="00005134">
      <w:pPr>
        <w:pStyle w:val="Bullet1"/>
        <w:rPr>
          <w:lang w:val="en-GB"/>
        </w:rPr>
      </w:pPr>
      <w:r w:rsidRPr="00D6403A">
        <w:rPr>
          <w:lang w:val="en-GB"/>
        </w:rPr>
        <w:t xml:space="preserve">Visit the </w:t>
      </w:r>
      <w:hyperlink r:id="rId48" w:history="1">
        <w:r w:rsidRPr="00036E1B">
          <w:rPr>
            <w:rStyle w:val="Hyperlink"/>
            <w:lang w:val="en-GB"/>
          </w:rPr>
          <w:t>MNLHN webpage</w:t>
        </w:r>
      </w:hyperlink>
      <w:r w:rsidRPr="00D6403A">
        <w:rPr>
          <w:lang w:val="en-GB"/>
        </w:rPr>
        <w:t xml:space="preserve"> &lt;https://www.safercare.vic.gov.au/improvement/learning-health-networks/maternity-and-newborn-lhn&gt; for more resources.</w:t>
      </w:r>
    </w:p>
    <w:p w14:paraId="3E30483D" w14:textId="3FB9BD3E" w:rsidR="00D6403A" w:rsidRPr="00036E1B" w:rsidRDefault="00D6403A" w:rsidP="00036E1B">
      <w:pPr>
        <w:pStyle w:val="Bullet1"/>
        <w:rPr>
          <w:lang w:val="en-GB"/>
        </w:rPr>
      </w:pPr>
      <w:r w:rsidRPr="00D6403A">
        <w:rPr>
          <w:lang w:val="en-GB"/>
        </w:rPr>
        <w:t>Provide antenatal information (verbal and written) to women about reducing the risk of perineal tears and counsel, debrief and support women who have sustained a perineal tear.</w:t>
      </w:r>
    </w:p>
    <w:p w14:paraId="66DC65F7" w14:textId="77777777" w:rsidR="00036E1B" w:rsidRDefault="00036E1B">
      <w:pPr>
        <w:rPr>
          <w:b/>
          <w:bCs/>
          <w:color w:val="007586" w:themeColor="text2"/>
          <w:spacing w:val="2"/>
          <w:szCs w:val="18"/>
        </w:rPr>
      </w:pPr>
      <w:r>
        <w:br w:type="page"/>
      </w:r>
    </w:p>
    <w:p w14:paraId="5D5023E6" w14:textId="539DC6B1" w:rsidR="00D6403A" w:rsidRPr="00D6403A" w:rsidRDefault="00D6403A" w:rsidP="00870C38">
      <w:pPr>
        <w:pStyle w:val="Tablechartdiagramheading"/>
      </w:pPr>
      <w:r w:rsidRPr="00D6403A">
        <w:lastRenderedPageBreak/>
        <w:t>Figure 13. Indicator 1ci: Rate of third- and fourth-degree perineal tears during unassisted vaginal births to primiparae, 2021</w:t>
      </w:r>
    </w:p>
    <w:p w14:paraId="667E234A" w14:textId="3AD2045F" w:rsidR="00D6403A" w:rsidRPr="00D6403A" w:rsidRDefault="00036E1B" w:rsidP="00862996">
      <w:pPr>
        <w:rPr>
          <w:lang w:val="en-GB"/>
        </w:rPr>
      </w:pPr>
      <w:r>
        <w:rPr>
          <w:noProof/>
          <w:lang w:val="en-GB"/>
        </w:rPr>
        <w:drawing>
          <wp:inline distT="0" distB="0" distL="0" distR="0" wp14:anchorId="25FE82C9" wp14:editId="5734844E">
            <wp:extent cx="6476365" cy="6664325"/>
            <wp:effectExtent l="0" t="0" r="635" b="3175"/>
            <wp:docPr id="17" name="Picture 17" descr="Bar chart for Indicator 1ci.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_13.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76365" cy="6664325"/>
                    </a:xfrm>
                    <a:prstGeom prst="rect">
                      <a:avLst/>
                    </a:prstGeom>
                  </pic:spPr>
                </pic:pic>
              </a:graphicData>
            </a:graphic>
          </wp:inline>
        </w:drawing>
      </w:r>
    </w:p>
    <w:p w14:paraId="101CCDF0" w14:textId="77777777" w:rsidR="00D6403A" w:rsidRPr="00D6403A" w:rsidRDefault="00D6403A" w:rsidP="00870C38">
      <w:pPr>
        <w:pStyle w:val="Tablechartdiagramheading"/>
      </w:pPr>
      <w:r w:rsidRPr="00D6403A">
        <w:lastRenderedPageBreak/>
        <w:t>Figure 14. Funnel plot of the rate of third- and fourth-degree perineal tears during unassisted vaginal births to primiparae, 2021</w:t>
      </w:r>
    </w:p>
    <w:p w14:paraId="3C1533EC" w14:textId="3BA9DB6F" w:rsidR="00D6403A" w:rsidRPr="00D6403A" w:rsidRDefault="00036E1B" w:rsidP="00862996">
      <w:pPr>
        <w:rPr>
          <w:lang w:val="en-GB"/>
        </w:rPr>
      </w:pPr>
      <w:r>
        <w:rPr>
          <w:noProof/>
          <w:lang w:val="en-GB"/>
        </w:rPr>
        <w:drawing>
          <wp:inline distT="0" distB="0" distL="0" distR="0" wp14:anchorId="7E54138D" wp14:editId="5EAABD7E">
            <wp:extent cx="6096000" cy="3429000"/>
            <wp:effectExtent l="0" t="0" r="0" b="0"/>
            <wp:docPr id="19" name="Picture 19"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_14.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96000" cy="3429000"/>
                    </a:xfrm>
                    <a:prstGeom prst="rect">
                      <a:avLst/>
                    </a:prstGeom>
                  </pic:spPr>
                </pic:pic>
              </a:graphicData>
            </a:graphic>
          </wp:inline>
        </w:drawing>
      </w:r>
      <w:r w:rsidR="00D6403A" w:rsidRPr="00D6403A">
        <w:rPr>
          <w:lang w:val="en-GB"/>
        </w:rPr>
        <w:t xml:space="preserve"> </w:t>
      </w:r>
    </w:p>
    <w:p w14:paraId="2E993002"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0547D1A1" w14:textId="71C56574" w:rsidR="00D6403A" w:rsidRPr="00D6403A" w:rsidRDefault="00D6403A" w:rsidP="00887B5A">
      <w:pPr>
        <w:pStyle w:val="Tablechartdiagramheading"/>
        <w:rPr>
          <w:lang w:val="en-GB"/>
        </w:rPr>
      </w:pPr>
      <w:r w:rsidRPr="00D6403A">
        <w:rPr>
          <w:lang w:val="en-GB"/>
        </w:rPr>
        <w:t>Table 5. Rate of third- and fourth-degree perineal tears during unassisted vaginal births, 2017–2021</w:t>
      </w:r>
    </w:p>
    <w:tbl>
      <w:tblPr>
        <w:tblStyle w:val="TableGrid"/>
        <w:tblW w:w="10285" w:type="dxa"/>
        <w:tblLayout w:type="fixed"/>
        <w:tblLook w:val="0020" w:firstRow="1" w:lastRow="0" w:firstColumn="0" w:lastColumn="0" w:noHBand="0" w:noVBand="0"/>
      </w:tblPr>
      <w:tblGrid>
        <w:gridCol w:w="2645"/>
        <w:gridCol w:w="1527"/>
        <w:gridCol w:w="1527"/>
        <w:gridCol w:w="1527"/>
        <w:gridCol w:w="1527"/>
        <w:gridCol w:w="1532"/>
      </w:tblGrid>
      <w:tr w:rsidR="00D6403A" w:rsidRPr="00D6403A" w14:paraId="07866190" w14:textId="77777777" w:rsidTr="00036E1B">
        <w:trPr>
          <w:cnfStyle w:val="100000000000" w:firstRow="1" w:lastRow="0" w:firstColumn="0" w:lastColumn="0" w:oddVBand="0" w:evenVBand="0" w:oddHBand="0" w:evenHBand="0" w:firstRowFirstColumn="0" w:firstRowLastColumn="0" w:lastRowFirstColumn="0" w:lastRowLastColumn="0"/>
          <w:trHeight w:val="267"/>
          <w:tblHeader/>
        </w:trPr>
        <w:tc>
          <w:tcPr>
            <w:cnfStyle w:val="000010000000" w:firstRow="0" w:lastRow="0" w:firstColumn="0" w:lastColumn="0" w:oddVBand="1" w:evenVBand="0" w:oddHBand="0" w:evenHBand="0" w:firstRowFirstColumn="0" w:firstRowLastColumn="0" w:lastRowFirstColumn="0" w:lastRowLastColumn="0"/>
            <w:tcW w:w="10285" w:type="dxa"/>
            <w:gridSpan w:val="6"/>
          </w:tcPr>
          <w:p w14:paraId="2F41B9EC" w14:textId="77777777" w:rsidR="00D6403A" w:rsidRPr="00036E1B" w:rsidRDefault="00D6403A" w:rsidP="00036E1B">
            <w:pPr>
              <w:pStyle w:val="Tableheader"/>
              <w:jc w:val="center"/>
              <w:rPr>
                <w:rFonts w:ascii="VIC" w:hAnsi="VIC" w:cs="VIC"/>
                <w:b/>
                <w:bCs/>
                <w:lang w:val="en-GB"/>
              </w:rPr>
            </w:pPr>
            <w:r w:rsidRPr="00036E1B">
              <w:rPr>
                <w:b/>
                <w:lang w:val="en-GB"/>
              </w:rPr>
              <w:t>Indicator 1ci: Rate of third- and fourth-degree perineal</w:t>
            </w:r>
            <w:r w:rsidRPr="00036E1B">
              <w:rPr>
                <w:rFonts w:ascii="Cambria" w:hAnsi="Cambria" w:cs="Cambria"/>
                <w:b/>
                <w:lang w:val="en-GB"/>
              </w:rPr>
              <w:t> </w:t>
            </w:r>
            <w:r w:rsidRPr="00036E1B">
              <w:rPr>
                <w:b/>
                <w:lang w:val="en-GB"/>
              </w:rPr>
              <w:t>tears during unassisted vaginal births</w:t>
            </w:r>
          </w:p>
        </w:tc>
      </w:tr>
      <w:tr w:rsidR="00D6403A" w:rsidRPr="00D6403A" w14:paraId="2DF826C5" w14:textId="77777777" w:rsidTr="00036E1B">
        <w:trPr>
          <w:cnfStyle w:val="100000000000" w:firstRow="1" w:lastRow="0" w:firstColumn="0" w:lastColumn="0" w:oddVBand="0" w:evenVBand="0" w:oddHBand="0" w:evenHBand="0" w:firstRowFirstColumn="0" w:firstRowLastColumn="0" w:lastRowFirstColumn="0" w:lastRowLastColumn="0"/>
          <w:trHeight w:val="267"/>
          <w:tblHeader/>
        </w:trPr>
        <w:tc>
          <w:tcPr>
            <w:cnfStyle w:val="000010000000" w:firstRow="0" w:lastRow="0" w:firstColumn="0" w:lastColumn="0" w:oddVBand="1" w:evenVBand="0" w:oddHBand="0" w:evenHBand="0" w:firstRowFirstColumn="0" w:firstRowLastColumn="0" w:lastRowFirstColumn="0" w:lastRowLastColumn="0"/>
            <w:tcW w:w="2645" w:type="dxa"/>
          </w:tcPr>
          <w:p w14:paraId="49598816" w14:textId="77777777" w:rsidR="00D6403A" w:rsidRPr="00D6403A" w:rsidRDefault="00D6403A" w:rsidP="00036E1B">
            <w:pPr>
              <w:pStyle w:val="Tableheader"/>
              <w:rPr>
                <w:rFonts w:ascii="VIC" w:hAnsi="VIC"/>
                <w:sz w:val="24"/>
                <w:szCs w:val="24"/>
                <w:lang w:val="en-US"/>
              </w:rPr>
            </w:pPr>
          </w:p>
        </w:tc>
        <w:tc>
          <w:tcPr>
            <w:cnfStyle w:val="000001000000" w:firstRow="0" w:lastRow="0" w:firstColumn="0" w:lastColumn="0" w:oddVBand="0" w:evenVBand="1" w:oddHBand="0" w:evenHBand="0" w:firstRowFirstColumn="0" w:firstRowLastColumn="0" w:lastRowFirstColumn="0" w:lastRowLastColumn="0"/>
            <w:tcW w:w="1527" w:type="dxa"/>
          </w:tcPr>
          <w:p w14:paraId="0AC6855E" w14:textId="77777777" w:rsidR="00D6403A" w:rsidRPr="00036E1B" w:rsidRDefault="00D6403A" w:rsidP="00036E1B">
            <w:pPr>
              <w:pStyle w:val="Tableheader"/>
              <w:jc w:val="right"/>
              <w:rPr>
                <w:b/>
                <w:lang w:val="en-GB"/>
              </w:rPr>
            </w:pPr>
            <w:r w:rsidRPr="00036E1B">
              <w:rPr>
                <w:b/>
                <w:lang w:val="en-GB"/>
              </w:rPr>
              <w:t>2017</w:t>
            </w:r>
          </w:p>
        </w:tc>
        <w:tc>
          <w:tcPr>
            <w:cnfStyle w:val="000010000000" w:firstRow="0" w:lastRow="0" w:firstColumn="0" w:lastColumn="0" w:oddVBand="1" w:evenVBand="0" w:oddHBand="0" w:evenHBand="0" w:firstRowFirstColumn="0" w:firstRowLastColumn="0" w:lastRowFirstColumn="0" w:lastRowLastColumn="0"/>
            <w:tcW w:w="1527" w:type="dxa"/>
          </w:tcPr>
          <w:p w14:paraId="7CF724A9" w14:textId="77777777" w:rsidR="00D6403A" w:rsidRPr="00036E1B" w:rsidRDefault="00D6403A" w:rsidP="00036E1B">
            <w:pPr>
              <w:pStyle w:val="Tableheader"/>
              <w:jc w:val="right"/>
              <w:rPr>
                <w:b/>
                <w:lang w:val="en-GB"/>
              </w:rPr>
            </w:pPr>
            <w:r w:rsidRPr="00036E1B">
              <w:rPr>
                <w:b/>
                <w:lang w:val="en-GB"/>
              </w:rPr>
              <w:t>2018</w:t>
            </w:r>
          </w:p>
        </w:tc>
        <w:tc>
          <w:tcPr>
            <w:cnfStyle w:val="000001000000" w:firstRow="0" w:lastRow="0" w:firstColumn="0" w:lastColumn="0" w:oddVBand="0" w:evenVBand="1" w:oddHBand="0" w:evenHBand="0" w:firstRowFirstColumn="0" w:firstRowLastColumn="0" w:lastRowFirstColumn="0" w:lastRowLastColumn="0"/>
            <w:tcW w:w="1527" w:type="dxa"/>
          </w:tcPr>
          <w:p w14:paraId="30466C78" w14:textId="77777777" w:rsidR="00D6403A" w:rsidRPr="00036E1B" w:rsidRDefault="00D6403A" w:rsidP="00036E1B">
            <w:pPr>
              <w:pStyle w:val="Tableheader"/>
              <w:jc w:val="right"/>
              <w:rPr>
                <w:b/>
                <w:lang w:val="en-GB"/>
              </w:rPr>
            </w:pPr>
            <w:r w:rsidRPr="00036E1B">
              <w:rPr>
                <w:b/>
                <w:lang w:val="en-GB"/>
              </w:rPr>
              <w:t>2019</w:t>
            </w:r>
          </w:p>
        </w:tc>
        <w:tc>
          <w:tcPr>
            <w:cnfStyle w:val="000010000000" w:firstRow="0" w:lastRow="0" w:firstColumn="0" w:lastColumn="0" w:oddVBand="1" w:evenVBand="0" w:oddHBand="0" w:evenHBand="0" w:firstRowFirstColumn="0" w:firstRowLastColumn="0" w:lastRowFirstColumn="0" w:lastRowLastColumn="0"/>
            <w:tcW w:w="1527" w:type="dxa"/>
          </w:tcPr>
          <w:p w14:paraId="18BC01DA" w14:textId="77777777" w:rsidR="00D6403A" w:rsidRPr="00036E1B" w:rsidRDefault="00D6403A" w:rsidP="00036E1B">
            <w:pPr>
              <w:pStyle w:val="Tableheader"/>
              <w:jc w:val="right"/>
              <w:rPr>
                <w:b/>
                <w:lang w:val="en-GB"/>
              </w:rPr>
            </w:pPr>
            <w:r w:rsidRPr="00036E1B">
              <w:rPr>
                <w:b/>
                <w:lang w:val="en-GB"/>
              </w:rPr>
              <w:t>2020</w:t>
            </w:r>
          </w:p>
        </w:tc>
        <w:tc>
          <w:tcPr>
            <w:cnfStyle w:val="000001000000" w:firstRow="0" w:lastRow="0" w:firstColumn="0" w:lastColumn="0" w:oddVBand="0" w:evenVBand="1" w:oddHBand="0" w:evenHBand="0" w:firstRowFirstColumn="0" w:firstRowLastColumn="0" w:lastRowFirstColumn="0" w:lastRowLastColumn="0"/>
            <w:tcW w:w="1527" w:type="dxa"/>
          </w:tcPr>
          <w:p w14:paraId="7F9FBBE4" w14:textId="77777777" w:rsidR="00D6403A" w:rsidRPr="00036E1B" w:rsidRDefault="00D6403A" w:rsidP="00036E1B">
            <w:pPr>
              <w:pStyle w:val="Tableheader"/>
              <w:jc w:val="right"/>
              <w:rPr>
                <w:b/>
                <w:lang w:val="en-GB"/>
              </w:rPr>
            </w:pPr>
            <w:r w:rsidRPr="00036E1B">
              <w:rPr>
                <w:b/>
                <w:lang w:val="en-GB"/>
              </w:rPr>
              <w:t>2021</w:t>
            </w:r>
          </w:p>
        </w:tc>
      </w:tr>
      <w:tr w:rsidR="00D6403A" w:rsidRPr="00D6403A" w14:paraId="4ED05D25" w14:textId="77777777" w:rsidTr="00036E1B">
        <w:trPr>
          <w:trHeight w:val="56"/>
        </w:trPr>
        <w:tc>
          <w:tcPr>
            <w:cnfStyle w:val="000010000000" w:firstRow="0" w:lastRow="0" w:firstColumn="0" w:lastColumn="0" w:oddVBand="1" w:evenVBand="0" w:oddHBand="0" w:evenHBand="0" w:firstRowFirstColumn="0" w:firstRowLastColumn="0" w:lastRowFirstColumn="0" w:lastRowLastColumn="0"/>
            <w:tcW w:w="2645" w:type="dxa"/>
          </w:tcPr>
          <w:p w14:paraId="23F420AB" w14:textId="53315640" w:rsidR="00D6403A" w:rsidRPr="007275FD" w:rsidRDefault="00D6403A" w:rsidP="007275FD">
            <w:pPr>
              <w:pStyle w:val="Tabletext"/>
              <w:jc w:val="left"/>
              <w:rPr>
                <w:b/>
                <w:color w:val="009859"/>
                <w:lang w:val="en-GB"/>
              </w:rPr>
            </w:pPr>
            <w:r w:rsidRPr="007275FD">
              <w:rPr>
                <w:b/>
                <w:lang w:val="en-GB"/>
              </w:rPr>
              <w:t>Public</w:t>
            </w:r>
          </w:p>
        </w:tc>
        <w:tc>
          <w:tcPr>
            <w:cnfStyle w:val="000001000000" w:firstRow="0" w:lastRow="0" w:firstColumn="0" w:lastColumn="0" w:oddVBand="0" w:evenVBand="1" w:oddHBand="0" w:evenHBand="0" w:firstRowFirstColumn="0" w:firstRowLastColumn="0" w:lastRowFirstColumn="0" w:lastRowLastColumn="0"/>
            <w:tcW w:w="1527" w:type="dxa"/>
          </w:tcPr>
          <w:p w14:paraId="67961670" w14:textId="77777777" w:rsidR="00D6403A" w:rsidRPr="00D6403A" w:rsidRDefault="00D6403A" w:rsidP="00AE4C75">
            <w:pPr>
              <w:pStyle w:val="Tabletext"/>
              <w:rPr>
                <w:lang w:val="en-US"/>
              </w:rPr>
            </w:pPr>
            <w:r w:rsidRPr="00D6403A">
              <w:rPr>
                <w:lang w:val="en-US"/>
              </w:rPr>
              <w:t>3.6%</w:t>
            </w:r>
          </w:p>
        </w:tc>
        <w:tc>
          <w:tcPr>
            <w:cnfStyle w:val="000010000000" w:firstRow="0" w:lastRow="0" w:firstColumn="0" w:lastColumn="0" w:oddVBand="1" w:evenVBand="0" w:oddHBand="0" w:evenHBand="0" w:firstRowFirstColumn="0" w:firstRowLastColumn="0" w:lastRowFirstColumn="0" w:lastRowLastColumn="0"/>
            <w:tcW w:w="1527" w:type="dxa"/>
          </w:tcPr>
          <w:p w14:paraId="03E7AA1F" w14:textId="77777777" w:rsidR="00D6403A" w:rsidRPr="00D6403A" w:rsidRDefault="00D6403A" w:rsidP="00AE4C75">
            <w:pPr>
              <w:pStyle w:val="Tabletext"/>
              <w:rPr>
                <w:lang w:val="en-US"/>
              </w:rPr>
            </w:pPr>
            <w:r w:rsidRPr="00D6403A">
              <w:rPr>
                <w:lang w:val="en-US"/>
              </w:rPr>
              <w:t>4.4%</w:t>
            </w:r>
          </w:p>
        </w:tc>
        <w:tc>
          <w:tcPr>
            <w:cnfStyle w:val="000001000000" w:firstRow="0" w:lastRow="0" w:firstColumn="0" w:lastColumn="0" w:oddVBand="0" w:evenVBand="1" w:oddHBand="0" w:evenHBand="0" w:firstRowFirstColumn="0" w:firstRowLastColumn="0" w:lastRowFirstColumn="0" w:lastRowLastColumn="0"/>
            <w:tcW w:w="1527" w:type="dxa"/>
          </w:tcPr>
          <w:p w14:paraId="69761C29" w14:textId="77777777" w:rsidR="00D6403A" w:rsidRPr="00D6403A" w:rsidRDefault="00D6403A" w:rsidP="00AE4C75">
            <w:pPr>
              <w:pStyle w:val="Tabletext"/>
              <w:rPr>
                <w:lang w:val="en-US"/>
              </w:rPr>
            </w:pPr>
            <w:r w:rsidRPr="00D6403A">
              <w:rPr>
                <w:lang w:val="en-US"/>
              </w:rPr>
              <w:t>4.7%</w:t>
            </w:r>
          </w:p>
        </w:tc>
        <w:tc>
          <w:tcPr>
            <w:cnfStyle w:val="000010000000" w:firstRow="0" w:lastRow="0" w:firstColumn="0" w:lastColumn="0" w:oddVBand="1" w:evenVBand="0" w:oddHBand="0" w:evenHBand="0" w:firstRowFirstColumn="0" w:firstRowLastColumn="0" w:lastRowFirstColumn="0" w:lastRowLastColumn="0"/>
            <w:tcW w:w="1527" w:type="dxa"/>
          </w:tcPr>
          <w:p w14:paraId="732333DF" w14:textId="77777777" w:rsidR="00D6403A" w:rsidRPr="00D6403A" w:rsidRDefault="00D6403A" w:rsidP="00AE4C75">
            <w:pPr>
              <w:pStyle w:val="Tabletext"/>
              <w:rPr>
                <w:lang w:val="en-US"/>
              </w:rPr>
            </w:pPr>
            <w:r w:rsidRPr="00D6403A">
              <w:rPr>
                <w:lang w:val="en-US"/>
              </w:rPr>
              <w:t>4.3%</w:t>
            </w:r>
          </w:p>
        </w:tc>
        <w:tc>
          <w:tcPr>
            <w:cnfStyle w:val="000001000000" w:firstRow="0" w:lastRow="0" w:firstColumn="0" w:lastColumn="0" w:oddVBand="0" w:evenVBand="1" w:oddHBand="0" w:evenHBand="0" w:firstRowFirstColumn="0" w:firstRowLastColumn="0" w:lastRowFirstColumn="0" w:lastRowLastColumn="0"/>
            <w:tcW w:w="1527" w:type="dxa"/>
            <w:shd w:val="clear" w:color="auto" w:fill="F2F2F2" w:themeFill="background1" w:themeFillShade="F2"/>
          </w:tcPr>
          <w:p w14:paraId="2889F031" w14:textId="77777777" w:rsidR="00D6403A" w:rsidRPr="00D6403A" w:rsidRDefault="00D6403A" w:rsidP="00AE4C75">
            <w:pPr>
              <w:pStyle w:val="Tabletext"/>
              <w:rPr>
                <w:lang w:val="en-US"/>
              </w:rPr>
            </w:pPr>
            <w:r w:rsidRPr="00D6403A">
              <w:rPr>
                <w:lang w:val="en-US"/>
              </w:rPr>
              <w:t>4.6%</w:t>
            </w:r>
          </w:p>
        </w:tc>
      </w:tr>
      <w:tr w:rsidR="00D6403A" w:rsidRPr="00D6403A" w14:paraId="1D7D447A" w14:textId="77777777" w:rsidTr="00036E1B">
        <w:trPr>
          <w:trHeight w:val="56"/>
        </w:trPr>
        <w:tc>
          <w:tcPr>
            <w:cnfStyle w:val="000010000000" w:firstRow="0" w:lastRow="0" w:firstColumn="0" w:lastColumn="0" w:oddVBand="1" w:evenVBand="0" w:oddHBand="0" w:evenHBand="0" w:firstRowFirstColumn="0" w:firstRowLastColumn="0" w:lastRowFirstColumn="0" w:lastRowLastColumn="0"/>
            <w:tcW w:w="2645" w:type="dxa"/>
          </w:tcPr>
          <w:p w14:paraId="2A922A03" w14:textId="2F463662" w:rsidR="00D6403A" w:rsidRPr="007275FD" w:rsidRDefault="00D6403A" w:rsidP="007275FD">
            <w:pPr>
              <w:pStyle w:val="Tabletext"/>
              <w:jc w:val="left"/>
              <w:rPr>
                <w:b/>
                <w:color w:val="009859"/>
                <w:lang w:val="en-GB"/>
              </w:rPr>
            </w:pPr>
            <w:r w:rsidRPr="007275FD">
              <w:rPr>
                <w:b/>
                <w:lang w:val="en-GB"/>
              </w:rPr>
              <w:t>Private</w:t>
            </w:r>
          </w:p>
        </w:tc>
        <w:tc>
          <w:tcPr>
            <w:cnfStyle w:val="000001000000" w:firstRow="0" w:lastRow="0" w:firstColumn="0" w:lastColumn="0" w:oddVBand="0" w:evenVBand="1" w:oddHBand="0" w:evenHBand="0" w:firstRowFirstColumn="0" w:firstRowLastColumn="0" w:lastRowFirstColumn="0" w:lastRowLastColumn="0"/>
            <w:tcW w:w="1527" w:type="dxa"/>
          </w:tcPr>
          <w:p w14:paraId="44627933" w14:textId="77777777" w:rsidR="00D6403A" w:rsidRPr="00D6403A" w:rsidRDefault="00D6403A" w:rsidP="00AE4C75">
            <w:pPr>
              <w:pStyle w:val="Tabletext"/>
              <w:rPr>
                <w:lang w:val="en-US"/>
              </w:rPr>
            </w:pPr>
            <w:r w:rsidRPr="00D6403A">
              <w:rPr>
                <w:lang w:val="en-US"/>
              </w:rPr>
              <w:t>1.0%</w:t>
            </w:r>
          </w:p>
        </w:tc>
        <w:tc>
          <w:tcPr>
            <w:cnfStyle w:val="000010000000" w:firstRow="0" w:lastRow="0" w:firstColumn="0" w:lastColumn="0" w:oddVBand="1" w:evenVBand="0" w:oddHBand="0" w:evenHBand="0" w:firstRowFirstColumn="0" w:firstRowLastColumn="0" w:lastRowFirstColumn="0" w:lastRowLastColumn="0"/>
            <w:tcW w:w="1527" w:type="dxa"/>
          </w:tcPr>
          <w:p w14:paraId="10D077A4" w14:textId="77777777" w:rsidR="00D6403A" w:rsidRPr="00D6403A" w:rsidRDefault="00D6403A" w:rsidP="00AE4C75">
            <w:pPr>
              <w:pStyle w:val="Tabletext"/>
              <w:rPr>
                <w:lang w:val="en-US"/>
              </w:rPr>
            </w:pPr>
            <w:r w:rsidRPr="00D6403A">
              <w:rPr>
                <w:lang w:val="en-US"/>
              </w:rPr>
              <w:t>1.0%</w:t>
            </w:r>
          </w:p>
        </w:tc>
        <w:tc>
          <w:tcPr>
            <w:cnfStyle w:val="000001000000" w:firstRow="0" w:lastRow="0" w:firstColumn="0" w:lastColumn="0" w:oddVBand="0" w:evenVBand="1" w:oddHBand="0" w:evenHBand="0" w:firstRowFirstColumn="0" w:firstRowLastColumn="0" w:lastRowFirstColumn="0" w:lastRowLastColumn="0"/>
            <w:tcW w:w="1527" w:type="dxa"/>
          </w:tcPr>
          <w:p w14:paraId="288A8773" w14:textId="77777777" w:rsidR="00D6403A" w:rsidRPr="00D6403A" w:rsidRDefault="00D6403A" w:rsidP="00AE4C75">
            <w:pPr>
              <w:pStyle w:val="Tabletext"/>
              <w:rPr>
                <w:lang w:val="en-US"/>
              </w:rPr>
            </w:pPr>
            <w:r w:rsidRPr="00D6403A">
              <w:rPr>
                <w:lang w:val="en-US"/>
              </w:rPr>
              <w:t>1.4%</w:t>
            </w:r>
          </w:p>
        </w:tc>
        <w:tc>
          <w:tcPr>
            <w:cnfStyle w:val="000010000000" w:firstRow="0" w:lastRow="0" w:firstColumn="0" w:lastColumn="0" w:oddVBand="1" w:evenVBand="0" w:oddHBand="0" w:evenHBand="0" w:firstRowFirstColumn="0" w:firstRowLastColumn="0" w:lastRowFirstColumn="0" w:lastRowLastColumn="0"/>
            <w:tcW w:w="1527" w:type="dxa"/>
          </w:tcPr>
          <w:p w14:paraId="657B1B72" w14:textId="77777777" w:rsidR="00D6403A" w:rsidRPr="00D6403A" w:rsidRDefault="00D6403A" w:rsidP="00AE4C75">
            <w:pPr>
              <w:pStyle w:val="Tabletext"/>
              <w:rPr>
                <w:lang w:val="en-US"/>
              </w:rPr>
            </w:pPr>
            <w:r w:rsidRPr="00D6403A">
              <w:rPr>
                <w:lang w:val="en-US"/>
              </w:rPr>
              <w:t>0.8%</w:t>
            </w:r>
          </w:p>
        </w:tc>
        <w:tc>
          <w:tcPr>
            <w:cnfStyle w:val="000001000000" w:firstRow="0" w:lastRow="0" w:firstColumn="0" w:lastColumn="0" w:oddVBand="0" w:evenVBand="1" w:oddHBand="0" w:evenHBand="0" w:firstRowFirstColumn="0" w:firstRowLastColumn="0" w:lastRowFirstColumn="0" w:lastRowLastColumn="0"/>
            <w:tcW w:w="1527" w:type="dxa"/>
            <w:shd w:val="clear" w:color="auto" w:fill="F2F2F2" w:themeFill="background1" w:themeFillShade="F2"/>
          </w:tcPr>
          <w:p w14:paraId="3ED8C7FF" w14:textId="77777777" w:rsidR="00D6403A" w:rsidRPr="00D6403A" w:rsidRDefault="00D6403A" w:rsidP="00AE4C75">
            <w:pPr>
              <w:pStyle w:val="Tabletext"/>
              <w:rPr>
                <w:lang w:val="en-US"/>
              </w:rPr>
            </w:pPr>
            <w:r w:rsidRPr="00D6403A">
              <w:rPr>
                <w:lang w:val="en-US"/>
              </w:rPr>
              <w:t>1.1%</w:t>
            </w:r>
          </w:p>
        </w:tc>
      </w:tr>
      <w:tr w:rsidR="00D6403A" w:rsidRPr="00D6403A" w14:paraId="3E65BD85" w14:textId="77777777" w:rsidTr="00036E1B">
        <w:trPr>
          <w:trHeight w:val="56"/>
        </w:trPr>
        <w:tc>
          <w:tcPr>
            <w:cnfStyle w:val="000010000000" w:firstRow="0" w:lastRow="0" w:firstColumn="0" w:lastColumn="0" w:oddVBand="1" w:evenVBand="0" w:oddHBand="0" w:evenHBand="0" w:firstRowFirstColumn="0" w:firstRowLastColumn="0" w:lastRowFirstColumn="0" w:lastRowLastColumn="0"/>
            <w:tcW w:w="2645" w:type="dxa"/>
          </w:tcPr>
          <w:p w14:paraId="69B8B0B1" w14:textId="454B3010" w:rsidR="00D6403A" w:rsidRPr="007275FD" w:rsidRDefault="00D6403A" w:rsidP="007275FD">
            <w:pPr>
              <w:pStyle w:val="Tabletext"/>
              <w:jc w:val="left"/>
              <w:rPr>
                <w:b/>
                <w:color w:val="009859"/>
                <w:lang w:val="en-GB"/>
              </w:rPr>
            </w:pPr>
            <w:r w:rsidRPr="007275FD">
              <w:rPr>
                <w:b/>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1527" w:type="dxa"/>
          </w:tcPr>
          <w:p w14:paraId="6D5F753A" w14:textId="77777777" w:rsidR="00D6403A" w:rsidRPr="00D6403A" w:rsidRDefault="00D6403A" w:rsidP="00AE4C75">
            <w:pPr>
              <w:pStyle w:val="Tabletext"/>
              <w:rPr>
                <w:lang w:val="en-US"/>
              </w:rPr>
            </w:pPr>
            <w:r w:rsidRPr="00D6403A">
              <w:rPr>
                <w:lang w:val="en-US"/>
              </w:rPr>
              <w:t>3.2%</w:t>
            </w:r>
          </w:p>
        </w:tc>
        <w:tc>
          <w:tcPr>
            <w:cnfStyle w:val="000010000000" w:firstRow="0" w:lastRow="0" w:firstColumn="0" w:lastColumn="0" w:oddVBand="1" w:evenVBand="0" w:oddHBand="0" w:evenHBand="0" w:firstRowFirstColumn="0" w:firstRowLastColumn="0" w:lastRowFirstColumn="0" w:lastRowLastColumn="0"/>
            <w:tcW w:w="1527" w:type="dxa"/>
          </w:tcPr>
          <w:p w14:paraId="022126BD" w14:textId="77777777" w:rsidR="00D6403A" w:rsidRPr="00D6403A" w:rsidRDefault="00D6403A" w:rsidP="00AE4C75">
            <w:pPr>
              <w:pStyle w:val="Tabletext"/>
              <w:rPr>
                <w:lang w:val="en-US"/>
              </w:rPr>
            </w:pPr>
            <w:r w:rsidRPr="00D6403A">
              <w:rPr>
                <w:lang w:val="en-US"/>
              </w:rPr>
              <w:t>3.8%</w:t>
            </w:r>
          </w:p>
        </w:tc>
        <w:tc>
          <w:tcPr>
            <w:cnfStyle w:val="000001000000" w:firstRow="0" w:lastRow="0" w:firstColumn="0" w:lastColumn="0" w:oddVBand="0" w:evenVBand="1" w:oddHBand="0" w:evenHBand="0" w:firstRowFirstColumn="0" w:firstRowLastColumn="0" w:lastRowFirstColumn="0" w:lastRowLastColumn="0"/>
            <w:tcW w:w="1527" w:type="dxa"/>
          </w:tcPr>
          <w:p w14:paraId="4CD7CD18" w14:textId="77777777" w:rsidR="00D6403A" w:rsidRPr="00D6403A" w:rsidRDefault="00D6403A" w:rsidP="00AE4C75">
            <w:pPr>
              <w:pStyle w:val="Tabletext"/>
              <w:rPr>
                <w:lang w:val="en-US"/>
              </w:rPr>
            </w:pPr>
            <w:r w:rsidRPr="00D6403A">
              <w:rPr>
                <w:lang w:val="en-US"/>
              </w:rPr>
              <w:t>4.2%</w:t>
            </w:r>
          </w:p>
        </w:tc>
        <w:tc>
          <w:tcPr>
            <w:cnfStyle w:val="000010000000" w:firstRow="0" w:lastRow="0" w:firstColumn="0" w:lastColumn="0" w:oddVBand="1" w:evenVBand="0" w:oddHBand="0" w:evenHBand="0" w:firstRowFirstColumn="0" w:firstRowLastColumn="0" w:lastRowFirstColumn="0" w:lastRowLastColumn="0"/>
            <w:tcW w:w="1527" w:type="dxa"/>
          </w:tcPr>
          <w:p w14:paraId="0DE3E08D" w14:textId="77777777" w:rsidR="00D6403A" w:rsidRPr="00D6403A" w:rsidRDefault="00D6403A" w:rsidP="00AE4C75">
            <w:pPr>
              <w:pStyle w:val="Tabletext"/>
              <w:rPr>
                <w:lang w:val="en-US"/>
              </w:rPr>
            </w:pPr>
            <w:r w:rsidRPr="00D6403A">
              <w:rPr>
                <w:lang w:val="en-US"/>
              </w:rPr>
              <w:t>3.7%</w:t>
            </w:r>
          </w:p>
        </w:tc>
        <w:tc>
          <w:tcPr>
            <w:cnfStyle w:val="000001000000" w:firstRow="0" w:lastRow="0" w:firstColumn="0" w:lastColumn="0" w:oddVBand="0" w:evenVBand="1" w:oddHBand="0" w:evenHBand="0" w:firstRowFirstColumn="0" w:firstRowLastColumn="0" w:lastRowFirstColumn="0" w:lastRowLastColumn="0"/>
            <w:tcW w:w="1527" w:type="dxa"/>
            <w:shd w:val="clear" w:color="auto" w:fill="F2F2F2" w:themeFill="background1" w:themeFillShade="F2"/>
          </w:tcPr>
          <w:p w14:paraId="7A2A28A2" w14:textId="77777777" w:rsidR="00D6403A" w:rsidRPr="00D6403A" w:rsidRDefault="00D6403A" w:rsidP="00AE4C75">
            <w:pPr>
              <w:pStyle w:val="Tabletext"/>
              <w:rPr>
                <w:lang w:val="en-US"/>
              </w:rPr>
            </w:pPr>
            <w:r w:rsidRPr="00D6403A">
              <w:rPr>
                <w:lang w:val="en-US"/>
              </w:rPr>
              <w:t>4.0%</w:t>
            </w:r>
          </w:p>
        </w:tc>
      </w:tr>
    </w:tbl>
    <w:p w14:paraId="72B98A52" w14:textId="77777777" w:rsidR="00D6403A" w:rsidRPr="00D6403A" w:rsidRDefault="00D6403A" w:rsidP="00870C38">
      <w:pPr>
        <w:pStyle w:val="Tablechartdiagramheading"/>
      </w:pPr>
      <w:r w:rsidRPr="00D6403A">
        <w:t>Figure 15. Time trend of Indicator 1ci, 2017–2021</w:t>
      </w:r>
    </w:p>
    <w:p w14:paraId="52FC5151" w14:textId="6E823FD4" w:rsidR="00D6403A" w:rsidRPr="00D6403A" w:rsidRDefault="00036E1B" w:rsidP="00862996">
      <w:pPr>
        <w:rPr>
          <w:lang w:val="en-GB"/>
        </w:rPr>
      </w:pPr>
      <w:r>
        <w:rPr>
          <w:noProof/>
          <w:lang w:val="en-GB"/>
        </w:rPr>
        <w:drawing>
          <wp:inline distT="0" distB="0" distL="0" distR="0" wp14:anchorId="15D79257" wp14:editId="5191BA73">
            <wp:extent cx="3048000" cy="1295400"/>
            <wp:effectExtent l="0" t="0" r="0" b="0"/>
            <wp:docPr id="20" name="Picture 20" descr="Line chart of Table 5 indicator 1ci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_15.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048000" cy="1295400"/>
                    </a:xfrm>
                    <a:prstGeom prst="rect">
                      <a:avLst/>
                    </a:prstGeom>
                  </pic:spPr>
                </pic:pic>
              </a:graphicData>
            </a:graphic>
          </wp:inline>
        </w:drawing>
      </w:r>
    </w:p>
    <w:p w14:paraId="34C86F10" w14:textId="77777777" w:rsidR="00D6403A" w:rsidRPr="00D6403A" w:rsidRDefault="00D6403A" w:rsidP="00036E1B">
      <w:pPr>
        <w:pStyle w:val="Tablechartdiagramheading"/>
        <w:rPr>
          <w:lang w:val="en-GB"/>
        </w:rPr>
      </w:pPr>
      <w:r w:rsidRPr="00D6403A">
        <w:rPr>
          <w:lang w:val="en-GB"/>
        </w:rPr>
        <w:lastRenderedPageBreak/>
        <w:t>Figure 16. Indicator 1cii: Rate of third- and fourth-degree perineal tears during assisted vaginal births to</w:t>
      </w:r>
      <w:r w:rsidRPr="00D6403A">
        <w:rPr>
          <w:rFonts w:ascii="Cambria" w:hAnsi="Cambria" w:cs="Cambria"/>
          <w:lang w:val="en-GB"/>
        </w:rPr>
        <w:t> </w:t>
      </w:r>
      <w:r w:rsidRPr="00D6403A">
        <w:rPr>
          <w:lang w:val="en-GB"/>
        </w:rPr>
        <w:t>primiparae, 2021</w:t>
      </w:r>
    </w:p>
    <w:p w14:paraId="08597C1A" w14:textId="317B8191" w:rsidR="00D6403A" w:rsidRPr="00D6403A" w:rsidRDefault="00036E1B" w:rsidP="00862996">
      <w:pPr>
        <w:rPr>
          <w:lang w:val="en-GB"/>
        </w:rPr>
      </w:pPr>
      <w:r>
        <w:rPr>
          <w:noProof/>
          <w:lang w:val="en-GB"/>
        </w:rPr>
        <w:drawing>
          <wp:inline distT="0" distB="0" distL="0" distR="0" wp14:anchorId="6A267050" wp14:editId="74E007A2">
            <wp:extent cx="6476365" cy="6313170"/>
            <wp:effectExtent l="0" t="0" r="635" b="0"/>
            <wp:docPr id="21" name="Picture 21" descr="Bar chart for Indicator 1cii.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_16.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76365" cy="6313170"/>
                    </a:xfrm>
                    <a:prstGeom prst="rect">
                      <a:avLst/>
                    </a:prstGeom>
                  </pic:spPr>
                </pic:pic>
              </a:graphicData>
            </a:graphic>
          </wp:inline>
        </w:drawing>
      </w:r>
    </w:p>
    <w:p w14:paraId="3E1A3B89" w14:textId="77777777" w:rsidR="00036E1B" w:rsidRDefault="00036E1B">
      <w:pPr>
        <w:rPr>
          <w:b/>
          <w:bCs/>
          <w:color w:val="007586" w:themeColor="text2"/>
          <w:spacing w:val="2"/>
          <w:szCs w:val="18"/>
        </w:rPr>
      </w:pPr>
      <w:r>
        <w:br w:type="page"/>
      </w:r>
    </w:p>
    <w:p w14:paraId="0A3C7BE9" w14:textId="03A3CDC9" w:rsidR="00D6403A" w:rsidRPr="00D6403A" w:rsidRDefault="00D6403A" w:rsidP="00870C38">
      <w:pPr>
        <w:pStyle w:val="Tablechartdiagramheading"/>
      </w:pPr>
      <w:r w:rsidRPr="00D6403A">
        <w:lastRenderedPageBreak/>
        <w:t>Figure 17. Funnel plot of the rate of third- and fourth-degree perineal tears during assisted vaginal births to primiparae, 2021</w:t>
      </w:r>
    </w:p>
    <w:p w14:paraId="4D6A43D4" w14:textId="1A7ED74F" w:rsidR="00D6403A" w:rsidRPr="00D6403A" w:rsidRDefault="00036E1B" w:rsidP="00862996">
      <w:pPr>
        <w:rPr>
          <w:lang w:val="en-GB"/>
        </w:rPr>
      </w:pPr>
      <w:r>
        <w:rPr>
          <w:noProof/>
          <w:lang w:val="en-GB"/>
        </w:rPr>
        <w:drawing>
          <wp:inline distT="0" distB="0" distL="0" distR="0" wp14:anchorId="0F16C193" wp14:editId="5E300FEE">
            <wp:extent cx="6019800" cy="3416300"/>
            <wp:effectExtent l="0" t="0" r="0" b="0"/>
            <wp:docPr id="22" name="Picture 22"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_17.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19800" cy="3416300"/>
                    </a:xfrm>
                    <a:prstGeom prst="rect">
                      <a:avLst/>
                    </a:prstGeom>
                  </pic:spPr>
                </pic:pic>
              </a:graphicData>
            </a:graphic>
          </wp:inline>
        </w:drawing>
      </w:r>
    </w:p>
    <w:p w14:paraId="5D83F58A"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5440B2C5" w14:textId="3CD1FEAA" w:rsidR="00D6403A" w:rsidRPr="00D6403A" w:rsidRDefault="00D6403A" w:rsidP="00887B5A">
      <w:pPr>
        <w:pStyle w:val="Tablechartdiagramheading"/>
        <w:rPr>
          <w:lang w:val="en-GB"/>
        </w:rPr>
      </w:pPr>
      <w:r w:rsidRPr="00D6403A">
        <w:rPr>
          <w:lang w:val="en-GB"/>
        </w:rPr>
        <w:t>Table 6. Rate of third- and fourth-degree perineal tears during assisted vaginal births, 2017–2021</w:t>
      </w:r>
    </w:p>
    <w:tbl>
      <w:tblPr>
        <w:tblStyle w:val="TableGrid"/>
        <w:tblW w:w="10255" w:type="dxa"/>
        <w:tblLayout w:type="fixed"/>
        <w:tblLook w:val="0020" w:firstRow="1" w:lastRow="0" w:firstColumn="0" w:lastColumn="0" w:noHBand="0" w:noVBand="0"/>
      </w:tblPr>
      <w:tblGrid>
        <w:gridCol w:w="2637"/>
        <w:gridCol w:w="1523"/>
        <w:gridCol w:w="1523"/>
        <w:gridCol w:w="1523"/>
        <w:gridCol w:w="1523"/>
        <w:gridCol w:w="1526"/>
      </w:tblGrid>
      <w:tr w:rsidR="00D6403A" w:rsidRPr="00D6403A" w14:paraId="7E9C77B6" w14:textId="77777777" w:rsidTr="00036E1B">
        <w:trPr>
          <w:cnfStyle w:val="100000000000" w:firstRow="1" w:lastRow="0" w:firstColumn="0" w:lastColumn="0" w:oddVBand="0" w:evenVBand="0" w:oddHBand="0" w:evenHBand="0" w:firstRowFirstColumn="0" w:firstRowLastColumn="0" w:lastRowFirstColumn="0" w:lastRowLastColumn="0"/>
          <w:trHeight w:val="248"/>
          <w:tblHeader/>
        </w:trPr>
        <w:tc>
          <w:tcPr>
            <w:cnfStyle w:val="000010000000" w:firstRow="0" w:lastRow="0" w:firstColumn="0" w:lastColumn="0" w:oddVBand="1" w:evenVBand="0" w:oddHBand="0" w:evenHBand="0" w:firstRowFirstColumn="0" w:firstRowLastColumn="0" w:lastRowFirstColumn="0" w:lastRowLastColumn="0"/>
            <w:tcW w:w="10255" w:type="dxa"/>
            <w:gridSpan w:val="6"/>
          </w:tcPr>
          <w:p w14:paraId="51171C10" w14:textId="77777777" w:rsidR="00D6403A" w:rsidRPr="00036E1B" w:rsidRDefault="00D6403A" w:rsidP="00036E1B">
            <w:pPr>
              <w:pStyle w:val="Tableheader"/>
              <w:jc w:val="center"/>
              <w:rPr>
                <w:rFonts w:ascii="VIC" w:hAnsi="VIC" w:cs="VIC"/>
                <w:b/>
                <w:bCs/>
                <w:lang w:val="en-GB"/>
              </w:rPr>
            </w:pPr>
            <w:r w:rsidRPr="00036E1B">
              <w:rPr>
                <w:b/>
                <w:lang w:val="en-GB"/>
              </w:rPr>
              <w:t>Indicator 1cii: Rate of third- and fourth-degree perineal</w:t>
            </w:r>
            <w:r w:rsidRPr="00036E1B">
              <w:rPr>
                <w:rFonts w:ascii="Cambria" w:hAnsi="Cambria" w:cs="Cambria"/>
                <w:b/>
                <w:lang w:val="en-GB"/>
              </w:rPr>
              <w:t> </w:t>
            </w:r>
            <w:r w:rsidRPr="00036E1B">
              <w:rPr>
                <w:b/>
                <w:lang w:val="en-GB"/>
              </w:rPr>
              <w:t>tears during assisted vaginal births</w:t>
            </w:r>
          </w:p>
        </w:tc>
      </w:tr>
      <w:tr w:rsidR="00D6403A" w:rsidRPr="00D6403A" w14:paraId="11BF8EA2" w14:textId="77777777" w:rsidTr="00036E1B">
        <w:trPr>
          <w:cnfStyle w:val="100000000000" w:firstRow="1" w:lastRow="0" w:firstColumn="0" w:lastColumn="0" w:oddVBand="0" w:evenVBand="0" w:oddHBand="0" w:evenHBand="0" w:firstRowFirstColumn="0" w:firstRowLastColumn="0" w:lastRowFirstColumn="0" w:lastRowLastColumn="0"/>
          <w:trHeight w:val="248"/>
          <w:tblHeader/>
        </w:trPr>
        <w:tc>
          <w:tcPr>
            <w:cnfStyle w:val="000010000000" w:firstRow="0" w:lastRow="0" w:firstColumn="0" w:lastColumn="0" w:oddVBand="1" w:evenVBand="0" w:oddHBand="0" w:evenHBand="0" w:firstRowFirstColumn="0" w:firstRowLastColumn="0" w:lastRowFirstColumn="0" w:lastRowLastColumn="0"/>
            <w:tcW w:w="2637" w:type="dxa"/>
          </w:tcPr>
          <w:p w14:paraId="53A98284" w14:textId="77777777" w:rsidR="00D6403A" w:rsidRPr="00036E1B" w:rsidRDefault="00D6403A" w:rsidP="00036E1B">
            <w:pPr>
              <w:pStyle w:val="Tableheader"/>
              <w:rPr>
                <w:rFonts w:ascii="VIC" w:hAnsi="VIC"/>
                <w:b/>
                <w:sz w:val="24"/>
                <w:szCs w:val="24"/>
                <w:lang w:val="en-US"/>
              </w:rPr>
            </w:pPr>
          </w:p>
        </w:tc>
        <w:tc>
          <w:tcPr>
            <w:cnfStyle w:val="000001000000" w:firstRow="0" w:lastRow="0" w:firstColumn="0" w:lastColumn="0" w:oddVBand="0" w:evenVBand="1" w:oddHBand="0" w:evenHBand="0" w:firstRowFirstColumn="0" w:firstRowLastColumn="0" w:lastRowFirstColumn="0" w:lastRowLastColumn="0"/>
            <w:tcW w:w="1523" w:type="dxa"/>
          </w:tcPr>
          <w:p w14:paraId="2900F678" w14:textId="77777777" w:rsidR="00D6403A" w:rsidRPr="00036E1B" w:rsidRDefault="00D6403A" w:rsidP="00036E1B">
            <w:pPr>
              <w:pStyle w:val="Tableheader"/>
              <w:jc w:val="right"/>
              <w:rPr>
                <w:b/>
                <w:lang w:val="en-GB"/>
              </w:rPr>
            </w:pPr>
            <w:r w:rsidRPr="00036E1B">
              <w:rPr>
                <w:b/>
                <w:lang w:val="en-GB"/>
              </w:rPr>
              <w:t>2017</w:t>
            </w:r>
          </w:p>
        </w:tc>
        <w:tc>
          <w:tcPr>
            <w:cnfStyle w:val="000010000000" w:firstRow="0" w:lastRow="0" w:firstColumn="0" w:lastColumn="0" w:oddVBand="1" w:evenVBand="0" w:oddHBand="0" w:evenHBand="0" w:firstRowFirstColumn="0" w:firstRowLastColumn="0" w:lastRowFirstColumn="0" w:lastRowLastColumn="0"/>
            <w:tcW w:w="1523" w:type="dxa"/>
          </w:tcPr>
          <w:p w14:paraId="24FC1E61" w14:textId="77777777" w:rsidR="00D6403A" w:rsidRPr="00036E1B" w:rsidRDefault="00D6403A" w:rsidP="00036E1B">
            <w:pPr>
              <w:pStyle w:val="Tableheader"/>
              <w:jc w:val="right"/>
              <w:rPr>
                <w:b/>
                <w:lang w:val="en-GB"/>
              </w:rPr>
            </w:pPr>
            <w:r w:rsidRPr="00036E1B">
              <w:rPr>
                <w:b/>
                <w:lang w:val="en-GB"/>
              </w:rPr>
              <w:t>2018</w:t>
            </w:r>
          </w:p>
        </w:tc>
        <w:tc>
          <w:tcPr>
            <w:cnfStyle w:val="000001000000" w:firstRow="0" w:lastRow="0" w:firstColumn="0" w:lastColumn="0" w:oddVBand="0" w:evenVBand="1" w:oddHBand="0" w:evenHBand="0" w:firstRowFirstColumn="0" w:firstRowLastColumn="0" w:lastRowFirstColumn="0" w:lastRowLastColumn="0"/>
            <w:tcW w:w="1523" w:type="dxa"/>
          </w:tcPr>
          <w:p w14:paraId="77263F55" w14:textId="77777777" w:rsidR="00D6403A" w:rsidRPr="00036E1B" w:rsidRDefault="00D6403A" w:rsidP="00036E1B">
            <w:pPr>
              <w:pStyle w:val="Tableheader"/>
              <w:jc w:val="right"/>
              <w:rPr>
                <w:b/>
                <w:lang w:val="en-GB"/>
              </w:rPr>
            </w:pPr>
            <w:r w:rsidRPr="00036E1B">
              <w:rPr>
                <w:b/>
                <w:lang w:val="en-GB"/>
              </w:rPr>
              <w:t>2019</w:t>
            </w:r>
          </w:p>
        </w:tc>
        <w:tc>
          <w:tcPr>
            <w:cnfStyle w:val="000010000000" w:firstRow="0" w:lastRow="0" w:firstColumn="0" w:lastColumn="0" w:oddVBand="1" w:evenVBand="0" w:oddHBand="0" w:evenHBand="0" w:firstRowFirstColumn="0" w:firstRowLastColumn="0" w:lastRowFirstColumn="0" w:lastRowLastColumn="0"/>
            <w:tcW w:w="1523" w:type="dxa"/>
          </w:tcPr>
          <w:p w14:paraId="1158A6C1" w14:textId="77777777" w:rsidR="00D6403A" w:rsidRPr="00036E1B" w:rsidRDefault="00D6403A" w:rsidP="00036E1B">
            <w:pPr>
              <w:pStyle w:val="Tableheader"/>
              <w:jc w:val="right"/>
              <w:rPr>
                <w:b/>
                <w:lang w:val="en-GB"/>
              </w:rPr>
            </w:pPr>
            <w:r w:rsidRPr="00036E1B">
              <w:rPr>
                <w:b/>
                <w:lang w:val="en-GB"/>
              </w:rPr>
              <w:t>2020</w:t>
            </w:r>
          </w:p>
        </w:tc>
        <w:tc>
          <w:tcPr>
            <w:cnfStyle w:val="000001000000" w:firstRow="0" w:lastRow="0" w:firstColumn="0" w:lastColumn="0" w:oddVBand="0" w:evenVBand="1" w:oddHBand="0" w:evenHBand="0" w:firstRowFirstColumn="0" w:firstRowLastColumn="0" w:lastRowFirstColumn="0" w:lastRowLastColumn="0"/>
            <w:tcW w:w="1523" w:type="dxa"/>
          </w:tcPr>
          <w:p w14:paraId="1101EBCB" w14:textId="77777777" w:rsidR="00D6403A" w:rsidRPr="00036E1B" w:rsidRDefault="00D6403A" w:rsidP="00036E1B">
            <w:pPr>
              <w:pStyle w:val="Tableheader"/>
              <w:jc w:val="right"/>
              <w:rPr>
                <w:b/>
                <w:lang w:val="en-GB"/>
              </w:rPr>
            </w:pPr>
            <w:r w:rsidRPr="00036E1B">
              <w:rPr>
                <w:b/>
                <w:lang w:val="en-GB"/>
              </w:rPr>
              <w:t>2021</w:t>
            </w:r>
          </w:p>
        </w:tc>
      </w:tr>
      <w:tr w:rsidR="00D6403A" w:rsidRPr="00D6403A" w14:paraId="5A820D3D" w14:textId="77777777" w:rsidTr="00036E1B">
        <w:trPr>
          <w:trHeight w:val="52"/>
        </w:trPr>
        <w:tc>
          <w:tcPr>
            <w:cnfStyle w:val="000010000000" w:firstRow="0" w:lastRow="0" w:firstColumn="0" w:lastColumn="0" w:oddVBand="1" w:evenVBand="0" w:oddHBand="0" w:evenHBand="0" w:firstRowFirstColumn="0" w:firstRowLastColumn="0" w:lastRowFirstColumn="0" w:lastRowLastColumn="0"/>
            <w:tcW w:w="2637" w:type="dxa"/>
          </w:tcPr>
          <w:p w14:paraId="7CCFA60E" w14:textId="5DAC3642" w:rsidR="00D6403A" w:rsidRPr="007275FD" w:rsidRDefault="00D6403A" w:rsidP="007275FD">
            <w:pPr>
              <w:pStyle w:val="Tabletext"/>
              <w:jc w:val="left"/>
              <w:rPr>
                <w:b/>
                <w:color w:val="009859"/>
                <w:lang w:val="en-GB"/>
              </w:rPr>
            </w:pPr>
            <w:r w:rsidRPr="007275FD">
              <w:rPr>
                <w:b/>
                <w:lang w:val="en-GB"/>
              </w:rPr>
              <w:t>Public</w:t>
            </w:r>
          </w:p>
        </w:tc>
        <w:tc>
          <w:tcPr>
            <w:cnfStyle w:val="000001000000" w:firstRow="0" w:lastRow="0" w:firstColumn="0" w:lastColumn="0" w:oddVBand="0" w:evenVBand="1" w:oddHBand="0" w:evenHBand="0" w:firstRowFirstColumn="0" w:firstRowLastColumn="0" w:lastRowFirstColumn="0" w:lastRowLastColumn="0"/>
            <w:tcW w:w="1523" w:type="dxa"/>
          </w:tcPr>
          <w:p w14:paraId="452252AF" w14:textId="77777777" w:rsidR="00D6403A" w:rsidRPr="00D6403A" w:rsidRDefault="00D6403A" w:rsidP="00AE4C75">
            <w:pPr>
              <w:pStyle w:val="Tabletext"/>
              <w:rPr>
                <w:lang w:val="en-US"/>
              </w:rPr>
            </w:pPr>
            <w:r w:rsidRPr="00D6403A">
              <w:rPr>
                <w:lang w:val="en-US"/>
              </w:rPr>
              <w:t>5.5%</w:t>
            </w:r>
          </w:p>
        </w:tc>
        <w:tc>
          <w:tcPr>
            <w:cnfStyle w:val="000010000000" w:firstRow="0" w:lastRow="0" w:firstColumn="0" w:lastColumn="0" w:oddVBand="1" w:evenVBand="0" w:oddHBand="0" w:evenHBand="0" w:firstRowFirstColumn="0" w:firstRowLastColumn="0" w:lastRowFirstColumn="0" w:lastRowLastColumn="0"/>
            <w:tcW w:w="1523" w:type="dxa"/>
          </w:tcPr>
          <w:p w14:paraId="50CAD71E" w14:textId="77777777" w:rsidR="00D6403A" w:rsidRPr="00D6403A" w:rsidRDefault="00D6403A" w:rsidP="00AE4C75">
            <w:pPr>
              <w:pStyle w:val="Tabletext"/>
              <w:rPr>
                <w:lang w:val="en-US"/>
              </w:rPr>
            </w:pPr>
            <w:r w:rsidRPr="00D6403A">
              <w:rPr>
                <w:lang w:val="en-US"/>
              </w:rPr>
              <w:t>6.0%</w:t>
            </w:r>
          </w:p>
        </w:tc>
        <w:tc>
          <w:tcPr>
            <w:cnfStyle w:val="000001000000" w:firstRow="0" w:lastRow="0" w:firstColumn="0" w:lastColumn="0" w:oddVBand="0" w:evenVBand="1" w:oddHBand="0" w:evenHBand="0" w:firstRowFirstColumn="0" w:firstRowLastColumn="0" w:lastRowFirstColumn="0" w:lastRowLastColumn="0"/>
            <w:tcW w:w="1523" w:type="dxa"/>
          </w:tcPr>
          <w:p w14:paraId="10AB880C" w14:textId="77777777" w:rsidR="00D6403A" w:rsidRPr="00D6403A" w:rsidRDefault="00D6403A" w:rsidP="00AE4C75">
            <w:pPr>
              <w:pStyle w:val="Tabletext"/>
              <w:rPr>
                <w:lang w:val="en-US"/>
              </w:rPr>
            </w:pPr>
            <w:r w:rsidRPr="00D6403A">
              <w:rPr>
                <w:lang w:val="en-US"/>
              </w:rPr>
              <w:t>6.5%</w:t>
            </w:r>
          </w:p>
        </w:tc>
        <w:tc>
          <w:tcPr>
            <w:cnfStyle w:val="000010000000" w:firstRow="0" w:lastRow="0" w:firstColumn="0" w:lastColumn="0" w:oddVBand="1" w:evenVBand="0" w:oddHBand="0" w:evenHBand="0" w:firstRowFirstColumn="0" w:firstRowLastColumn="0" w:lastRowFirstColumn="0" w:lastRowLastColumn="0"/>
            <w:tcW w:w="1523" w:type="dxa"/>
          </w:tcPr>
          <w:p w14:paraId="1F8EE849" w14:textId="77777777" w:rsidR="00D6403A" w:rsidRPr="00D6403A" w:rsidRDefault="00D6403A" w:rsidP="00AE4C75">
            <w:pPr>
              <w:pStyle w:val="Tabletext"/>
              <w:rPr>
                <w:lang w:val="en-US"/>
              </w:rPr>
            </w:pPr>
            <w:r w:rsidRPr="00D6403A">
              <w:rPr>
                <w:lang w:val="en-US"/>
              </w:rPr>
              <w:t>6.4%</w:t>
            </w:r>
          </w:p>
        </w:tc>
        <w:tc>
          <w:tcPr>
            <w:cnfStyle w:val="000001000000" w:firstRow="0" w:lastRow="0" w:firstColumn="0" w:lastColumn="0" w:oddVBand="0" w:evenVBand="1" w:oddHBand="0" w:evenHBand="0" w:firstRowFirstColumn="0" w:firstRowLastColumn="0" w:lastRowFirstColumn="0" w:lastRowLastColumn="0"/>
            <w:tcW w:w="1523" w:type="dxa"/>
            <w:shd w:val="clear" w:color="auto" w:fill="F2F2F2" w:themeFill="background1" w:themeFillShade="F2"/>
          </w:tcPr>
          <w:p w14:paraId="48720DA3" w14:textId="77777777" w:rsidR="00D6403A" w:rsidRPr="00D6403A" w:rsidRDefault="00D6403A" w:rsidP="00AE4C75">
            <w:pPr>
              <w:pStyle w:val="Tabletext"/>
              <w:rPr>
                <w:lang w:val="en-US"/>
              </w:rPr>
            </w:pPr>
            <w:r w:rsidRPr="00D6403A">
              <w:rPr>
                <w:lang w:val="en-US"/>
              </w:rPr>
              <w:t>5.8%</w:t>
            </w:r>
          </w:p>
        </w:tc>
      </w:tr>
      <w:tr w:rsidR="00D6403A" w:rsidRPr="00D6403A" w14:paraId="639C714D" w14:textId="77777777" w:rsidTr="00036E1B">
        <w:trPr>
          <w:trHeight w:val="52"/>
        </w:trPr>
        <w:tc>
          <w:tcPr>
            <w:cnfStyle w:val="000010000000" w:firstRow="0" w:lastRow="0" w:firstColumn="0" w:lastColumn="0" w:oddVBand="1" w:evenVBand="0" w:oddHBand="0" w:evenHBand="0" w:firstRowFirstColumn="0" w:firstRowLastColumn="0" w:lastRowFirstColumn="0" w:lastRowLastColumn="0"/>
            <w:tcW w:w="2637" w:type="dxa"/>
          </w:tcPr>
          <w:p w14:paraId="4A42D3FF" w14:textId="4D93E6F5" w:rsidR="00D6403A" w:rsidRPr="007275FD" w:rsidRDefault="00D6403A" w:rsidP="007275FD">
            <w:pPr>
              <w:pStyle w:val="Tabletext"/>
              <w:jc w:val="left"/>
              <w:rPr>
                <w:b/>
                <w:color w:val="009859"/>
                <w:lang w:val="en-GB"/>
              </w:rPr>
            </w:pPr>
            <w:r w:rsidRPr="007275FD">
              <w:rPr>
                <w:b/>
                <w:lang w:val="en-GB"/>
              </w:rPr>
              <w:t>Private</w:t>
            </w:r>
          </w:p>
        </w:tc>
        <w:tc>
          <w:tcPr>
            <w:cnfStyle w:val="000001000000" w:firstRow="0" w:lastRow="0" w:firstColumn="0" w:lastColumn="0" w:oddVBand="0" w:evenVBand="1" w:oddHBand="0" w:evenHBand="0" w:firstRowFirstColumn="0" w:firstRowLastColumn="0" w:lastRowFirstColumn="0" w:lastRowLastColumn="0"/>
            <w:tcW w:w="1523" w:type="dxa"/>
          </w:tcPr>
          <w:p w14:paraId="00CBBAA0" w14:textId="77777777" w:rsidR="00D6403A" w:rsidRPr="00D6403A" w:rsidRDefault="00D6403A" w:rsidP="00AE4C75">
            <w:pPr>
              <w:pStyle w:val="Tabletext"/>
              <w:rPr>
                <w:lang w:val="en-US"/>
              </w:rPr>
            </w:pPr>
            <w:r w:rsidRPr="00D6403A">
              <w:rPr>
                <w:lang w:val="en-US"/>
              </w:rPr>
              <w:t>2.5%</w:t>
            </w:r>
          </w:p>
        </w:tc>
        <w:tc>
          <w:tcPr>
            <w:cnfStyle w:val="000010000000" w:firstRow="0" w:lastRow="0" w:firstColumn="0" w:lastColumn="0" w:oddVBand="1" w:evenVBand="0" w:oddHBand="0" w:evenHBand="0" w:firstRowFirstColumn="0" w:firstRowLastColumn="0" w:lastRowFirstColumn="0" w:lastRowLastColumn="0"/>
            <w:tcW w:w="1523" w:type="dxa"/>
          </w:tcPr>
          <w:p w14:paraId="22C34F90" w14:textId="77777777" w:rsidR="00D6403A" w:rsidRPr="00D6403A" w:rsidRDefault="00D6403A" w:rsidP="00AE4C75">
            <w:pPr>
              <w:pStyle w:val="Tabletext"/>
              <w:rPr>
                <w:lang w:val="en-US"/>
              </w:rPr>
            </w:pPr>
            <w:r w:rsidRPr="00D6403A">
              <w:rPr>
                <w:lang w:val="en-US"/>
              </w:rPr>
              <w:t>2.4%</w:t>
            </w:r>
          </w:p>
        </w:tc>
        <w:tc>
          <w:tcPr>
            <w:cnfStyle w:val="000001000000" w:firstRow="0" w:lastRow="0" w:firstColumn="0" w:lastColumn="0" w:oddVBand="0" w:evenVBand="1" w:oddHBand="0" w:evenHBand="0" w:firstRowFirstColumn="0" w:firstRowLastColumn="0" w:lastRowFirstColumn="0" w:lastRowLastColumn="0"/>
            <w:tcW w:w="1523" w:type="dxa"/>
          </w:tcPr>
          <w:p w14:paraId="39D00D13" w14:textId="77777777" w:rsidR="00D6403A" w:rsidRPr="00D6403A" w:rsidRDefault="00D6403A" w:rsidP="00AE4C75">
            <w:pPr>
              <w:pStyle w:val="Tabletext"/>
              <w:rPr>
                <w:lang w:val="en-US"/>
              </w:rPr>
            </w:pPr>
            <w:r w:rsidRPr="00D6403A">
              <w:rPr>
                <w:lang w:val="en-US"/>
              </w:rPr>
              <w:t>2.8%</w:t>
            </w:r>
          </w:p>
        </w:tc>
        <w:tc>
          <w:tcPr>
            <w:cnfStyle w:val="000010000000" w:firstRow="0" w:lastRow="0" w:firstColumn="0" w:lastColumn="0" w:oddVBand="1" w:evenVBand="0" w:oddHBand="0" w:evenHBand="0" w:firstRowFirstColumn="0" w:firstRowLastColumn="0" w:lastRowFirstColumn="0" w:lastRowLastColumn="0"/>
            <w:tcW w:w="1523" w:type="dxa"/>
          </w:tcPr>
          <w:p w14:paraId="7D9254FF" w14:textId="77777777" w:rsidR="00D6403A" w:rsidRPr="00D6403A" w:rsidRDefault="00D6403A" w:rsidP="00AE4C75">
            <w:pPr>
              <w:pStyle w:val="Tabletext"/>
              <w:rPr>
                <w:lang w:val="en-US"/>
              </w:rPr>
            </w:pPr>
            <w:r w:rsidRPr="00D6403A">
              <w:rPr>
                <w:lang w:val="en-US"/>
              </w:rPr>
              <w:t>2.6%</w:t>
            </w:r>
          </w:p>
        </w:tc>
        <w:tc>
          <w:tcPr>
            <w:cnfStyle w:val="000001000000" w:firstRow="0" w:lastRow="0" w:firstColumn="0" w:lastColumn="0" w:oddVBand="0" w:evenVBand="1" w:oddHBand="0" w:evenHBand="0" w:firstRowFirstColumn="0" w:firstRowLastColumn="0" w:lastRowFirstColumn="0" w:lastRowLastColumn="0"/>
            <w:tcW w:w="1523" w:type="dxa"/>
            <w:shd w:val="clear" w:color="auto" w:fill="F2F2F2" w:themeFill="background1" w:themeFillShade="F2"/>
          </w:tcPr>
          <w:p w14:paraId="71D3C0E8" w14:textId="77777777" w:rsidR="00D6403A" w:rsidRPr="00D6403A" w:rsidRDefault="00D6403A" w:rsidP="00AE4C75">
            <w:pPr>
              <w:pStyle w:val="Tabletext"/>
              <w:rPr>
                <w:lang w:val="en-US"/>
              </w:rPr>
            </w:pPr>
            <w:r w:rsidRPr="00D6403A">
              <w:rPr>
                <w:lang w:val="en-US"/>
              </w:rPr>
              <w:t>2.7%</w:t>
            </w:r>
          </w:p>
        </w:tc>
      </w:tr>
      <w:tr w:rsidR="00D6403A" w:rsidRPr="00D6403A" w14:paraId="5811236B" w14:textId="77777777" w:rsidTr="00036E1B">
        <w:trPr>
          <w:trHeight w:val="52"/>
        </w:trPr>
        <w:tc>
          <w:tcPr>
            <w:cnfStyle w:val="000010000000" w:firstRow="0" w:lastRow="0" w:firstColumn="0" w:lastColumn="0" w:oddVBand="1" w:evenVBand="0" w:oddHBand="0" w:evenHBand="0" w:firstRowFirstColumn="0" w:firstRowLastColumn="0" w:lastRowFirstColumn="0" w:lastRowLastColumn="0"/>
            <w:tcW w:w="2637" w:type="dxa"/>
          </w:tcPr>
          <w:p w14:paraId="03B37BE8" w14:textId="0D5380EF" w:rsidR="00D6403A" w:rsidRPr="007275FD" w:rsidRDefault="00D6403A" w:rsidP="007275FD">
            <w:pPr>
              <w:pStyle w:val="Tabletext"/>
              <w:jc w:val="left"/>
              <w:rPr>
                <w:b/>
                <w:color w:val="009859"/>
                <w:lang w:val="en-GB"/>
              </w:rPr>
            </w:pPr>
            <w:r w:rsidRPr="007275FD">
              <w:rPr>
                <w:b/>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1523" w:type="dxa"/>
          </w:tcPr>
          <w:p w14:paraId="17A51A19" w14:textId="77777777" w:rsidR="00D6403A" w:rsidRPr="00D6403A" w:rsidRDefault="00D6403A" w:rsidP="00AE4C75">
            <w:pPr>
              <w:pStyle w:val="Tabletext"/>
              <w:rPr>
                <w:lang w:val="en-US"/>
              </w:rPr>
            </w:pPr>
            <w:r w:rsidRPr="00D6403A">
              <w:rPr>
                <w:lang w:val="en-US"/>
              </w:rPr>
              <w:t>4.7%</w:t>
            </w:r>
          </w:p>
        </w:tc>
        <w:tc>
          <w:tcPr>
            <w:cnfStyle w:val="000010000000" w:firstRow="0" w:lastRow="0" w:firstColumn="0" w:lastColumn="0" w:oddVBand="1" w:evenVBand="0" w:oddHBand="0" w:evenHBand="0" w:firstRowFirstColumn="0" w:firstRowLastColumn="0" w:lastRowFirstColumn="0" w:lastRowLastColumn="0"/>
            <w:tcW w:w="1523" w:type="dxa"/>
          </w:tcPr>
          <w:p w14:paraId="33E6E801" w14:textId="77777777" w:rsidR="00D6403A" w:rsidRPr="00D6403A" w:rsidRDefault="00D6403A" w:rsidP="00AE4C75">
            <w:pPr>
              <w:pStyle w:val="Tabletext"/>
              <w:rPr>
                <w:lang w:val="en-US"/>
              </w:rPr>
            </w:pPr>
            <w:r w:rsidRPr="00D6403A">
              <w:rPr>
                <w:lang w:val="en-US"/>
              </w:rPr>
              <w:t>5.0%</w:t>
            </w:r>
          </w:p>
        </w:tc>
        <w:tc>
          <w:tcPr>
            <w:cnfStyle w:val="000001000000" w:firstRow="0" w:lastRow="0" w:firstColumn="0" w:lastColumn="0" w:oddVBand="0" w:evenVBand="1" w:oddHBand="0" w:evenHBand="0" w:firstRowFirstColumn="0" w:firstRowLastColumn="0" w:lastRowFirstColumn="0" w:lastRowLastColumn="0"/>
            <w:tcW w:w="1523" w:type="dxa"/>
          </w:tcPr>
          <w:p w14:paraId="3C5F4DAC" w14:textId="77777777" w:rsidR="00D6403A" w:rsidRPr="00D6403A" w:rsidRDefault="00D6403A" w:rsidP="00AE4C75">
            <w:pPr>
              <w:pStyle w:val="Tabletext"/>
              <w:rPr>
                <w:lang w:val="en-US"/>
              </w:rPr>
            </w:pPr>
            <w:r w:rsidRPr="00D6403A">
              <w:rPr>
                <w:lang w:val="en-US"/>
              </w:rPr>
              <w:t>5.6%</w:t>
            </w:r>
          </w:p>
        </w:tc>
        <w:tc>
          <w:tcPr>
            <w:cnfStyle w:val="000010000000" w:firstRow="0" w:lastRow="0" w:firstColumn="0" w:lastColumn="0" w:oddVBand="1" w:evenVBand="0" w:oddHBand="0" w:evenHBand="0" w:firstRowFirstColumn="0" w:firstRowLastColumn="0" w:lastRowFirstColumn="0" w:lastRowLastColumn="0"/>
            <w:tcW w:w="1523" w:type="dxa"/>
          </w:tcPr>
          <w:p w14:paraId="2F339B1F" w14:textId="77777777" w:rsidR="00D6403A" w:rsidRPr="00D6403A" w:rsidRDefault="00D6403A" w:rsidP="00AE4C75">
            <w:pPr>
              <w:pStyle w:val="Tabletext"/>
              <w:rPr>
                <w:lang w:val="en-US"/>
              </w:rPr>
            </w:pPr>
            <w:r w:rsidRPr="00D6403A">
              <w:rPr>
                <w:lang w:val="en-US"/>
              </w:rPr>
              <w:t>5.4%</w:t>
            </w:r>
          </w:p>
        </w:tc>
        <w:tc>
          <w:tcPr>
            <w:cnfStyle w:val="000001000000" w:firstRow="0" w:lastRow="0" w:firstColumn="0" w:lastColumn="0" w:oddVBand="0" w:evenVBand="1" w:oddHBand="0" w:evenHBand="0" w:firstRowFirstColumn="0" w:firstRowLastColumn="0" w:lastRowFirstColumn="0" w:lastRowLastColumn="0"/>
            <w:tcW w:w="1523" w:type="dxa"/>
            <w:shd w:val="clear" w:color="auto" w:fill="F2F2F2" w:themeFill="background1" w:themeFillShade="F2"/>
          </w:tcPr>
          <w:p w14:paraId="69D2D3B8" w14:textId="77777777" w:rsidR="00D6403A" w:rsidRPr="00D6403A" w:rsidRDefault="00D6403A" w:rsidP="00AE4C75">
            <w:pPr>
              <w:pStyle w:val="Tabletext"/>
              <w:rPr>
                <w:lang w:val="en-US"/>
              </w:rPr>
            </w:pPr>
            <w:r w:rsidRPr="00D6403A">
              <w:rPr>
                <w:lang w:val="en-US"/>
              </w:rPr>
              <w:t>5.0%</w:t>
            </w:r>
          </w:p>
        </w:tc>
      </w:tr>
    </w:tbl>
    <w:p w14:paraId="27191151" w14:textId="77777777" w:rsidR="00D6403A" w:rsidRPr="00D6403A" w:rsidRDefault="00D6403A" w:rsidP="00870C38">
      <w:pPr>
        <w:pStyle w:val="Tablechartdiagramheading"/>
      </w:pPr>
      <w:r w:rsidRPr="00D6403A">
        <w:t>Figure 18. Time trend of Indicator 1cii, 2017–2021</w:t>
      </w:r>
    </w:p>
    <w:p w14:paraId="0A817510" w14:textId="19425D46" w:rsidR="00D6403A" w:rsidRPr="00D6403A" w:rsidRDefault="001D218B" w:rsidP="00862996">
      <w:pPr>
        <w:rPr>
          <w:lang w:val="en-GB"/>
        </w:rPr>
      </w:pPr>
      <w:r>
        <w:rPr>
          <w:noProof/>
          <w:lang w:val="en-GB"/>
        </w:rPr>
        <w:drawing>
          <wp:inline distT="0" distB="0" distL="0" distR="0" wp14:anchorId="22011388" wp14:editId="102E6046">
            <wp:extent cx="3048000" cy="1295400"/>
            <wp:effectExtent l="0" t="0" r="0" b="0"/>
            <wp:docPr id="23" name="Picture 23" descr="Line chart of Table 6 indicator 1cii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_18.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48000" cy="1295400"/>
                    </a:xfrm>
                    <a:prstGeom prst="rect">
                      <a:avLst/>
                    </a:prstGeom>
                  </pic:spPr>
                </pic:pic>
              </a:graphicData>
            </a:graphic>
          </wp:inline>
        </w:drawing>
      </w:r>
    </w:p>
    <w:p w14:paraId="2374945F" w14:textId="77777777" w:rsidR="00D6403A" w:rsidRPr="00D6403A" w:rsidRDefault="00D6403A" w:rsidP="005939CC">
      <w:pPr>
        <w:pStyle w:val="Heading2"/>
        <w:rPr>
          <w:lang w:val="en-GB"/>
        </w:rPr>
      </w:pPr>
      <w:bookmarkStart w:id="28" w:name="_Toc159326586"/>
      <w:r w:rsidRPr="00D6403A">
        <w:rPr>
          <w:lang w:val="en-GB"/>
        </w:rPr>
        <w:lastRenderedPageBreak/>
        <w:t>Definition and data source</w:t>
      </w:r>
      <w:bookmarkEnd w:id="28"/>
    </w:p>
    <w:p w14:paraId="4A6CC4C5" w14:textId="77777777" w:rsidR="00D6403A" w:rsidRPr="00D6403A" w:rsidRDefault="00D6403A" w:rsidP="008340E5">
      <w:pPr>
        <w:pStyle w:val="Heading3"/>
        <w:rPr>
          <w:lang w:val="en-GB"/>
        </w:rPr>
      </w:pPr>
      <w:r w:rsidRPr="00D6403A">
        <w:rPr>
          <w:lang w:val="en-GB"/>
        </w:rPr>
        <w:t>Definition</w:t>
      </w:r>
    </w:p>
    <w:p w14:paraId="49C5A59D" w14:textId="77777777" w:rsidR="00D6403A" w:rsidRPr="00D6403A" w:rsidRDefault="00D6403A" w:rsidP="00862996">
      <w:pPr>
        <w:rPr>
          <w:lang w:val="en-GB"/>
        </w:rPr>
      </w:pPr>
      <w:r w:rsidRPr="00D6403A">
        <w:rPr>
          <w:lang w:val="en-GB"/>
        </w:rPr>
        <w:t>For all primiparae, (1ci) the proportion who have a third- or fourth-degree perineal tear during an unassisted vaginal birth, and (1cii) the proportion who had a third- or fourth-degree perineal tear during an assisted vaginal birth.</w:t>
      </w:r>
    </w:p>
    <w:p w14:paraId="3E6F4F07" w14:textId="77777777" w:rsidR="00D6403A" w:rsidRPr="00D6403A" w:rsidRDefault="00D6403A" w:rsidP="00862996">
      <w:pPr>
        <w:rPr>
          <w:lang w:val="en-GB"/>
        </w:rPr>
      </w:pPr>
      <w:r w:rsidRPr="00D6403A">
        <w:rPr>
          <w:lang w:val="en-GB"/>
        </w:rPr>
        <w:t>Included are those women who gave birth for the first time and had a vaginal birth, with or without instruments. Women who had a multiple birth are included if this was the first time they had given birth.</w:t>
      </w:r>
    </w:p>
    <w:p w14:paraId="4F3794F6" w14:textId="77777777" w:rsidR="00D6403A" w:rsidRPr="00D6403A" w:rsidRDefault="00D6403A" w:rsidP="00862996">
      <w:pPr>
        <w:rPr>
          <w:lang w:val="en-GB"/>
        </w:rPr>
      </w:pPr>
      <w:r w:rsidRPr="00D6403A">
        <w:rPr>
          <w:lang w:val="en-GB"/>
        </w:rPr>
        <w:t>Excluded are those women who did not give birth for the first time or gave birth by caesarean section.</w:t>
      </w:r>
    </w:p>
    <w:p w14:paraId="225A7DE8" w14:textId="77777777" w:rsidR="00D6403A" w:rsidRPr="00D6403A" w:rsidRDefault="00D6403A" w:rsidP="00005134">
      <w:pPr>
        <w:rPr>
          <w:lang w:val="en-GB"/>
        </w:rPr>
      </w:pPr>
      <w:r w:rsidRPr="00D6403A">
        <w:rPr>
          <w:lang w:val="en-GB"/>
        </w:rPr>
        <w:t>Third-degree perineal tear means a perineal laceration, rupture or tear also involving anal sphincter, rectovaginal septum and/or sphincter not otherwise specified. Excludes lacerations involving the anal or</w:t>
      </w:r>
      <w:r w:rsidRPr="00D6403A">
        <w:rPr>
          <w:rFonts w:ascii="Cambria" w:hAnsi="Cambria" w:cs="Cambria"/>
          <w:color w:val="000000"/>
          <w:lang w:val="en-GB"/>
        </w:rPr>
        <w:t> </w:t>
      </w:r>
      <w:r w:rsidRPr="00D6403A">
        <w:rPr>
          <w:lang w:val="en-GB"/>
        </w:rPr>
        <w:t>rectal mucosa.</w:t>
      </w:r>
    </w:p>
    <w:p w14:paraId="049CED46" w14:textId="77777777" w:rsidR="00D6403A" w:rsidRPr="00D6403A" w:rsidRDefault="00D6403A" w:rsidP="00862996">
      <w:pPr>
        <w:rPr>
          <w:lang w:val="en-GB"/>
        </w:rPr>
      </w:pPr>
      <w:r w:rsidRPr="00D6403A">
        <w:rPr>
          <w:lang w:val="en-GB"/>
        </w:rPr>
        <w:t>Fourth-degree perineal tear means a perineal laceration, rupture or tear occurring during delivery, also involving anal mucosa and/or rectal mucosa.</w:t>
      </w:r>
    </w:p>
    <w:p w14:paraId="13474E8E" w14:textId="77777777" w:rsidR="00D6403A" w:rsidRPr="00D6403A" w:rsidRDefault="00D6403A" w:rsidP="00862996">
      <w:pPr>
        <w:rPr>
          <w:lang w:val="en-GB"/>
        </w:rPr>
      </w:pPr>
      <w:r w:rsidRPr="00D6403A">
        <w:rPr>
          <w:lang w:val="en-GB"/>
        </w:rPr>
        <w:t>The rates for third- and fourth-degree tears includes episiotomies extended by a laceration of a third- and fourth-degree type.</w:t>
      </w:r>
    </w:p>
    <w:p w14:paraId="319D52F0" w14:textId="77777777" w:rsidR="00D6403A" w:rsidRPr="00D6403A" w:rsidRDefault="00D6403A" w:rsidP="008340E5">
      <w:pPr>
        <w:pStyle w:val="Heading3"/>
        <w:rPr>
          <w:lang w:val="en-GB"/>
        </w:rPr>
      </w:pPr>
      <w:r w:rsidRPr="00D6403A">
        <w:rPr>
          <w:lang w:val="en-GB"/>
        </w:rPr>
        <w:t>Data source: Victorian Perinatal Data Collection</w:t>
      </w:r>
    </w:p>
    <w:p w14:paraId="7B83813F" w14:textId="77777777" w:rsidR="00D6403A" w:rsidRPr="00D6403A" w:rsidRDefault="00D6403A" w:rsidP="00005134">
      <w:pPr>
        <w:rPr>
          <w:lang w:val="en-GB"/>
        </w:rPr>
      </w:pPr>
      <w:r w:rsidRPr="00D6403A">
        <w:rPr>
          <w:lang w:val="en-GB"/>
        </w:rPr>
        <w:t>Data for these indicators are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7F0259B3" w14:textId="77777777" w:rsidR="00D6403A" w:rsidRPr="00D6403A" w:rsidRDefault="00D6403A" w:rsidP="00862996">
      <w:pPr>
        <w:rPr>
          <w:lang w:val="en-GB"/>
        </w:rPr>
      </w:pPr>
      <w:r w:rsidRPr="00D6403A">
        <w:rPr>
          <w:lang w:val="en-GB"/>
        </w:rPr>
        <w:t>The indicators are derived using the following VPDC variables: ‘Estimated gestational age’, ‘Birthweight’, ‘Method of birth’, ‘Birth order’, ‘Parity’ and ‘Perineal/genital laceration’.</w:t>
      </w:r>
    </w:p>
    <w:p w14:paraId="18382622"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74F1A5CF" w14:textId="77777777" w:rsidTr="001D218B">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3D1BB4CD" w14:textId="77777777" w:rsidR="00D6403A" w:rsidRPr="00D6403A" w:rsidRDefault="00D6403A" w:rsidP="001D218B">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6AF3FD21" w14:textId="77777777" w:rsidR="00D6403A" w:rsidRPr="00D6403A" w:rsidRDefault="00D6403A" w:rsidP="001D218B">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2D42C0F8" w14:textId="77777777" w:rsidR="00D6403A" w:rsidRPr="00D6403A" w:rsidRDefault="00D6403A" w:rsidP="001D218B">
            <w:pPr>
              <w:pStyle w:val="Tableheader"/>
              <w:rPr>
                <w:b/>
                <w:lang w:val="en-GB"/>
              </w:rPr>
            </w:pPr>
            <w:r w:rsidRPr="00D6403A">
              <w:rPr>
                <w:b/>
                <w:lang w:val="en-GB"/>
              </w:rPr>
              <w:t>Denominator</w:t>
            </w:r>
          </w:p>
        </w:tc>
      </w:tr>
      <w:tr w:rsidR="00D6403A" w:rsidRPr="00D6403A" w14:paraId="545B1B5A" w14:textId="77777777" w:rsidTr="001D218B">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7572ED7B" w14:textId="77777777" w:rsidR="00D6403A" w:rsidRPr="001D218B" w:rsidRDefault="00D6403A" w:rsidP="001D218B">
            <w:pPr>
              <w:pStyle w:val="Tabletext"/>
              <w:jc w:val="left"/>
              <w:rPr>
                <w:b/>
              </w:rPr>
            </w:pPr>
            <w:r w:rsidRPr="001D218B">
              <w:rPr>
                <w:b/>
              </w:rPr>
              <w:t>Indicator 1ci: Rate of third- or fourth-degree perineal tears during unassisted vaginal births to primiparae</w:t>
            </w:r>
          </w:p>
        </w:tc>
        <w:tc>
          <w:tcPr>
            <w:cnfStyle w:val="000001000000" w:firstRow="0" w:lastRow="0" w:firstColumn="0" w:lastColumn="0" w:oddVBand="0" w:evenVBand="1" w:oddHBand="0" w:evenHBand="0" w:firstRowFirstColumn="0" w:firstRowLastColumn="0" w:lastRowFirstColumn="0" w:lastRowLastColumn="0"/>
            <w:tcW w:w="3401" w:type="dxa"/>
          </w:tcPr>
          <w:p w14:paraId="550D8E7B" w14:textId="77777777" w:rsidR="00D6403A" w:rsidRPr="00D6403A" w:rsidRDefault="00D6403A" w:rsidP="001D218B">
            <w:pPr>
              <w:pStyle w:val="Tabletext"/>
              <w:jc w:val="left"/>
              <w:rPr>
                <w:lang w:val="en-US"/>
              </w:rPr>
            </w:pPr>
            <w:r w:rsidRPr="00D6403A">
              <w:rPr>
                <w:lang w:val="en-US"/>
              </w:rPr>
              <w:t>The number of primiparae who had a third- or fourth-degree perineal laceration during an unassisted vaginal birth</w:t>
            </w:r>
          </w:p>
        </w:tc>
        <w:tc>
          <w:tcPr>
            <w:cnfStyle w:val="000010000000" w:firstRow="0" w:lastRow="0" w:firstColumn="0" w:lastColumn="0" w:oddVBand="1" w:evenVBand="0" w:oddHBand="0" w:evenHBand="0" w:firstRowFirstColumn="0" w:firstRowLastColumn="0" w:lastRowFirstColumn="0" w:lastRowLastColumn="0"/>
            <w:tcW w:w="3402" w:type="dxa"/>
          </w:tcPr>
          <w:p w14:paraId="041FD5D6" w14:textId="77777777" w:rsidR="00D6403A" w:rsidRPr="00D6403A" w:rsidRDefault="00D6403A" w:rsidP="001D218B">
            <w:pPr>
              <w:pStyle w:val="Tabletext"/>
              <w:jc w:val="left"/>
              <w:rPr>
                <w:lang w:val="en-US"/>
              </w:rPr>
            </w:pPr>
            <w:r w:rsidRPr="00AE4C75">
              <w:t>The number of primiparae who had</w:t>
            </w:r>
            <w:r w:rsidRPr="00D6403A">
              <w:rPr>
                <w:rFonts w:ascii="Cambria" w:hAnsi="Cambria" w:cs="Cambria"/>
                <w:lang w:val="en-US"/>
              </w:rPr>
              <w:t> </w:t>
            </w:r>
            <w:r w:rsidRPr="00D6403A">
              <w:rPr>
                <w:lang w:val="en-US"/>
              </w:rPr>
              <w:t>an unassisted vaginal birth</w:t>
            </w:r>
          </w:p>
        </w:tc>
      </w:tr>
      <w:tr w:rsidR="00D6403A" w:rsidRPr="00D6403A" w14:paraId="0D050DEB" w14:textId="77777777" w:rsidTr="001D218B">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463536C5" w14:textId="77777777" w:rsidR="00D6403A" w:rsidRPr="001D218B" w:rsidRDefault="00D6403A" w:rsidP="001D218B">
            <w:pPr>
              <w:pStyle w:val="Tabletext"/>
              <w:jc w:val="left"/>
              <w:rPr>
                <w:b/>
              </w:rPr>
            </w:pPr>
            <w:r w:rsidRPr="001D218B">
              <w:rPr>
                <w:b/>
              </w:rPr>
              <w:t>Indicator 1cii: Rate of third- or fourth-degree perineal tears during assisted vaginal births to primiparae</w:t>
            </w:r>
          </w:p>
        </w:tc>
        <w:tc>
          <w:tcPr>
            <w:cnfStyle w:val="000001000000" w:firstRow="0" w:lastRow="0" w:firstColumn="0" w:lastColumn="0" w:oddVBand="0" w:evenVBand="1" w:oddHBand="0" w:evenHBand="0" w:firstRowFirstColumn="0" w:firstRowLastColumn="0" w:lastRowFirstColumn="0" w:lastRowLastColumn="0"/>
            <w:tcW w:w="3401" w:type="dxa"/>
          </w:tcPr>
          <w:p w14:paraId="0282ECB3" w14:textId="77777777" w:rsidR="00D6403A" w:rsidRPr="00D6403A" w:rsidRDefault="00D6403A" w:rsidP="001D218B">
            <w:pPr>
              <w:pStyle w:val="Tabletext"/>
              <w:jc w:val="left"/>
              <w:rPr>
                <w:lang w:val="en-US"/>
              </w:rPr>
            </w:pPr>
            <w:r w:rsidRPr="00D6403A">
              <w:rPr>
                <w:lang w:val="en-US"/>
              </w:rPr>
              <w:t>The number of primiparae who had a third- or fourth-degree perineal laceration during an assisted (instrumental) vaginal birth</w:t>
            </w:r>
          </w:p>
        </w:tc>
        <w:tc>
          <w:tcPr>
            <w:cnfStyle w:val="000010000000" w:firstRow="0" w:lastRow="0" w:firstColumn="0" w:lastColumn="0" w:oddVBand="1" w:evenVBand="0" w:oddHBand="0" w:evenHBand="0" w:firstRowFirstColumn="0" w:firstRowLastColumn="0" w:lastRowFirstColumn="0" w:lastRowLastColumn="0"/>
            <w:tcW w:w="3402" w:type="dxa"/>
          </w:tcPr>
          <w:p w14:paraId="73BF4D4A" w14:textId="77777777" w:rsidR="00D6403A" w:rsidRPr="00D6403A" w:rsidRDefault="00D6403A" w:rsidP="001D218B">
            <w:pPr>
              <w:pStyle w:val="Tabletext"/>
              <w:jc w:val="left"/>
              <w:rPr>
                <w:lang w:val="en-US"/>
              </w:rPr>
            </w:pPr>
            <w:r w:rsidRPr="00AE4C75">
              <w:t>The number of primiparae who had</w:t>
            </w:r>
            <w:r w:rsidRPr="00D6403A">
              <w:rPr>
                <w:rFonts w:ascii="Cambria" w:hAnsi="Cambria" w:cs="Cambria"/>
                <w:lang w:val="en-US"/>
              </w:rPr>
              <w:t> </w:t>
            </w:r>
            <w:r w:rsidRPr="00D6403A">
              <w:rPr>
                <w:lang w:val="en-US"/>
              </w:rPr>
              <w:t>an assisted vaginal birth</w:t>
            </w:r>
          </w:p>
        </w:tc>
      </w:tr>
    </w:tbl>
    <w:p w14:paraId="2047636A" w14:textId="77777777" w:rsidR="00D6403A" w:rsidRPr="00D6403A" w:rsidRDefault="00D6403A" w:rsidP="00D6403A">
      <w:pPr>
        <w:pStyle w:val="Heading1"/>
        <w:framePr w:wrap="around"/>
        <w:rPr>
          <w:lang w:val="en-GB"/>
        </w:rPr>
      </w:pPr>
    </w:p>
    <w:p w14:paraId="2E0AB989" w14:textId="77777777" w:rsidR="00D95655" w:rsidRDefault="00D95655">
      <w:pPr>
        <w:rPr>
          <w:rFonts w:asciiTheme="majorHAnsi" w:eastAsiaTheme="majorEastAsia" w:hAnsiTheme="majorHAnsi" w:cs="Times New Roman (Headings CS)"/>
          <w:b/>
          <w:bCs/>
          <w:color w:val="007586" w:themeColor="text2"/>
          <w:sz w:val="28"/>
          <w:szCs w:val="26"/>
          <w:lang w:val="en-GB"/>
        </w:rPr>
      </w:pPr>
      <w:bookmarkStart w:id="29" w:name="_Toc159326587"/>
      <w:r>
        <w:rPr>
          <w:lang w:val="en-GB"/>
        </w:rPr>
        <w:br w:type="page"/>
      </w:r>
    </w:p>
    <w:p w14:paraId="6DBD8ABC" w14:textId="5161BFDF" w:rsidR="00D6403A" w:rsidRPr="00D6403A" w:rsidRDefault="00D6403A" w:rsidP="00D95655">
      <w:pPr>
        <w:pStyle w:val="Heading1"/>
        <w:framePr w:wrap="around"/>
        <w:rPr>
          <w:lang w:val="en-GB"/>
        </w:rPr>
      </w:pPr>
      <w:r w:rsidRPr="00D6403A">
        <w:rPr>
          <w:lang w:val="en-GB"/>
        </w:rPr>
        <w:lastRenderedPageBreak/>
        <w:t>1di and 1dii: Episiotomies in primiparae</w:t>
      </w:r>
      <w:bookmarkEnd w:id="29"/>
    </w:p>
    <w:p w14:paraId="2081E204" w14:textId="77777777" w:rsidR="00D6403A" w:rsidRPr="00D6403A" w:rsidRDefault="00D6403A" w:rsidP="00D64F24">
      <w:pPr>
        <w:pStyle w:val="IntroductoryText"/>
        <w:rPr>
          <w:lang w:val="en-GB"/>
        </w:rPr>
      </w:pPr>
      <w:r w:rsidRPr="00D64F24">
        <w:t>An episiotomy is a surgical incision made in the perineum, the skin and muscle between the vaginal opening and the anus, during childbirth. Episiotomy is not routinely performed but may help with the birth of the baby as well as preventing severe perineal tears. Episiotomy rates need to be considered as</w:t>
      </w:r>
      <w:r w:rsidRPr="00D6403A">
        <w:rPr>
          <w:rFonts w:ascii="Cambria" w:hAnsi="Cambria" w:cs="Cambria"/>
          <w:lang w:val="en-GB"/>
        </w:rPr>
        <w:t> </w:t>
      </w:r>
      <w:r w:rsidRPr="00D6403A">
        <w:rPr>
          <w:lang w:val="en-GB"/>
        </w:rPr>
        <w:t>a balancing measure against the rate of severe perineal tears.</w:t>
      </w:r>
    </w:p>
    <w:p w14:paraId="31C87671" w14:textId="77777777" w:rsidR="00D6403A" w:rsidRPr="00D6403A" w:rsidRDefault="00D6403A" w:rsidP="005939CC">
      <w:pPr>
        <w:pStyle w:val="Heading2"/>
        <w:rPr>
          <w:lang w:val="en-GB"/>
        </w:rPr>
      </w:pPr>
      <w:bookmarkStart w:id="30" w:name="_Toc159326588"/>
      <w:r w:rsidRPr="00D6403A">
        <w:rPr>
          <w:lang w:val="en-GB"/>
        </w:rPr>
        <w:t>About this indicator</w:t>
      </w:r>
      <w:bookmarkEnd w:id="30"/>
    </w:p>
    <w:p w14:paraId="72748F5C" w14:textId="77777777" w:rsidR="00D6403A" w:rsidRPr="00D6403A" w:rsidRDefault="00D6403A" w:rsidP="00862996">
      <w:pPr>
        <w:rPr>
          <w:lang w:val="en-GB"/>
        </w:rPr>
      </w:pPr>
      <w:r w:rsidRPr="00D6403A">
        <w:rPr>
          <w:lang w:val="en-GB"/>
        </w:rPr>
        <w:t>This indicator shows the rate of episiotomy in primiparae for:</w:t>
      </w:r>
    </w:p>
    <w:p w14:paraId="7CACB31B" w14:textId="77777777" w:rsidR="00D6403A" w:rsidRPr="00D6403A" w:rsidRDefault="00D6403A" w:rsidP="00005134">
      <w:pPr>
        <w:pStyle w:val="Bullet1"/>
        <w:rPr>
          <w:lang w:val="en-GB"/>
        </w:rPr>
      </w:pPr>
      <w:r w:rsidRPr="00D6403A">
        <w:rPr>
          <w:lang w:val="en-GB"/>
        </w:rPr>
        <w:t>(1di) unassisted vaginal births</w:t>
      </w:r>
    </w:p>
    <w:p w14:paraId="0860083A" w14:textId="77777777" w:rsidR="00D6403A" w:rsidRPr="00D6403A" w:rsidRDefault="00D6403A" w:rsidP="00005134">
      <w:pPr>
        <w:pStyle w:val="Bullet1"/>
        <w:rPr>
          <w:lang w:val="en-GB"/>
        </w:rPr>
      </w:pPr>
      <w:r w:rsidRPr="00D6403A">
        <w:rPr>
          <w:lang w:val="en-GB"/>
        </w:rPr>
        <w:t>(1dii) assisted vaginal births.</w:t>
      </w:r>
    </w:p>
    <w:p w14:paraId="67283E75" w14:textId="43346F43" w:rsidR="00D6403A" w:rsidRDefault="00D6403A" w:rsidP="00862996">
      <w:pPr>
        <w:rPr>
          <w:lang w:val="en-GB"/>
        </w:rPr>
      </w:pPr>
      <w:r w:rsidRPr="00D6403A">
        <w:rPr>
          <w:lang w:val="en-GB"/>
        </w:rPr>
        <w:t>An episiotomy should only be performed when clinically indicated, such as in an instrumental birth, suspected fetal compromise or when severe perineal trauma is anticipated.</w:t>
      </w:r>
    </w:p>
    <w:p w14:paraId="4D9D2F16" w14:textId="380E597D" w:rsidR="008D5874" w:rsidRPr="008D5874" w:rsidRDefault="008D5874" w:rsidP="00862996">
      <w:r w:rsidRPr="00B21DB5">
        <w:t>[Break out box text:</w:t>
      </w:r>
    </w:p>
    <w:p w14:paraId="0815EBE2" w14:textId="77777777" w:rsidR="008D5874" w:rsidRPr="00D6403A" w:rsidRDefault="008D5874" w:rsidP="008D5874">
      <w:pPr>
        <w:pStyle w:val="Heading3"/>
        <w:rPr>
          <w:lang w:val="en-GB"/>
        </w:rPr>
      </w:pPr>
      <w:r w:rsidRPr="00D6403A">
        <w:rPr>
          <w:lang w:val="en-GB"/>
        </w:rPr>
        <w:t xml:space="preserve">What pregnant women and </w:t>
      </w:r>
      <w:r w:rsidRPr="008D5874">
        <w:t>families</w:t>
      </w:r>
      <w:r w:rsidRPr="00D6403A">
        <w:rPr>
          <w:lang w:val="en-GB"/>
        </w:rPr>
        <w:t xml:space="preserve"> need to know</w:t>
      </w:r>
    </w:p>
    <w:p w14:paraId="4C070050" w14:textId="5F238C68" w:rsidR="008D5874" w:rsidRPr="00D6403A" w:rsidRDefault="008D5874" w:rsidP="00005134">
      <w:pPr>
        <w:rPr>
          <w:lang w:val="en-GB"/>
        </w:rPr>
      </w:pPr>
      <w:r w:rsidRPr="00D6403A">
        <w:rPr>
          <w:lang w:val="en-GB"/>
        </w:rPr>
        <w:t>Midwives and doctors looking after women in labour will sometimes recommend cutting the perineum, which is the area between the vaginal opening and the anus. This is called an episiotomy. Midwives and doctors may do this if they think the baby needs to be born quickly or</w:t>
      </w:r>
      <w:r w:rsidRPr="00D6403A">
        <w:rPr>
          <w:rFonts w:ascii="Cambria" w:hAnsi="Cambria" w:cs="Cambria"/>
          <w:lang w:val="en-GB"/>
        </w:rPr>
        <w:t> </w:t>
      </w:r>
      <w:r w:rsidRPr="00D6403A">
        <w:rPr>
          <w:lang w:val="en-GB"/>
        </w:rPr>
        <w:t>if the mother’s perineum might tear excessively if it isn’t cut.</w:t>
      </w:r>
    </w:p>
    <w:p w14:paraId="43A3D447" w14:textId="71CE6B03" w:rsidR="008D5874" w:rsidRPr="00D6403A" w:rsidRDefault="008D5874" w:rsidP="00005134">
      <w:pPr>
        <w:rPr>
          <w:lang w:val="en-GB"/>
        </w:rPr>
      </w:pPr>
      <w:r w:rsidRPr="00D6403A">
        <w:rPr>
          <w:lang w:val="en-GB"/>
        </w:rPr>
        <w:t>Almost all women having an assisted vaginal birth (forceps or vacuum) will need an episiotomy to reduce the risk of a severe tear or to speed up the birth if the baby needs to be born quickly. If</w:t>
      </w:r>
      <w:r w:rsidRPr="00D6403A">
        <w:rPr>
          <w:rFonts w:ascii="Cambria" w:hAnsi="Cambria" w:cs="Cambria"/>
          <w:lang w:val="en-GB"/>
        </w:rPr>
        <w:t> </w:t>
      </w:r>
      <w:r w:rsidRPr="00D6403A">
        <w:rPr>
          <w:lang w:val="en-GB"/>
        </w:rPr>
        <w:t>an episiotomy is recommended, this should be discussed with the woman and informed consent given.</w:t>
      </w:r>
    </w:p>
    <w:p w14:paraId="7F13921D" w14:textId="77777777" w:rsidR="008D5874" w:rsidRPr="00D6403A" w:rsidRDefault="008D5874" w:rsidP="00005134">
      <w:pPr>
        <w:rPr>
          <w:color w:val="000000"/>
          <w:lang w:val="en-GB"/>
        </w:rPr>
      </w:pPr>
      <w:r w:rsidRPr="00D6403A">
        <w:rPr>
          <w:lang w:val="en-GB"/>
        </w:rPr>
        <w:t>The following graphs (Figure 19 and Figure 22) show there is a difference between hospitals in</w:t>
      </w:r>
      <w:r w:rsidRPr="00D6403A">
        <w:rPr>
          <w:rFonts w:ascii="Cambria" w:hAnsi="Cambria" w:cs="Cambria"/>
          <w:lang w:val="en-GB"/>
        </w:rPr>
        <w:t> </w:t>
      </w:r>
      <w:r w:rsidRPr="00D6403A">
        <w:rPr>
          <w:lang w:val="en-GB"/>
        </w:rPr>
        <w:t>the rates of episiotomy in first-time mothers having a vaginal birth.</w:t>
      </w:r>
    </w:p>
    <w:p w14:paraId="270E11C7" w14:textId="77777777" w:rsidR="008D5874" w:rsidRDefault="008D5874" w:rsidP="008D5874">
      <w:r w:rsidRPr="00B21DB5">
        <w:t>End of break out box text.]</w:t>
      </w:r>
    </w:p>
    <w:p w14:paraId="7B6C467A" w14:textId="77777777" w:rsidR="00D6403A" w:rsidRPr="00D6403A" w:rsidRDefault="00D6403A" w:rsidP="005939CC">
      <w:pPr>
        <w:pStyle w:val="Heading2"/>
        <w:rPr>
          <w:lang w:val="en-GB"/>
        </w:rPr>
      </w:pPr>
      <w:bookmarkStart w:id="31" w:name="_Toc159326589"/>
      <w:r w:rsidRPr="00D6403A">
        <w:rPr>
          <w:lang w:val="en-GB"/>
        </w:rPr>
        <w:t>Observations on the data</w:t>
      </w:r>
      <w:bookmarkEnd w:id="31"/>
    </w:p>
    <w:p w14:paraId="03D8ABA9" w14:textId="77777777" w:rsidR="00D6403A" w:rsidRPr="00D6403A" w:rsidRDefault="00D6403A" w:rsidP="00862996">
      <w:pPr>
        <w:rPr>
          <w:lang w:val="en-GB"/>
        </w:rPr>
      </w:pPr>
      <w:r w:rsidRPr="00D6403A">
        <w:rPr>
          <w:lang w:val="en-GB"/>
        </w:rPr>
        <w:t>The statewide rate of episiotomy in unassisted vaginal births (Indicator 1di) decreased from 27.5% in 2020 to 26.6% in 2021 (Figure 19, Figure 20 and Figure 21). The rate was lower in public hospitals (26.2%) than private hospitals (30.3%).</w:t>
      </w:r>
    </w:p>
    <w:p w14:paraId="2A3E3741" w14:textId="77777777" w:rsidR="00D6403A" w:rsidRPr="00D6403A" w:rsidRDefault="00D6403A" w:rsidP="00862996">
      <w:pPr>
        <w:rPr>
          <w:lang w:val="en-GB"/>
        </w:rPr>
      </w:pPr>
      <w:r w:rsidRPr="00D6403A">
        <w:rPr>
          <w:lang w:val="en-GB"/>
        </w:rPr>
        <w:t>The statewide rate of episiotomy in assisted vaginal births (Indicator 1dii) was 86.5% in 2021. The rate was higher in public hospitals than private hospitals at 91.2 and 73.1% respectively (Figure 22, Figure 23 and Table 8).</w:t>
      </w:r>
    </w:p>
    <w:p w14:paraId="2FDA8FAE" w14:textId="77777777" w:rsidR="00D6403A" w:rsidRPr="00D6403A" w:rsidRDefault="00D6403A" w:rsidP="00862996">
      <w:pPr>
        <w:rPr>
          <w:lang w:val="en-GB"/>
        </w:rPr>
      </w:pPr>
      <w:r w:rsidRPr="00D6403A">
        <w:rPr>
          <w:lang w:val="en-GB"/>
        </w:rPr>
        <w:t>Figures 19 and 20 (Indicator 1di) and Figures 22 and 23 (Indicator 1dii) show there is a large variation in episiotomy rates between hospitals across the state and within maternity capability levels, also within private hospitals, in the rate of episiotomies in both unassisted and assisted vaginal births.</w:t>
      </w:r>
    </w:p>
    <w:p w14:paraId="6EC6E298" w14:textId="77777777" w:rsidR="00D6403A" w:rsidRPr="00D6403A" w:rsidRDefault="00D6403A" w:rsidP="00862996">
      <w:pPr>
        <w:rPr>
          <w:lang w:val="en-GB"/>
        </w:rPr>
      </w:pPr>
      <w:r w:rsidRPr="00D6403A">
        <w:rPr>
          <w:lang w:val="en-GB"/>
        </w:rPr>
        <w:t>Figures 21 and 24 show trends over time.</w:t>
      </w:r>
    </w:p>
    <w:p w14:paraId="5EEFDFFF" w14:textId="77777777" w:rsidR="00D6403A" w:rsidRPr="00D6403A" w:rsidRDefault="00D6403A" w:rsidP="005939CC">
      <w:pPr>
        <w:pStyle w:val="Heading2"/>
        <w:rPr>
          <w:lang w:val="en-GB"/>
        </w:rPr>
      </w:pPr>
      <w:bookmarkStart w:id="32" w:name="_Toc159326590"/>
      <w:r w:rsidRPr="00D6403A">
        <w:rPr>
          <w:lang w:val="en-GB"/>
        </w:rPr>
        <w:lastRenderedPageBreak/>
        <w:t>Strategies for improvement</w:t>
      </w:r>
      <w:bookmarkEnd w:id="32"/>
    </w:p>
    <w:p w14:paraId="3371205D" w14:textId="773B24C4" w:rsidR="00D6403A" w:rsidRPr="00D6403A" w:rsidRDefault="00D6403A" w:rsidP="00005134">
      <w:pPr>
        <w:pStyle w:val="Bullet1"/>
        <w:rPr>
          <w:lang w:val="en-GB"/>
        </w:rPr>
      </w:pPr>
      <w:r w:rsidRPr="00D6403A">
        <w:rPr>
          <w:lang w:val="en-GB"/>
        </w:rPr>
        <w:t xml:space="preserve">Health services should refer to the </w:t>
      </w:r>
      <w:hyperlink r:id="rId55" w:history="1">
        <w:r w:rsidRPr="008D5874">
          <w:rPr>
            <w:rStyle w:val="Hyperlink"/>
            <w:lang w:val="en-GB"/>
          </w:rPr>
          <w:t>Third and Fourth Degree Perineal Tears Clinical Care Standard</w:t>
        </w:r>
      </w:hyperlink>
      <w:r w:rsidRPr="00D6403A">
        <w:rPr>
          <w:lang w:val="en-GB"/>
        </w:rPr>
        <w:t xml:space="preserve"> &lt;https://www.safetyandquality.gov.au/publications-and-resources/resource-library/third-and-fourth-degree-perineal-tears-clinical-care-standard&gt;, which states an episiotomy should be offered to primiparae in assisted vaginal births.</w:t>
      </w:r>
    </w:p>
    <w:p w14:paraId="15F36AC0" w14:textId="1415E338" w:rsidR="00D6403A" w:rsidRPr="00D6403A" w:rsidRDefault="00D6403A" w:rsidP="00005134">
      <w:pPr>
        <w:pStyle w:val="Bullet1"/>
        <w:rPr>
          <w:lang w:val="en-GB"/>
        </w:rPr>
      </w:pPr>
      <w:r w:rsidRPr="00D6403A">
        <w:rPr>
          <w:lang w:val="en-GB"/>
        </w:rPr>
        <w:t xml:space="preserve">Health services could engage with Safer Care Victoria’s </w:t>
      </w:r>
      <w:hyperlink r:id="rId56" w:history="1">
        <w:r w:rsidRPr="008D5874">
          <w:rPr>
            <w:rStyle w:val="Hyperlink"/>
            <w:lang w:val="en-GB"/>
          </w:rPr>
          <w:t>MNLHN improvement program</w:t>
        </w:r>
      </w:hyperlink>
      <w:r w:rsidRPr="00D6403A">
        <w:rPr>
          <w:lang w:val="en-GB"/>
        </w:rPr>
        <w:t xml:space="preserve"> &lt;https://www.safercare.vic.gov.au/improvement/learning-health-networks/maternity-and-newborn-lhn&gt;.</w:t>
      </w:r>
    </w:p>
    <w:p w14:paraId="36530EDC" w14:textId="77777777" w:rsidR="00D6403A" w:rsidRPr="00D6403A" w:rsidRDefault="00D6403A" w:rsidP="00005134">
      <w:pPr>
        <w:pStyle w:val="Bullet1"/>
        <w:rPr>
          <w:lang w:val="en-GB"/>
        </w:rPr>
      </w:pPr>
      <w:r w:rsidRPr="00D6403A">
        <w:rPr>
          <w:lang w:val="en-GB"/>
        </w:rPr>
        <w:t>Provide antenatal information (verbal and written) to women about the indications for and the benefits and risks of an episiotomy based on best evidence.</w:t>
      </w:r>
    </w:p>
    <w:p w14:paraId="2B6DCFDC" w14:textId="77777777" w:rsidR="00D6403A" w:rsidRPr="00D6403A" w:rsidRDefault="00D6403A" w:rsidP="00005134">
      <w:pPr>
        <w:pStyle w:val="Bullet1"/>
        <w:rPr>
          <w:lang w:val="en-GB"/>
        </w:rPr>
      </w:pPr>
      <w:r w:rsidRPr="00D6403A">
        <w:rPr>
          <w:lang w:val="en-GB"/>
        </w:rPr>
        <w:t>Health services should review their rates of episiotomy along with their rates of third- and fourth-degree tears.</w:t>
      </w:r>
    </w:p>
    <w:p w14:paraId="2ECBFEC5" w14:textId="16EC4E40" w:rsidR="00D6403A" w:rsidRPr="00D6403A" w:rsidRDefault="00D6403A" w:rsidP="00005134">
      <w:pPr>
        <w:pStyle w:val="Bullet1"/>
        <w:rPr>
          <w:lang w:val="en-GB"/>
        </w:rPr>
      </w:pPr>
      <w:r w:rsidRPr="00D6403A">
        <w:rPr>
          <w:lang w:val="en-GB"/>
        </w:rPr>
        <w:t>Implement processes to review clinical practices through case review.</w:t>
      </w:r>
    </w:p>
    <w:p w14:paraId="62F988DB" w14:textId="02829FFB" w:rsidR="00D6403A" w:rsidRPr="00D6403A" w:rsidRDefault="00D6403A" w:rsidP="00870C38">
      <w:pPr>
        <w:pStyle w:val="Bullet1"/>
        <w:rPr>
          <w:lang w:val="en-GB"/>
        </w:rPr>
      </w:pPr>
      <w:r w:rsidRPr="00D6403A">
        <w:rPr>
          <w:lang w:val="en-GB"/>
        </w:rPr>
        <w:t>Health services should provide opportunities for education to ensure all birth suite clinicians are</w:t>
      </w:r>
      <w:r w:rsidRPr="00D6403A">
        <w:rPr>
          <w:rFonts w:ascii="Cambria" w:hAnsi="Cambria" w:cs="Cambria"/>
          <w:color w:val="000000"/>
          <w:lang w:val="en-GB"/>
        </w:rPr>
        <w:t> </w:t>
      </w:r>
      <w:r w:rsidRPr="00D6403A">
        <w:rPr>
          <w:lang w:val="en-GB"/>
        </w:rPr>
        <w:t>skilled in episiotomy.</w:t>
      </w:r>
    </w:p>
    <w:p w14:paraId="2CC19B30" w14:textId="77777777" w:rsidR="00D6403A" w:rsidRPr="00D6403A" w:rsidRDefault="00D6403A" w:rsidP="008D5874">
      <w:pPr>
        <w:pStyle w:val="Tablechartdiagramheading"/>
        <w:rPr>
          <w:lang w:val="en-GB"/>
        </w:rPr>
      </w:pPr>
      <w:r w:rsidRPr="00D6403A">
        <w:rPr>
          <w:lang w:val="en-GB"/>
        </w:rPr>
        <w:lastRenderedPageBreak/>
        <w:t>Figure 19. Indicator 1di: Rate of primiparae who received an episiotomy during unassisted vaginal births,</w:t>
      </w:r>
      <w:r w:rsidRPr="00D6403A">
        <w:rPr>
          <w:rFonts w:ascii="Cambria" w:hAnsi="Cambria" w:cs="Cambria"/>
          <w:lang w:val="en-GB"/>
        </w:rPr>
        <w:t> </w:t>
      </w:r>
      <w:r w:rsidRPr="00D6403A">
        <w:rPr>
          <w:lang w:val="en-GB"/>
        </w:rPr>
        <w:t>2021</w:t>
      </w:r>
    </w:p>
    <w:p w14:paraId="1A6B5961" w14:textId="7DA6DD65" w:rsidR="00D6403A" w:rsidRPr="00D6403A" w:rsidRDefault="00751ECE" w:rsidP="00862996">
      <w:pPr>
        <w:rPr>
          <w:lang w:val="en-GB"/>
        </w:rPr>
      </w:pPr>
      <w:r>
        <w:rPr>
          <w:noProof/>
          <w:lang w:val="en-GB"/>
        </w:rPr>
        <w:drawing>
          <wp:inline distT="0" distB="0" distL="0" distR="0" wp14:anchorId="058854F8" wp14:editId="0A8AF6E5">
            <wp:extent cx="6476365" cy="6651625"/>
            <wp:effectExtent l="0" t="0" r="635" b="3175"/>
            <wp:docPr id="24" name="Picture 24" descr="Bar chart for Indicator 1di.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_19.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76365" cy="6651625"/>
                    </a:xfrm>
                    <a:prstGeom prst="rect">
                      <a:avLst/>
                    </a:prstGeom>
                  </pic:spPr>
                </pic:pic>
              </a:graphicData>
            </a:graphic>
          </wp:inline>
        </w:drawing>
      </w:r>
    </w:p>
    <w:p w14:paraId="2350A905" w14:textId="77777777" w:rsidR="00D6403A" w:rsidRPr="00D6403A" w:rsidRDefault="00D6403A" w:rsidP="00870C38">
      <w:pPr>
        <w:pStyle w:val="Tablechartdiagramheading"/>
      </w:pPr>
      <w:r w:rsidRPr="00D6403A">
        <w:lastRenderedPageBreak/>
        <w:t>Figure 20. Funnel plot of the rate of primiparae who received an episiotomy during unassisted vaginal births, 2021</w:t>
      </w:r>
    </w:p>
    <w:p w14:paraId="6870E2EE" w14:textId="41613540" w:rsidR="00D6403A" w:rsidRPr="00D6403A" w:rsidRDefault="00751ECE" w:rsidP="00862996">
      <w:pPr>
        <w:rPr>
          <w:lang w:val="en-GB"/>
        </w:rPr>
      </w:pPr>
      <w:r>
        <w:rPr>
          <w:noProof/>
          <w:lang w:val="en-GB"/>
        </w:rPr>
        <w:drawing>
          <wp:inline distT="0" distB="0" distL="0" distR="0" wp14:anchorId="4944BFE0" wp14:editId="65D07E52">
            <wp:extent cx="6045200" cy="3416300"/>
            <wp:effectExtent l="0" t="0" r="0" b="1270"/>
            <wp:docPr id="25" name="Picture 25"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_20.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045200" cy="3416300"/>
                    </a:xfrm>
                    <a:prstGeom prst="rect">
                      <a:avLst/>
                    </a:prstGeom>
                  </pic:spPr>
                </pic:pic>
              </a:graphicData>
            </a:graphic>
          </wp:inline>
        </w:drawing>
      </w:r>
      <w:r w:rsidR="00D6403A" w:rsidRPr="00D6403A">
        <w:rPr>
          <w:lang w:val="en-GB"/>
        </w:rPr>
        <w:t xml:space="preserve"> </w:t>
      </w:r>
    </w:p>
    <w:p w14:paraId="18E2D0B6"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28217B3D" w14:textId="77777777" w:rsidR="00D6403A" w:rsidRPr="00D6403A" w:rsidRDefault="00D6403A" w:rsidP="00887B5A">
      <w:pPr>
        <w:pStyle w:val="Tablechartdiagramheading"/>
        <w:rPr>
          <w:lang w:val="en-GB"/>
        </w:rPr>
      </w:pPr>
      <w:r w:rsidRPr="00D6403A">
        <w:rPr>
          <w:lang w:val="en-GB"/>
        </w:rPr>
        <w:t>Table 7. Rate of primiparae who received an episiotomy during an unassisted vaginal birth, 2017–2021</w:t>
      </w:r>
    </w:p>
    <w:tbl>
      <w:tblPr>
        <w:tblStyle w:val="TableGrid"/>
        <w:tblW w:w="10288" w:type="dxa"/>
        <w:tblLayout w:type="fixed"/>
        <w:tblLook w:val="0020" w:firstRow="1" w:lastRow="0" w:firstColumn="0" w:lastColumn="0" w:noHBand="0" w:noVBand="0"/>
      </w:tblPr>
      <w:tblGrid>
        <w:gridCol w:w="2646"/>
        <w:gridCol w:w="1528"/>
        <w:gridCol w:w="1528"/>
        <w:gridCol w:w="1528"/>
        <w:gridCol w:w="1528"/>
        <w:gridCol w:w="1530"/>
      </w:tblGrid>
      <w:tr w:rsidR="00D6403A" w:rsidRPr="00D6403A" w14:paraId="2F928754" w14:textId="77777777" w:rsidTr="00751ECE">
        <w:trPr>
          <w:cnfStyle w:val="100000000000" w:firstRow="1" w:lastRow="0" w:firstColumn="0" w:lastColumn="0" w:oddVBand="0" w:evenVBand="0" w:oddHBand="0" w:evenHBand="0" w:firstRowFirstColumn="0" w:firstRowLastColumn="0" w:lastRowFirstColumn="0" w:lastRowLastColumn="0"/>
          <w:trHeight w:val="20"/>
          <w:tblHeader/>
        </w:trPr>
        <w:tc>
          <w:tcPr>
            <w:cnfStyle w:val="000010000000" w:firstRow="0" w:lastRow="0" w:firstColumn="0" w:lastColumn="0" w:oddVBand="1" w:evenVBand="0" w:oddHBand="0" w:evenHBand="0" w:firstRowFirstColumn="0" w:firstRowLastColumn="0" w:lastRowFirstColumn="0" w:lastRowLastColumn="0"/>
            <w:tcW w:w="10288" w:type="dxa"/>
            <w:gridSpan w:val="6"/>
            <w:vAlign w:val="top"/>
          </w:tcPr>
          <w:p w14:paraId="278189DC" w14:textId="77777777" w:rsidR="00D6403A" w:rsidRPr="00751ECE" w:rsidRDefault="00D6403A" w:rsidP="00751ECE">
            <w:pPr>
              <w:pStyle w:val="Tableheader"/>
              <w:jc w:val="center"/>
              <w:rPr>
                <w:rFonts w:ascii="VIC" w:hAnsi="VIC" w:cs="VIC"/>
                <w:b/>
                <w:bCs/>
                <w:lang w:val="en-GB"/>
              </w:rPr>
            </w:pPr>
            <w:r w:rsidRPr="00751ECE">
              <w:rPr>
                <w:b/>
                <w:lang w:val="en-GB"/>
              </w:rPr>
              <w:t>Indicator 1di: Rate of episiotomy during</w:t>
            </w:r>
            <w:r w:rsidRPr="00751ECE">
              <w:rPr>
                <w:rFonts w:ascii="Cambria" w:hAnsi="Cambria" w:cs="Cambria"/>
                <w:b/>
                <w:lang w:val="en-GB"/>
              </w:rPr>
              <w:t> </w:t>
            </w:r>
            <w:r w:rsidRPr="00751ECE">
              <w:rPr>
                <w:b/>
                <w:lang w:val="en-GB"/>
              </w:rPr>
              <w:t>unassisted</w:t>
            </w:r>
            <w:r w:rsidRPr="00751ECE">
              <w:rPr>
                <w:rFonts w:ascii="Cambria" w:hAnsi="Cambria" w:cs="Cambria"/>
                <w:b/>
                <w:lang w:val="en-GB"/>
              </w:rPr>
              <w:t> </w:t>
            </w:r>
            <w:r w:rsidRPr="00751ECE">
              <w:rPr>
                <w:b/>
                <w:lang w:val="en-GB"/>
              </w:rPr>
              <w:t>vaginal</w:t>
            </w:r>
            <w:r w:rsidRPr="00751ECE">
              <w:rPr>
                <w:rFonts w:ascii="Cambria" w:hAnsi="Cambria" w:cs="Cambria"/>
                <w:b/>
                <w:lang w:val="en-GB"/>
              </w:rPr>
              <w:t> </w:t>
            </w:r>
            <w:r w:rsidRPr="00751ECE">
              <w:rPr>
                <w:b/>
                <w:lang w:val="en-GB"/>
              </w:rPr>
              <w:t>births</w:t>
            </w:r>
          </w:p>
        </w:tc>
      </w:tr>
      <w:tr w:rsidR="00D6403A" w:rsidRPr="00D6403A" w14:paraId="39F832A6" w14:textId="77777777" w:rsidTr="00751ECE">
        <w:trPr>
          <w:cnfStyle w:val="100000000000" w:firstRow="1" w:lastRow="0" w:firstColumn="0" w:lastColumn="0" w:oddVBand="0" w:evenVBand="0" w:oddHBand="0" w:evenHBand="0" w:firstRowFirstColumn="0" w:firstRowLastColumn="0" w:lastRowFirstColumn="0" w:lastRowLastColumn="0"/>
          <w:trHeight w:val="20"/>
          <w:tblHeader/>
        </w:trPr>
        <w:tc>
          <w:tcPr>
            <w:cnfStyle w:val="000010000000" w:firstRow="0" w:lastRow="0" w:firstColumn="0" w:lastColumn="0" w:oddVBand="1" w:evenVBand="0" w:oddHBand="0" w:evenHBand="0" w:firstRowFirstColumn="0" w:firstRowLastColumn="0" w:lastRowFirstColumn="0" w:lastRowLastColumn="0"/>
            <w:tcW w:w="2646" w:type="dxa"/>
          </w:tcPr>
          <w:p w14:paraId="235E6328" w14:textId="77777777" w:rsidR="00D6403A" w:rsidRPr="00751ECE" w:rsidRDefault="00D6403A" w:rsidP="00751ECE">
            <w:pPr>
              <w:pStyle w:val="Tableheader"/>
              <w:jc w:val="right"/>
              <w:rPr>
                <w:rFonts w:ascii="VIC" w:hAnsi="VIC"/>
                <w:b/>
                <w:sz w:val="24"/>
                <w:szCs w:val="24"/>
                <w:lang w:val="en-US"/>
              </w:rPr>
            </w:pPr>
          </w:p>
        </w:tc>
        <w:tc>
          <w:tcPr>
            <w:cnfStyle w:val="000001000000" w:firstRow="0" w:lastRow="0" w:firstColumn="0" w:lastColumn="0" w:oddVBand="0" w:evenVBand="1" w:oddHBand="0" w:evenHBand="0" w:firstRowFirstColumn="0" w:firstRowLastColumn="0" w:lastRowFirstColumn="0" w:lastRowLastColumn="0"/>
            <w:tcW w:w="1528" w:type="dxa"/>
          </w:tcPr>
          <w:p w14:paraId="770EAD80" w14:textId="77777777" w:rsidR="00D6403A" w:rsidRPr="00751ECE" w:rsidRDefault="00D6403A" w:rsidP="00751ECE">
            <w:pPr>
              <w:pStyle w:val="Tableheader"/>
              <w:jc w:val="right"/>
              <w:rPr>
                <w:b/>
                <w:lang w:val="en-GB"/>
              </w:rPr>
            </w:pPr>
            <w:r w:rsidRPr="00751ECE">
              <w:rPr>
                <w:b/>
                <w:lang w:val="en-GB"/>
              </w:rPr>
              <w:t>2017</w:t>
            </w:r>
          </w:p>
        </w:tc>
        <w:tc>
          <w:tcPr>
            <w:cnfStyle w:val="000010000000" w:firstRow="0" w:lastRow="0" w:firstColumn="0" w:lastColumn="0" w:oddVBand="1" w:evenVBand="0" w:oddHBand="0" w:evenHBand="0" w:firstRowFirstColumn="0" w:firstRowLastColumn="0" w:lastRowFirstColumn="0" w:lastRowLastColumn="0"/>
            <w:tcW w:w="1528" w:type="dxa"/>
          </w:tcPr>
          <w:p w14:paraId="0922FBA4" w14:textId="77777777" w:rsidR="00D6403A" w:rsidRPr="00751ECE" w:rsidRDefault="00D6403A" w:rsidP="00751ECE">
            <w:pPr>
              <w:pStyle w:val="Tableheader"/>
              <w:jc w:val="right"/>
              <w:rPr>
                <w:b/>
                <w:lang w:val="en-GB"/>
              </w:rPr>
            </w:pPr>
            <w:r w:rsidRPr="00751ECE">
              <w:rPr>
                <w:b/>
                <w:lang w:val="en-GB"/>
              </w:rPr>
              <w:t>2018</w:t>
            </w:r>
          </w:p>
        </w:tc>
        <w:tc>
          <w:tcPr>
            <w:cnfStyle w:val="000001000000" w:firstRow="0" w:lastRow="0" w:firstColumn="0" w:lastColumn="0" w:oddVBand="0" w:evenVBand="1" w:oddHBand="0" w:evenHBand="0" w:firstRowFirstColumn="0" w:firstRowLastColumn="0" w:lastRowFirstColumn="0" w:lastRowLastColumn="0"/>
            <w:tcW w:w="1528" w:type="dxa"/>
          </w:tcPr>
          <w:p w14:paraId="1E1C8B09" w14:textId="77777777" w:rsidR="00D6403A" w:rsidRPr="00751ECE" w:rsidRDefault="00D6403A" w:rsidP="00751ECE">
            <w:pPr>
              <w:pStyle w:val="Tableheader"/>
              <w:jc w:val="right"/>
              <w:rPr>
                <w:b/>
                <w:lang w:val="en-GB"/>
              </w:rPr>
            </w:pPr>
            <w:r w:rsidRPr="00751ECE">
              <w:rPr>
                <w:b/>
                <w:lang w:val="en-GB"/>
              </w:rPr>
              <w:t>2019</w:t>
            </w:r>
          </w:p>
        </w:tc>
        <w:tc>
          <w:tcPr>
            <w:cnfStyle w:val="000010000000" w:firstRow="0" w:lastRow="0" w:firstColumn="0" w:lastColumn="0" w:oddVBand="1" w:evenVBand="0" w:oddHBand="0" w:evenHBand="0" w:firstRowFirstColumn="0" w:firstRowLastColumn="0" w:lastRowFirstColumn="0" w:lastRowLastColumn="0"/>
            <w:tcW w:w="1528" w:type="dxa"/>
          </w:tcPr>
          <w:p w14:paraId="480EA48C" w14:textId="77777777" w:rsidR="00D6403A" w:rsidRPr="00751ECE" w:rsidRDefault="00D6403A" w:rsidP="00751ECE">
            <w:pPr>
              <w:pStyle w:val="Tableheader"/>
              <w:jc w:val="right"/>
              <w:rPr>
                <w:b/>
                <w:lang w:val="en-GB"/>
              </w:rPr>
            </w:pPr>
            <w:r w:rsidRPr="00751ECE">
              <w:rPr>
                <w:b/>
                <w:lang w:val="en-GB"/>
              </w:rPr>
              <w:t>2020</w:t>
            </w:r>
          </w:p>
        </w:tc>
        <w:tc>
          <w:tcPr>
            <w:cnfStyle w:val="000001000000" w:firstRow="0" w:lastRow="0" w:firstColumn="0" w:lastColumn="0" w:oddVBand="0" w:evenVBand="1" w:oddHBand="0" w:evenHBand="0" w:firstRowFirstColumn="0" w:firstRowLastColumn="0" w:lastRowFirstColumn="0" w:lastRowLastColumn="0"/>
            <w:tcW w:w="1528" w:type="dxa"/>
          </w:tcPr>
          <w:p w14:paraId="74CB6540" w14:textId="77777777" w:rsidR="00D6403A" w:rsidRPr="00751ECE" w:rsidRDefault="00D6403A" w:rsidP="00751ECE">
            <w:pPr>
              <w:pStyle w:val="Tableheader"/>
              <w:jc w:val="right"/>
              <w:rPr>
                <w:b/>
                <w:lang w:val="en-GB"/>
              </w:rPr>
            </w:pPr>
            <w:r w:rsidRPr="00751ECE">
              <w:rPr>
                <w:b/>
                <w:lang w:val="en-GB"/>
              </w:rPr>
              <w:t>2021</w:t>
            </w:r>
          </w:p>
        </w:tc>
      </w:tr>
      <w:tr w:rsidR="00D6403A" w:rsidRPr="00D6403A" w14:paraId="2962484A" w14:textId="77777777" w:rsidTr="00751ECE">
        <w:trPr>
          <w:trHeight w:val="51"/>
        </w:trPr>
        <w:tc>
          <w:tcPr>
            <w:cnfStyle w:val="000010000000" w:firstRow="0" w:lastRow="0" w:firstColumn="0" w:lastColumn="0" w:oddVBand="1" w:evenVBand="0" w:oddHBand="0" w:evenHBand="0" w:firstRowFirstColumn="0" w:firstRowLastColumn="0" w:lastRowFirstColumn="0" w:lastRowLastColumn="0"/>
            <w:tcW w:w="2646" w:type="dxa"/>
          </w:tcPr>
          <w:p w14:paraId="01BBE173" w14:textId="0E85F713" w:rsidR="00D6403A" w:rsidRPr="007275FD" w:rsidRDefault="00D6403A" w:rsidP="007275FD">
            <w:pPr>
              <w:pStyle w:val="Tabletext"/>
              <w:jc w:val="left"/>
              <w:rPr>
                <w:b/>
                <w:color w:val="009859"/>
                <w:lang w:val="en-GB"/>
              </w:rPr>
            </w:pPr>
            <w:r w:rsidRPr="007275FD">
              <w:rPr>
                <w:b/>
                <w:lang w:val="en-GB"/>
              </w:rPr>
              <w:t>Public</w:t>
            </w:r>
          </w:p>
        </w:tc>
        <w:tc>
          <w:tcPr>
            <w:cnfStyle w:val="000001000000" w:firstRow="0" w:lastRow="0" w:firstColumn="0" w:lastColumn="0" w:oddVBand="0" w:evenVBand="1" w:oddHBand="0" w:evenHBand="0" w:firstRowFirstColumn="0" w:firstRowLastColumn="0" w:lastRowFirstColumn="0" w:lastRowLastColumn="0"/>
            <w:tcW w:w="1528" w:type="dxa"/>
          </w:tcPr>
          <w:p w14:paraId="1FC4B5C5" w14:textId="77777777" w:rsidR="00D6403A" w:rsidRPr="00D6403A" w:rsidRDefault="00D6403A" w:rsidP="00AE4C75">
            <w:pPr>
              <w:pStyle w:val="Tabletext"/>
              <w:rPr>
                <w:lang w:val="en-US"/>
              </w:rPr>
            </w:pPr>
            <w:r w:rsidRPr="00D6403A">
              <w:rPr>
                <w:lang w:val="en-US"/>
              </w:rPr>
              <w:t>25.4%</w:t>
            </w:r>
          </w:p>
        </w:tc>
        <w:tc>
          <w:tcPr>
            <w:cnfStyle w:val="000010000000" w:firstRow="0" w:lastRow="0" w:firstColumn="0" w:lastColumn="0" w:oddVBand="1" w:evenVBand="0" w:oddHBand="0" w:evenHBand="0" w:firstRowFirstColumn="0" w:firstRowLastColumn="0" w:lastRowFirstColumn="0" w:lastRowLastColumn="0"/>
            <w:tcW w:w="1528" w:type="dxa"/>
          </w:tcPr>
          <w:p w14:paraId="587E1ADD" w14:textId="77777777" w:rsidR="00D6403A" w:rsidRPr="00D6403A" w:rsidRDefault="00D6403A" w:rsidP="00AE4C75">
            <w:pPr>
              <w:pStyle w:val="Tabletext"/>
              <w:rPr>
                <w:lang w:val="en-US"/>
              </w:rPr>
            </w:pPr>
            <w:r w:rsidRPr="00D6403A">
              <w:rPr>
                <w:lang w:val="en-US"/>
              </w:rPr>
              <w:t>25.3%</w:t>
            </w:r>
          </w:p>
        </w:tc>
        <w:tc>
          <w:tcPr>
            <w:cnfStyle w:val="000001000000" w:firstRow="0" w:lastRow="0" w:firstColumn="0" w:lastColumn="0" w:oddVBand="0" w:evenVBand="1" w:oddHBand="0" w:evenHBand="0" w:firstRowFirstColumn="0" w:firstRowLastColumn="0" w:lastRowFirstColumn="0" w:lastRowLastColumn="0"/>
            <w:tcW w:w="1528" w:type="dxa"/>
          </w:tcPr>
          <w:p w14:paraId="78D96806" w14:textId="77777777" w:rsidR="00D6403A" w:rsidRPr="00D6403A" w:rsidRDefault="00D6403A" w:rsidP="00AE4C75">
            <w:pPr>
              <w:pStyle w:val="Tabletext"/>
              <w:rPr>
                <w:lang w:val="en-US"/>
              </w:rPr>
            </w:pPr>
            <w:r w:rsidRPr="00D6403A">
              <w:rPr>
                <w:lang w:val="en-US"/>
              </w:rPr>
              <w:t>26.9%</w:t>
            </w:r>
          </w:p>
        </w:tc>
        <w:tc>
          <w:tcPr>
            <w:cnfStyle w:val="000010000000" w:firstRow="0" w:lastRow="0" w:firstColumn="0" w:lastColumn="0" w:oddVBand="1" w:evenVBand="0" w:oddHBand="0" w:evenHBand="0" w:firstRowFirstColumn="0" w:firstRowLastColumn="0" w:lastRowFirstColumn="0" w:lastRowLastColumn="0"/>
            <w:tcW w:w="1528" w:type="dxa"/>
          </w:tcPr>
          <w:p w14:paraId="4778A2EB" w14:textId="77777777" w:rsidR="00D6403A" w:rsidRPr="00D6403A" w:rsidRDefault="00D6403A" w:rsidP="00AE4C75">
            <w:pPr>
              <w:pStyle w:val="Tabletext"/>
              <w:rPr>
                <w:lang w:val="en-US"/>
              </w:rPr>
            </w:pPr>
            <w:r w:rsidRPr="00D6403A">
              <w:rPr>
                <w:lang w:val="en-US"/>
              </w:rPr>
              <w:t>27.3%</w:t>
            </w:r>
          </w:p>
        </w:tc>
        <w:tc>
          <w:tcPr>
            <w:cnfStyle w:val="000001000000" w:firstRow="0" w:lastRow="0" w:firstColumn="0" w:lastColumn="0" w:oddVBand="0" w:evenVBand="1" w:oddHBand="0" w:evenHBand="0" w:firstRowFirstColumn="0" w:firstRowLastColumn="0" w:lastRowFirstColumn="0" w:lastRowLastColumn="0"/>
            <w:tcW w:w="1528" w:type="dxa"/>
            <w:shd w:val="clear" w:color="auto" w:fill="F2F2F2" w:themeFill="background1" w:themeFillShade="F2"/>
          </w:tcPr>
          <w:p w14:paraId="7A0EEB35" w14:textId="77777777" w:rsidR="00D6403A" w:rsidRPr="00D6403A" w:rsidRDefault="00D6403A" w:rsidP="00AE4C75">
            <w:pPr>
              <w:pStyle w:val="Tabletext"/>
              <w:rPr>
                <w:lang w:val="en-US"/>
              </w:rPr>
            </w:pPr>
            <w:r w:rsidRPr="00D6403A">
              <w:rPr>
                <w:lang w:val="en-US"/>
              </w:rPr>
              <w:t>26.2%</w:t>
            </w:r>
          </w:p>
        </w:tc>
      </w:tr>
      <w:tr w:rsidR="00D6403A" w:rsidRPr="00D6403A" w14:paraId="0DD4A1A5" w14:textId="77777777" w:rsidTr="00751ECE">
        <w:trPr>
          <w:trHeight w:val="51"/>
        </w:trPr>
        <w:tc>
          <w:tcPr>
            <w:cnfStyle w:val="000010000000" w:firstRow="0" w:lastRow="0" w:firstColumn="0" w:lastColumn="0" w:oddVBand="1" w:evenVBand="0" w:oddHBand="0" w:evenHBand="0" w:firstRowFirstColumn="0" w:firstRowLastColumn="0" w:lastRowFirstColumn="0" w:lastRowLastColumn="0"/>
            <w:tcW w:w="2646" w:type="dxa"/>
          </w:tcPr>
          <w:p w14:paraId="3A7C186C" w14:textId="55FF06D0" w:rsidR="00D6403A" w:rsidRPr="007275FD" w:rsidRDefault="00D6403A" w:rsidP="007275FD">
            <w:pPr>
              <w:pStyle w:val="Tabletext"/>
              <w:jc w:val="left"/>
              <w:rPr>
                <w:b/>
                <w:color w:val="009859"/>
                <w:lang w:val="en-GB"/>
              </w:rPr>
            </w:pPr>
            <w:r w:rsidRPr="007275FD">
              <w:rPr>
                <w:b/>
                <w:lang w:val="en-GB"/>
              </w:rPr>
              <w:t>Private</w:t>
            </w:r>
          </w:p>
        </w:tc>
        <w:tc>
          <w:tcPr>
            <w:cnfStyle w:val="000001000000" w:firstRow="0" w:lastRow="0" w:firstColumn="0" w:lastColumn="0" w:oddVBand="0" w:evenVBand="1" w:oddHBand="0" w:evenHBand="0" w:firstRowFirstColumn="0" w:firstRowLastColumn="0" w:lastRowFirstColumn="0" w:lastRowLastColumn="0"/>
            <w:tcW w:w="1528" w:type="dxa"/>
          </w:tcPr>
          <w:p w14:paraId="45C1C365" w14:textId="77777777" w:rsidR="00D6403A" w:rsidRPr="00D6403A" w:rsidRDefault="00D6403A" w:rsidP="00AE4C75">
            <w:pPr>
              <w:pStyle w:val="Tabletext"/>
              <w:rPr>
                <w:lang w:val="en-US"/>
              </w:rPr>
            </w:pPr>
            <w:r w:rsidRPr="00D6403A">
              <w:rPr>
                <w:lang w:val="en-US"/>
              </w:rPr>
              <w:t>31.1%</w:t>
            </w:r>
          </w:p>
        </w:tc>
        <w:tc>
          <w:tcPr>
            <w:cnfStyle w:val="000010000000" w:firstRow="0" w:lastRow="0" w:firstColumn="0" w:lastColumn="0" w:oddVBand="1" w:evenVBand="0" w:oddHBand="0" w:evenHBand="0" w:firstRowFirstColumn="0" w:firstRowLastColumn="0" w:lastRowFirstColumn="0" w:lastRowLastColumn="0"/>
            <w:tcW w:w="1528" w:type="dxa"/>
          </w:tcPr>
          <w:p w14:paraId="3571E391" w14:textId="77777777" w:rsidR="00D6403A" w:rsidRPr="00D6403A" w:rsidRDefault="00D6403A" w:rsidP="00AE4C75">
            <w:pPr>
              <w:pStyle w:val="Tabletext"/>
              <w:rPr>
                <w:lang w:val="en-US"/>
              </w:rPr>
            </w:pPr>
            <w:r w:rsidRPr="00D6403A">
              <w:rPr>
                <w:lang w:val="en-US"/>
              </w:rPr>
              <w:t>33.9%</w:t>
            </w:r>
          </w:p>
        </w:tc>
        <w:tc>
          <w:tcPr>
            <w:cnfStyle w:val="000001000000" w:firstRow="0" w:lastRow="0" w:firstColumn="0" w:lastColumn="0" w:oddVBand="0" w:evenVBand="1" w:oddHBand="0" w:evenHBand="0" w:firstRowFirstColumn="0" w:firstRowLastColumn="0" w:lastRowFirstColumn="0" w:lastRowLastColumn="0"/>
            <w:tcW w:w="1528" w:type="dxa"/>
          </w:tcPr>
          <w:p w14:paraId="6D33FE66" w14:textId="77777777" w:rsidR="00D6403A" w:rsidRPr="00D6403A" w:rsidRDefault="00D6403A" w:rsidP="00AE4C75">
            <w:pPr>
              <w:pStyle w:val="Tabletext"/>
              <w:rPr>
                <w:lang w:val="en-US"/>
              </w:rPr>
            </w:pPr>
            <w:r w:rsidRPr="00D6403A">
              <w:rPr>
                <w:lang w:val="en-US"/>
              </w:rPr>
              <w:t>32.7%</w:t>
            </w:r>
          </w:p>
        </w:tc>
        <w:tc>
          <w:tcPr>
            <w:cnfStyle w:val="000010000000" w:firstRow="0" w:lastRow="0" w:firstColumn="0" w:lastColumn="0" w:oddVBand="1" w:evenVBand="0" w:oddHBand="0" w:evenHBand="0" w:firstRowFirstColumn="0" w:firstRowLastColumn="0" w:lastRowFirstColumn="0" w:lastRowLastColumn="0"/>
            <w:tcW w:w="1528" w:type="dxa"/>
          </w:tcPr>
          <w:p w14:paraId="7EB38F41" w14:textId="77777777" w:rsidR="00D6403A" w:rsidRPr="00D6403A" w:rsidRDefault="00D6403A" w:rsidP="00AE4C75">
            <w:pPr>
              <w:pStyle w:val="Tabletext"/>
              <w:rPr>
                <w:lang w:val="en-US"/>
              </w:rPr>
            </w:pPr>
            <w:r w:rsidRPr="00D6403A">
              <w:rPr>
                <w:lang w:val="en-US"/>
              </w:rPr>
              <w:t>30.4%</w:t>
            </w:r>
          </w:p>
        </w:tc>
        <w:tc>
          <w:tcPr>
            <w:cnfStyle w:val="000001000000" w:firstRow="0" w:lastRow="0" w:firstColumn="0" w:lastColumn="0" w:oddVBand="0" w:evenVBand="1" w:oddHBand="0" w:evenHBand="0" w:firstRowFirstColumn="0" w:firstRowLastColumn="0" w:lastRowFirstColumn="0" w:lastRowLastColumn="0"/>
            <w:tcW w:w="1528" w:type="dxa"/>
            <w:shd w:val="clear" w:color="auto" w:fill="F2F2F2" w:themeFill="background1" w:themeFillShade="F2"/>
          </w:tcPr>
          <w:p w14:paraId="498BA8B9" w14:textId="77777777" w:rsidR="00D6403A" w:rsidRPr="00D6403A" w:rsidRDefault="00D6403A" w:rsidP="00AE4C75">
            <w:pPr>
              <w:pStyle w:val="Tabletext"/>
              <w:rPr>
                <w:lang w:val="en-US"/>
              </w:rPr>
            </w:pPr>
            <w:r w:rsidRPr="00D6403A">
              <w:rPr>
                <w:lang w:val="en-US"/>
              </w:rPr>
              <w:t>30.3%</w:t>
            </w:r>
          </w:p>
        </w:tc>
      </w:tr>
      <w:tr w:rsidR="00D6403A" w:rsidRPr="00D6403A" w14:paraId="579D0A9F" w14:textId="77777777" w:rsidTr="00751ECE">
        <w:trPr>
          <w:trHeight w:val="51"/>
        </w:trPr>
        <w:tc>
          <w:tcPr>
            <w:cnfStyle w:val="000010000000" w:firstRow="0" w:lastRow="0" w:firstColumn="0" w:lastColumn="0" w:oddVBand="1" w:evenVBand="0" w:oddHBand="0" w:evenHBand="0" w:firstRowFirstColumn="0" w:firstRowLastColumn="0" w:lastRowFirstColumn="0" w:lastRowLastColumn="0"/>
            <w:tcW w:w="2646" w:type="dxa"/>
          </w:tcPr>
          <w:p w14:paraId="3149E1A7" w14:textId="4DC33713" w:rsidR="00D6403A" w:rsidRPr="007275FD" w:rsidRDefault="00D6403A" w:rsidP="007275FD">
            <w:pPr>
              <w:pStyle w:val="Tabletext"/>
              <w:jc w:val="left"/>
              <w:rPr>
                <w:b/>
                <w:color w:val="009859"/>
                <w:lang w:val="en-GB"/>
              </w:rPr>
            </w:pPr>
            <w:r w:rsidRPr="007275FD">
              <w:rPr>
                <w:b/>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1528" w:type="dxa"/>
          </w:tcPr>
          <w:p w14:paraId="7A628BAC" w14:textId="77777777" w:rsidR="00D6403A" w:rsidRPr="00D6403A" w:rsidRDefault="00D6403A" w:rsidP="00AE4C75">
            <w:pPr>
              <w:pStyle w:val="Tabletext"/>
              <w:rPr>
                <w:lang w:val="en-US"/>
              </w:rPr>
            </w:pPr>
            <w:r w:rsidRPr="00D6403A">
              <w:rPr>
                <w:lang w:val="en-US"/>
              </w:rPr>
              <w:t>26.2%</w:t>
            </w:r>
          </w:p>
        </w:tc>
        <w:tc>
          <w:tcPr>
            <w:cnfStyle w:val="000010000000" w:firstRow="0" w:lastRow="0" w:firstColumn="0" w:lastColumn="0" w:oddVBand="1" w:evenVBand="0" w:oddHBand="0" w:evenHBand="0" w:firstRowFirstColumn="0" w:firstRowLastColumn="0" w:lastRowFirstColumn="0" w:lastRowLastColumn="0"/>
            <w:tcW w:w="1528" w:type="dxa"/>
          </w:tcPr>
          <w:p w14:paraId="319534AE" w14:textId="77777777" w:rsidR="00D6403A" w:rsidRPr="00D6403A" w:rsidRDefault="00D6403A" w:rsidP="00AE4C75">
            <w:pPr>
              <w:pStyle w:val="Tabletext"/>
              <w:rPr>
                <w:lang w:val="en-US"/>
              </w:rPr>
            </w:pPr>
            <w:r w:rsidRPr="00D6403A">
              <w:rPr>
                <w:lang w:val="en-US"/>
              </w:rPr>
              <w:t>26.5%</w:t>
            </w:r>
          </w:p>
        </w:tc>
        <w:tc>
          <w:tcPr>
            <w:cnfStyle w:val="000001000000" w:firstRow="0" w:lastRow="0" w:firstColumn="0" w:lastColumn="0" w:oddVBand="0" w:evenVBand="1" w:oddHBand="0" w:evenHBand="0" w:firstRowFirstColumn="0" w:firstRowLastColumn="0" w:lastRowFirstColumn="0" w:lastRowLastColumn="0"/>
            <w:tcW w:w="1528" w:type="dxa"/>
          </w:tcPr>
          <w:p w14:paraId="4412BFF7" w14:textId="77777777" w:rsidR="00D6403A" w:rsidRPr="00D6403A" w:rsidRDefault="00D6403A" w:rsidP="00AE4C75">
            <w:pPr>
              <w:pStyle w:val="Tabletext"/>
              <w:rPr>
                <w:lang w:val="en-US"/>
              </w:rPr>
            </w:pPr>
            <w:r w:rsidRPr="00D6403A">
              <w:rPr>
                <w:lang w:val="en-US"/>
              </w:rPr>
              <w:t>27.7%</w:t>
            </w:r>
          </w:p>
        </w:tc>
        <w:tc>
          <w:tcPr>
            <w:cnfStyle w:val="000010000000" w:firstRow="0" w:lastRow="0" w:firstColumn="0" w:lastColumn="0" w:oddVBand="1" w:evenVBand="0" w:oddHBand="0" w:evenHBand="0" w:firstRowFirstColumn="0" w:firstRowLastColumn="0" w:lastRowFirstColumn="0" w:lastRowLastColumn="0"/>
            <w:tcW w:w="1528" w:type="dxa"/>
          </w:tcPr>
          <w:p w14:paraId="1E5B4EE2" w14:textId="77777777" w:rsidR="00D6403A" w:rsidRPr="00D6403A" w:rsidRDefault="00D6403A" w:rsidP="00AE4C75">
            <w:pPr>
              <w:pStyle w:val="Tabletext"/>
              <w:rPr>
                <w:lang w:val="en-US"/>
              </w:rPr>
            </w:pPr>
            <w:r w:rsidRPr="00D6403A">
              <w:rPr>
                <w:lang w:val="en-US"/>
              </w:rPr>
              <w:t>27.5%</w:t>
            </w:r>
          </w:p>
        </w:tc>
        <w:tc>
          <w:tcPr>
            <w:cnfStyle w:val="000001000000" w:firstRow="0" w:lastRow="0" w:firstColumn="0" w:lastColumn="0" w:oddVBand="0" w:evenVBand="1" w:oddHBand="0" w:evenHBand="0" w:firstRowFirstColumn="0" w:firstRowLastColumn="0" w:lastRowFirstColumn="0" w:lastRowLastColumn="0"/>
            <w:tcW w:w="1528" w:type="dxa"/>
            <w:shd w:val="clear" w:color="auto" w:fill="F2F2F2" w:themeFill="background1" w:themeFillShade="F2"/>
          </w:tcPr>
          <w:p w14:paraId="2FEDFA03" w14:textId="77777777" w:rsidR="00D6403A" w:rsidRPr="00D6403A" w:rsidRDefault="00D6403A" w:rsidP="00AE4C75">
            <w:pPr>
              <w:pStyle w:val="Tabletext"/>
              <w:rPr>
                <w:lang w:val="en-US"/>
              </w:rPr>
            </w:pPr>
            <w:r w:rsidRPr="00D6403A">
              <w:rPr>
                <w:lang w:val="en-US"/>
              </w:rPr>
              <w:t>26.6%</w:t>
            </w:r>
          </w:p>
        </w:tc>
      </w:tr>
    </w:tbl>
    <w:p w14:paraId="1D0F7360" w14:textId="77777777" w:rsidR="00D6403A" w:rsidRPr="00D6403A" w:rsidRDefault="00D6403A" w:rsidP="00870C38">
      <w:pPr>
        <w:pStyle w:val="Tablechartdiagramheading"/>
      </w:pPr>
      <w:r w:rsidRPr="00D6403A">
        <w:t>Figure 21. Time trend of Indicator 1di, 2017–2021</w:t>
      </w:r>
    </w:p>
    <w:p w14:paraId="7F885400" w14:textId="3F789A29" w:rsidR="00D6403A" w:rsidRPr="00D6403A" w:rsidRDefault="00CF7935" w:rsidP="00CF7935">
      <w:pPr>
        <w:rPr>
          <w:lang w:val="en-GB"/>
        </w:rPr>
      </w:pPr>
      <w:r>
        <w:rPr>
          <w:noProof/>
          <w:lang w:val="en-GB"/>
        </w:rPr>
        <w:drawing>
          <wp:inline distT="0" distB="0" distL="0" distR="0" wp14:anchorId="10BEE1D3" wp14:editId="2C30C3B3">
            <wp:extent cx="3098800" cy="1295400"/>
            <wp:effectExtent l="0" t="0" r="0" b="0"/>
            <wp:docPr id="28" name="Picture 28" descr="Line chart of Table 7 indicator 1di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_2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51FB03B4" w14:textId="009C76ED" w:rsidR="00D6403A" w:rsidRPr="00D6403A" w:rsidRDefault="00D6403A" w:rsidP="00CF7935">
      <w:pPr>
        <w:pStyle w:val="Tablechartdiagramheading"/>
        <w:rPr>
          <w:lang w:val="en-GB"/>
        </w:rPr>
      </w:pPr>
      <w:r w:rsidRPr="00D6403A">
        <w:rPr>
          <w:lang w:val="en-GB"/>
        </w:rPr>
        <w:lastRenderedPageBreak/>
        <w:t>Figure 22. Indicator 1dii: Rate of primiparae who received an episiotomy during assisted vaginal births,</w:t>
      </w:r>
      <w:r w:rsidRPr="00D6403A">
        <w:rPr>
          <w:rFonts w:ascii="Cambria" w:hAnsi="Cambria" w:cs="Cambria"/>
          <w:lang w:val="en-GB"/>
        </w:rPr>
        <w:t> </w:t>
      </w:r>
      <w:r w:rsidRPr="00D6403A">
        <w:rPr>
          <w:lang w:val="en-GB"/>
        </w:rPr>
        <w:t>2021</w:t>
      </w:r>
    </w:p>
    <w:p w14:paraId="25C9FAA4" w14:textId="2B34F7AB" w:rsidR="00D6403A" w:rsidRPr="00D6403A" w:rsidRDefault="00CF7935" w:rsidP="00862996">
      <w:pPr>
        <w:rPr>
          <w:lang w:val="en-GB"/>
        </w:rPr>
      </w:pPr>
      <w:r>
        <w:rPr>
          <w:noProof/>
          <w:lang w:val="en-GB"/>
        </w:rPr>
        <w:drawing>
          <wp:inline distT="0" distB="0" distL="0" distR="0" wp14:anchorId="2A0E2AAE" wp14:editId="722FBB49">
            <wp:extent cx="6476365" cy="6402070"/>
            <wp:effectExtent l="0" t="0" r="635" b="0"/>
            <wp:docPr id="29" name="Picture 29" descr="Bar chart for Indicator 1dii.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_22.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76365" cy="6402070"/>
                    </a:xfrm>
                    <a:prstGeom prst="rect">
                      <a:avLst/>
                    </a:prstGeom>
                  </pic:spPr>
                </pic:pic>
              </a:graphicData>
            </a:graphic>
          </wp:inline>
        </w:drawing>
      </w:r>
    </w:p>
    <w:p w14:paraId="50A12EC8" w14:textId="77777777" w:rsidR="00D6403A" w:rsidRPr="00D6403A" w:rsidRDefault="00D6403A" w:rsidP="00870C38">
      <w:pPr>
        <w:pStyle w:val="Tablechartdiagramheading"/>
      </w:pPr>
      <w:r w:rsidRPr="00D6403A">
        <w:lastRenderedPageBreak/>
        <w:t>Figure 23. Funnel plot of the rate of primiparae who received an episiotomy during assisted vaginal births, 2021</w:t>
      </w:r>
    </w:p>
    <w:p w14:paraId="528C9A41" w14:textId="5A962459" w:rsidR="00D6403A" w:rsidRPr="00D6403A" w:rsidRDefault="00650DD0" w:rsidP="00862996">
      <w:pPr>
        <w:rPr>
          <w:lang w:val="en-GB"/>
        </w:rPr>
      </w:pPr>
      <w:r>
        <w:rPr>
          <w:noProof/>
          <w:lang w:val="en-GB"/>
        </w:rPr>
        <w:drawing>
          <wp:inline distT="0" distB="0" distL="0" distR="0" wp14:anchorId="4CFD5D0C" wp14:editId="09AAA2AF">
            <wp:extent cx="6045200" cy="3416300"/>
            <wp:effectExtent l="0" t="0" r="0" b="0"/>
            <wp:docPr id="30" name="Picture 30"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_23.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45200" cy="3416300"/>
                    </a:xfrm>
                    <a:prstGeom prst="rect">
                      <a:avLst/>
                    </a:prstGeom>
                  </pic:spPr>
                </pic:pic>
              </a:graphicData>
            </a:graphic>
          </wp:inline>
        </w:drawing>
      </w:r>
    </w:p>
    <w:p w14:paraId="16F38A7F"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4FE283AD" w14:textId="77777777" w:rsidR="00D6403A" w:rsidRPr="00D6403A" w:rsidRDefault="00D6403A" w:rsidP="00887B5A">
      <w:pPr>
        <w:pStyle w:val="Tablechartdiagramheading"/>
        <w:rPr>
          <w:lang w:val="en-GB"/>
        </w:rPr>
      </w:pPr>
      <w:r w:rsidRPr="00D6403A">
        <w:rPr>
          <w:lang w:val="en-GB"/>
        </w:rPr>
        <w:t>Table 8. Rate of primiparae who received an episiotomy during an assisted vaginal birth, 2017–2021</w:t>
      </w:r>
    </w:p>
    <w:tbl>
      <w:tblPr>
        <w:tblStyle w:val="TableGrid"/>
        <w:tblW w:w="10293" w:type="dxa"/>
        <w:tblLayout w:type="fixed"/>
        <w:tblLook w:val="0020" w:firstRow="1" w:lastRow="0" w:firstColumn="0" w:lastColumn="0" w:noHBand="0" w:noVBand="0"/>
      </w:tblPr>
      <w:tblGrid>
        <w:gridCol w:w="2647"/>
        <w:gridCol w:w="1529"/>
        <w:gridCol w:w="1529"/>
        <w:gridCol w:w="1529"/>
        <w:gridCol w:w="1529"/>
        <w:gridCol w:w="1530"/>
      </w:tblGrid>
      <w:tr w:rsidR="00D6403A" w:rsidRPr="00D6403A" w14:paraId="6A47F993" w14:textId="77777777" w:rsidTr="00A46E41">
        <w:trPr>
          <w:cnfStyle w:val="100000000000" w:firstRow="1" w:lastRow="0" w:firstColumn="0" w:lastColumn="0" w:oddVBand="0" w:evenVBand="0" w:oddHBand="0" w:evenHBand="0" w:firstRowFirstColumn="0" w:firstRowLastColumn="0" w:lastRowFirstColumn="0" w:lastRowLastColumn="0"/>
          <w:trHeight w:val="247"/>
          <w:tblHeader/>
        </w:trPr>
        <w:tc>
          <w:tcPr>
            <w:cnfStyle w:val="000010000000" w:firstRow="0" w:lastRow="0" w:firstColumn="0" w:lastColumn="0" w:oddVBand="1" w:evenVBand="0" w:oddHBand="0" w:evenHBand="0" w:firstRowFirstColumn="0" w:firstRowLastColumn="0" w:lastRowFirstColumn="0" w:lastRowLastColumn="0"/>
            <w:tcW w:w="10293" w:type="dxa"/>
            <w:gridSpan w:val="6"/>
          </w:tcPr>
          <w:p w14:paraId="3FE25E49" w14:textId="77777777" w:rsidR="00D6403A" w:rsidRPr="00A46E41" w:rsidRDefault="00D6403A" w:rsidP="00A46E41">
            <w:pPr>
              <w:pStyle w:val="Tableheader"/>
              <w:jc w:val="center"/>
              <w:rPr>
                <w:rFonts w:ascii="VIC" w:hAnsi="VIC" w:cs="VIC"/>
                <w:b/>
                <w:bCs/>
                <w:lang w:val="en-GB"/>
              </w:rPr>
            </w:pPr>
            <w:r w:rsidRPr="00A46E41">
              <w:rPr>
                <w:b/>
                <w:lang w:val="en-GB"/>
              </w:rPr>
              <w:t>Indicator 1dii: Rate of episiotomy during</w:t>
            </w:r>
            <w:r w:rsidRPr="00A46E41">
              <w:rPr>
                <w:rFonts w:ascii="Cambria" w:hAnsi="Cambria" w:cs="Cambria"/>
                <w:b/>
                <w:lang w:val="en-GB"/>
              </w:rPr>
              <w:t> </w:t>
            </w:r>
            <w:r w:rsidRPr="00A46E41">
              <w:rPr>
                <w:b/>
                <w:lang w:val="en-GB"/>
              </w:rPr>
              <w:t>assisted</w:t>
            </w:r>
            <w:r w:rsidRPr="00A46E41">
              <w:rPr>
                <w:rFonts w:ascii="Cambria" w:hAnsi="Cambria" w:cs="Cambria"/>
                <w:b/>
                <w:lang w:val="en-GB"/>
              </w:rPr>
              <w:t> </w:t>
            </w:r>
            <w:r w:rsidRPr="00A46E41">
              <w:rPr>
                <w:b/>
                <w:lang w:val="en-GB"/>
              </w:rPr>
              <w:t>vaginal</w:t>
            </w:r>
            <w:r w:rsidRPr="00A46E41">
              <w:rPr>
                <w:rFonts w:ascii="Cambria" w:hAnsi="Cambria" w:cs="Cambria"/>
                <w:b/>
                <w:lang w:val="en-GB"/>
              </w:rPr>
              <w:t> </w:t>
            </w:r>
            <w:r w:rsidRPr="00A46E41">
              <w:rPr>
                <w:b/>
                <w:lang w:val="en-GB"/>
              </w:rPr>
              <w:t>births</w:t>
            </w:r>
          </w:p>
        </w:tc>
      </w:tr>
      <w:tr w:rsidR="00D6403A" w:rsidRPr="00D6403A" w14:paraId="5EC54CA5" w14:textId="77777777" w:rsidTr="00A46E41">
        <w:trPr>
          <w:cnfStyle w:val="100000000000" w:firstRow="1" w:lastRow="0" w:firstColumn="0" w:lastColumn="0" w:oddVBand="0" w:evenVBand="0" w:oddHBand="0" w:evenHBand="0" w:firstRowFirstColumn="0" w:firstRowLastColumn="0" w:lastRowFirstColumn="0" w:lastRowLastColumn="0"/>
          <w:trHeight w:val="247"/>
          <w:tblHeader/>
        </w:trPr>
        <w:tc>
          <w:tcPr>
            <w:cnfStyle w:val="000010000000" w:firstRow="0" w:lastRow="0" w:firstColumn="0" w:lastColumn="0" w:oddVBand="1" w:evenVBand="0" w:oddHBand="0" w:evenHBand="0" w:firstRowFirstColumn="0" w:firstRowLastColumn="0" w:lastRowFirstColumn="0" w:lastRowLastColumn="0"/>
            <w:tcW w:w="2647" w:type="dxa"/>
          </w:tcPr>
          <w:p w14:paraId="663E5B2F" w14:textId="77777777" w:rsidR="00D6403A" w:rsidRPr="00A46E41" w:rsidRDefault="00D6403A" w:rsidP="00A46E41">
            <w:pPr>
              <w:pStyle w:val="Tableheader"/>
              <w:jc w:val="right"/>
              <w:rPr>
                <w:rFonts w:ascii="VIC" w:hAnsi="VIC"/>
                <w:b/>
                <w:sz w:val="24"/>
                <w:szCs w:val="24"/>
                <w:lang w:val="en-US"/>
              </w:rPr>
            </w:pPr>
          </w:p>
        </w:tc>
        <w:tc>
          <w:tcPr>
            <w:cnfStyle w:val="000001000000" w:firstRow="0" w:lastRow="0" w:firstColumn="0" w:lastColumn="0" w:oddVBand="0" w:evenVBand="1" w:oddHBand="0" w:evenHBand="0" w:firstRowFirstColumn="0" w:firstRowLastColumn="0" w:lastRowFirstColumn="0" w:lastRowLastColumn="0"/>
            <w:tcW w:w="1529" w:type="dxa"/>
          </w:tcPr>
          <w:p w14:paraId="013D11AA" w14:textId="77777777" w:rsidR="00D6403A" w:rsidRPr="00A46E41" w:rsidRDefault="00D6403A" w:rsidP="00A46E41">
            <w:pPr>
              <w:pStyle w:val="Tableheader"/>
              <w:jc w:val="right"/>
              <w:rPr>
                <w:b/>
                <w:lang w:val="en-GB"/>
              </w:rPr>
            </w:pPr>
            <w:r w:rsidRPr="00A46E41">
              <w:rPr>
                <w:b/>
                <w:lang w:val="en-GB"/>
              </w:rPr>
              <w:t>2017</w:t>
            </w:r>
          </w:p>
        </w:tc>
        <w:tc>
          <w:tcPr>
            <w:cnfStyle w:val="000010000000" w:firstRow="0" w:lastRow="0" w:firstColumn="0" w:lastColumn="0" w:oddVBand="1" w:evenVBand="0" w:oddHBand="0" w:evenHBand="0" w:firstRowFirstColumn="0" w:firstRowLastColumn="0" w:lastRowFirstColumn="0" w:lastRowLastColumn="0"/>
            <w:tcW w:w="1529" w:type="dxa"/>
          </w:tcPr>
          <w:p w14:paraId="1EDB5657" w14:textId="77777777" w:rsidR="00D6403A" w:rsidRPr="00A46E41" w:rsidRDefault="00D6403A" w:rsidP="00A46E41">
            <w:pPr>
              <w:pStyle w:val="Tableheader"/>
              <w:jc w:val="right"/>
              <w:rPr>
                <w:b/>
                <w:lang w:val="en-GB"/>
              </w:rPr>
            </w:pPr>
            <w:r w:rsidRPr="00A46E41">
              <w:rPr>
                <w:b/>
                <w:lang w:val="en-GB"/>
              </w:rPr>
              <w:t>2018</w:t>
            </w:r>
          </w:p>
        </w:tc>
        <w:tc>
          <w:tcPr>
            <w:cnfStyle w:val="000001000000" w:firstRow="0" w:lastRow="0" w:firstColumn="0" w:lastColumn="0" w:oddVBand="0" w:evenVBand="1" w:oddHBand="0" w:evenHBand="0" w:firstRowFirstColumn="0" w:firstRowLastColumn="0" w:lastRowFirstColumn="0" w:lastRowLastColumn="0"/>
            <w:tcW w:w="1529" w:type="dxa"/>
          </w:tcPr>
          <w:p w14:paraId="5F8C0831" w14:textId="77777777" w:rsidR="00D6403A" w:rsidRPr="00A46E41" w:rsidRDefault="00D6403A" w:rsidP="00A46E41">
            <w:pPr>
              <w:pStyle w:val="Tableheader"/>
              <w:jc w:val="right"/>
              <w:rPr>
                <w:b/>
                <w:lang w:val="en-GB"/>
              </w:rPr>
            </w:pPr>
            <w:r w:rsidRPr="00A46E41">
              <w:rPr>
                <w:b/>
                <w:lang w:val="en-GB"/>
              </w:rPr>
              <w:t>2019</w:t>
            </w:r>
          </w:p>
        </w:tc>
        <w:tc>
          <w:tcPr>
            <w:cnfStyle w:val="000010000000" w:firstRow="0" w:lastRow="0" w:firstColumn="0" w:lastColumn="0" w:oddVBand="1" w:evenVBand="0" w:oddHBand="0" w:evenHBand="0" w:firstRowFirstColumn="0" w:firstRowLastColumn="0" w:lastRowFirstColumn="0" w:lastRowLastColumn="0"/>
            <w:tcW w:w="1529" w:type="dxa"/>
          </w:tcPr>
          <w:p w14:paraId="1A233B2C" w14:textId="77777777" w:rsidR="00D6403A" w:rsidRPr="00A46E41" w:rsidRDefault="00D6403A" w:rsidP="00A46E41">
            <w:pPr>
              <w:pStyle w:val="Tableheader"/>
              <w:jc w:val="right"/>
              <w:rPr>
                <w:b/>
                <w:lang w:val="en-GB"/>
              </w:rPr>
            </w:pPr>
            <w:r w:rsidRPr="00A46E41">
              <w:rPr>
                <w:b/>
                <w:lang w:val="en-GB"/>
              </w:rPr>
              <w:t>2020</w:t>
            </w:r>
          </w:p>
        </w:tc>
        <w:tc>
          <w:tcPr>
            <w:cnfStyle w:val="000001000000" w:firstRow="0" w:lastRow="0" w:firstColumn="0" w:lastColumn="0" w:oddVBand="0" w:evenVBand="1" w:oddHBand="0" w:evenHBand="0" w:firstRowFirstColumn="0" w:firstRowLastColumn="0" w:lastRowFirstColumn="0" w:lastRowLastColumn="0"/>
            <w:tcW w:w="1529" w:type="dxa"/>
          </w:tcPr>
          <w:p w14:paraId="54A1D06A" w14:textId="77777777" w:rsidR="00D6403A" w:rsidRPr="00A46E41" w:rsidRDefault="00D6403A" w:rsidP="00A46E41">
            <w:pPr>
              <w:pStyle w:val="Tableheader"/>
              <w:jc w:val="right"/>
              <w:rPr>
                <w:b/>
                <w:lang w:val="en-GB"/>
              </w:rPr>
            </w:pPr>
            <w:r w:rsidRPr="00A46E41">
              <w:rPr>
                <w:b/>
                <w:lang w:val="en-GB"/>
              </w:rPr>
              <w:t>2021</w:t>
            </w:r>
          </w:p>
        </w:tc>
      </w:tr>
      <w:tr w:rsidR="00D6403A" w:rsidRPr="00D6403A" w14:paraId="0AB4054B" w14:textId="77777777" w:rsidTr="00A46E41">
        <w:trPr>
          <w:trHeight w:val="52"/>
        </w:trPr>
        <w:tc>
          <w:tcPr>
            <w:cnfStyle w:val="000010000000" w:firstRow="0" w:lastRow="0" w:firstColumn="0" w:lastColumn="0" w:oddVBand="1" w:evenVBand="0" w:oddHBand="0" w:evenHBand="0" w:firstRowFirstColumn="0" w:firstRowLastColumn="0" w:lastRowFirstColumn="0" w:lastRowLastColumn="0"/>
            <w:tcW w:w="2647" w:type="dxa"/>
          </w:tcPr>
          <w:p w14:paraId="521A437C" w14:textId="3A9A43D2" w:rsidR="00D6403A" w:rsidRPr="00A46E41" w:rsidRDefault="00D6403A" w:rsidP="00A46E41">
            <w:pPr>
              <w:pStyle w:val="Tabletext"/>
              <w:jc w:val="left"/>
              <w:rPr>
                <w:b/>
                <w:lang w:val="en-GB"/>
              </w:rPr>
            </w:pPr>
            <w:r w:rsidRPr="00A46E41">
              <w:rPr>
                <w:b/>
                <w:lang w:val="en-GB"/>
              </w:rPr>
              <w:t>Public</w:t>
            </w:r>
          </w:p>
        </w:tc>
        <w:tc>
          <w:tcPr>
            <w:cnfStyle w:val="000001000000" w:firstRow="0" w:lastRow="0" w:firstColumn="0" w:lastColumn="0" w:oddVBand="0" w:evenVBand="1" w:oddHBand="0" w:evenHBand="0" w:firstRowFirstColumn="0" w:firstRowLastColumn="0" w:lastRowFirstColumn="0" w:lastRowLastColumn="0"/>
            <w:tcW w:w="1529" w:type="dxa"/>
          </w:tcPr>
          <w:p w14:paraId="549BDB51" w14:textId="77777777" w:rsidR="00D6403A" w:rsidRPr="00D6403A" w:rsidRDefault="00D6403A" w:rsidP="00A46E41">
            <w:pPr>
              <w:pStyle w:val="Tabletext"/>
              <w:rPr>
                <w:lang w:val="en-US"/>
              </w:rPr>
            </w:pPr>
            <w:r w:rsidRPr="00D6403A">
              <w:rPr>
                <w:lang w:val="en-US"/>
              </w:rPr>
              <w:t>85.7%</w:t>
            </w:r>
          </w:p>
        </w:tc>
        <w:tc>
          <w:tcPr>
            <w:cnfStyle w:val="000010000000" w:firstRow="0" w:lastRow="0" w:firstColumn="0" w:lastColumn="0" w:oddVBand="1" w:evenVBand="0" w:oddHBand="0" w:evenHBand="0" w:firstRowFirstColumn="0" w:firstRowLastColumn="0" w:lastRowFirstColumn="0" w:lastRowLastColumn="0"/>
            <w:tcW w:w="1529" w:type="dxa"/>
          </w:tcPr>
          <w:p w14:paraId="7A398225" w14:textId="77777777" w:rsidR="00D6403A" w:rsidRPr="00D6403A" w:rsidRDefault="00D6403A" w:rsidP="00A46E41">
            <w:pPr>
              <w:pStyle w:val="Tabletext"/>
              <w:rPr>
                <w:lang w:val="en-US"/>
              </w:rPr>
            </w:pPr>
            <w:r w:rsidRPr="00D6403A">
              <w:rPr>
                <w:lang w:val="en-US"/>
              </w:rPr>
              <w:t>87.0%</w:t>
            </w:r>
          </w:p>
        </w:tc>
        <w:tc>
          <w:tcPr>
            <w:cnfStyle w:val="000001000000" w:firstRow="0" w:lastRow="0" w:firstColumn="0" w:lastColumn="0" w:oddVBand="0" w:evenVBand="1" w:oddHBand="0" w:evenHBand="0" w:firstRowFirstColumn="0" w:firstRowLastColumn="0" w:lastRowFirstColumn="0" w:lastRowLastColumn="0"/>
            <w:tcW w:w="1529" w:type="dxa"/>
          </w:tcPr>
          <w:p w14:paraId="0B42CFD6" w14:textId="77777777" w:rsidR="00D6403A" w:rsidRPr="00D6403A" w:rsidRDefault="00D6403A" w:rsidP="00A46E41">
            <w:pPr>
              <w:pStyle w:val="Tabletext"/>
              <w:rPr>
                <w:lang w:val="en-US"/>
              </w:rPr>
            </w:pPr>
            <w:r w:rsidRPr="00D6403A">
              <w:rPr>
                <w:lang w:val="en-US"/>
              </w:rPr>
              <w:t>88.7%</w:t>
            </w:r>
          </w:p>
        </w:tc>
        <w:tc>
          <w:tcPr>
            <w:cnfStyle w:val="000010000000" w:firstRow="0" w:lastRow="0" w:firstColumn="0" w:lastColumn="0" w:oddVBand="1" w:evenVBand="0" w:oddHBand="0" w:evenHBand="0" w:firstRowFirstColumn="0" w:firstRowLastColumn="0" w:lastRowFirstColumn="0" w:lastRowLastColumn="0"/>
            <w:tcW w:w="1529" w:type="dxa"/>
          </w:tcPr>
          <w:p w14:paraId="1D2C0B1A" w14:textId="77777777" w:rsidR="00D6403A" w:rsidRPr="00D6403A" w:rsidRDefault="00D6403A" w:rsidP="00A46E41">
            <w:pPr>
              <w:pStyle w:val="Tabletext"/>
              <w:rPr>
                <w:lang w:val="en-US"/>
              </w:rPr>
            </w:pPr>
            <w:r w:rsidRPr="00D6403A">
              <w:rPr>
                <w:lang w:val="en-US"/>
              </w:rPr>
              <w:t>90.8%</w:t>
            </w:r>
          </w:p>
        </w:tc>
        <w:tc>
          <w:tcPr>
            <w:cnfStyle w:val="000001000000" w:firstRow="0" w:lastRow="0" w:firstColumn="0" w:lastColumn="0" w:oddVBand="0" w:evenVBand="1" w:oddHBand="0" w:evenHBand="0" w:firstRowFirstColumn="0" w:firstRowLastColumn="0" w:lastRowFirstColumn="0" w:lastRowLastColumn="0"/>
            <w:tcW w:w="1529" w:type="dxa"/>
            <w:shd w:val="clear" w:color="auto" w:fill="F2F2F2" w:themeFill="background1" w:themeFillShade="F2"/>
          </w:tcPr>
          <w:p w14:paraId="3DB2AD6D" w14:textId="77777777" w:rsidR="00D6403A" w:rsidRPr="00D6403A" w:rsidRDefault="00D6403A" w:rsidP="00A46E41">
            <w:pPr>
              <w:pStyle w:val="Tabletext"/>
              <w:rPr>
                <w:lang w:val="en-US"/>
              </w:rPr>
            </w:pPr>
            <w:r w:rsidRPr="00D6403A">
              <w:rPr>
                <w:lang w:val="en-US"/>
              </w:rPr>
              <w:t>91.2%</w:t>
            </w:r>
          </w:p>
        </w:tc>
      </w:tr>
      <w:tr w:rsidR="00D6403A" w:rsidRPr="00D6403A" w14:paraId="20BD0FD3" w14:textId="77777777" w:rsidTr="00A46E41">
        <w:trPr>
          <w:trHeight w:val="52"/>
        </w:trPr>
        <w:tc>
          <w:tcPr>
            <w:cnfStyle w:val="000010000000" w:firstRow="0" w:lastRow="0" w:firstColumn="0" w:lastColumn="0" w:oddVBand="1" w:evenVBand="0" w:oddHBand="0" w:evenHBand="0" w:firstRowFirstColumn="0" w:firstRowLastColumn="0" w:lastRowFirstColumn="0" w:lastRowLastColumn="0"/>
            <w:tcW w:w="2647" w:type="dxa"/>
          </w:tcPr>
          <w:p w14:paraId="373BC7CB" w14:textId="6F832476" w:rsidR="00D6403A" w:rsidRPr="00A46E41" w:rsidRDefault="00D6403A" w:rsidP="00A46E41">
            <w:pPr>
              <w:pStyle w:val="Tabletext"/>
              <w:jc w:val="left"/>
              <w:rPr>
                <w:b/>
                <w:lang w:val="en-GB"/>
              </w:rPr>
            </w:pPr>
            <w:r w:rsidRPr="00A46E41">
              <w:rPr>
                <w:b/>
                <w:lang w:val="en-GB"/>
              </w:rPr>
              <w:t>Private</w:t>
            </w:r>
          </w:p>
        </w:tc>
        <w:tc>
          <w:tcPr>
            <w:cnfStyle w:val="000001000000" w:firstRow="0" w:lastRow="0" w:firstColumn="0" w:lastColumn="0" w:oddVBand="0" w:evenVBand="1" w:oddHBand="0" w:evenHBand="0" w:firstRowFirstColumn="0" w:firstRowLastColumn="0" w:lastRowFirstColumn="0" w:lastRowLastColumn="0"/>
            <w:tcW w:w="1529" w:type="dxa"/>
          </w:tcPr>
          <w:p w14:paraId="0B6C7D68" w14:textId="77777777" w:rsidR="00D6403A" w:rsidRPr="00D6403A" w:rsidRDefault="00D6403A" w:rsidP="00A46E41">
            <w:pPr>
              <w:pStyle w:val="Tabletext"/>
              <w:rPr>
                <w:lang w:val="en-US"/>
              </w:rPr>
            </w:pPr>
            <w:r w:rsidRPr="00D6403A">
              <w:rPr>
                <w:lang w:val="en-US"/>
              </w:rPr>
              <w:t>71.7%</w:t>
            </w:r>
          </w:p>
        </w:tc>
        <w:tc>
          <w:tcPr>
            <w:cnfStyle w:val="000010000000" w:firstRow="0" w:lastRow="0" w:firstColumn="0" w:lastColumn="0" w:oddVBand="1" w:evenVBand="0" w:oddHBand="0" w:evenHBand="0" w:firstRowFirstColumn="0" w:firstRowLastColumn="0" w:lastRowFirstColumn="0" w:lastRowLastColumn="0"/>
            <w:tcW w:w="1529" w:type="dxa"/>
          </w:tcPr>
          <w:p w14:paraId="5C13BD45" w14:textId="77777777" w:rsidR="00D6403A" w:rsidRPr="00D6403A" w:rsidRDefault="00D6403A" w:rsidP="00A46E41">
            <w:pPr>
              <w:pStyle w:val="Tabletext"/>
              <w:rPr>
                <w:lang w:val="en-US"/>
              </w:rPr>
            </w:pPr>
            <w:r w:rsidRPr="00D6403A">
              <w:rPr>
                <w:lang w:val="en-US"/>
              </w:rPr>
              <w:t>72.3%</w:t>
            </w:r>
          </w:p>
        </w:tc>
        <w:tc>
          <w:tcPr>
            <w:cnfStyle w:val="000001000000" w:firstRow="0" w:lastRow="0" w:firstColumn="0" w:lastColumn="0" w:oddVBand="0" w:evenVBand="1" w:oddHBand="0" w:evenHBand="0" w:firstRowFirstColumn="0" w:firstRowLastColumn="0" w:lastRowFirstColumn="0" w:lastRowLastColumn="0"/>
            <w:tcW w:w="1529" w:type="dxa"/>
          </w:tcPr>
          <w:p w14:paraId="7C50ECA2" w14:textId="77777777" w:rsidR="00D6403A" w:rsidRPr="00D6403A" w:rsidRDefault="00D6403A" w:rsidP="00A46E41">
            <w:pPr>
              <w:pStyle w:val="Tabletext"/>
              <w:rPr>
                <w:lang w:val="en-US"/>
              </w:rPr>
            </w:pPr>
            <w:r w:rsidRPr="00D6403A">
              <w:rPr>
                <w:lang w:val="en-US"/>
              </w:rPr>
              <w:t>70.6%</w:t>
            </w:r>
          </w:p>
        </w:tc>
        <w:tc>
          <w:tcPr>
            <w:cnfStyle w:val="000010000000" w:firstRow="0" w:lastRow="0" w:firstColumn="0" w:lastColumn="0" w:oddVBand="1" w:evenVBand="0" w:oddHBand="0" w:evenHBand="0" w:firstRowFirstColumn="0" w:firstRowLastColumn="0" w:lastRowFirstColumn="0" w:lastRowLastColumn="0"/>
            <w:tcW w:w="1529" w:type="dxa"/>
          </w:tcPr>
          <w:p w14:paraId="47930A9F" w14:textId="77777777" w:rsidR="00D6403A" w:rsidRPr="00D6403A" w:rsidRDefault="00D6403A" w:rsidP="00A46E41">
            <w:pPr>
              <w:pStyle w:val="Tabletext"/>
              <w:rPr>
                <w:lang w:val="en-US"/>
              </w:rPr>
            </w:pPr>
            <w:r w:rsidRPr="00D6403A">
              <w:rPr>
                <w:lang w:val="en-US"/>
              </w:rPr>
              <w:t>73.2%</w:t>
            </w:r>
          </w:p>
        </w:tc>
        <w:tc>
          <w:tcPr>
            <w:cnfStyle w:val="000001000000" w:firstRow="0" w:lastRow="0" w:firstColumn="0" w:lastColumn="0" w:oddVBand="0" w:evenVBand="1" w:oddHBand="0" w:evenHBand="0" w:firstRowFirstColumn="0" w:firstRowLastColumn="0" w:lastRowFirstColumn="0" w:lastRowLastColumn="0"/>
            <w:tcW w:w="1529" w:type="dxa"/>
            <w:shd w:val="clear" w:color="auto" w:fill="F2F2F2" w:themeFill="background1" w:themeFillShade="F2"/>
          </w:tcPr>
          <w:p w14:paraId="6F0B54B1" w14:textId="77777777" w:rsidR="00D6403A" w:rsidRPr="00D6403A" w:rsidRDefault="00D6403A" w:rsidP="00A46E41">
            <w:pPr>
              <w:pStyle w:val="Tabletext"/>
              <w:rPr>
                <w:lang w:val="en-US"/>
              </w:rPr>
            </w:pPr>
            <w:r w:rsidRPr="00D6403A">
              <w:rPr>
                <w:lang w:val="en-US"/>
              </w:rPr>
              <w:t>73.1%</w:t>
            </w:r>
          </w:p>
        </w:tc>
      </w:tr>
      <w:tr w:rsidR="00D6403A" w:rsidRPr="00D6403A" w14:paraId="10B52EB6" w14:textId="77777777" w:rsidTr="00A46E41">
        <w:trPr>
          <w:trHeight w:val="52"/>
        </w:trPr>
        <w:tc>
          <w:tcPr>
            <w:cnfStyle w:val="000010000000" w:firstRow="0" w:lastRow="0" w:firstColumn="0" w:lastColumn="0" w:oddVBand="1" w:evenVBand="0" w:oddHBand="0" w:evenHBand="0" w:firstRowFirstColumn="0" w:firstRowLastColumn="0" w:lastRowFirstColumn="0" w:lastRowLastColumn="0"/>
            <w:tcW w:w="2647" w:type="dxa"/>
          </w:tcPr>
          <w:p w14:paraId="1014DF82" w14:textId="3F35F5CD" w:rsidR="00D6403A" w:rsidRPr="00A46E41" w:rsidRDefault="00D6403A" w:rsidP="00A46E41">
            <w:pPr>
              <w:pStyle w:val="Tabletext"/>
              <w:jc w:val="left"/>
              <w:rPr>
                <w:b/>
                <w:lang w:val="en-GB"/>
              </w:rPr>
            </w:pPr>
            <w:r w:rsidRPr="00A46E41">
              <w:rPr>
                <w:b/>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1529" w:type="dxa"/>
          </w:tcPr>
          <w:p w14:paraId="0BCF2724" w14:textId="77777777" w:rsidR="00D6403A" w:rsidRPr="00D6403A" w:rsidRDefault="00D6403A" w:rsidP="00A46E41">
            <w:pPr>
              <w:pStyle w:val="Tabletext"/>
              <w:rPr>
                <w:lang w:val="en-US"/>
              </w:rPr>
            </w:pPr>
            <w:r w:rsidRPr="00D6403A">
              <w:rPr>
                <w:lang w:val="en-US"/>
              </w:rPr>
              <w:t>81.9%</w:t>
            </w:r>
          </w:p>
        </w:tc>
        <w:tc>
          <w:tcPr>
            <w:cnfStyle w:val="000010000000" w:firstRow="0" w:lastRow="0" w:firstColumn="0" w:lastColumn="0" w:oddVBand="1" w:evenVBand="0" w:oddHBand="0" w:evenHBand="0" w:firstRowFirstColumn="0" w:firstRowLastColumn="0" w:lastRowFirstColumn="0" w:lastRowLastColumn="0"/>
            <w:tcW w:w="1529" w:type="dxa"/>
          </w:tcPr>
          <w:p w14:paraId="251D4A4D" w14:textId="77777777" w:rsidR="00D6403A" w:rsidRPr="00D6403A" w:rsidRDefault="00D6403A" w:rsidP="00A46E41">
            <w:pPr>
              <w:pStyle w:val="Tabletext"/>
              <w:rPr>
                <w:lang w:val="en-US"/>
              </w:rPr>
            </w:pPr>
            <w:r w:rsidRPr="00D6403A">
              <w:rPr>
                <w:lang w:val="en-US"/>
              </w:rPr>
              <w:t>83.1%</w:t>
            </w:r>
          </w:p>
        </w:tc>
        <w:tc>
          <w:tcPr>
            <w:cnfStyle w:val="000001000000" w:firstRow="0" w:lastRow="0" w:firstColumn="0" w:lastColumn="0" w:oddVBand="0" w:evenVBand="1" w:oddHBand="0" w:evenHBand="0" w:firstRowFirstColumn="0" w:firstRowLastColumn="0" w:lastRowFirstColumn="0" w:lastRowLastColumn="0"/>
            <w:tcW w:w="1529" w:type="dxa"/>
          </w:tcPr>
          <w:p w14:paraId="6FB8249E" w14:textId="77777777" w:rsidR="00D6403A" w:rsidRPr="00D6403A" w:rsidRDefault="00D6403A" w:rsidP="00A46E41">
            <w:pPr>
              <w:pStyle w:val="Tabletext"/>
              <w:rPr>
                <w:lang w:val="en-US"/>
              </w:rPr>
            </w:pPr>
            <w:r w:rsidRPr="00D6403A">
              <w:rPr>
                <w:lang w:val="en-US"/>
              </w:rPr>
              <w:t>84.0%</w:t>
            </w:r>
          </w:p>
        </w:tc>
        <w:tc>
          <w:tcPr>
            <w:cnfStyle w:val="000010000000" w:firstRow="0" w:lastRow="0" w:firstColumn="0" w:lastColumn="0" w:oddVBand="1" w:evenVBand="0" w:oddHBand="0" w:evenHBand="0" w:firstRowFirstColumn="0" w:firstRowLastColumn="0" w:lastRowFirstColumn="0" w:lastRowLastColumn="0"/>
            <w:tcW w:w="1529" w:type="dxa"/>
          </w:tcPr>
          <w:p w14:paraId="0661A788" w14:textId="77777777" w:rsidR="00D6403A" w:rsidRPr="00D6403A" w:rsidRDefault="00D6403A" w:rsidP="00A46E41">
            <w:pPr>
              <w:pStyle w:val="Tabletext"/>
              <w:rPr>
                <w:lang w:val="en-US"/>
              </w:rPr>
            </w:pPr>
            <w:r w:rsidRPr="00D6403A">
              <w:rPr>
                <w:lang w:val="en-US"/>
              </w:rPr>
              <w:t>86.4%</w:t>
            </w:r>
          </w:p>
        </w:tc>
        <w:tc>
          <w:tcPr>
            <w:cnfStyle w:val="000001000000" w:firstRow="0" w:lastRow="0" w:firstColumn="0" w:lastColumn="0" w:oddVBand="0" w:evenVBand="1" w:oddHBand="0" w:evenHBand="0" w:firstRowFirstColumn="0" w:firstRowLastColumn="0" w:lastRowFirstColumn="0" w:lastRowLastColumn="0"/>
            <w:tcW w:w="1529" w:type="dxa"/>
            <w:shd w:val="clear" w:color="auto" w:fill="F2F2F2" w:themeFill="background1" w:themeFillShade="F2"/>
          </w:tcPr>
          <w:p w14:paraId="6B64AFB2" w14:textId="77777777" w:rsidR="00D6403A" w:rsidRPr="00D6403A" w:rsidRDefault="00D6403A" w:rsidP="00A46E41">
            <w:pPr>
              <w:pStyle w:val="Tabletext"/>
              <w:rPr>
                <w:lang w:val="en-US"/>
              </w:rPr>
            </w:pPr>
            <w:r w:rsidRPr="00D6403A">
              <w:rPr>
                <w:lang w:val="en-US"/>
              </w:rPr>
              <w:t>86.5%</w:t>
            </w:r>
          </w:p>
        </w:tc>
      </w:tr>
    </w:tbl>
    <w:p w14:paraId="38E00049" w14:textId="77777777" w:rsidR="00D6403A" w:rsidRPr="00D6403A" w:rsidRDefault="00D6403A" w:rsidP="00870C38">
      <w:pPr>
        <w:pStyle w:val="Tablechartdiagramheading"/>
      </w:pPr>
      <w:r w:rsidRPr="00D6403A">
        <w:t>Figure 24. Time trend of Indicator 1dii, 2017–2021</w:t>
      </w:r>
    </w:p>
    <w:p w14:paraId="0477BDD9" w14:textId="539B28C1" w:rsidR="00D6403A" w:rsidRPr="00D6403A" w:rsidRDefault="00A46E41" w:rsidP="00862996">
      <w:pPr>
        <w:rPr>
          <w:lang w:val="en-GB"/>
        </w:rPr>
      </w:pPr>
      <w:r>
        <w:rPr>
          <w:noProof/>
          <w:lang w:val="en-GB"/>
        </w:rPr>
        <w:drawing>
          <wp:inline distT="0" distB="0" distL="0" distR="0" wp14:anchorId="02774A36" wp14:editId="357CA3F4">
            <wp:extent cx="3149600" cy="1295400"/>
            <wp:effectExtent l="0" t="0" r="0" b="0"/>
            <wp:docPr id="31" name="Picture 31" descr="Line chart of Table 8 indicator 1dii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_2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49600" cy="1295400"/>
                    </a:xfrm>
                    <a:prstGeom prst="rect">
                      <a:avLst/>
                    </a:prstGeom>
                  </pic:spPr>
                </pic:pic>
              </a:graphicData>
            </a:graphic>
          </wp:inline>
        </w:drawing>
      </w:r>
    </w:p>
    <w:p w14:paraId="00BAF2B2" w14:textId="77777777" w:rsidR="00D6403A" w:rsidRPr="00D6403A" w:rsidRDefault="00D6403A" w:rsidP="005939CC">
      <w:pPr>
        <w:pStyle w:val="Heading2"/>
        <w:rPr>
          <w:lang w:val="en-GB"/>
        </w:rPr>
      </w:pPr>
      <w:bookmarkStart w:id="33" w:name="_Toc159326591"/>
      <w:r w:rsidRPr="00D6403A">
        <w:rPr>
          <w:lang w:val="en-GB"/>
        </w:rPr>
        <w:lastRenderedPageBreak/>
        <w:t>Definition and data source</w:t>
      </w:r>
      <w:bookmarkEnd w:id="33"/>
    </w:p>
    <w:p w14:paraId="1EFD475F" w14:textId="77777777" w:rsidR="00D6403A" w:rsidRPr="00D6403A" w:rsidRDefault="00D6403A" w:rsidP="008340E5">
      <w:pPr>
        <w:pStyle w:val="Heading3"/>
        <w:rPr>
          <w:lang w:val="en-GB"/>
        </w:rPr>
      </w:pPr>
      <w:r w:rsidRPr="00D6403A">
        <w:rPr>
          <w:lang w:val="en-GB"/>
        </w:rPr>
        <w:t>Definition</w:t>
      </w:r>
    </w:p>
    <w:p w14:paraId="75A7BD89" w14:textId="77777777" w:rsidR="00D6403A" w:rsidRPr="00D6403A" w:rsidRDefault="00D6403A" w:rsidP="00005134">
      <w:pPr>
        <w:rPr>
          <w:lang w:val="en-GB"/>
        </w:rPr>
      </w:pPr>
      <w:r w:rsidRPr="00D6403A">
        <w:rPr>
          <w:lang w:val="en-GB"/>
        </w:rPr>
        <w:t>For all primiparae, the proportion who received an episiotomy during an unassisted vaginal birth (Indicator 1di), and the proportion who received an episiotomy during an assisted vaginal birth (Indicator</w:t>
      </w:r>
      <w:r w:rsidRPr="00D6403A">
        <w:rPr>
          <w:rFonts w:ascii="Cambria" w:hAnsi="Cambria" w:cs="Cambria"/>
          <w:color w:val="000000"/>
          <w:lang w:val="en-GB"/>
        </w:rPr>
        <w:t> </w:t>
      </w:r>
      <w:r w:rsidRPr="00D6403A">
        <w:rPr>
          <w:lang w:val="en-GB"/>
        </w:rPr>
        <w:t>1dii).</w:t>
      </w:r>
    </w:p>
    <w:p w14:paraId="3F1F14B0" w14:textId="68401289" w:rsidR="00D6403A" w:rsidRPr="00D6403A" w:rsidRDefault="00D6403A" w:rsidP="00862996">
      <w:pPr>
        <w:rPr>
          <w:lang w:val="en-GB"/>
        </w:rPr>
      </w:pPr>
      <w:r w:rsidRPr="00D6403A">
        <w:rPr>
          <w:lang w:val="en-GB"/>
        </w:rPr>
        <w:t>Episiotomy is defined as an incision of the perineum and vagina made during vaginal birth.</w:t>
      </w:r>
    </w:p>
    <w:p w14:paraId="266972FD" w14:textId="7D13EE01" w:rsidR="00D6403A" w:rsidRPr="00D6403A" w:rsidRDefault="00D6403A" w:rsidP="00862996">
      <w:pPr>
        <w:rPr>
          <w:lang w:val="en-GB"/>
        </w:rPr>
      </w:pPr>
      <w:r w:rsidRPr="00D6403A">
        <w:rPr>
          <w:lang w:val="en-GB"/>
        </w:rPr>
        <w:t>Included are those women who gave birth for the first time and had a vaginal birth, with or without instruments. Women who had a multiple birth are included if this was the first time they had given birth. Excluded are those women who did not give birth for the first time or gave birth by caesarean section.</w:t>
      </w:r>
    </w:p>
    <w:p w14:paraId="366D1F97" w14:textId="77777777" w:rsidR="00D6403A" w:rsidRPr="00D6403A" w:rsidRDefault="00D6403A" w:rsidP="00005134">
      <w:pPr>
        <w:rPr>
          <w:lang w:val="en-GB"/>
        </w:rPr>
      </w:pPr>
      <w:r w:rsidRPr="00D6403A">
        <w:rPr>
          <w:lang w:val="en-GB"/>
        </w:rPr>
        <w:t>Assisted (or operative/instrumental) vaginal birth refers to a forceps- or vacuum-assisted birth. Operative intervention in the second stage of labour may be indicated by conditions of the fetus (baby) or the mother. The most common indication for an instrumental birth is inadequate progress in labour or</w:t>
      </w:r>
      <w:r w:rsidRPr="00D6403A">
        <w:rPr>
          <w:rFonts w:ascii="Cambria" w:hAnsi="Cambria" w:cs="Cambria"/>
          <w:color w:val="000000"/>
          <w:lang w:val="en-GB"/>
        </w:rPr>
        <w:t> </w:t>
      </w:r>
      <w:r w:rsidRPr="00D6403A">
        <w:rPr>
          <w:lang w:val="en-GB"/>
        </w:rPr>
        <w:t>concerns about fetal wellbeing (abnormal heart rate).</w:t>
      </w:r>
    </w:p>
    <w:p w14:paraId="1361A8DE" w14:textId="77777777" w:rsidR="00D6403A" w:rsidRPr="00D6403A" w:rsidRDefault="00D6403A" w:rsidP="008340E5">
      <w:pPr>
        <w:pStyle w:val="Heading3"/>
        <w:rPr>
          <w:lang w:val="en-GB"/>
        </w:rPr>
      </w:pPr>
      <w:r w:rsidRPr="00D6403A">
        <w:rPr>
          <w:lang w:val="en-GB"/>
        </w:rPr>
        <w:t>Data source: Victorian Perinatal Data Collection</w:t>
      </w:r>
    </w:p>
    <w:p w14:paraId="24980B4A" w14:textId="77777777" w:rsidR="00D6403A" w:rsidRPr="00D6403A" w:rsidRDefault="00D6403A" w:rsidP="00005134">
      <w:pPr>
        <w:rPr>
          <w:lang w:val="en-GB"/>
        </w:rPr>
      </w:pPr>
      <w:r w:rsidRPr="00D6403A">
        <w:rPr>
          <w:lang w:val="en-GB"/>
        </w:rPr>
        <w:t>Data for these indicators are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77F5EA06" w14:textId="77777777" w:rsidR="00D6403A" w:rsidRPr="00D6403A" w:rsidRDefault="00D6403A" w:rsidP="00862996">
      <w:pPr>
        <w:rPr>
          <w:lang w:val="en-GB"/>
        </w:rPr>
      </w:pPr>
      <w:r w:rsidRPr="00D6403A">
        <w:rPr>
          <w:lang w:val="en-GB"/>
        </w:rPr>
        <w:t>The indicators are derived using the following VPDC variables: ‘Estimated gestational age’, ‘Birthweight’, ‘Method of birth’, ‘Birth order’, ‘Parity’ and ‘Episiotomy – indicator’.</w:t>
      </w:r>
    </w:p>
    <w:p w14:paraId="301FE7B5"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791182C9" w14:textId="77777777" w:rsidTr="00A46E41">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5308EA96" w14:textId="77777777" w:rsidR="00D6403A" w:rsidRPr="00D6403A" w:rsidRDefault="00D6403A" w:rsidP="00A46E41">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181C628C" w14:textId="77777777" w:rsidR="00D6403A" w:rsidRPr="00D6403A" w:rsidRDefault="00D6403A" w:rsidP="00A46E41">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13FD5779" w14:textId="77777777" w:rsidR="00D6403A" w:rsidRPr="00D6403A" w:rsidRDefault="00D6403A" w:rsidP="00A46E41">
            <w:pPr>
              <w:pStyle w:val="Tableheader"/>
              <w:rPr>
                <w:b/>
                <w:lang w:val="en-GB"/>
              </w:rPr>
            </w:pPr>
            <w:r w:rsidRPr="00D6403A">
              <w:rPr>
                <w:b/>
                <w:lang w:val="en-GB"/>
              </w:rPr>
              <w:t>Denominator</w:t>
            </w:r>
          </w:p>
        </w:tc>
      </w:tr>
      <w:tr w:rsidR="00D6403A" w:rsidRPr="00D6403A" w14:paraId="6F62499C" w14:textId="77777777" w:rsidTr="00A46E41">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2FD36450" w14:textId="77777777" w:rsidR="00D6403A" w:rsidRPr="00A46E41" w:rsidRDefault="00D6403A" w:rsidP="00A46E41">
            <w:pPr>
              <w:pStyle w:val="Tabletext"/>
              <w:jc w:val="left"/>
              <w:rPr>
                <w:b/>
                <w:lang w:val="en-GB"/>
              </w:rPr>
            </w:pPr>
            <w:r w:rsidRPr="00A46E41">
              <w:rPr>
                <w:b/>
                <w:lang w:val="en-GB"/>
              </w:rPr>
              <w:t>Indicator 1di: Rate of primiparae who received an episiotomy during unassisted vaginal births</w:t>
            </w:r>
          </w:p>
        </w:tc>
        <w:tc>
          <w:tcPr>
            <w:cnfStyle w:val="000001000000" w:firstRow="0" w:lastRow="0" w:firstColumn="0" w:lastColumn="0" w:oddVBand="0" w:evenVBand="1" w:oddHBand="0" w:evenHBand="0" w:firstRowFirstColumn="0" w:firstRowLastColumn="0" w:lastRowFirstColumn="0" w:lastRowLastColumn="0"/>
            <w:tcW w:w="3401" w:type="dxa"/>
          </w:tcPr>
          <w:p w14:paraId="5BBC1E50" w14:textId="77777777" w:rsidR="00D6403A" w:rsidRPr="00D6403A" w:rsidRDefault="00D6403A" w:rsidP="00A46E41">
            <w:pPr>
              <w:pStyle w:val="Tabletext"/>
              <w:jc w:val="left"/>
              <w:rPr>
                <w:lang w:val="en-US"/>
              </w:rPr>
            </w:pPr>
            <w:r w:rsidRPr="00D6403A">
              <w:rPr>
                <w:lang w:val="en-US"/>
              </w:rPr>
              <w:t>The number of primiparae who had an episiotomy during an unassisted vaginal birth</w:t>
            </w:r>
          </w:p>
        </w:tc>
        <w:tc>
          <w:tcPr>
            <w:cnfStyle w:val="000010000000" w:firstRow="0" w:lastRow="0" w:firstColumn="0" w:lastColumn="0" w:oddVBand="1" w:evenVBand="0" w:oddHBand="0" w:evenHBand="0" w:firstRowFirstColumn="0" w:firstRowLastColumn="0" w:lastRowFirstColumn="0" w:lastRowLastColumn="0"/>
            <w:tcW w:w="3402" w:type="dxa"/>
          </w:tcPr>
          <w:p w14:paraId="5AE3C751" w14:textId="77777777" w:rsidR="00D6403A" w:rsidRPr="00D6403A" w:rsidRDefault="00D6403A" w:rsidP="00A46E41">
            <w:pPr>
              <w:pStyle w:val="Tabletext"/>
              <w:jc w:val="left"/>
              <w:rPr>
                <w:lang w:val="en-US"/>
              </w:rPr>
            </w:pPr>
            <w:r w:rsidRPr="00AE4C75">
              <w:t>The number of primiparae who had</w:t>
            </w:r>
            <w:r w:rsidRPr="00D6403A">
              <w:rPr>
                <w:rFonts w:ascii="Cambria" w:hAnsi="Cambria" w:cs="Cambria"/>
                <w:lang w:val="en-US"/>
              </w:rPr>
              <w:t> </w:t>
            </w:r>
            <w:r w:rsidRPr="00D6403A">
              <w:rPr>
                <w:lang w:val="en-US"/>
              </w:rPr>
              <w:t>an unassisted vaginal birth</w:t>
            </w:r>
          </w:p>
        </w:tc>
      </w:tr>
      <w:tr w:rsidR="00D6403A" w:rsidRPr="00D6403A" w14:paraId="1C73CEDC" w14:textId="77777777" w:rsidTr="00A46E41">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28AEE80D" w14:textId="77777777" w:rsidR="00D6403A" w:rsidRPr="00A46E41" w:rsidRDefault="00D6403A" w:rsidP="00A46E41">
            <w:pPr>
              <w:pStyle w:val="Tabletext"/>
              <w:jc w:val="left"/>
              <w:rPr>
                <w:b/>
                <w:lang w:val="en-GB"/>
              </w:rPr>
            </w:pPr>
            <w:r w:rsidRPr="00A46E41">
              <w:rPr>
                <w:b/>
                <w:lang w:val="en-GB"/>
              </w:rPr>
              <w:t>Indicator 1dii: Rate of primiparae who received an episiotomy during assisted vaginal births</w:t>
            </w:r>
          </w:p>
        </w:tc>
        <w:tc>
          <w:tcPr>
            <w:cnfStyle w:val="000001000000" w:firstRow="0" w:lastRow="0" w:firstColumn="0" w:lastColumn="0" w:oddVBand="0" w:evenVBand="1" w:oddHBand="0" w:evenHBand="0" w:firstRowFirstColumn="0" w:firstRowLastColumn="0" w:lastRowFirstColumn="0" w:lastRowLastColumn="0"/>
            <w:tcW w:w="3401" w:type="dxa"/>
          </w:tcPr>
          <w:p w14:paraId="5908F04C" w14:textId="77777777" w:rsidR="00D6403A" w:rsidRPr="00D6403A" w:rsidRDefault="00D6403A" w:rsidP="00A46E41">
            <w:pPr>
              <w:pStyle w:val="Tabletext"/>
              <w:jc w:val="left"/>
              <w:rPr>
                <w:lang w:val="en-US"/>
              </w:rPr>
            </w:pPr>
            <w:r w:rsidRPr="00D6403A">
              <w:rPr>
                <w:lang w:val="en-US"/>
              </w:rPr>
              <w:t>The number of primiparae who had an episiotomy during an assisted vaginal birth</w:t>
            </w:r>
          </w:p>
        </w:tc>
        <w:tc>
          <w:tcPr>
            <w:cnfStyle w:val="000010000000" w:firstRow="0" w:lastRow="0" w:firstColumn="0" w:lastColumn="0" w:oddVBand="1" w:evenVBand="0" w:oddHBand="0" w:evenHBand="0" w:firstRowFirstColumn="0" w:firstRowLastColumn="0" w:lastRowFirstColumn="0" w:lastRowLastColumn="0"/>
            <w:tcW w:w="3402" w:type="dxa"/>
          </w:tcPr>
          <w:p w14:paraId="46F76894" w14:textId="77777777" w:rsidR="00D6403A" w:rsidRPr="00D6403A" w:rsidRDefault="00D6403A" w:rsidP="00A46E41">
            <w:pPr>
              <w:pStyle w:val="Tabletext"/>
              <w:jc w:val="left"/>
              <w:rPr>
                <w:lang w:val="en-US"/>
              </w:rPr>
            </w:pPr>
            <w:r w:rsidRPr="00AE4C75">
              <w:t>The number of primiparae who had an assisted (instrumental) vaginal</w:t>
            </w:r>
            <w:r w:rsidRPr="00D6403A">
              <w:rPr>
                <w:rFonts w:ascii="Cambria" w:hAnsi="Cambria" w:cs="Cambria"/>
                <w:lang w:val="en-US"/>
              </w:rPr>
              <w:t> </w:t>
            </w:r>
            <w:r w:rsidRPr="00D6403A">
              <w:rPr>
                <w:lang w:val="en-US"/>
              </w:rPr>
              <w:t>birth</w:t>
            </w:r>
          </w:p>
        </w:tc>
      </w:tr>
    </w:tbl>
    <w:p w14:paraId="2E06FEA8" w14:textId="77777777" w:rsidR="00A46E41" w:rsidRDefault="00A46E41" w:rsidP="00A46E41">
      <w:pPr>
        <w:pStyle w:val="Heading2"/>
        <w:rPr>
          <w:lang w:val="en-GB"/>
        </w:rPr>
      </w:pPr>
      <w:bookmarkStart w:id="34" w:name="_Toc159326592"/>
    </w:p>
    <w:p w14:paraId="67960A58" w14:textId="77777777" w:rsidR="00A46E41" w:rsidRDefault="00A46E41">
      <w:pPr>
        <w:rPr>
          <w:rFonts w:asciiTheme="majorHAnsi" w:eastAsiaTheme="majorEastAsia" w:hAnsiTheme="majorHAnsi" w:cs="Times New Roman (Headings CS)"/>
          <w:b/>
          <w:bCs/>
          <w:color w:val="007586" w:themeColor="text2"/>
          <w:sz w:val="28"/>
          <w:szCs w:val="26"/>
          <w:lang w:val="en-GB"/>
        </w:rPr>
      </w:pPr>
      <w:r>
        <w:rPr>
          <w:lang w:val="en-GB"/>
        </w:rPr>
        <w:br w:type="page"/>
      </w:r>
    </w:p>
    <w:p w14:paraId="1E673F9A" w14:textId="5D643019" w:rsidR="00D6403A" w:rsidRPr="00D6403A" w:rsidRDefault="00D6403A" w:rsidP="00A46E41">
      <w:pPr>
        <w:pStyle w:val="Heading1"/>
        <w:framePr w:wrap="around"/>
        <w:rPr>
          <w:lang w:val="en-GB"/>
        </w:rPr>
      </w:pPr>
      <w:r w:rsidRPr="00D6403A">
        <w:rPr>
          <w:lang w:val="en-GB"/>
        </w:rPr>
        <w:lastRenderedPageBreak/>
        <w:t>2: Term babies without congenital anomalies who required additional care</w:t>
      </w:r>
      <w:bookmarkEnd w:id="34"/>
    </w:p>
    <w:p w14:paraId="79FFBF8C" w14:textId="77777777" w:rsidR="00D6403A" w:rsidRPr="00D6403A" w:rsidRDefault="00D6403A" w:rsidP="00D6403A">
      <w:pPr>
        <w:pStyle w:val="IntroductoryText"/>
        <w:rPr>
          <w:lang w:val="en-GB"/>
        </w:rPr>
      </w:pPr>
      <w:r w:rsidRPr="00D6403A">
        <w:rPr>
          <w:lang w:val="en-GB"/>
        </w:rPr>
        <w:t>Most inborn babies, born at 37 weeks or more, with a birthweight of at least 2,500 grams and without the presence of a congenital anomaly are not expected to need additional care requiring admission to a neonatal unit (special care nursery or neonatal intensive care unit) following birth. This indicator indirectly measures the quality of care provided during pregnancy, labour and birth, and in the early neonatal period. Babies born with a congenital anomaly may need more individualised care and so they are not included.</w:t>
      </w:r>
    </w:p>
    <w:p w14:paraId="63645E6F" w14:textId="77777777" w:rsidR="00D6403A" w:rsidRPr="00D6403A" w:rsidRDefault="00D6403A" w:rsidP="005939CC">
      <w:pPr>
        <w:pStyle w:val="Heading2"/>
        <w:rPr>
          <w:lang w:val="en-GB"/>
        </w:rPr>
      </w:pPr>
      <w:bookmarkStart w:id="35" w:name="_Toc159326593"/>
      <w:r w:rsidRPr="00D6403A">
        <w:rPr>
          <w:lang w:val="en-GB"/>
        </w:rPr>
        <w:t>About this indicator</w:t>
      </w:r>
      <w:bookmarkEnd w:id="35"/>
    </w:p>
    <w:p w14:paraId="1C87BCD7" w14:textId="77777777" w:rsidR="00D6403A" w:rsidRPr="00D6403A" w:rsidRDefault="00D6403A" w:rsidP="00862996">
      <w:pPr>
        <w:rPr>
          <w:lang w:val="en-GB"/>
        </w:rPr>
      </w:pPr>
      <w:r w:rsidRPr="00D6403A">
        <w:rPr>
          <w:lang w:val="en-GB"/>
        </w:rPr>
        <w:t>This indicator aims to highlight variations in the care required for term babies (born at 37 weeks’ gestation or more) without congenital anomalies. We expect the need for additional care and treatment in most term babies to be low. The data for this indicator is only available for public hospitals.</w:t>
      </w:r>
    </w:p>
    <w:p w14:paraId="1E6448E4" w14:textId="009EA436" w:rsidR="00D6403A" w:rsidRPr="00D6403A" w:rsidRDefault="00D6403A" w:rsidP="00005134">
      <w:pPr>
        <w:rPr>
          <w:lang w:val="en-GB"/>
        </w:rPr>
      </w:pPr>
      <w:r w:rsidRPr="00D6403A">
        <w:rPr>
          <w:lang w:val="en-GB"/>
        </w:rPr>
        <w:t>We know some babies will experience medical conditions following birth that require admission to a</w:t>
      </w:r>
      <w:r w:rsidRPr="00D6403A">
        <w:rPr>
          <w:rFonts w:ascii="Cambria" w:hAnsi="Cambria" w:cs="Cambria"/>
          <w:color w:val="000000"/>
          <w:lang w:val="en-GB"/>
        </w:rPr>
        <w:t> </w:t>
      </w:r>
      <w:r w:rsidRPr="00D6403A">
        <w:rPr>
          <w:lang w:val="en-GB"/>
        </w:rPr>
        <w:t>neonatal unit for additional care – for example, jaundice, low Apgar score, sepsis and seizures.</w:t>
      </w:r>
    </w:p>
    <w:p w14:paraId="084D22EE" w14:textId="7E0BD807" w:rsidR="00D6403A" w:rsidRDefault="00D6403A" w:rsidP="00862996">
      <w:pPr>
        <w:rPr>
          <w:lang w:val="en-GB"/>
        </w:rPr>
      </w:pPr>
      <w:r w:rsidRPr="00D6403A">
        <w:rPr>
          <w:lang w:val="en-GB"/>
        </w:rPr>
        <w:t>Higher rates may indicate quality of care issues during labour, birth and/or the immediate neonatal period. It may also reflect differing models of care or practice from hospital to hospital.</w:t>
      </w:r>
    </w:p>
    <w:p w14:paraId="276B796F" w14:textId="64395459" w:rsidR="00FC73DE" w:rsidRPr="00D6403A" w:rsidRDefault="00FC73DE" w:rsidP="00862996">
      <w:pPr>
        <w:rPr>
          <w:lang w:val="en-GB"/>
        </w:rPr>
      </w:pPr>
      <w:r w:rsidRPr="003A32F6">
        <w:rPr>
          <w:lang w:val="en-GB"/>
        </w:rPr>
        <w:t>[Break out box text:</w:t>
      </w:r>
    </w:p>
    <w:p w14:paraId="793202F4" w14:textId="77777777" w:rsidR="00FC73DE" w:rsidRPr="00D6403A" w:rsidRDefault="00FC73DE" w:rsidP="00FC73DE">
      <w:pPr>
        <w:pStyle w:val="Heading3"/>
        <w:rPr>
          <w:lang w:val="en-GB"/>
        </w:rPr>
      </w:pPr>
      <w:r w:rsidRPr="00D6403A">
        <w:rPr>
          <w:lang w:val="en-GB"/>
        </w:rPr>
        <w:t>What pregnant women and families need to know</w:t>
      </w:r>
    </w:p>
    <w:p w14:paraId="0EA83BB6" w14:textId="77777777" w:rsidR="00FC73DE" w:rsidRPr="00D6403A" w:rsidRDefault="00FC73DE" w:rsidP="00005134">
      <w:pPr>
        <w:rPr>
          <w:lang w:val="en-GB"/>
        </w:rPr>
      </w:pPr>
      <w:r w:rsidRPr="00D6403A">
        <w:rPr>
          <w:lang w:val="en-GB"/>
        </w:rPr>
        <w:t>Healthy term babies should be with their mothers after birth, therefore, the rate of admission of babies to a neonatal unit (intensive care or special care nursery) should be low. We measure how many babies we would expect to stay with their mother but end up being admitted to a</w:t>
      </w:r>
      <w:r w:rsidRPr="00D6403A">
        <w:rPr>
          <w:rFonts w:ascii="Cambria" w:hAnsi="Cambria" w:cs="Cambria"/>
          <w:lang w:val="en-GB"/>
        </w:rPr>
        <w:t> </w:t>
      </w:r>
      <w:r w:rsidRPr="00D6403A">
        <w:rPr>
          <w:lang w:val="en-GB"/>
        </w:rPr>
        <w:t>neonatal unit for specialised care.</w:t>
      </w:r>
    </w:p>
    <w:p w14:paraId="67076C56" w14:textId="610E6B3B" w:rsidR="00FC73DE" w:rsidRPr="00D6403A" w:rsidRDefault="00FC73DE" w:rsidP="00005134">
      <w:pPr>
        <w:rPr>
          <w:lang w:val="en-GB"/>
        </w:rPr>
      </w:pPr>
      <w:r w:rsidRPr="00D6403A">
        <w:rPr>
          <w:lang w:val="en-GB"/>
        </w:rPr>
        <w:t>This measure looks at babies who are born without any congenital anomalies because these babies should not need extra care. Sometimes admission to a neonatal unit is needed – for</w:t>
      </w:r>
      <w:r w:rsidRPr="00D6403A">
        <w:rPr>
          <w:rFonts w:ascii="Cambria" w:hAnsi="Cambria" w:cs="Cambria"/>
          <w:lang w:val="en-GB"/>
        </w:rPr>
        <w:t> </w:t>
      </w:r>
      <w:r w:rsidRPr="00D6403A">
        <w:rPr>
          <w:lang w:val="en-GB"/>
        </w:rPr>
        <w:t>example, if the baby develops jaundice or signs of an infection and needs to be treated.</w:t>
      </w:r>
    </w:p>
    <w:p w14:paraId="22D41A6D" w14:textId="01349872" w:rsidR="00FC73DE" w:rsidRPr="00D6403A" w:rsidRDefault="00FC73DE" w:rsidP="00005134">
      <w:pPr>
        <w:rPr>
          <w:color w:val="000000"/>
          <w:lang w:val="en-GB"/>
        </w:rPr>
      </w:pPr>
      <w:r w:rsidRPr="00D6403A">
        <w:rPr>
          <w:lang w:val="en-GB"/>
        </w:rPr>
        <w:t>There is variation between hospitals across Victoria, but this may be an indication of different newborn care provided within individual hospitals.</w:t>
      </w:r>
    </w:p>
    <w:p w14:paraId="6876D6B9" w14:textId="732BD792" w:rsidR="00D6403A" w:rsidRPr="00FC73DE" w:rsidRDefault="00FC73DE" w:rsidP="00862996">
      <w:r w:rsidRPr="003A32F6">
        <w:t>End of break out box text.]</w:t>
      </w:r>
    </w:p>
    <w:p w14:paraId="32187131" w14:textId="77777777" w:rsidR="00D6403A" w:rsidRPr="00D6403A" w:rsidRDefault="00D6403A" w:rsidP="005939CC">
      <w:pPr>
        <w:pStyle w:val="Heading2"/>
        <w:rPr>
          <w:lang w:val="en-GB"/>
        </w:rPr>
      </w:pPr>
      <w:bookmarkStart w:id="36" w:name="_Toc159326594"/>
      <w:r w:rsidRPr="00D6403A">
        <w:rPr>
          <w:lang w:val="en-GB"/>
        </w:rPr>
        <w:t>Observations on the data</w:t>
      </w:r>
      <w:bookmarkEnd w:id="36"/>
    </w:p>
    <w:p w14:paraId="6EBB338C" w14:textId="59C8FC78" w:rsidR="00D6403A" w:rsidRPr="00D6403A" w:rsidRDefault="00D6403A" w:rsidP="00862996">
      <w:pPr>
        <w:rPr>
          <w:lang w:val="en-GB"/>
        </w:rPr>
      </w:pPr>
      <w:r w:rsidRPr="00D6403A">
        <w:rPr>
          <w:lang w:val="en-GB"/>
        </w:rPr>
        <w:t>The statewide public hospital rate of term babies without congenital anomalies who required additional care in 2021–22 was 11.0%. This is a slight reduction from 2020–21 (11.7%).</w:t>
      </w:r>
    </w:p>
    <w:p w14:paraId="1EB57E64" w14:textId="77777777" w:rsidR="00D6403A" w:rsidRPr="00D6403A" w:rsidRDefault="00D6403A" w:rsidP="00005134">
      <w:pPr>
        <w:rPr>
          <w:lang w:val="en-GB"/>
        </w:rPr>
      </w:pPr>
      <w:r w:rsidRPr="00D6403A">
        <w:rPr>
          <w:lang w:val="en-GB"/>
        </w:rPr>
        <w:t>The graphs on the following page (Figure 25 and Figure 26) show variation between hospitals in rates of</w:t>
      </w:r>
      <w:r w:rsidRPr="00D6403A">
        <w:rPr>
          <w:rFonts w:ascii="Cambria" w:hAnsi="Cambria" w:cs="Cambria"/>
          <w:color w:val="000000"/>
          <w:lang w:val="en-GB"/>
        </w:rPr>
        <w:t> </w:t>
      </w:r>
      <w:r w:rsidRPr="00D6403A">
        <w:rPr>
          <w:lang w:val="en-GB"/>
        </w:rPr>
        <w:t>babies without congenital anomalies who required additional care, ranging from zero to 23.7%.</w:t>
      </w:r>
    </w:p>
    <w:p w14:paraId="33BE97F9" w14:textId="77777777" w:rsidR="00D6403A" w:rsidRPr="00D6403A" w:rsidRDefault="00D6403A" w:rsidP="00862996">
      <w:pPr>
        <w:rPr>
          <w:lang w:val="en-GB"/>
        </w:rPr>
      </w:pPr>
      <w:r w:rsidRPr="00D6403A">
        <w:rPr>
          <w:lang w:val="en-GB"/>
        </w:rPr>
        <w:t>Some hospitals are expected to have higher rates of babies that require additional care if they look after higher risk pregnancies. There are a variety of models of care across health services, and some hospitals may keep mothers and babies together on postnatal wards for management and treatment, while others provide that care in a neonatal unit – for example, phototherapy for jaundice.</w:t>
      </w:r>
    </w:p>
    <w:p w14:paraId="31D8F689" w14:textId="0E8A6422" w:rsidR="00D6403A" w:rsidRPr="00D6403A" w:rsidRDefault="00D6403A" w:rsidP="00862996">
      <w:pPr>
        <w:rPr>
          <w:lang w:val="en-GB"/>
        </w:rPr>
      </w:pPr>
      <w:r w:rsidRPr="00D6403A">
        <w:rPr>
          <w:lang w:val="en-GB"/>
        </w:rPr>
        <w:lastRenderedPageBreak/>
        <w:t>Note there has been a change in the data derivation for this indicator in 2020–21 and 2021–22, reflecting the higher rates for the past 2 years compared with previous years (Table 9).</w:t>
      </w:r>
    </w:p>
    <w:p w14:paraId="6B76BFC2" w14:textId="6E3037CD" w:rsidR="00D6403A" w:rsidRPr="00D6403A" w:rsidRDefault="00D6403A" w:rsidP="005939CC">
      <w:pPr>
        <w:pStyle w:val="Heading2"/>
        <w:rPr>
          <w:lang w:val="en-GB"/>
        </w:rPr>
      </w:pPr>
      <w:bookmarkStart w:id="37" w:name="_Toc159326595"/>
      <w:r w:rsidRPr="00D6403A">
        <w:rPr>
          <w:lang w:val="en-GB"/>
        </w:rPr>
        <w:t>Strategies for improvement</w:t>
      </w:r>
      <w:bookmarkEnd w:id="37"/>
    </w:p>
    <w:p w14:paraId="45A75516" w14:textId="4AD9B04E" w:rsidR="00D6403A" w:rsidRPr="00D6403A" w:rsidRDefault="00D6403A" w:rsidP="00FC73DE">
      <w:pPr>
        <w:pStyle w:val="Bullet1"/>
        <w:rPr>
          <w:lang w:val="en-GB"/>
        </w:rPr>
      </w:pPr>
      <w:r w:rsidRPr="00D6403A">
        <w:rPr>
          <w:lang w:val="en-GB"/>
        </w:rPr>
        <w:t>Health services should ensure there are adequate mechanisms (policies, processes and communication) to capture, review and report on</w:t>
      </w:r>
      <w:r w:rsidRPr="00D6403A">
        <w:rPr>
          <w:rFonts w:ascii="Cambria" w:hAnsi="Cambria" w:cs="Cambria"/>
          <w:color w:val="000000"/>
          <w:lang w:val="en-GB"/>
        </w:rPr>
        <w:t> </w:t>
      </w:r>
      <w:r w:rsidRPr="00D6403A">
        <w:rPr>
          <w:lang w:val="en-GB"/>
        </w:rPr>
        <w:t>adverse intrapartum events and outcomes.</w:t>
      </w:r>
    </w:p>
    <w:p w14:paraId="3F77FE24" w14:textId="61217B5E" w:rsidR="00D6403A" w:rsidRPr="00D6403A" w:rsidRDefault="00D6403A" w:rsidP="00005134">
      <w:pPr>
        <w:pStyle w:val="Bullet1"/>
        <w:rPr>
          <w:lang w:val="en-GB"/>
        </w:rPr>
      </w:pPr>
      <w:r w:rsidRPr="00D6403A">
        <w:rPr>
          <w:lang w:val="en-GB"/>
        </w:rPr>
        <w:t>All services are expected to:</w:t>
      </w:r>
    </w:p>
    <w:p w14:paraId="795D7A0D" w14:textId="1C4D6B7E" w:rsidR="00D6403A" w:rsidRPr="00D6403A" w:rsidRDefault="00D6403A" w:rsidP="00FC73DE">
      <w:pPr>
        <w:pStyle w:val="Bullet2"/>
        <w:rPr>
          <w:lang w:val="en-GB"/>
        </w:rPr>
      </w:pPr>
      <w:r w:rsidRPr="00D6403A">
        <w:rPr>
          <w:lang w:val="en-GB"/>
        </w:rPr>
        <w:t>undertake multidisciplinary reviews of adverse events and outcomes to identify areas for clinical practice or system improvement</w:t>
      </w:r>
    </w:p>
    <w:p w14:paraId="12202FCC" w14:textId="5C86A0A2" w:rsidR="00D6403A" w:rsidRPr="00D6403A" w:rsidRDefault="00D6403A" w:rsidP="00FC73DE">
      <w:pPr>
        <w:pStyle w:val="Bullet2"/>
        <w:rPr>
          <w:lang w:val="en-GB"/>
        </w:rPr>
      </w:pPr>
      <w:r w:rsidRPr="00D6403A">
        <w:rPr>
          <w:lang w:val="en-GB"/>
        </w:rPr>
        <w:t>monitor the competency and confidence of their clinicians in fetal surveillance during labour and</w:t>
      </w:r>
      <w:r w:rsidRPr="00D6403A">
        <w:rPr>
          <w:rFonts w:ascii="Cambria" w:hAnsi="Cambria" w:cs="Cambria"/>
          <w:lang w:val="en-GB"/>
        </w:rPr>
        <w:t> </w:t>
      </w:r>
      <w:r w:rsidRPr="00D6403A">
        <w:rPr>
          <w:lang w:val="en-GB"/>
        </w:rPr>
        <w:t>in neonatal resuscitation</w:t>
      </w:r>
    </w:p>
    <w:p w14:paraId="77D66E50" w14:textId="77777777" w:rsidR="00D6403A" w:rsidRPr="00D6403A" w:rsidRDefault="00D6403A" w:rsidP="00FC73DE">
      <w:pPr>
        <w:pStyle w:val="Bullet2"/>
        <w:rPr>
          <w:lang w:val="en-GB"/>
        </w:rPr>
      </w:pPr>
      <w:r w:rsidRPr="00D6403A">
        <w:rPr>
          <w:lang w:val="en-GB"/>
        </w:rPr>
        <w:t>review the availability of senior clinicians to both supervise junior staff and be available to rapidly escalate care after hours</w:t>
      </w:r>
    </w:p>
    <w:p w14:paraId="7852DEA8" w14:textId="21BA6148" w:rsidR="00D6403A" w:rsidRPr="00D6403A" w:rsidRDefault="00D6403A" w:rsidP="00FC73DE">
      <w:pPr>
        <w:pStyle w:val="Bullet2"/>
        <w:rPr>
          <w:lang w:val="en-GB"/>
        </w:rPr>
      </w:pPr>
      <w:r w:rsidRPr="00D6403A">
        <w:rPr>
          <w:lang w:val="en-GB"/>
        </w:rPr>
        <w:t>provide women and their famil</w:t>
      </w:r>
      <w:r w:rsidR="00FC4BA4">
        <w:rPr>
          <w:lang w:val="en-GB"/>
        </w:rPr>
        <w:t>i</w:t>
      </w:r>
      <w:r w:rsidRPr="00D6403A">
        <w:rPr>
          <w:lang w:val="en-GB"/>
        </w:rPr>
        <w:t>es information about what happened in a timely, open and honest manner (open disclosure).</w:t>
      </w:r>
    </w:p>
    <w:p w14:paraId="6AA70168" w14:textId="77777777" w:rsidR="00D6403A" w:rsidRPr="00D6403A" w:rsidRDefault="00D6403A" w:rsidP="00FC73DE">
      <w:pPr>
        <w:pStyle w:val="Tablechartdiagramheading"/>
        <w:rPr>
          <w:lang w:val="en-GB"/>
        </w:rPr>
      </w:pPr>
      <w:r w:rsidRPr="00D6403A">
        <w:rPr>
          <w:lang w:val="en-GB"/>
        </w:rPr>
        <w:lastRenderedPageBreak/>
        <w:t>Figure 25. Indicator 2: Rate of term babies without congenital anomalies who required additional care,</w:t>
      </w:r>
      <w:r w:rsidRPr="00D6403A">
        <w:rPr>
          <w:rFonts w:ascii="Cambria" w:hAnsi="Cambria" w:cs="Cambria"/>
          <w:lang w:val="en-GB"/>
        </w:rPr>
        <w:t> </w:t>
      </w:r>
      <w:r w:rsidRPr="00D6403A">
        <w:rPr>
          <w:lang w:val="en-GB"/>
        </w:rPr>
        <w:t>2021–22</w:t>
      </w:r>
    </w:p>
    <w:p w14:paraId="23EDD40A" w14:textId="40F1B467" w:rsidR="00D6403A" w:rsidRPr="00D6403A" w:rsidRDefault="00D6403A" w:rsidP="00862996">
      <w:pPr>
        <w:rPr>
          <w:lang w:val="en-GB"/>
        </w:rPr>
      </w:pPr>
      <w:r w:rsidRPr="00D6403A">
        <w:rPr>
          <w:lang w:val="en-GB"/>
        </w:rPr>
        <w:t xml:space="preserve"> </w:t>
      </w:r>
      <w:r w:rsidR="00FC73DE">
        <w:rPr>
          <w:noProof/>
          <w:lang w:val="en-GB"/>
        </w:rPr>
        <w:drawing>
          <wp:inline distT="0" distB="0" distL="0" distR="0" wp14:anchorId="13A29D3A" wp14:editId="046F1B72">
            <wp:extent cx="6476365" cy="5447030"/>
            <wp:effectExtent l="0" t="0" r="635" b="1270"/>
            <wp:docPr id="32" name="Picture 32" descr="Bar chart for Indicator 2.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_25.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76365" cy="5447030"/>
                    </a:xfrm>
                    <a:prstGeom prst="rect">
                      <a:avLst/>
                    </a:prstGeom>
                  </pic:spPr>
                </pic:pic>
              </a:graphicData>
            </a:graphic>
          </wp:inline>
        </w:drawing>
      </w:r>
    </w:p>
    <w:p w14:paraId="75EC54A1" w14:textId="77777777" w:rsidR="00D6403A" w:rsidRPr="00D6403A" w:rsidRDefault="00D6403A" w:rsidP="00FC73DE">
      <w:pPr>
        <w:pStyle w:val="FootnoteText"/>
        <w:rPr>
          <w:lang w:val="en-GB"/>
        </w:rPr>
      </w:pPr>
      <w:r w:rsidRPr="00D6403A">
        <w:rPr>
          <w:lang w:val="en-GB"/>
        </w:rPr>
        <w:t>Note 1: Reporting of unqualified neonate admissions to the VAED for private hospitals is optional. It is therefore not possible to</w:t>
      </w:r>
      <w:r w:rsidRPr="00D6403A">
        <w:rPr>
          <w:rFonts w:ascii="Cambria" w:hAnsi="Cambria" w:cs="Cambria"/>
          <w:lang w:val="en-GB"/>
        </w:rPr>
        <w:t> </w:t>
      </w:r>
      <w:r w:rsidRPr="00D6403A">
        <w:rPr>
          <w:lang w:val="en-GB"/>
        </w:rPr>
        <w:t>establish an accurate denominator (that includes public and private hospitals) for this indicator. As such, only public hospitals are included in the results.</w:t>
      </w:r>
    </w:p>
    <w:p w14:paraId="06778BE5" w14:textId="77777777" w:rsidR="00D6403A" w:rsidRPr="00D6403A" w:rsidRDefault="00D6403A" w:rsidP="00BE40B9">
      <w:pPr>
        <w:pStyle w:val="FootnoteText"/>
        <w:rPr>
          <w:lang w:val="en-GB"/>
        </w:rPr>
      </w:pPr>
      <w:r w:rsidRPr="00D6403A">
        <w:rPr>
          <w:lang w:val="en-GB"/>
        </w:rPr>
        <w:t>Note 2: A result of 0% indicates that a health service met the reporting criteria of 10 or more inborn term infants without congenital anomalies; however, none of these infants required additional care.</w:t>
      </w:r>
    </w:p>
    <w:p w14:paraId="333E76C8" w14:textId="77777777" w:rsidR="00D6403A" w:rsidRPr="00D6403A" w:rsidRDefault="00D6403A" w:rsidP="00862996">
      <w:pPr>
        <w:rPr>
          <w:lang w:val="en-GB"/>
        </w:rPr>
      </w:pPr>
    </w:p>
    <w:p w14:paraId="7E5F9F09" w14:textId="77777777" w:rsidR="00D6403A" w:rsidRPr="00D6403A" w:rsidRDefault="00D6403A" w:rsidP="00870C38">
      <w:pPr>
        <w:pStyle w:val="Tablechartdiagramheading"/>
      </w:pPr>
      <w:r w:rsidRPr="00D6403A">
        <w:lastRenderedPageBreak/>
        <w:t>Figure 26. Funnel plot of the rate of term babies without congenital anomalies who required additional care, 2021–22</w:t>
      </w:r>
    </w:p>
    <w:p w14:paraId="356507F1" w14:textId="7B6FD281" w:rsidR="00D6403A" w:rsidRPr="00D6403A" w:rsidRDefault="00FC73DE" w:rsidP="00862996">
      <w:pPr>
        <w:rPr>
          <w:lang w:val="en-GB"/>
        </w:rPr>
      </w:pPr>
      <w:r>
        <w:rPr>
          <w:noProof/>
          <w:lang w:val="en-GB"/>
        </w:rPr>
        <w:drawing>
          <wp:inline distT="0" distB="0" distL="0" distR="0" wp14:anchorId="0BEB9E2C" wp14:editId="5A40D66E">
            <wp:extent cx="6057900" cy="3429000"/>
            <wp:effectExtent l="0" t="0" r="0" b="0"/>
            <wp:docPr id="33" name="Picture 33"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_26.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057900" cy="3429000"/>
                    </a:xfrm>
                    <a:prstGeom prst="rect">
                      <a:avLst/>
                    </a:prstGeom>
                  </pic:spPr>
                </pic:pic>
              </a:graphicData>
            </a:graphic>
          </wp:inline>
        </w:drawing>
      </w:r>
    </w:p>
    <w:p w14:paraId="72CEA9FB"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7C29C6B4" w14:textId="77777777" w:rsidR="00D6403A" w:rsidRPr="00D6403A" w:rsidRDefault="00D6403A" w:rsidP="00887B5A">
      <w:pPr>
        <w:pStyle w:val="Tablechartdiagramheading"/>
        <w:rPr>
          <w:lang w:val="en-GB"/>
        </w:rPr>
      </w:pPr>
      <w:r w:rsidRPr="00D6403A">
        <w:rPr>
          <w:lang w:val="en-GB"/>
        </w:rPr>
        <w:t>Table 9. Rate of term babies without congenital anomalies who required additional care, by financial year, 2017–18 to 2021–22</w:t>
      </w:r>
    </w:p>
    <w:tbl>
      <w:tblPr>
        <w:tblStyle w:val="TableGrid"/>
        <w:tblW w:w="0" w:type="auto"/>
        <w:tblLayout w:type="fixed"/>
        <w:tblLook w:val="0020" w:firstRow="1" w:lastRow="0" w:firstColumn="0" w:lastColumn="0" w:noHBand="0" w:noVBand="0"/>
      </w:tblPr>
      <w:tblGrid>
        <w:gridCol w:w="1417"/>
        <w:gridCol w:w="1758"/>
        <w:gridCol w:w="1757"/>
        <w:gridCol w:w="1758"/>
        <w:gridCol w:w="1757"/>
        <w:gridCol w:w="1758"/>
      </w:tblGrid>
      <w:tr w:rsidR="00D6403A" w:rsidRPr="00D6403A" w14:paraId="5473029B" w14:textId="77777777" w:rsidTr="00FC73DE">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417" w:type="dxa"/>
          </w:tcPr>
          <w:p w14:paraId="69B8E44B" w14:textId="77777777" w:rsidR="00D6403A" w:rsidRPr="00FC73DE" w:rsidRDefault="00D6403A" w:rsidP="00FC73DE">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1758" w:type="dxa"/>
          </w:tcPr>
          <w:p w14:paraId="751B09A7" w14:textId="77777777" w:rsidR="00D6403A" w:rsidRPr="00FC73DE" w:rsidRDefault="00D6403A" w:rsidP="00FC73DE">
            <w:pPr>
              <w:pStyle w:val="Tableheader"/>
              <w:jc w:val="right"/>
              <w:rPr>
                <w:b/>
                <w:lang w:val="en-GB"/>
              </w:rPr>
            </w:pPr>
            <w:r w:rsidRPr="00FC73DE">
              <w:rPr>
                <w:b/>
                <w:lang w:val="en-GB"/>
              </w:rPr>
              <w:t xml:space="preserve">2017–18 </w:t>
            </w:r>
          </w:p>
        </w:tc>
        <w:tc>
          <w:tcPr>
            <w:cnfStyle w:val="000010000000" w:firstRow="0" w:lastRow="0" w:firstColumn="0" w:lastColumn="0" w:oddVBand="1" w:evenVBand="0" w:oddHBand="0" w:evenHBand="0" w:firstRowFirstColumn="0" w:firstRowLastColumn="0" w:lastRowFirstColumn="0" w:lastRowLastColumn="0"/>
            <w:tcW w:w="1757" w:type="dxa"/>
          </w:tcPr>
          <w:p w14:paraId="294E47E7" w14:textId="77777777" w:rsidR="00D6403A" w:rsidRPr="00FC73DE" w:rsidRDefault="00D6403A" w:rsidP="00FC73DE">
            <w:pPr>
              <w:pStyle w:val="Tableheader"/>
              <w:jc w:val="right"/>
              <w:rPr>
                <w:b/>
                <w:lang w:val="en-GB"/>
              </w:rPr>
            </w:pPr>
            <w:r w:rsidRPr="00FC73DE">
              <w:rPr>
                <w:b/>
                <w:lang w:val="en-GB"/>
              </w:rPr>
              <w:t>2018–19</w:t>
            </w:r>
          </w:p>
        </w:tc>
        <w:tc>
          <w:tcPr>
            <w:cnfStyle w:val="000001000000" w:firstRow="0" w:lastRow="0" w:firstColumn="0" w:lastColumn="0" w:oddVBand="0" w:evenVBand="1" w:oddHBand="0" w:evenHBand="0" w:firstRowFirstColumn="0" w:firstRowLastColumn="0" w:lastRowFirstColumn="0" w:lastRowLastColumn="0"/>
            <w:tcW w:w="1758" w:type="dxa"/>
          </w:tcPr>
          <w:p w14:paraId="3B2922B0" w14:textId="77777777" w:rsidR="00D6403A" w:rsidRPr="00FC73DE" w:rsidRDefault="00D6403A" w:rsidP="00FC73DE">
            <w:pPr>
              <w:pStyle w:val="Tableheader"/>
              <w:jc w:val="right"/>
              <w:rPr>
                <w:b/>
                <w:lang w:val="en-GB"/>
              </w:rPr>
            </w:pPr>
            <w:r w:rsidRPr="00FC73DE">
              <w:rPr>
                <w:b/>
                <w:lang w:val="en-GB"/>
              </w:rPr>
              <w:t>2019–20</w:t>
            </w:r>
          </w:p>
        </w:tc>
        <w:tc>
          <w:tcPr>
            <w:cnfStyle w:val="000010000000" w:firstRow="0" w:lastRow="0" w:firstColumn="0" w:lastColumn="0" w:oddVBand="1" w:evenVBand="0" w:oddHBand="0" w:evenHBand="0" w:firstRowFirstColumn="0" w:firstRowLastColumn="0" w:lastRowFirstColumn="0" w:lastRowLastColumn="0"/>
            <w:tcW w:w="1757" w:type="dxa"/>
          </w:tcPr>
          <w:p w14:paraId="34249580" w14:textId="77777777" w:rsidR="00D6403A" w:rsidRPr="00FC73DE" w:rsidRDefault="00D6403A" w:rsidP="00FC73DE">
            <w:pPr>
              <w:pStyle w:val="Tableheader"/>
              <w:jc w:val="right"/>
              <w:rPr>
                <w:b/>
                <w:lang w:val="en-GB"/>
              </w:rPr>
            </w:pPr>
            <w:r w:rsidRPr="00FC73DE">
              <w:rPr>
                <w:b/>
                <w:lang w:val="en-GB"/>
              </w:rPr>
              <w:t>2020–21*</w:t>
            </w:r>
          </w:p>
        </w:tc>
        <w:tc>
          <w:tcPr>
            <w:cnfStyle w:val="000001000000" w:firstRow="0" w:lastRow="0" w:firstColumn="0" w:lastColumn="0" w:oddVBand="0" w:evenVBand="1" w:oddHBand="0" w:evenHBand="0" w:firstRowFirstColumn="0" w:firstRowLastColumn="0" w:lastRowFirstColumn="0" w:lastRowLastColumn="0"/>
            <w:tcW w:w="1758" w:type="dxa"/>
          </w:tcPr>
          <w:p w14:paraId="7A8827FD" w14:textId="77777777" w:rsidR="00D6403A" w:rsidRPr="00FC73DE" w:rsidRDefault="00D6403A" w:rsidP="00FC73DE">
            <w:pPr>
              <w:pStyle w:val="Tableheader"/>
              <w:jc w:val="right"/>
              <w:rPr>
                <w:b/>
                <w:lang w:val="en-GB"/>
              </w:rPr>
            </w:pPr>
            <w:r w:rsidRPr="00FC73DE">
              <w:rPr>
                <w:b/>
                <w:lang w:val="en-GB"/>
              </w:rPr>
              <w:t>2021–22*</w:t>
            </w:r>
          </w:p>
        </w:tc>
      </w:tr>
      <w:tr w:rsidR="00D6403A" w:rsidRPr="00D6403A" w14:paraId="124503EE" w14:textId="77777777" w:rsidTr="00FC73DE">
        <w:trPr>
          <w:trHeight w:val="60"/>
        </w:trPr>
        <w:tc>
          <w:tcPr>
            <w:cnfStyle w:val="000010000000" w:firstRow="0" w:lastRow="0" w:firstColumn="0" w:lastColumn="0" w:oddVBand="1" w:evenVBand="0" w:oddHBand="0" w:evenHBand="0" w:firstRowFirstColumn="0" w:firstRowLastColumn="0" w:lastRowFirstColumn="0" w:lastRowLastColumn="0"/>
            <w:tcW w:w="1417" w:type="dxa"/>
          </w:tcPr>
          <w:p w14:paraId="5B37CB26" w14:textId="77777777" w:rsidR="00D6403A" w:rsidRPr="00FC73DE" w:rsidRDefault="00D6403A" w:rsidP="00FC73DE">
            <w:pPr>
              <w:pStyle w:val="Tabletext"/>
              <w:jc w:val="left"/>
              <w:rPr>
                <w:b/>
                <w:color w:val="009859"/>
                <w:lang w:val="en-GB"/>
              </w:rPr>
            </w:pPr>
            <w:r w:rsidRPr="00FC73DE">
              <w:rPr>
                <w:b/>
                <w:lang w:val="en-GB"/>
              </w:rPr>
              <w:t>Public</w:t>
            </w:r>
          </w:p>
        </w:tc>
        <w:tc>
          <w:tcPr>
            <w:cnfStyle w:val="000001000000" w:firstRow="0" w:lastRow="0" w:firstColumn="0" w:lastColumn="0" w:oddVBand="0" w:evenVBand="1" w:oddHBand="0" w:evenHBand="0" w:firstRowFirstColumn="0" w:firstRowLastColumn="0" w:lastRowFirstColumn="0" w:lastRowLastColumn="0"/>
            <w:tcW w:w="1758" w:type="dxa"/>
          </w:tcPr>
          <w:p w14:paraId="06795EA7" w14:textId="77777777" w:rsidR="00D6403A" w:rsidRPr="00D6403A" w:rsidRDefault="00D6403A" w:rsidP="00FC73DE">
            <w:pPr>
              <w:pStyle w:val="Tabletext"/>
              <w:rPr>
                <w:lang w:val="en-US"/>
              </w:rPr>
            </w:pPr>
            <w:r w:rsidRPr="00D6403A">
              <w:rPr>
                <w:lang w:val="en-US"/>
              </w:rPr>
              <w:t>8.7%</w:t>
            </w:r>
          </w:p>
        </w:tc>
        <w:tc>
          <w:tcPr>
            <w:cnfStyle w:val="000010000000" w:firstRow="0" w:lastRow="0" w:firstColumn="0" w:lastColumn="0" w:oddVBand="1" w:evenVBand="0" w:oddHBand="0" w:evenHBand="0" w:firstRowFirstColumn="0" w:firstRowLastColumn="0" w:lastRowFirstColumn="0" w:lastRowLastColumn="0"/>
            <w:tcW w:w="1757" w:type="dxa"/>
          </w:tcPr>
          <w:p w14:paraId="7930EB14" w14:textId="77777777" w:rsidR="00D6403A" w:rsidRPr="00D6403A" w:rsidRDefault="00D6403A" w:rsidP="00FC73DE">
            <w:pPr>
              <w:pStyle w:val="Tabletext"/>
              <w:rPr>
                <w:lang w:val="en-US"/>
              </w:rPr>
            </w:pPr>
            <w:r w:rsidRPr="00D6403A">
              <w:rPr>
                <w:lang w:val="en-US"/>
              </w:rPr>
              <w:t>9.2%</w:t>
            </w:r>
          </w:p>
        </w:tc>
        <w:tc>
          <w:tcPr>
            <w:cnfStyle w:val="000001000000" w:firstRow="0" w:lastRow="0" w:firstColumn="0" w:lastColumn="0" w:oddVBand="0" w:evenVBand="1" w:oddHBand="0" w:evenHBand="0" w:firstRowFirstColumn="0" w:firstRowLastColumn="0" w:lastRowFirstColumn="0" w:lastRowLastColumn="0"/>
            <w:tcW w:w="1758" w:type="dxa"/>
          </w:tcPr>
          <w:p w14:paraId="64B76A3B" w14:textId="77777777" w:rsidR="00D6403A" w:rsidRPr="00D6403A" w:rsidRDefault="00D6403A" w:rsidP="00FC73DE">
            <w:pPr>
              <w:pStyle w:val="Tabletext"/>
              <w:rPr>
                <w:lang w:val="en-US"/>
              </w:rPr>
            </w:pPr>
            <w:r w:rsidRPr="00D6403A">
              <w:rPr>
                <w:lang w:val="en-US"/>
              </w:rPr>
              <w:t>8.1%</w:t>
            </w:r>
          </w:p>
        </w:tc>
        <w:tc>
          <w:tcPr>
            <w:cnfStyle w:val="000010000000" w:firstRow="0" w:lastRow="0" w:firstColumn="0" w:lastColumn="0" w:oddVBand="1" w:evenVBand="0" w:oddHBand="0" w:evenHBand="0" w:firstRowFirstColumn="0" w:firstRowLastColumn="0" w:lastRowFirstColumn="0" w:lastRowLastColumn="0"/>
            <w:tcW w:w="1757" w:type="dxa"/>
          </w:tcPr>
          <w:p w14:paraId="6B733EF6" w14:textId="77777777" w:rsidR="00D6403A" w:rsidRPr="00D6403A" w:rsidRDefault="00D6403A" w:rsidP="00FC73DE">
            <w:pPr>
              <w:pStyle w:val="Tabletext"/>
              <w:rPr>
                <w:lang w:val="en-US"/>
              </w:rPr>
            </w:pPr>
            <w:r w:rsidRPr="00D6403A">
              <w:rPr>
                <w:lang w:val="en-US"/>
              </w:rPr>
              <w:t>11.7%</w:t>
            </w:r>
          </w:p>
        </w:tc>
        <w:tc>
          <w:tcPr>
            <w:cnfStyle w:val="000001000000" w:firstRow="0" w:lastRow="0" w:firstColumn="0" w:lastColumn="0" w:oddVBand="0" w:evenVBand="1" w:oddHBand="0" w:evenHBand="0" w:firstRowFirstColumn="0" w:firstRowLastColumn="0" w:lastRowFirstColumn="0" w:lastRowLastColumn="0"/>
            <w:tcW w:w="1758" w:type="dxa"/>
            <w:shd w:val="clear" w:color="auto" w:fill="F2F2F2" w:themeFill="background1" w:themeFillShade="F2"/>
          </w:tcPr>
          <w:p w14:paraId="3F4341ED" w14:textId="77777777" w:rsidR="00D6403A" w:rsidRPr="00D6403A" w:rsidRDefault="00D6403A" w:rsidP="00FC73DE">
            <w:pPr>
              <w:pStyle w:val="Tabletext"/>
              <w:rPr>
                <w:lang w:val="en-US"/>
              </w:rPr>
            </w:pPr>
            <w:r w:rsidRPr="00D6403A">
              <w:rPr>
                <w:lang w:val="en-US"/>
              </w:rPr>
              <w:t>11.0%</w:t>
            </w:r>
          </w:p>
        </w:tc>
      </w:tr>
    </w:tbl>
    <w:p w14:paraId="35526631" w14:textId="77777777" w:rsidR="00D6403A" w:rsidRPr="00D6403A" w:rsidRDefault="00D6403A" w:rsidP="00FC73DE">
      <w:pPr>
        <w:pStyle w:val="FootnoteText"/>
        <w:ind w:left="284" w:hanging="284"/>
        <w:rPr>
          <w:lang w:val="en-GB"/>
        </w:rPr>
      </w:pPr>
      <w:r w:rsidRPr="00D6403A">
        <w:rPr>
          <w:lang w:val="en-GB"/>
        </w:rPr>
        <w:t>*</w:t>
      </w:r>
      <w:r w:rsidRPr="00D6403A">
        <w:rPr>
          <w:lang w:val="en-GB"/>
        </w:rPr>
        <w:tab/>
        <w:t>Note a change in the method of data collection means that results for 2020–21 and 2021–22 are not directly comparable with</w:t>
      </w:r>
      <w:r w:rsidRPr="00D6403A">
        <w:rPr>
          <w:rFonts w:ascii="Cambria" w:hAnsi="Cambria" w:cs="Cambria"/>
          <w:lang w:val="en-GB"/>
        </w:rPr>
        <w:t> </w:t>
      </w:r>
      <w:r w:rsidRPr="00D6403A">
        <w:rPr>
          <w:lang w:val="en-GB"/>
        </w:rPr>
        <w:t>2018–19 and 2019–20 and as such a trend line is not included here.</w:t>
      </w:r>
    </w:p>
    <w:p w14:paraId="688740F1" w14:textId="77777777" w:rsidR="0062047A" w:rsidRDefault="0062047A">
      <w:pPr>
        <w:rPr>
          <w:rFonts w:asciiTheme="majorHAnsi" w:eastAsiaTheme="majorEastAsia" w:hAnsiTheme="majorHAnsi" w:cs="Times New Roman (Headings CS)"/>
          <w:b/>
          <w:bCs/>
          <w:color w:val="007586" w:themeColor="text2"/>
          <w:sz w:val="28"/>
          <w:szCs w:val="26"/>
          <w:lang w:val="en-GB"/>
        </w:rPr>
      </w:pPr>
      <w:bookmarkStart w:id="38" w:name="_Toc159326596"/>
      <w:r>
        <w:rPr>
          <w:lang w:val="en-GB"/>
        </w:rPr>
        <w:br w:type="page"/>
      </w:r>
    </w:p>
    <w:p w14:paraId="3D0390C9" w14:textId="5299921D" w:rsidR="00D6403A" w:rsidRPr="00D6403A" w:rsidRDefault="00D6403A" w:rsidP="005939CC">
      <w:pPr>
        <w:pStyle w:val="Heading2"/>
        <w:rPr>
          <w:lang w:val="en-GB"/>
        </w:rPr>
      </w:pPr>
      <w:r w:rsidRPr="00D6403A">
        <w:rPr>
          <w:lang w:val="en-GB"/>
        </w:rPr>
        <w:lastRenderedPageBreak/>
        <w:t>Definition and data source</w:t>
      </w:r>
      <w:bookmarkEnd w:id="38"/>
    </w:p>
    <w:p w14:paraId="4CD64BDB" w14:textId="77777777" w:rsidR="00D6403A" w:rsidRPr="00D6403A" w:rsidRDefault="00D6403A" w:rsidP="008340E5">
      <w:pPr>
        <w:pStyle w:val="Heading3"/>
        <w:rPr>
          <w:lang w:val="en-GB"/>
        </w:rPr>
      </w:pPr>
      <w:r w:rsidRPr="00D6403A">
        <w:rPr>
          <w:lang w:val="en-GB"/>
        </w:rPr>
        <w:t>Definition</w:t>
      </w:r>
    </w:p>
    <w:p w14:paraId="5428EC6B" w14:textId="77777777" w:rsidR="00D6403A" w:rsidRPr="00D6403A" w:rsidRDefault="00D6403A" w:rsidP="00862996">
      <w:pPr>
        <w:rPr>
          <w:lang w:val="en-GB"/>
        </w:rPr>
      </w:pPr>
      <w:r w:rsidRPr="00D6403A">
        <w:rPr>
          <w:lang w:val="en-GB"/>
        </w:rPr>
        <w:t>This indicator includes inborn term babies. An inborn term baby is an infant born at the reporting hospital at a gestational age of 37 weeks or more. Term babies without congenital anomalies who require additional care are defined as newborns who:</w:t>
      </w:r>
    </w:p>
    <w:p w14:paraId="4102B93C" w14:textId="77777777" w:rsidR="00D6403A" w:rsidRPr="00D6403A" w:rsidRDefault="00D6403A" w:rsidP="00005134">
      <w:pPr>
        <w:pStyle w:val="Bullet1"/>
        <w:rPr>
          <w:lang w:val="en-GB"/>
        </w:rPr>
      </w:pPr>
      <w:r w:rsidRPr="00D6403A">
        <w:rPr>
          <w:lang w:val="en-GB"/>
        </w:rPr>
        <w:t>are not less than 37 weeks, 0 days’ gestation</w:t>
      </w:r>
    </w:p>
    <w:p w14:paraId="20891003" w14:textId="77777777" w:rsidR="00D6403A" w:rsidRPr="00D6403A" w:rsidRDefault="00D6403A" w:rsidP="00005134">
      <w:pPr>
        <w:pStyle w:val="Bullet1"/>
        <w:rPr>
          <w:lang w:val="en-GB"/>
        </w:rPr>
      </w:pPr>
      <w:r w:rsidRPr="00D6403A">
        <w:rPr>
          <w:lang w:val="en-GB"/>
        </w:rPr>
        <w:t>weigh not less than 2,500 grams</w:t>
      </w:r>
    </w:p>
    <w:p w14:paraId="4537F511" w14:textId="77777777" w:rsidR="00D6403A" w:rsidRPr="00D6403A" w:rsidRDefault="00D6403A" w:rsidP="00005134">
      <w:pPr>
        <w:pStyle w:val="Bullet1"/>
        <w:rPr>
          <w:lang w:val="en-GB"/>
        </w:rPr>
      </w:pPr>
      <w:r w:rsidRPr="00D6403A">
        <w:rPr>
          <w:lang w:val="en-GB"/>
        </w:rPr>
        <w:t>are without congenital anomalies</w:t>
      </w:r>
    </w:p>
    <w:p w14:paraId="0EC16CF0" w14:textId="77777777" w:rsidR="00D6403A" w:rsidRPr="00D6403A" w:rsidRDefault="00D6403A" w:rsidP="00870C38">
      <w:pPr>
        <w:pStyle w:val="Bullet1"/>
        <w:rPr>
          <w:lang w:val="en-GB"/>
        </w:rPr>
      </w:pPr>
      <w:r w:rsidRPr="00D6403A">
        <w:rPr>
          <w:lang w:val="en-GB"/>
        </w:rPr>
        <w:t>are grouped to Victorian diagnostic-related groups (VIC-DRGs) representing the need for more than</w:t>
      </w:r>
      <w:r w:rsidRPr="00D6403A">
        <w:rPr>
          <w:rFonts w:ascii="Cambria" w:hAnsi="Cambria" w:cs="Cambria"/>
          <w:color w:val="000000"/>
          <w:lang w:val="en-GB"/>
        </w:rPr>
        <w:t> </w:t>
      </w:r>
      <w:r w:rsidRPr="00D6403A">
        <w:rPr>
          <w:lang w:val="en-GB"/>
        </w:rPr>
        <w:t>normal care (refer to list of VIC-DRGs provided below).</w:t>
      </w:r>
    </w:p>
    <w:p w14:paraId="2D7CEBE9" w14:textId="77777777" w:rsidR="00D6403A" w:rsidRPr="00D6403A" w:rsidRDefault="00D6403A" w:rsidP="00862996">
      <w:pPr>
        <w:rPr>
          <w:lang w:val="en-GB"/>
        </w:rPr>
      </w:pPr>
      <w:r w:rsidRPr="00D6403A">
        <w:rPr>
          <w:lang w:val="en-GB"/>
        </w:rPr>
        <w:t>Excluded are:</w:t>
      </w:r>
    </w:p>
    <w:p w14:paraId="2C731061" w14:textId="77777777" w:rsidR="00D6403A" w:rsidRPr="00D6403A" w:rsidRDefault="00D6403A" w:rsidP="00005134">
      <w:pPr>
        <w:pStyle w:val="Bullet1"/>
        <w:rPr>
          <w:lang w:val="en-GB"/>
        </w:rPr>
      </w:pPr>
      <w:r w:rsidRPr="00D6403A">
        <w:rPr>
          <w:lang w:val="en-GB"/>
        </w:rPr>
        <w:t>babies born at another hospital or born before arrival</w:t>
      </w:r>
    </w:p>
    <w:p w14:paraId="55481EB2" w14:textId="77777777" w:rsidR="00D6403A" w:rsidRPr="00D6403A" w:rsidRDefault="00D6403A" w:rsidP="00005134">
      <w:pPr>
        <w:pStyle w:val="Bullet1"/>
        <w:rPr>
          <w:lang w:val="en-GB"/>
        </w:rPr>
      </w:pPr>
      <w:r w:rsidRPr="00D6403A">
        <w:rPr>
          <w:lang w:val="en-GB"/>
        </w:rPr>
        <w:t>pre-term newborn babies</w:t>
      </w:r>
    </w:p>
    <w:p w14:paraId="4ACE7B1D" w14:textId="77777777" w:rsidR="00D6403A" w:rsidRPr="00D6403A" w:rsidRDefault="00D6403A" w:rsidP="00005134">
      <w:pPr>
        <w:pStyle w:val="Bullet1"/>
        <w:rPr>
          <w:lang w:val="en-GB"/>
        </w:rPr>
      </w:pPr>
      <w:r w:rsidRPr="00D6403A">
        <w:rPr>
          <w:lang w:val="en-GB"/>
        </w:rPr>
        <w:t>infants with congenital anomalies</w:t>
      </w:r>
    </w:p>
    <w:p w14:paraId="6E55E950" w14:textId="77777777" w:rsidR="00D6403A" w:rsidRPr="00D6403A" w:rsidRDefault="00D6403A" w:rsidP="00005134">
      <w:pPr>
        <w:pStyle w:val="Bullet1"/>
        <w:rPr>
          <w:lang w:val="en-GB"/>
        </w:rPr>
      </w:pPr>
      <w:r w:rsidRPr="00D6403A">
        <w:rPr>
          <w:lang w:val="en-GB"/>
        </w:rPr>
        <w:t>birthweight less than 2,500 grams</w:t>
      </w:r>
    </w:p>
    <w:p w14:paraId="70E4A3D6" w14:textId="77777777" w:rsidR="00D6403A" w:rsidRPr="00D6403A" w:rsidRDefault="00D6403A" w:rsidP="00005134">
      <w:pPr>
        <w:pStyle w:val="Bullet1"/>
        <w:rPr>
          <w:lang w:val="en-GB"/>
        </w:rPr>
      </w:pPr>
      <w:r w:rsidRPr="00D6403A">
        <w:rPr>
          <w:lang w:val="en-GB"/>
        </w:rPr>
        <w:t>stillborn babies</w:t>
      </w:r>
    </w:p>
    <w:p w14:paraId="0E6E39AA" w14:textId="77777777" w:rsidR="00D6403A" w:rsidRPr="00D6403A" w:rsidRDefault="00D6403A" w:rsidP="00005134">
      <w:pPr>
        <w:pStyle w:val="Bullet1"/>
        <w:rPr>
          <w:lang w:val="en-GB"/>
        </w:rPr>
      </w:pPr>
      <w:r w:rsidRPr="00D6403A">
        <w:rPr>
          <w:lang w:val="en-GB"/>
        </w:rPr>
        <w:t>readmission (separation not related to the birth episode).</w:t>
      </w:r>
    </w:p>
    <w:p w14:paraId="35A6D80B" w14:textId="77777777" w:rsidR="00D6403A" w:rsidRPr="00FC73DE" w:rsidRDefault="00D6403A" w:rsidP="00FC73DE">
      <w:pPr>
        <w:rPr>
          <w:b/>
          <w:lang w:val="en-GB"/>
        </w:rPr>
      </w:pPr>
      <w:r w:rsidRPr="00FC73DE">
        <w:rPr>
          <w:b/>
          <w:lang w:val="en-GB"/>
        </w:rPr>
        <w:t>The denominator for the 2021–22 reporting period is episodes grouped to the Version 10.0 VIC-DRGs:</w:t>
      </w:r>
    </w:p>
    <w:p w14:paraId="5CBAFB0E" w14:textId="77777777" w:rsidR="00D6403A" w:rsidRPr="00D6403A" w:rsidRDefault="00D6403A" w:rsidP="00005134">
      <w:pPr>
        <w:pStyle w:val="Bullet1"/>
        <w:rPr>
          <w:lang w:val="en-GB"/>
        </w:rPr>
      </w:pPr>
      <w:r w:rsidRPr="00D6403A">
        <w:rPr>
          <w:lang w:val="en-GB"/>
        </w:rPr>
        <w:t xml:space="preserve">P68A (v7): Neonate, AdmWt </w:t>
      </w:r>
      <w:r w:rsidRPr="00D6403A">
        <w:rPr>
          <w:rFonts w:hint="eastAsia"/>
          <w:lang w:val="en-GB"/>
        </w:rPr>
        <w:t>≥</w:t>
      </w:r>
      <w:r w:rsidRPr="00D6403A">
        <w:rPr>
          <w:lang w:val="en-GB"/>
        </w:rPr>
        <w:t xml:space="preserve"> 2,500 g W/O Sig OR Proc </w:t>
      </w:r>
      <w:r w:rsidRPr="00D6403A">
        <w:rPr>
          <w:rFonts w:hint="eastAsia"/>
          <w:lang w:val="en-GB"/>
        </w:rPr>
        <w:t>≥</w:t>
      </w:r>
      <w:r w:rsidRPr="00D6403A">
        <w:rPr>
          <w:lang w:val="en-GB"/>
        </w:rPr>
        <w:t xml:space="preserve"> 37 Comp Wks Gest W Multi Major Problems</w:t>
      </w:r>
    </w:p>
    <w:p w14:paraId="0C3E38DB" w14:textId="77777777" w:rsidR="00D6403A" w:rsidRPr="00D6403A" w:rsidRDefault="00D6403A" w:rsidP="00005134">
      <w:pPr>
        <w:pStyle w:val="Bullet1"/>
        <w:rPr>
          <w:lang w:val="en-GB"/>
        </w:rPr>
      </w:pPr>
      <w:r w:rsidRPr="00D6403A">
        <w:rPr>
          <w:lang w:val="en-GB"/>
        </w:rPr>
        <w:t xml:space="preserve">P68B (v7): Neonate, AdmWt </w:t>
      </w:r>
      <w:r w:rsidRPr="00D6403A">
        <w:rPr>
          <w:rFonts w:hint="eastAsia"/>
          <w:lang w:val="en-GB"/>
        </w:rPr>
        <w:t>≥</w:t>
      </w:r>
      <w:r w:rsidRPr="00D6403A">
        <w:rPr>
          <w:lang w:val="en-GB"/>
        </w:rPr>
        <w:t xml:space="preserve"> 2,500 g W/O Sig OR Proc </w:t>
      </w:r>
      <w:r w:rsidRPr="00D6403A">
        <w:rPr>
          <w:rFonts w:hint="eastAsia"/>
          <w:lang w:val="en-GB"/>
        </w:rPr>
        <w:t>≥</w:t>
      </w:r>
      <w:r w:rsidRPr="00D6403A">
        <w:rPr>
          <w:lang w:val="en-GB"/>
        </w:rPr>
        <w:t xml:space="preserve"> 37 Comp Wks Gest W Major Problem</w:t>
      </w:r>
    </w:p>
    <w:p w14:paraId="4A17EB32" w14:textId="77777777" w:rsidR="00D6403A" w:rsidRPr="00D6403A" w:rsidRDefault="00D6403A" w:rsidP="00005134">
      <w:pPr>
        <w:pStyle w:val="Bullet1"/>
        <w:rPr>
          <w:lang w:val="en-GB"/>
        </w:rPr>
      </w:pPr>
      <w:r w:rsidRPr="00D6403A">
        <w:rPr>
          <w:lang w:val="en-GB"/>
        </w:rPr>
        <w:t xml:space="preserve">P68C (v7) Neonate, AdmWt </w:t>
      </w:r>
      <w:r w:rsidRPr="00D6403A">
        <w:rPr>
          <w:rFonts w:hint="eastAsia"/>
          <w:lang w:val="en-GB"/>
        </w:rPr>
        <w:t>≥</w:t>
      </w:r>
      <w:r w:rsidRPr="00D6403A">
        <w:rPr>
          <w:lang w:val="en-GB"/>
        </w:rPr>
        <w:t xml:space="preserve"> 2,500 g W/O Sig OR Proc </w:t>
      </w:r>
      <w:r w:rsidRPr="00D6403A">
        <w:rPr>
          <w:rFonts w:hint="eastAsia"/>
          <w:lang w:val="en-GB"/>
        </w:rPr>
        <w:t>≥</w:t>
      </w:r>
      <w:r w:rsidRPr="00D6403A">
        <w:rPr>
          <w:lang w:val="en-GB"/>
        </w:rPr>
        <w:t xml:space="preserve"> 37 Comp Wks Gest W Other Problem</w:t>
      </w:r>
    </w:p>
    <w:p w14:paraId="12A6BB80" w14:textId="77777777" w:rsidR="00D6403A" w:rsidRPr="00D6403A" w:rsidRDefault="00D6403A" w:rsidP="00005134">
      <w:pPr>
        <w:pStyle w:val="Bullet1"/>
        <w:rPr>
          <w:lang w:val="en-GB"/>
        </w:rPr>
      </w:pPr>
      <w:r w:rsidRPr="00D6403A">
        <w:rPr>
          <w:lang w:val="en-GB"/>
        </w:rPr>
        <w:t xml:space="preserve">P68D (v7) Neonate, AdmWt </w:t>
      </w:r>
      <w:r w:rsidRPr="00D6403A">
        <w:rPr>
          <w:rFonts w:hint="eastAsia"/>
          <w:lang w:val="en-GB"/>
        </w:rPr>
        <w:t>≥</w:t>
      </w:r>
      <w:r w:rsidRPr="00D6403A">
        <w:rPr>
          <w:lang w:val="en-GB"/>
        </w:rPr>
        <w:t xml:space="preserve"> 2,500 g W/O Sig OR Proc </w:t>
      </w:r>
      <w:r w:rsidRPr="00D6403A">
        <w:rPr>
          <w:rFonts w:hint="eastAsia"/>
          <w:lang w:val="en-GB"/>
        </w:rPr>
        <w:t>≥</w:t>
      </w:r>
      <w:r w:rsidRPr="00D6403A">
        <w:rPr>
          <w:lang w:val="en-GB"/>
        </w:rPr>
        <w:t xml:space="preserve"> 37 Comp Wks Gest W/O Problem</w:t>
      </w:r>
    </w:p>
    <w:p w14:paraId="2173EB47" w14:textId="77777777" w:rsidR="00D6403A" w:rsidRPr="00D6403A" w:rsidRDefault="00D6403A" w:rsidP="00005134">
      <w:pPr>
        <w:pStyle w:val="Bullet1"/>
        <w:rPr>
          <w:lang w:val="en-GB"/>
        </w:rPr>
      </w:pPr>
      <w:r w:rsidRPr="00D6403A">
        <w:rPr>
          <w:lang w:val="en-GB"/>
        </w:rPr>
        <w:t>P06A Neonate, AdmWt &gt; 2,499 g W Sig OR Proc W Multi Major Problems</w:t>
      </w:r>
    </w:p>
    <w:p w14:paraId="7715CB19" w14:textId="77777777" w:rsidR="00D6403A" w:rsidRPr="00D6403A" w:rsidRDefault="00D6403A" w:rsidP="00005134">
      <w:pPr>
        <w:pStyle w:val="Bullet1"/>
        <w:rPr>
          <w:lang w:val="en-GB"/>
        </w:rPr>
      </w:pPr>
      <w:r w:rsidRPr="00D6403A">
        <w:rPr>
          <w:lang w:val="en-GB"/>
        </w:rPr>
        <w:t>P06B Neonate, AdmWt &gt; 2,499 g W Sig OR Proc W/O Multi Major Problems</w:t>
      </w:r>
    </w:p>
    <w:p w14:paraId="1A1D62CA" w14:textId="77777777" w:rsidR="00D6403A" w:rsidRPr="00D6403A" w:rsidRDefault="00D6403A" w:rsidP="00005134">
      <w:pPr>
        <w:pStyle w:val="Bullet1"/>
        <w:rPr>
          <w:lang w:val="en-GB"/>
        </w:rPr>
      </w:pPr>
      <w:r w:rsidRPr="00D6403A">
        <w:rPr>
          <w:lang w:val="en-GB"/>
        </w:rPr>
        <w:t>P60A Neonate, Died or Transferred &lt; 5 days of admission, without Sig OR Proc, Newborn</w:t>
      </w:r>
    </w:p>
    <w:p w14:paraId="746397A7" w14:textId="77777777" w:rsidR="00D6403A" w:rsidRPr="00D6403A" w:rsidRDefault="00D6403A" w:rsidP="00005134">
      <w:pPr>
        <w:pStyle w:val="Bullet1"/>
        <w:rPr>
          <w:lang w:val="en-GB"/>
        </w:rPr>
      </w:pPr>
      <w:r w:rsidRPr="00D6403A">
        <w:rPr>
          <w:lang w:val="en-GB"/>
        </w:rPr>
        <w:t>P60B Neonate, Neonate W/O Sig OR Proc, Died or Transf to Acute Facility Same Day.</w:t>
      </w:r>
    </w:p>
    <w:p w14:paraId="2BBDCB52" w14:textId="77777777" w:rsidR="00D6403A" w:rsidRPr="00D6403A" w:rsidRDefault="00D6403A" w:rsidP="00FC73DE">
      <w:pPr>
        <w:pStyle w:val="FootnoteText"/>
        <w:rPr>
          <w:lang w:val="en-GB"/>
        </w:rPr>
      </w:pPr>
      <w:r w:rsidRPr="00D6403A">
        <w:rPr>
          <w:lang w:val="en-GB"/>
        </w:rPr>
        <w:t xml:space="preserve">Abbreviations: </w:t>
      </w:r>
    </w:p>
    <w:p w14:paraId="2B2DC0C3" w14:textId="77777777" w:rsidR="00D6403A" w:rsidRPr="00D6403A" w:rsidRDefault="00D6403A" w:rsidP="00FC73DE">
      <w:pPr>
        <w:pStyle w:val="FootnoteText"/>
        <w:rPr>
          <w:lang w:val="en-GB"/>
        </w:rPr>
      </w:pPr>
      <w:r w:rsidRPr="00D6403A">
        <w:rPr>
          <w:lang w:val="en-GB"/>
        </w:rPr>
        <w:t>VIC-DRGs: Victorian diagnostic related group; AdmWt: admission weight; W: with W/O: without; Sig:</w:t>
      </w:r>
      <w:r w:rsidRPr="00D6403A">
        <w:rPr>
          <w:rFonts w:ascii="Cambria" w:hAnsi="Cambria" w:cs="Cambria"/>
          <w:lang w:val="en-GB"/>
        </w:rPr>
        <w:t> </w:t>
      </w:r>
      <w:r w:rsidRPr="00D6403A">
        <w:rPr>
          <w:lang w:val="en-GB"/>
        </w:rPr>
        <w:t>significant</w:t>
      </w:r>
    </w:p>
    <w:p w14:paraId="1548C69E" w14:textId="77777777" w:rsidR="00D6403A" w:rsidRPr="00D6403A" w:rsidRDefault="00D6403A" w:rsidP="00FC73DE">
      <w:pPr>
        <w:pStyle w:val="FootnoteText"/>
        <w:rPr>
          <w:lang w:val="en-GB"/>
        </w:rPr>
      </w:pPr>
      <w:r w:rsidRPr="00D6403A">
        <w:rPr>
          <w:lang w:val="en-GB"/>
        </w:rPr>
        <w:t>OR: operating room; Proc: procedures; Multi: Multiple; Transf: transferred; Gest: Gestation; Comp Wks: completed weeks g: grams</w:t>
      </w:r>
    </w:p>
    <w:p w14:paraId="0B15D519" w14:textId="77777777" w:rsidR="00D6403A" w:rsidRPr="00D6403A" w:rsidRDefault="00D6403A" w:rsidP="008340E5">
      <w:pPr>
        <w:pStyle w:val="Heading3"/>
        <w:rPr>
          <w:lang w:val="en-GB"/>
        </w:rPr>
      </w:pPr>
      <w:r w:rsidRPr="00D6403A">
        <w:rPr>
          <w:lang w:val="en-GB"/>
        </w:rPr>
        <w:t>Data source: Victorian Admitted Episodes Dataset</w:t>
      </w:r>
    </w:p>
    <w:p w14:paraId="5F9CD85A" w14:textId="77777777" w:rsidR="00D6403A" w:rsidRPr="00D6403A" w:rsidRDefault="00D6403A" w:rsidP="00862996">
      <w:pPr>
        <w:rPr>
          <w:lang w:val="en-GB"/>
        </w:rPr>
      </w:pPr>
      <w:r w:rsidRPr="00D6403A">
        <w:rPr>
          <w:lang w:val="en-GB"/>
        </w:rPr>
        <w:t>Data for this indicator is sourced from the VAED for the financial year from 1 July 2021 to 30 June 2022.</w:t>
      </w:r>
    </w:p>
    <w:p w14:paraId="1F24DE59" w14:textId="77777777" w:rsidR="00D6403A" w:rsidRPr="00D6403A" w:rsidRDefault="00D6403A" w:rsidP="00887B5A">
      <w:pPr>
        <w:pStyle w:val="Tablechartdiagramheading"/>
        <w:rPr>
          <w:lang w:val="en-GB"/>
        </w:rPr>
      </w:pPr>
      <w:r w:rsidRPr="00D6403A">
        <w:rPr>
          <w:lang w:val="en-GB"/>
        </w:rPr>
        <w:lastRenderedPageBreak/>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40AB8E67" w14:textId="77777777" w:rsidTr="00FC73DE">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6472B427" w14:textId="77777777" w:rsidR="00D6403A" w:rsidRPr="00FC73DE" w:rsidRDefault="00D6403A" w:rsidP="00FC73DE">
            <w:pPr>
              <w:pStyle w:val="Tableheader"/>
              <w:rPr>
                <w:b/>
                <w:lang w:val="en-GB"/>
              </w:rPr>
            </w:pPr>
            <w:r w:rsidRPr="00FC73DE">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1F76225F" w14:textId="77777777" w:rsidR="00D6403A" w:rsidRPr="00FC73DE" w:rsidRDefault="00D6403A" w:rsidP="00FC73DE">
            <w:pPr>
              <w:pStyle w:val="Tableheader"/>
              <w:rPr>
                <w:b/>
                <w:lang w:val="en-GB"/>
              </w:rPr>
            </w:pPr>
            <w:r w:rsidRPr="00FC73DE">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12116710" w14:textId="77777777" w:rsidR="00D6403A" w:rsidRPr="00FC73DE" w:rsidRDefault="00D6403A" w:rsidP="00FC73DE">
            <w:pPr>
              <w:pStyle w:val="Tableheader"/>
              <w:rPr>
                <w:b/>
                <w:lang w:val="en-GB"/>
              </w:rPr>
            </w:pPr>
            <w:r w:rsidRPr="00FC73DE">
              <w:rPr>
                <w:b/>
                <w:lang w:val="en-GB"/>
              </w:rPr>
              <w:t>Denominator</w:t>
            </w:r>
          </w:p>
        </w:tc>
      </w:tr>
      <w:tr w:rsidR="00D6403A" w:rsidRPr="00D6403A" w14:paraId="0BA6A7EE" w14:textId="77777777" w:rsidTr="00FC73DE">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1082EB19" w14:textId="77777777" w:rsidR="00D6403A" w:rsidRPr="00D6403A" w:rsidRDefault="00D6403A" w:rsidP="00FC73DE">
            <w:pPr>
              <w:pStyle w:val="Tabletext"/>
              <w:jc w:val="left"/>
              <w:rPr>
                <w:b/>
                <w:lang w:val="en-GB"/>
              </w:rPr>
            </w:pPr>
            <w:r w:rsidRPr="00D6403A">
              <w:rPr>
                <w:b/>
                <w:lang w:val="en-GB"/>
              </w:rPr>
              <w:t>Indicator 2: Rate of term babies without congenital anomalies who required additional care</w:t>
            </w:r>
          </w:p>
        </w:tc>
        <w:tc>
          <w:tcPr>
            <w:cnfStyle w:val="000001000000" w:firstRow="0" w:lastRow="0" w:firstColumn="0" w:lastColumn="0" w:oddVBand="0" w:evenVBand="1" w:oddHBand="0" w:evenHBand="0" w:firstRowFirstColumn="0" w:firstRowLastColumn="0" w:lastRowFirstColumn="0" w:lastRowLastColumn="0"/>
            <w:tcW w:w="3401" w:type="dxa"/>
          </w:tcPr>
          <w:p w14:paraId="0981E438" w14:textId="77777777" w:rsidR="00D6403A" w:rsidRPr="00D6403A" w:rsidRDefault="00D6403A" w:rsidP="00FC73DE">
            <w:pPr>
              <w:pStyle w:val="Tabletext"/>
              <w:jc w:val="left"/>
              <w:rPr>
                <w:lang w:val="en-US"/>
              </w:rPr>
            </w:pPr>
            <w:r w:rsidRPr="00D6403A">
              <w:rPr>
                <w:lang w:val="en-US"/>
              </w:rPr>
              <w:t>The number of inborn term babies without congenital anomalies grouped to VIC-DRG P68A, P68B, P68C, P06A, P06B, P60A and P60B</w:t>
            </w:r>
          </w:p>
        </w:tc>
        <w:tc>
          <w:tcPr>
            <w:cnfStyle w:val="000010000000" w:firstRow="0" w:lastRow="0" w:firstColumn="0" w:lastColumn="0" w:oddVBand="1" w:evenVBand="0" w:oddHBand="0" w:evenHBand="0" w:firstRowFirstColumn="0" w:firstRowLastColumn="0" w:lastRowFirstColumn="0" w:lastRowLastColumn="0"/>
            <w:tcW w:w="3402" w:type="dxa"/>
          </w:tcPr>
          <w:p w14:paraId="571CEC6B" w14:textId="77777777" w:rsidR="00D6403A" w:rsidRPr="00D6403A" w:rsidRDefault="00D6403A" w:rsidP="00FC73DE">
            <w:pPr>
              <w:pStyle w:val="Tabletext"/>
              <w:jc w:val="left"/>
              <w:rPr>
                <w:lang w:val="en-US"/>
              </w:rPr>
            </w:pPr>
            <w:r w:rsidRPr="00AE4C75">
              <w:t>The number of inborn term babies without congenital anomalies grouped to VIC-DRG P68A, P68B, P68C, P68D, P06A, P06B, P60A and</w:t>
            </w:r>
            <w:r w:rsidRPr="00D6403A">
              <w:rPr>
                <w:rFonts w:ascii="Cambria" w:hAnsi="Cambria" w:cs="Cambria"/>
                <w:lang w:val="en-US"/>
              </w:rPr>
              <w:t> </w:t>
            </w:r>
            <w:r w:rsidRPr="00D6403A">
              <w:rPr>
                <w:lang w:val="en-US"/>
              </w:rPr>
              <w:t>P60B</w:t>
            </w:r>
          </w:p>
        </w:tc>
      </w:tr>
    </w:tbl>
    <w:p w14:paraId="72726852" w14:textId="77777777" w:rsidR="00D6403A" w:rsidRPr="00D6403A" w:rsidRDefault="00D6403A" w:rsidP="00FC73DE">
      <w:pPr>
        <w:pStyle w:val="FootnoteText"/>
        <w:rPr>
          <w:spacing w:val="-1"/>
          <w:lang w:val="en-GB"/>
        </w:rPr>
      </w:pPr>
      <w:r w:rsidRPr="00D6403A">
        <w:rPr>
          <w:lang w:val="en-GB"/>
        </w:rPr>
        <w:t xml:space="preserve">Regrouping of some newborns initially grouped to P60A and P60B occurred prior to 2019–20. There has been a change to the reporting method and regrouping did not occur for the PSPI report for 2021–22 and 2020–21. This may mean that there is an </w:t>
      </w:r>
      <w:r w:rsidRPr="00D6403A">
        <w:rPr>
          <w:spacing w:val="-1"/>
          <w:lang w:val="en-GB"/>
        </w:rPr>
        <w:t>overestimation of the rate of newborns requiring additional care because some healthy newborns are transferred for other reasons.</w:t>
      </w:r>
    </w:p>
    <w:p w14:paraId="2A190E19" w14:textId="77777777" w:rsidR="00D6403A" w:rsidRPr="00D6403A" w:rsidRDefault="00D6403A" w:rsidP="00862996">
      <w:pPr>
        <w:rPr>
          <w:lang w:val="en-GB"/>
        </w:rPr>
      </w:pPr>
    </w:p>
    <w:p w14:paraId="2FDF1008" w14:textId="77777777" w:rsidR="00FC73DE" w:rsidRDefault="00FC73DE" w:rsidP="00FC73DE">
      <w:pPr>
        <w:pStyle w:val="Heading2"/>
        <w:rPr>
          <w:lang w:val="en-GB"/>
        </w:rPr>
        <w:sectPr w:rsidR="00FC73DE" w:rsidSect="004D6F5F">
          <w:pgSz w:w="11901" w:h="16817" w:code="9"/>
          <w:pgMar w:top="3402" w:right="851" w:bottom="1361" w:left="851" w:header="539" w:footer="624" w:gutter="0"/>
          <w:cols w:space="284"/>
          <w:docGrid w:linePitch="360" w:charSpace="46114"/>
        </w:sectPr>
      </w:pPr>
      <w:bookmarkStart w:id="39" w:name="_Toc159326597"/>
    </w:p>
    <w:p w14:paraId="1E3E95BF" w14:textId="38DA759E" w:rsidR="00D6403A" w:rsidRPr="00D6403A" w:rsidRDefault="00D6403A" w:rsidP="00FC73DE">
      <w:pPr>
        <w:pStyle w:val="Heading1"/>
        <w:framePr w:wrap="around"/>
        <w:rPr>
          <w:lang w:val="en-GB"/>
        </w:rPr>
      </w:pPr>
      <w:r w:rsidRPr="00D6403A">
        <w:rPr>
          <w:lang w:val="en-GB"/>
        </w:rPr>
        <w:lastRenderedPageBreak/>
        <w:t>3a and 3b: Severe fetal growth restriction</w:t>
      </w:r>
      <w:bookmarkEnd w:id="39"/>
    </w:p>
    <w:p w14:paraId="3DD924E9" w14:textId="77777777" w:rsidR="00D6403A" w:rsidRPr="00D6403A" w:rsidRDefault="00D6403A" w:rsidP="00D6403A">
      <w:pPr>
        <w:pStyle w:val="IntroductoryText"/>
        <w:rPr>
          <w:lang w:val="en-GB"/>
        </w:rPr>
      </w:pPr>
      <w:r w:rsidRPr="00D6403A">
        <w:rPr>
          <w:lang w:val="en-GB"/>
        </w:rPr>
        <w:t>Birthweight for gestational age is an important indicator of infant health that is used as both an outcome measure for antenatal maternal health and a prognostic indicator for a baby’s health, wellbeing and development. Fetal growth restriction (FGR) is associated with increased risks of stillbirth and fetal compromise in labour.</w:t>
      </w:r>
    </w:p>
    <w:p w14:paraId="4E69C214" w14:textId="33507532" w:rsidR="00D6403A" w:rsidRPr="00D6403A" w:rsidRDefault="00D6403A" w:rsidP="00862996">
      <w:pPr>
        <w:rPr>
          <w:lang w:val="en-GB"/>
        </w:rPr>
      </w:pPr>
      <w:r w:rsidRPr="00D6403A">
        <w:rPr>
          <w:lang w:val="en-GB"/>
        </w:rPr>
        <w:t xml:space="preserve">The timely detection of severe FGR allows appropriate fetal surveillance and timing of birth to optimise outcomes, including reducing the risk of stillbirth. Safer Care Victoria’s </w:t>
      </w:r>
      <w:hyperlink r:id="rId65" w:history="1">
        <w:r w:rsidRPr="00FC73DE">
          <w:rPr>
            <w:rStyle w:val="Hyperlink"/>
            <w:lang w:val="en-GB"/>
          </w:rPr>
          <w:t>Safer Baby Collaborative</w:t>
        </w:r>
      </w:hyperlink>
      <w:r w:rsidRPr="00D6403A">
        <w:rPr>
          <w:lang w:val="en-GB"/>
        </w:rPr>
        <w:t xml:space="preserve"> &lt;https://www.safercare.vic.gov.au/improvement/projects/mbc/safer-baby&gt; was a key piece of improvement work undertaken in some Victorian maternity services aimed at reducing the rate of stillbirths. The work had a strong focus on FGR, with the evidence-based bundle of interventions including consistent, reliable practices to assess the risk of FGR and screen for, and diagnose, slow or static fetal growth, enabling timely intervention. Safer Care Victoria’s </w:t>
      </w:r>
      <w:hyperlink r:id="rId66" w:history="1">
        <w:r w:rsidRPr="00FC73DE">
          <w:rPr>
            <w:rStyle w:val="Hyperlink"/>
            <w:lang w:val="en-GB"/>
          </w:rPr>
          <w:t>MNLHN</w:t>
        </w:r>
      </w:hyperlink>
      <w:r w:rsidRPr="00D6403A">
        <w:rPr>
          <w:lang w:val="en-GB"/>
        </w:rPr>
        <w:t xml:space="preserve"> &lt;https://www.safercare.vic.gov.au/improvement/learning-health-networks/maternity-and-newborn-lhn&gt; is continuing to partner with Victorian health services with the Safer Baby improvement program.</w:t>
      </w:r>
    </w:p>
    <w:p w14:paraId="4A476563" w14:textId="77777777" w:rsidR="00D6403A" w:rsidRPr="00D6403A" w:rsidRDefault="00D6403A" w:rsidP="005939CC">
      <w:pPr>
        <w:pStyle w:val="Heading2"/>
        <w:rPr>
          <w:lang w:val="en-GB"/>
        </w:rPr>
      </w:pPr>
      <w:bookmarkStart w:id="40" w:name="_Toc159326598"/>
      <w:r w:rsidRPr="00D6403A">
        <w:rPr>
          <w:lang w:val="en-GB"/>
        </w:rPr>
        <w:t>About this indicator</w:t>
      </w:r>
      <w:bookmarkEnd w:id="40"/>
    </w:p>
    <w:p w14:paraId="300964ED" w14:textId="30ACC85F" w:rsidR="00D6403A" w:rsidRPr="00D6403A" w:rsidRDefault="00D6403A" w:rsidP="00862996">
      <w:pPr>
        <w:rPr>
          <w:lang w:val="en-GB"/>
        </w:rPr>
      </w:pPr>
      <w:r w:rsidRPr="00D6403A">
        <w:rPr>
          <w:lang w:val="en-GB"/>
        </w:rPr>
        <w:t>FGR is where the fetus (baby) is smaller than expected for the number of weeks of pregnancy.</w:t>
      </w:r>
    </w:p>
    <w:p w14:paraId="7371A964" w14:textId="6F8FA9BE" w:rsidR="00D6403A" w:rsidRPr="00D6403A" w:rsidRDefault="00D6403A" w:rsidP="00FC73DE">
      <w:pPr>
        <w:pStyle w:val="Bullet1"/>
        <w:rPr>
          <w:lang w:val="en-GB"/>
        </w:rPr>
      </w:pPr>
      <w:r w:rsidRPr="00D6403A">
        <w:rPr>
          <w:lang w:val="en-GB"/>
        </w:rPr>
        <w:t>FGR is defined here as the estimated fetal weight less than the 10th centile or less than 90% of all the</w:t>
      </w:r>
      <w:r w:rsidRPr="00D6403A">
        <w:rPr>
          <w:rFonts w:ascii="Cambria" w:hAnsi="Cambria" w:cs="Cambria"/>
          <w:color w:val="000000"/>
          <w:lang w:val="en-GB"/>
        </w:rPr>
        <w:t> </w:t>
      </w:r>
      <w:r w:rsidRPr="00D6403A">
        <w:rPr>
          <w:lang w:val="en-GB"/>
        </w:rPr>
        <w:t>other babies of the same gestational age.</w:t>
      </w:r>
    </w:p>
    <w:p w14:paraId="6A7C649A" w14:textId="756FD7EE" w:rsidR="00D6403A" w:rsidRPr="00D6403A" w:rsidRDefault="00D6403A" w:rsidP="00005134">
      <w:pPr>
        <w:pStyle w:val="Bullet1"/>
        <w:rPr>
          <w:lang w:val="en-GB"/>
        </w:rPr>
      </w:pPr>
      <w:r w:rsidRPr="00D6403A">
        <w:rPr>
          <w:lang w:val="en-GB"/>
        </w:rPr>
        <w:t>Severe FGR is defined as the birthweight less than the third centile or less than 97% of all the other babies of the same gestational age.</w:t>
      </w:r>
    </w:p>
    <w:p w14:paraId="412C4AC7" w14:textId="77777777" w:rsidR="00D6403A" w:rsidRPr="00D6403A" w:rsidRDefault="00D6403A" w:rsidP="00005134">
      <w:pPr>
        <w:rPr>
          <w:lang w:val="en-GB"/>
        </w:rPr>
      </w:pPr>
      <w:r w:rsidRPr="00D6403A">
        <w:rPr>
          <w:lang w:val="en-GB"/>
        </w:rPr>
        <w:t>Indicator 3a shows the proportion of singleton babies with severe growth restriction who were born at or after 40 weeks’ gestation. Birth after 40 weeks’ gestation suggests that the growth restriction may not have been detected and acted on in a timely way. Babies that are very small are usually born as a</w:t>
      </w:r>
      <w:r w:rsidRPr="00D6403A">
        <w:rPr>
          <w:rFonts w:ascii="Cambria" w:hAnsi="Cambria" w:cs="Cambria"/>
          <w:color w:val="000000"/>
          <w:lang w:val="en-GB"/>
        </w:rPr>
        <w:t> </w:t>
      </w:r>
      <w:r w:rsidRPr="00D6403A">
        <w:rPr>
          <w:lang w:val="en-GB"/>
        </w:rPr>
        <w:t>planned birth (through induction of labour or prelabour caesarean section) close to 39–40 weeks due to the increased risk of stillbirth.</w:t>
      </w:r>
      <w:r w:rsidRPr="00D6403A">
        <w:rPr>
          <w:rFonts w:ascii="VIC" w:hAnsi="VIC" w:cs="VIC"/>
          <w:color w:val="000000"/>
          <w:vertAlign w:val="superscript"/>
          <w:lang w:val="en-GB"/>
        </w:rPr>
        <w:t>3</w:t>
      </w:r>
    </w:p>
    <w:p w14:paraId="5B3D7E2C" w14:textId="0FCBF721" w:rsidR="00D6403A" w:rsidRDefault="00D6403A" w:rsidP="00862996">
      <w:pPr>
        <w:rPr>
          <w:lang w:val="en-GB"/>
        </w:rPr>
      </w:pPr>
      <w:r w:rsidRPr="00D6403A">
        <w:rPr>
          <w:lang w:val="en-GB"/>
        </w:rPr>
        <w:t>Indicator 3b shows the proportion of singleton babies who are suspected to have FGR and whose mothers have labour induced or have a prelabour caesarean section for FGR before 39 weeks whose birthweight was above the 25th centile, so not actually FGR. This new indicator is a balance measure to bring greater awareness to the unintended harm that may be associated with an increased focus on detection of FGR and induction prior to 40 weeks. This balance measure is to monitor unwarranted early birth of healthy babies. This is the first year this indicator has been reported in the PSPI.</w:t>
      </w:r>
    </w:p>
    <w:p w14:paraId="1ED461E4" w14:textId="47CAA5B5" w:rsidR="00FC73DE" w:rsidRPr="00FC73DE" w:rsidRDefault="00FC73DE" w:rsidP="00FC73DE">
      <w:pPr>
        <w:spacing w:before="0" w:after="0" w:line="240" w:lineRule="auto"/>
        <w:rPr>
          <w:rFonts w:ascii="Times New Roman" w:eastAsia="Times New Roman" w:hAnsi="Times New Roman" w:cs="Times New Roman"/>
          <w:sz w:val="24"/>
          <w:szCs w:val="24"/>
          <w:lang w:eastAsia="en-US"/>
        </w:rPr>
      </w:pPr>
      <w:r w:rsidRPr="00FC73DE">
        <w:rPr>
          <w:rFonts w:ascii="Helvetica" w:eastAsia="Times New Roman" w:hAnsi="Helvetica" w:cs="Times New Roman"/>
          <w:color w:val="000000"/>
          <w:sz w:val="18"/>
          <w:szCs w:val="18"/>
          <w:lang w:eastAsia="en-US"/>
        </w:rPr>
        <w:t>[Break out box text:</w:t>
      </w:r>
    </w:p>
    <w:p w14:paraId="40B4F034" w14:textId="77777777" w:rsidR="00FC73DE" w:rsidRPr="00D6403A" w:rsidRDefault="00FC73DE" w:rsidP="00FC73DE">
      <w:pPr>
        <w:pStyle w:val="Heading3"/>
        <w:rPr>
          <w:lang w:val="en-GB"/>
        </w:rPr>
      </w:pPr>
      <w:r w:rsidRPr="00D6403A">
        <w:rPr>
          <w:lang w:val="en-GB"/>
        </w:rPr>
        <w:t>What pregnant women and families need to know</w:t>
      </w:r>
    </w:p>
    <w:p w14:paraId="786FBFF9" w14:textId="5EBBB3AE" w:rsidR="00FC73DE" w:rsidRPr="00D6403A" w:rsidRDefault="00FC73DE" w:rsidP="00FC73DE">
      <w:pPr>
        <w:rPr>
          <w:lang w:val="en-GB"/>
        </w:rPr>
      </w:pPr>
      <w:r w:rsidRPr="00D6403A">
        <w:rPr>
          <w:lang w:val="en-GB"/>
        </w:rPr>
        <w:t>Sometimes babies don’t grow as well as expected during pregnancy for various reasons including the ability of the placenta to provide nutrients, infections and other medical conditions. Studies have shown that these babies are at risk of dying or being born unwell if they are not recognised and carefully monitored.</w:t>
      </w:r>
    </w:p>
    <w:p w14:paraId="72249F6D" w14:textId="77777777" w:rsidR="00FC73DE" w:rsidRPr="00D6403A" w:rsidRDefault="00FC73DE" w:rsidP="00FC73DE">
      <w:pPr>
        <w:rPr>
          <w:lang w:val="en-GB"/>
        </w:rPr>
      </w:pPr>
      <w:r w:rsidRPr="00D6403A">
        <w:rPr>
          <w:lang w:val="en-GB"/>
        </w:rPr>
        <w:t xml:space="preserve">This risk is highest if the pregnancy continues after the expected due date. Doctors and midwives monitor the growth of babies during a pregnancy by measuring fundal height and sometimes using ultrasound. If the baby is </w:t>
      </w:r>
      <w:r w:rsidRPr="00D6403A">
        <w:rPr>
          <w:lang w:val="en-GB"/>
        </w:rPr>
        <w:lastRenderedPageBreak/>
        <w:t>not growing as well as expected, pregnant women and their doctors and midwives should consider the safest time for the baby to be born. This may be before the due date if the baby is thought to be severely growth restricted.</w:t>
      </w:r>
    </w:p>
    <w:p w14:paraId="02050F10" w14:textId="2E4B4AD5" w:rsidR="00FC73DE" w:rsidRPr="00D6403A" w:rsidRDefault="00FC73DE" w:rsidP="00005134">
      <w:pPr>
        <w:rPr>
          <w:color w:val="000000"/>
          <w:lang w:val="en-GB"/>
        </w:rPr>
      </w:pPr>
      <w:r w:rsidRPr="00D6403A">
        <w:rPr>
          <w:lang w:val="en-GB"/>
        </w:rPr>
        <w:t>Recognising very small unborn babies is not always easy. However, we want to see very low rates of these babies being born past their due date. On the other hand, we want to see low rates of babies being born early for a suspicion of being small but who did not actually have FGR.</w:t>
      </w:r>
    </w:p>
    <w:p w14:paraId="0C60B9B9" w14:textId="77777777" w:rsidR="00FC73DE" w:rsidRPr="00FC73DE" w:rsidRDefault="00FC73DE" w:rsidP="00FC73DE">
      <w:pPr>
        <w:spacing w:before="0" w:after="0" w:line="240" w:lineRule="auto"/>
        <w:rPr>
          <w:rFonts w:ascii="Times New Roman" w:eastAsia="Times New Roman" w:hAnsi="Times New Roman" w:cs="Times New Roman"/>
          <w:sz w:val="24"/>
          <w:szCs w:val="24"/>
          <w:lang w:eastAsia="en-US"/>
        </w:rPr>
      </w:pPr>
      <w:r w:rsidRPr="00FC73DE">
        <w:rPr>
          <w:rFonts w:ascii="Helvetica" w:eastAsia="Times New Roman" w:hAnsi="Helvetica" w:cs="Times New Roman"/>
          <w:color w:val="000000"/>
          <w:sz w:val="18"/>
          <w:szCs w:val="18"/>
          <w:lang w:eastAsia="en-US"/>
        </w:rPr>
        <w:t>End of break out box text.]</w:t>
      </w:r>
    </w:p>
    <w:p w14:paraId="0234A4E0" w14:textId="77777777" w:rsidR="00D6403A" w:rsidRPr="00D6403A" w:rsidRDefault="00D6403A" w:rsidP="005939CC">
      <w:pPr>
        <w:pStyle w:val="Heading2"/>
        <w:rPr>
          <w:lang w:val="en-GB"/>
        </w:rPr>
      </w:pPr>
      <w:bookmarkStart w:id="41" w:name="_Toc159326599"/>
      <w:r w:rsidRPr="00D6403A">
        <w:rPr>
          <w:lang w:val="en-GB"/>
        </w:rPr>
        <w:t>Observations on the data</w:t>
      </w:r>
      <w:bookmarkEnd w:id="41"/>
    </w:p>
    <w:p w14:paraId="38A5CA04" w14:textId="1982A217" w:rsidR="00D6403A" w:rsidRPr="00D6403A" w:rsidRDefault="00D6403A" w:rsidP="00862996">
      <w:pPr>
        <w:rPr>
          <w:lang w:val="en-GB"/>
        </w:rPr>
      </w:pPr>
      <w:r w:rsidRPr="00D6403A">
        <w:rPr>
          <w:lang w:val="en-GB"/>
        </w:rPr>
        <w:t>The rate of singleton babies with severe FGR who were born at 40 or more weeks’ gestation (Indicator 3a) in public and private hospitals in 2021 was 20.0% (Figures 27 and 28). It is worth noting that the rate for this indicator in public hospitals has been steadily decreasing over the past 5 years (Table 10 and Figure 29). There has also been a consistent decline in the rate in private hospitals over this period.</w:t>
      </w:r>
    </w:p>
    <w:p w14:paraId="4B43CE7A" w14:textId="4390F9E0" w:rsidR="00D6403A" w:rsidRPr="00D6403A" w:rsidRDefault="00D6403A" w:rsidP="00862996">
      <w:pPr>
        <w:rPr>
          <w:lang w:val="en-GB"/>
        </w:rPr>
      </w:pPr>
      <w:r w:rsidRPr="00D6403A">
        <w:rPr>
          <w:lang w:val="en-GB"/>
        </w:rPr>
        <w:t>The rate was lower in private hospitals (17.5%) compared with public hospitals (20.6%) for the first time since this indicator has been reported.</w:t>
      </w:r>
    </w:p>
    <w:p w14:paraId="0354F2B2" w14:textId="2BCEDA55" w:rsidR="00D6403A" w:rsidRPr="00D6403A" w:rsidRDefault="00D6403A" w:rsidP="00862996">
      <w:pPr>
        <w:rPr>
          <w:lang w:val="en-GB"/>
        </w:rPr>
      </w:pPr>
      <w:r w:rsidRPr="00D6403A">
        <w:rPr>
          <w:lang w:val="en-GB"/>
        </w:rPr>
        <w:t>Indicator 3b is being reported for the first time. The statewide rate of singleton babies actively delivered for FGR before 39 weeks but who were above the 25th centile was 18.2% in 2021 (Figures 30 and 31 and Table 11). The rate was lower in public hospitals at 16.8%, while the rate in private hospitals was 22.1%. This balance measure is to monitor unwarranted early delivery of healthy babies. An additional balance measure is the increasing rate of induction of labour in standard primiparae (Indicator 1a).</w:t>
      </w:r>
    </w:p>
    <w:p w14:paraId="6CEF3801" w14:textId="399AC9D8" w:rsidR="00D6403A" w:rsidRPr="00D6403A" w:rsidRDefault="00D6403A" w:rsidP="00862996">
      <w:pPr>
        <w:rPr>
          <w:lang w:val="en-GB"/>
        </w:rPr>
      </w:pPr>
      <w:r w:rsidRPr="00D6403A">
        <w:rPr>
          <w:lang w:val="en-GB"/>
        </w:rPr>
        <w:t>Babies may be suspected to be small on measurement and serial review of the fundal height or on ultrasound estimation of fetal weight. However, while used for screening, these tests are not always accurate, and some babies are born for FGR when they are not as small as suspected. This is why we have introduced the balancing measure (Indicator 3b) to monitor this.</w:t>
      </w:r>
    </w:p>
    <w:p w14:paraId="4DBE54AD" w14:textId="77777777" w:rsidR="00D6403A" w:rsidRPr="00D6403A" w:rsidRDefault="00D6403A" w:rsidP="005939CC">
      <w:pPr>
        <w:pStyle w:val="Heading2"/>
        <w:rPr>
          <w:lang w:val="en-GB"/>
        </w:rPr>
      </w:pPr>
      <w:bookmarkStart w:id="42" w:name="_Toc159326600"/>
      <w:r w:rsidRPr="00D6403A">
        <w:rPr>
          <w:lang w:val="en-GB"/>
        </w:rPr>
        <w:t>Strategies for improvement</w:t>
      </w:r>
      <w:bookmarkEnd w:id="42"/>
    </w:p>
    <w:p w14:paraId="19C35567" w14:textId="17C45D6A" w:rsidR="00D6403A" w:rsidRPr="00D6403A" w:rsidRDefault="00D6403A" w:rsidP="00005134">
      <w:pPr>
        <w:pStyle w:val="Bullet1"/>
        <w:rPr>
          <w:lang w:val="en-GB"/>
        </w:rPr>
      </w:pPr>
      <w:r w:rsidRPr="00D6403A">
        <w:rPr>
          <w:lang w:val="en-GB"/>
        </w:rPr>
        <w:t xml:space="preserve">Heath services should ensure guidance and escalation follows the Stillbirth Centre for Research Excellence’s </w:t>
      </w:r>
      <w:hyperlink r:id="rId67" w:history="1">
        <w:r w:rsidRPr="00B172E8">
          <w:rPr>
            <w:rStyle w:val="Hyperlink"/>
            <w:lang w:val="en-GB"/>
          </w:rPr>
          <w:t>Fetal Growth Restriction Care Pathway</w:t>
        </w:r>
      </w:hyperlink>
      <w:r w:rsidRPr="00D6403A">
        <w:rPr>
          <w:lang w:val="en-GB"/>
        </w:rPr>
        <w:t xml:space="preserve"> &lt;https://learn.stillbirthcre.org.au/wp-content/uploads/2023/05/FGR-Management-Pathway_v3.0.pdf&gt;.</w:t>
      </w:r>
    </w:p>
    <w:p w14:paraId="75B0211D" w14:textId="77777777" w:rsidR="00D6403A" w:rsidRPr="00D6403A" w:rsidRDefault="00D6403A" w:rsidP="00005134">
      <w:pPr>
        <w:pStyle w:val="Bullet1"/>
        <w:rPr>
          <w:lang w:val="en-GB"/>
        </w:rPr>
      </w:pPr>
      <w:r w:rsidRPr="00D6403A">
        <w:rPr>
          <w:lang w:val="en-GB"/>
        </w:rPr>
        <w:t>Risk assessment for FGR should be undertaken in early pregnancy and at each antenatal visit.</w:t>
      </w:r>
    </w:p>
    <w:p w14:paraId="00F3476E" w14:textId="53F10C5B" w:rsidR="00D6403A" w:rsidRPr="00D6403A" w:rsidRDefault="00D6403A" w:rsidP="00005134">
      <w:pPr>
        <w:pStyle w:val="Bullet1"/>
        <w:rPr>
          <w:lang w:val="en-GB"/>
        </w:rPr>
      </w:pPr>
      <w:r w:rsidRPr="00D6403A">
        <w:rPr>
          <w:lang w:val="en-GB"/>
        </w:rPr>
        <w:t xml:space="preserve">Measure and record </w:t>
      </w:r>
      <w:hyperlink w:anchor="findal" w:history="1">
        <w:r w:rsidRPr="006F0942">
          <w:rPr>
            <w:rStyle w:val="Hyperlink"/>
            <w:lang w:val="en-GB"/>
          </w:rPr>
          <w:t>fundal height</w:t>
        </w:r>
      </w:hyperlink>
      <w:r w:rsidRPr="00D6403A">
        <w:rPr>
          <w:lang w:val="en-GB"/>
        </w:rPr>
        <w:t xml:space="preserve"> in a standardised way at each pregnancy care visit.</w:t>
      </w:r>
    </w:p>
    <w:p w14:paraId="1007FE09" w14:textId="77777777" w:rsidR="00D6403A" w:rsidRPr="00D6403A" w:rsidRDefault="00D6403A" w:rsidP="00005134">
      <w:pPr>
        <w:pStyle w:val="Bullet1"/>
        <w:rPr>
          <w:lang w:val="en-GB"/>
        </w:rPr>
      </w:pPr>
      <w:r w:rsidRPr="00D6403A">
        <w:rPr>
          <w:lang w:val="en-GB"/>
        </w:rPr>
        <w:t xml:space="preserve">Monitor and review cases where FGR is undetected antenatally in a multidisciplinary team. </w:t>
      </w:r>
    </w:p>
    <w:p w14:paraId="1DA96628" w14:textId="0E862019" w:rsidR="00D6403A" w:rsidRPr="00D6403A" w:rsidRDefault="00D6403A" w:rsidP="00005134">
      <w:pPr>
        <w:pStyle w:val="Bullet1"/>
        <w:rPr>
          <w:lang w:val="en-GB"/>
        </w:rPr>
      </w:pPr>
      <w:r w:rsidRPr="00D6403A">
        <w:rPr>
          <w:lang w:val="en-GB"/>
        </w:rPr>
        <w:t xml:space="preserve">Health services should refer to the FGR webinar on the </w:t>
      </w:r>
      <w:hyperlink r:id="rId68" w:history="1">
        <w:r w:rsidRPr="00B172E8">
          <w:rPr>
            <w:rStyle w:val="Hyperlink"/>
            <w:lang w:val="en-GB"/>
          </w:rPr>
          <w:t>MNLHN webpage</w:t>
        </w:r>
      </w:hyperlink>
      <w:r w:rsidRPr="00D6403A">
        <w:rPr>
          <w:lang w:val="en-GB"/>
        </w:rPr>
        <w:t xml:space="preserve"> &lt;https://www.safercare.vic.gov.au/best-practice-improvement/learning-health-networks/maternity-newborn-lhn&gt;.</w:t>
      </w:r>
    </w:p>
    <w:p w14:paraId="06C0C512" w14:textId="64793BA6" w:rsidR="00D6403A" w:rsidRPr="00D6403A" w:rsidRDefault="00D6403A" w:rsidP="00005134">
      <w:pPr>
        <w:pStyle w:val="Bullet1"/>
        <w:rPr>
          <w:lang w:val="en-GB"/>
        </w:rPr>
      </w:pPr>
      <w:r w:rsidRPr="00D6403A">
        <w:rPr>
          <w:lang w:val="en-GB"/>
        </w:rPr>
        <w:t>Support, inform and communicate with women and their famil</w:t>
      </w:r>
      <w:r w:rsidR="00FC4BA4">
        <w:rPr>
          <w:lang w:val="en-GB"/>
        </w:rPr>
        <w:t>i</w:t>
      </w:r>
      <w:r w:rsidRPr="00D6403A">
        <w:rPr>
          <w:lang w:val="en-GB"/>
        </w:rPr>
        <w:t>es of the increased risk of preterm birth and stillbirth and ensure a shared decision making approach is utilised around the timing of birth.</w:t>
      </w:r>
    </w:p>
    <w:p w14:paraId="2C54E5AC" w14:textId="77777777" w:rsidR="00D6403A" w:rsidRPr="00D6403A" w:rsidRDefault="00D6403A" w:rsidP="006F0942">
      <w:pPr>
        <w:pStyle w:val="Tablechartdiagramheading"/>
        <w:rPr>
          <w:lang w:val="en-GB"/>
        </w:rPr>
      </w:pPr>
      <w:r w:rsidRPr="00D6403A">
        <w:rPr>
          <w:lang w:val="en-GB"/>
        </w:rPr>
        <w:lastRenderedPageBreak/>
        <w:t>Figure 27. Indicator 3a: Rate of severe fetal growth restriction in a singleton pregnancy undelivered by</w:t>
      </w:r>
      <w:r w:rsidRPr="00D6403A">
        <w:rPr>
          <w:rFonts w:ascii="Cambria" w:hAnsi="Cambria" w:cs="Cambria"/>
          <w:lang w:val="en-GB"/>
        </w:rPr>
        <w:t> </w:t>
      </w:r>
      <w:r w:rsidRPr="00D6403A">
        <w:rPr>
          <w:lang w:val="en-GB"/>
        </w:rPr>
        <w:t>40 weeks, 2021</w:t>
      </w:r>
    </w:p>
    <w:p w14:paraId="4FFBB410" w14:textId="71FD0F94" w:rsidR="00D6403A" w:rsidRPr="00D6403A" w:rsidRDefault="0062047A" w:rsidP="00862996">
      <w:pPr>
        <w:rPr>
          <w:lang w:val="en-GB"/>
        </w:rPr>
      </w:pPr>
      <w:r>
        <w:rPr>
          <w:noProof/>
          <w:lang w:val="en-GB"/>
        </w:rPr>
        <w:drawing>
          <wp:inline distT="0" distB="0" distL="0" distR="0" wp14:anchorId="144B85D9" wp14:editId="23CBBDE6">
            <wp:extent cx="6476365" cy="4208780"/>
            <wp:effectExtent l="0" t="0" r="635" b="0"/>
            <wp:docPr id="13" name="Picture 13" descr="Bar chart for Indicator 3a.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_27.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476365" cy="4208780"/>
                    </a:xfrm>
                    <a:prstGeom prst="rect">
                      <a:avLst/>
                    </a:prstGeom>
                  </pic:spPr>
                </pic:pic>
              </a:graphicData>
            </a:graphic>
          </wp:inline>
        </w:drawing>
      </w:r>
    </w:p>
    <w:p w14:paraId="0637B154" w14:textId="77777777" w:rsidR="00D6403A" w:rsidRPr="00D6403A" w:rsidRDefault="00D6403A" w:rsidP="00870C38">
      <w:pPr>
        <w:pStyle w:val="Tablechartdiagramheading"/>
      </w:pPr>
      <w:r w:rsidRPr="00D6403A">
        <w:lastRenderedPageBreak/>
        <w:t>Figure 28. Funnel plot of the rate of severe fetal growth restriction in a singleton pregnancy undelivered by 40 weeks, 2021</w:t>
      </w:r>
    </w:p>
    <w:p w14:paraId="219AA7B4" w14:textId="17E5CB76" w:rsidR="00D6403A" w:rsidRPr="00D6403A" w:rsidRDefault="0062047A" w:rsidP="00862996">
      <w:pPr>
        <w:rPr>
          <w:lang w:val="en-GB"/>
        </w:rPr>
      </w:pPr>
      <w:r>
        <w:rPr>
          <w:noProof/>
          <w:lang w:val="en-GB"/>
        </w:rPr>
        <w:drawing>
          <wp:inline distT="0" distB="0" distL="0" distR="0" wp14:anchorId="65BB23BD" wp14:editId="01F80B07">
            <wp:extent cx="6045200" cy="3416300"/>
            <wp:effectExtent l="0" t="0" r="0" b="0"/>
            <wp:docPr id="26" name="Picture 26"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_28.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045200" cy="3416300"/>
                    </a:xfrm>
                    <a:prstGeom prst="rect">
                      <a:avLst/>
                    </a:prstGeom>
                  </pic:spPr>
                </pic:pic>
              </a:graphicData>
            </a:graphic>
          </wp:inline>
        </w:drawing>
      </w:r>
      <w:r w:rsidR="00D6403A" w:rsidRPr="00D6403A">
        <w:rPr>
          <w:lang w:val="en-GB"/>
        </w:rPr>
        <w:t xml:space="preserve"> </w:t>
      </w:r>
    </w:p>
    <w:p w14:paraId="4D0B2AC4"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0686DDED" w14:textId="77777777" w:rsidR="00D6403A" w:rsidRPr="00D6403A" w:rsidRDefault="00D6403A" w:rsidP="00887B5A">
      <w:pPr>
        <w:pStyle w:val="Tablechartdiagramheading"/>
        <w:rPr>
          <w:lang w:val="en-GB"/>
        </w:rPr>
      </w:pPr>
      <w:r w:rsidRPr="00D6403A">
        <w:rPr>
          <w:lang w:val="en-GB"/>
        </w:rPr>
        <w:t>Table 10. Rate of severe fetal growth restriction in a singleton pregnancy undelivered by 40 weeks,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7363AB73" w14:textId="77777777" w:rsidTr="0062047A">
        <w:trPr>
          <w:cnfStyle w:val="100000000000" w:firstRow="1" w:lastRow="0" w:firstColumn="0" w:lastColumn="0" w:oddVBand="0" w:evenVBand="0" w:oddHBand="0" w:evenHBand="0" w:firstRowFirstColumn="0" w:firstRowLastColumn="0" w:lastRowFirstColumn="0" w:lastRowLastColumn="0"/>
          <w:trHeight w:val="283"/>
        </w:trPr>
        <w:tc>
          <w:tcPr>
            <w:cnfStyle w:val="000010000000" w:firstRow="0" w:lastRow="0" w:firstColumn="0" w:lastColumn="0" w:oddVBand="1" w:evenVBand="0" w:oddHBand="0" w:evenHBand="0" w:firstRowFirstColumn="0" w:firstRowLastColumn="0" w:lastRowFirstColumn="0" w:lastRowLastColumn="0"/>
            <w:tcW w:w="1276" w:type="dxa"/>
          </w:tcPr>
          <w:p w14:paraId="7EFC7BC6" w14:textId="77777777" w:rsidR="00D6403A" w:rsidRPr="0062047A" w:rsidRDefault="00D6403A" w:rsidP="0062047A">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3725615A" w14:textId="77777777" w:rsidR="00D6403A" w:rsidRPr="0062047A" w:rsidRDefault="00D6403A" w:rsidP="0062047A">
            <w:pPr>
              <w:pStyle w:val="Tableheader"/>
              <w:jc w:val="right"/>
              <w:rPr>
                <w:b/>
                <w:lang w:val="en-GB"/>
              </w:rPr>
            </w:pPr>
            <w:r w:rsidRPr="0062047A">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30148E71" w14:textId="77777777" w:rsidR="00D6403A" w:rsidRPr="0062047A" w:rsidRDefault="00D6403A" w:rsidP="0062047A">
            <w:pPr>
              <w:pStyle w:val="Tableheader"/>
              <w:jc w:val="right"/>
              <w:rPr>
                <w:b/>
                <w:lang w:val="en-GB"/>
              </w:rPr>
            </w:pPr>
            <w:r w:rsidRPr="0062047A">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1FA9493D" w14:textId="77777777" w:rsidR="00D6403A" w:rsidRPr="0062047A" w:rsidRDefault="00D6403A" w:rsidP="0062047A">
            <w:pPr>
              <w:pStyle w:val="Tableheader"/>
              <w:jc w:val="right"/>
              <w:rPr>
                <w:b/>
                <w:lang w:val="en-GB"/>
              </w:rPr>
            </w:pPr>
            <w:r w:rsidRPr="0062047A">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3C6B67E0" w14:textId="77777777" w:rsidR="00D6403A" w:rsidRPr="0062047A" w:rsidRDefault="00D6403A" w:rsidP="0062047A">
            <w:pPr>
              <w:pStyle w:val="Tableheader"/>
              <w:jc w:val="right"/>
              <w:rPr>
                <w:b/>
                <w:lang w:val="en-GB"/>
              </w:rPr>
            </w:pPr>
            <w:r w:rsidRPr="0062047A">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7F7CD77C" w14:textId="77777777" w:rsidR="00D6403A" w:rsidRPr="0062047A" w:rsidRDefault="00D6403A" w:rsidP="0062047A">
            <w:pPr>
              <w:pStyle w:val="Tableheader"/>
              <w:jc w:val="right"/>
              <w:rPr>
                <w:b/>
                <w:lang w:val="en-GB"/>
              </w:rPr>
            </w:pPr>
            <w:r w:rsidRPr="0062047A">
              <w:rPr>
                <w:b/>
                <w:lang w:val="en-GB"/>
              </w:rPr>
              <w:t>2021</w:t>
            </w:r>
          </w:p>
        </w:tc>
      </w:tr>
      <w:tr w:rsidR="00D6403A" w:rsidRPr="00D6403A" w14:paraId="74112AA3" w14:textId="77777777" w:rsidTr="0062047A">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1B56146" w14:textId="288D4623" w:rsidR="00D6403A" w:rsidRPr="0062047A" w:rsidRDefault="00D6403A" w:rsidP="0062047A">
            <w:pPr>
              <w:pStyle w:val="Tabletext"/>
              <w:jc w:val="left"/>
              <w:rPr>
                <w:b/>
                <w:color w:val="009859"/>
                <w:lang w:val="en-GB"/>
              </w:rPr>
            </w:pPr>
            <w:r w:rsidRPr="0062047A">
              <w:rPr>
                <w:b/>
                <w:lang w:val="en-G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36619611" w14:textId="77777777" w:rsidR="00D6403A" w:rsidRPr="00D6403A" w:rsidRDefault="00D6403A" w:rsidP="0062047A">
            <w:pPr>
              <w:pStyle w:val="Tabletext"/>
              <w:rPr>
                <w:lang w:val="en-US"/>
              </w:rPr>
            </w:pPr>
            <w:r w:rsidRPr="00D6403A">
              <w:rPr>
                <w:lang w:val="en-US"/>
              </w:rPr>
              <w:t>28.0%</w:t>
            </w:r>
          </w:p>
        </w:tc>
        <w:tc>
          <w:tcPr>
            <w:cnfStyle w:val="000010000000" w:firstRow="0" w:lastRow="0" w:firstColumn="0" w:lastColumn="0" w:oddVBand="1" w:evenVBand="0" w:oddHBand="0" w:evenHBand="0" w:firstRowFirstColumn="0" w:firstRowLastColumn="0" w:lastRowFirstColumn="0" w:lastRowLastColumn="0"/>
            <w:tcW w:w="737" w:type="dxa"/>
          </w:tcPr>
          <w:p w14:paraId="58C6E9A2" w14:textId="77777777" w:rsidR="00D6403A" w:rsidRPr="00D6403A" w:rsidRDefault="00D6403A" w:rsidP="0062047A">
            <w:pPr>
              <w:pStyle w:val="Tabletext"/>
              <w:rPr>
                <w:lang w:val="en-US"/>
              </w:rPr>
            </w:pPr>
            <w:r w:rsidRPr="00D6403A">
              <w:rPr>
                <w:lang w:val="en-US"/>
              </w:rPr>
              <w:t>23.0%</w:t>
            </w:r>
          </w:p>
        </w:tc>
        <w:tc>
          <w:tcPr>
            <w:cnfStyle w:val="000001000000" w:firstRow="0" w:lastRow="0" w:firstColumn="0" w:lastColumn="0" w:oddVBand="0" w:evenVBand="1" w:oddHBand="0" w:evenHBand="0" w:firstRowFirstColumn="0" w:firstRowLastColumn="0" w:lastRowFirstColumn="0" w:lastRowLastColumn="0"/>
            <w:tcW w:w="737" w:type="dxa"/>
          </w:tcPr>
          <w:p w14:paraId="61FDD56C" w14:textId="77777777" w:rsidR="00D6403A" w:rsidRPr="00D6403A" w:rsidRDefault="00D6403A" w:rsidP="0062047A">
            <w:pPr>
              <w:pStyle w:val="Tabletext"/>
              <w:rPr>
                <w:lang w:val="en-US"/>
              </w:rPr>
            </w:pPr>
            <w:r w:rsidRPr="00D6403A">
              <w:rPr>
                <w:lang w:val="en-US"/>
              </w:rPr>
              <w:t>22.1%</w:t>
            </w:r>
          </w:p>
        </w:tc>
        <w:tc>
          <w:tcPr>
            <w:cnfStyle w:val="000010000000" w:firstRow="0" w:lastRow="0" w:firstColumn="0" w:lastColumn="0" w:oddVBand="1" w:evenVBand="0" w:oddHBand="0" w:evenHBand="0" w:firstRowFirstColumn="0" w:firstRowLastColumn="0" w:lastRowFirstColumn="0" w:lastRowLastColumn="0"/>
            <w:tcW w:w="737" w:type="dxa"/>
          </w:tcPr>
          <w:p w14:paraId="61F18DD0" w14:textId="77777777" w:rsidR="00D6403A" w:rsidRPr="00D6403A" w:rsidRDefault="00D6403A" w:rsidP="0062047A">
            <w:pPr>
              <w:pStyle w:val="Tabletext"/>
              <w:rPr>
                <w:lang w:val="en-US"/>
              </w:rPr>
            </w:pPr>
            <w:r w:rsidRPr="00D6403A">
              <w:rPr>
                <w:lang w:val="en-US"/>
              </w:rPr>
              <w:t>20.5%</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0ADA4EE4" w14:textId="77777777" w:rsidR="00D6403A" w:rsidRPr="00D6403A" w:rsidRDefault="00D6403A" w:rsidP="0062047A">
            <w:pPr>
              <w:pStyle w:val="Tabletext"/>
              <w:rPr>
                <w:lang w:val="en-US"/>
              </w:rPr>
            </w:pPr>
            <w:r w:rsidRPr="00D6403A">
              <w:rPr>
                <w:lang w:val="en-US"/>
              </w:rPr>
              <w:t>20.6%</w:t>
            </w:r>
          </w:p>
        </w:tc>
      </w:tr>
      <w:tr w:rsidR="00D6403A" w:rsidRPr="00D6403A" w14:paraId="48FDA9A1" w14:textId="77777777" w:rsidTr="0062047A">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19D96B1" w14:textId="7D85AB43" w:rsidR="00D6403A" w:rsidRPr="0062047A" w:rsidRDefault="00D6403A" w:rsidP="0062047A">
            <w:pPr>
              <w:pStyle w:val="Tabletext"/>
              <w:jc w:val="left"/>
              <w:rPr>
                <w:b/>
                <w:color w:val="009859"/>
                <w:lang w:val="en-GB"/>
              </w:rPr>
            </w:pPr>
            <w:r w:rsidRPr="0062047A">
              <w:rPr>
                <w:b/>
                <w:lang w:val="en-G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25AAD84C" w14:textId="77777777" w:rsidR="00D6403A" w:rsidRPr="00D6403A" w:rsidRDefault="00D6403A" w:rsidP="0062047A">
            <w:pPr>
              <w:pStyle w:val="Tabletext"/>
              <w:rPr>
                <w:lang w:val="en-US"/>
              </w:rPr>
            </w:pPr>
            <w:r w:rsidRPr="00D6403A">
              <w:rPr>
                <w:lang w:val="en-US"/>
              </w:rPr>
              <w:t>28.8%</w:t>
            </w:r>
          </w:p>
        </w:tc>
        <w:tc>
          <w:tcPr>
            <w:cnfStyle w:val="000010000000" w:firstRow="0" w:lastRow="0" w:firstColumn="0" w:lastColumn="0" w:oddVBand="1" w:evenVBand="0" w:oddHBand="0" w:evenHBand="0" w:firstRowFirstColumn="0" w:firstRowLastColumn="0" w:lastRowFirstColumn="0" w:lastRowLastColumn="0"/>
            <w:tcW w:w="737" w:type="dxa"/>
          </w:tcPr>
          <w:p w14:paraId="2638A6D7" w14:textId="77777777" w:rsidR="00D6403A" w:rsidRPr="00D6403A" w:rsidRDefault="00D6403A" w:rsidP="0062047A">
            <w:pPr>
              <w:pStyle w:val="Tabletext"/>
              <w:rPr>
                <w:lang w:val="en-US"/>
              </w:rPr>
            </w:pPr>
            <w:r w:rsidRPr="00D6403A">
              <w:rPr>
                <w:lang w:val="en-US"/>
              </w:rPr>
              <w:t>30.2%</w:t>
            </w:r>
          </w:p>
        </w:tc>
        <w:tc>
          <w:tcPr>
            <w:cnfStyle w:val="000001000000" w:firstRow="0" w:lastRow="0" w:firstColumn="0" w:lastColumn="0" w:oddVBand="0" w:evenVBand="1" w:oddHBand="0" w:evenHBand="0" w:firstRowFirstColumn="0" w:firstRowLastColumn="0" w:lastRowFirstColumn="0" w:lastRowLastColumn="0"/>
            <w:tcW w:w="737" w:type="dxa"/>
          </w:tcPr>
          <w:p w14:paraId="666547AA" w14:textId="77777777" w:rsidR="00D6403A" w:rsidRPr="00D6403A" w:rsidRDefault="00D6403A" w:rsidP="0062047A">
            <w:pPr>
              <w:pStyle w:val="Tabletext"/>
              <w:rPr>
                <w:lang w:val="en-US"/>
              </w:rPr>
            </w:pPr>
            <w:r w:rsidRPr="00D6403A">
              <w:rPr>
                <w:lang w:val="en-US"/>
              </w:rPr>
              <w:t>26.4%</w:t>
            </w:r>
          </w:p>
        </w:tc>
        <w:tc>
          <w:tcPr>
            <w:cnfStyle w:val="000010000000" w:firstRow="0" w:lastRow="0" w:firstColumn="0" w:lastColumn="0" w:oddVBand="1" w:evenVBand="0" w:oddHBand="0" w:evenHBand="0" w:firstRowFirstColumn="0" w:firstRowLastColumn="0" w:lastRowFirstColumn="0" w:lastRowLastColumn="0"/>
            <w:tcW w:w="737" w:type="dxa"/>
          </w:tcPr>
          <w:p w14:paraId="567B427D" w14:textId="77777777" w:rsidR="00D6403A" w:rsidRPr="00D6403A" w:rsidRDefault="00D6403A" w:rsidP="0062047A">
            <w:pPr>
              <w:pStyle w:val="Tabletext"/>
              <w:rPr>
                <w:lang w:val="en-US"/>
              </w:rPr>
            </w:pPr>
            <w:r w:rsidRPr="00D6403A">
              <w:rPr>
                <w:lang w:val="en-US"/>
              </w:rPr>
              <w:t>21.3%</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51B2874E" w14:textId="77777777" w:rsidR="00D6403A" w:rsidRPr="00D6403A" w:rsidRDefault="00D6403A" w:rsidP="0062047A">
            <w:pPr>
              <w:pStyle w:val="Tabletext"/>
              <w:rPr>
                <w:lang w:val="en-US"/>
              </w:rPr>
            </w:pPr>
            <w:r w:rsidRPr="00D6403A">
              <w:rPr>
                <w:lang w:val="en-US"/>
              </w:rPr>
              <w:t>17.5%</w:t>
            </w:r>
          </w:p>
        </w:tc>
      </w:tr>
      <w:tr w:rsidR="00D6403A" w:rsidRPr="00D6403A" w14:paraId="6EFDB51A" w14:textId="77777777" w:rsidTr="0062047A">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46616DB7" w14:textId="3203163D" w:rsidR="00D6403A" w:rsidRPr="0062047A" w:rsidRDefault="00D6403A" w:rsidP="0062047A">
            <w:pPr>
              <w:pStyle w:val="Tabletext"/>
              <w:jc w:val="left"/>
              <w:rPr>
                <w:b/>
                <w:color w:val="009859"/>
                <w:lang w:val="en-GB"/>
              </w:rPr>
            </w:pPr>
            <w:r w:rsidRPr="0062047A">
              <w:rPr>
                <w:b/>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22BAD25C" w14:textId="77777777" w:rsidR="00D6403A" w:rsidRPr="00D6403A" w:rsidRDefault="00D6403A" w:rsidP="0062047A">
            <w:pPr>
              <w:pStyle w:val="Tabletext"/>
              <w:rPr>
                <w:lang w:val="en-US"/>
              </w:rPr>
            </w:pPr>
            <w:r w:rsidRPr="00D6403A">
              <w:rPr>
                <w:lang w:val="en-US"/>
              </w:rPr>
              <w:t>28.1%</w:t>
            </w:r>
          </w:p>
        </w:tc>
        <w:tc>
          <w:tcPr>
            <w:cnfStyle w:val="000010000000" w:firstRow="0" w:lastRow="0" w:firstColumn="0" w:lastColumn="0" w:oddVBand="1" w:evenVBand="0" w:oddHBand="0" w:evenHBand="0" w:firstRowFirstColumn="0" w:firstRowLastColumn="0" w:lastRowFirstColumn="0" w:lastRowLastColumn="0"/>
            <w:tcW w:w="737" w:type="dxa"/>
          </w:tcPr>
          <w:p w14:paraId="7424D4D5" w14:textId="77777777" w:rsidR="00D6403A" w:rsidRPr="00D6403A" w:rsidRDefault="00D6403A" w:rsidP="0062047A">
            <w:pPr>
              <w:pStyle w:val="Tabletext"/>
              <w:rPr>
                <w:lang w:val="en-US"/>
              </w:rPr>
            </w:pPr>
            <w:r w:rsidRPr="00D6403A">
              <w:rPr>
                <w:lang w:val="en-US"/>
              </w:rPr>
              <w:t>24.3%</w:t>
            </w:r>
          </w:p>
        </w:tc>
        <w:tc>
          <w:tcPr>
            <w:cnfStyle w:val="000001000000" w:firstRow="0" w:lastRow="0" w:firstColumn="0" w:lastColumn="0" w:oddVBand="0" w:evenVBand="1" w:oddHBand="0" w:evenHBand="0" w:firstRowFirstColumn="0" w:firstRowLastColumn="0" w:lastRowFirstColumn="0" w:lastRowLastColumn="0"/>
            <w:tcW w:w="737" w:type="dxa"/>
          </w:tcPr>
          <w:p w14:paraId="4405DF2C" w14:textId="77777777" w:rsidR="00D6403A" w:rsidRPr="00D6403A" w:rsidRDefault="00D6403A" w:rsidP="0062047A">
            <w:pPr>
              <w:pStyle w:val="Tabletext"/>
              <w:rPr>
                <w:lang w:val="en-US"/>
              </w:rPr>
            </w:pPr>
            <w:r w:rsidRPr="00D6403A">
              <w:rPr>
                <w:lang w:val="en-US"/>
              </w:rPr>
              <w:t>23.0%</w:t>
            </w:r>
          </w:p>
        </w:tc>
        <w:tc>
          <w:tcPr>
            <w:cnfStyle w:val="000010000000" w:firstRow="0" w:lastRow="0" w:firstColumn="0" w:lastColumn="0" w:oddVBand="1" w:evenVBand="0" w:oddHBand="0" w:evenHBand="0" w:firstRowFirstColumn="0" w:firstRowLastColumn="0" w:lastRowFirstColumn="0" w:lastRowLastColumn="0"/>
            <w:tcW w:w="737" w:type="dxa"/>
          </w:tcPr>
          <w:p w14:paraId="304F7520" w14:textId="77777777" w:rsidR="00D6403A" w:rsidRPr="00D6403A" w:rsidRDefault="00D6403A" w:rsidP="0062047A">
            <w:pPr>
              <w:pStyle w:val="Tabletext"/>
              <w:rPr>
                <w:lang w:val="en-US"/>
              </w:rPr>
            </w:pPr>
            <w:r w:rsidRPr="00D6403A">
              <w:rPr>
                <w:lang w:val="en-US"/>
              </w:rPr>
              <w:t>20.8%</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734D13CE" w14:textId="77777777" w:rsidR="00D6403A" w:rsidRPr="00D6403A" w:rsidRDefault="00D6403A" w:rsidP="0062047A">
            <w:pPr>
              <w:pStyle w:val="Tabletext"/>
              <w:rPr>
                <w:lang w:val="en-US"/>
              </w:rPr>
            </w:pPr>
            <w:r w:rsidRPr="00D6403A">
              <w:rPr>
                <w:lang w:val="en-US"/>
              </w:rPr>
              <w:t>20.0%</w:t>
            </w:r>
          </w:p>
        </w:tc>
      </w:tr>
    </w:tbl>
    <w:p w14:paraId="6F99D161" w14:textId="77777777" w:rsidR="00D6403A" w:rsidRPr="00D6403A" w:rsidRDefault="00D6403A" w:rsidP="00870C38">
      <w:pPr>
        <w:pStyle w:val="Tablechartdiagramheading"/>
      </w:pPr>
      <w:r w:rsidRPr="00D6403A">
        <w:t>Figure 29. Time trend of Indicator 3a, 2017–2021</w:t>
      </w:r>
    </w:p>
    <w:p w14:paraId="7B0265BA" w14:textId="52DF4AD1" w:rsidR="00D6403A" w:rsidRPr="00D6403A" w:rsidRDefault="0062047A" w:rsidP="00862996">
      <w:pPr>
        <w:rPr>
          <w:lang w:val="en-GB"/>
        </w:rPr>
      </w:pPr>
      <w:r>
        <w:rPr>
          <w:noProof/>
          <w:lang w:val="en-GB"/>
        </w:rPr>
        <w:drawing>
          <wp:inline distT="0" distB="0" distL="0" distR="0" wp14:anchorId="5B462238" wp14:editId="69411CBA">
            <wp:extent cx="3098800" cy="1295400"/>
            <wp:effectExtent l="0" t="0" r="0" b="0"/>
            <wp:docPr id="34" name="Picture 34" descr="Line chart of Table 10 indicator 3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_29.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26059B90" w14:textId="77777777" w:rsidR="00D6403A" w:rsidRPr="00D6403A" w:rsidRDefault="00D6403A" w:rsidP="0062047A">
      <w:pPr>
        <w:pStyle w:val="Tablechartdiagramheading"/>
        <w:rPr>
          <w:lang w:val="en-GB"/>
        </w:rPr>
      </w:pPr>
      <w:r w:rsidRPr="00D6403A">
        <w:rPr>
          <w:lang w:val="en-GB"/>
        </w:rPr>
        <w:lastRenderedPageBreak/>
        <w:t>Figure 30. Indicator 3b: Rate of babies with a birthweight above the 25th centile actively delivered for</w:t>
      </w:r>
      <w:r w:rsidRPr="00D6403A">
        <w:rPr>
          <w:rFonts w:ascii="Cambria" w:hAnsi="Cambria" w:cs="Cambria"/>
          <w:lang w:val="en-GB"/>
        </w:rPr>
        <w:t> </w:t>
      </w:r>
      <w:r w:rsidRPr="00D6403A">
        <w:rPr>
          <w:lang w:val="en-GB"/>
        </w:rPr>
        <w:t>fetal growth restriction before 39 weeks’ gestation (FGR balance measure), 2021</w:t>
      </w:r>
    </w:p>
    <w:p w14:paraId="356DD676" w14:textId="6191E6FA" w:rsidR="00D6403A" w:rsidRPr="0062047A" w:rsidRDefault="0062047A" w:rsidP="0062047A">
      <w:pPr>
        <w:rPr>
          <w:lang w:val="en-GB"/>
        </w:rPr>
      </w:pPr>
      <w:r>
        <w:rPr>
          <w:noProof/>
          <w:lang w:val="en-GB"/>
        </w:rPr>
        <w:drawing>
          <wp:inline distT="0" distB="0" distL="0" distR="0" wp14:anchorId="3556F42A" wp14:editId="455F049F">
            <wp:extent cx="6476365" cy="4584700"/>
            <wp:effectExtent l="0" t="0" r="635" b="0"/>
            <wp:docPr id="35" name="Picture 35" descr="Bar chart for Indicator 3b.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_30.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476365" cy="4584700"/>
                    </a:xfrm>
                    <a:prstGeom prst="rect">
                      <a:avLst/>
                    </a:prstGeom>
                  </pic:spPr>
                </pic:pic>
              </a:graphicData>
            </a:graphic>
          </wp:inline>
        </w:drawing>
      </w:r>
    </w:p>
    <w:p w14:paraId="51C9468E" w14:textId="77777777" w:rsidR="00D6403A" w:rsidRPr="00D6403A" w:rsidRDefault="00D6403A" w:rsidP="0062047A">
      <w:pPr>
        <w:pStyle w:val="Tablechartdiagramheading"/>
        <w:rPr>
          <w:lang w:val="en-GB"/>
        </w:rPr>
      </w:pPr>
      <w:r w:rsidRPr="00D6403A">
        <w:rPr>
          <w:lang w:val="en-GB"/>
        </w:rPr>
        <w:lastRenderedPageBreak/>
        <w:t>Figure 31. Funnel plot of rate of babies with a birthweight above the 25th centile actively delivered for</w:t>
      </w:r>
      <w:r w:rsidRPr="00D6403A">
        <w:rPr>
          <w:rFonts w:ascii="Cambria" w:hAnsi="Cambria" w:cs="Cambria"/>
          <w:lang w:val="en-GB"/>
        </w:rPr>
        <w:t> </w:t>
      </w:r>
      <w:r w:rsidRPr="00D6403A">
        <w:rPr>
          <w:lang w:val="en-GB"/>
        </w:rPr>
        <w:t>fetal growth restriction before 39 weeks’ gestation (FGR balance measure), 2021</w:t>
      </w:r>
    </w:p>
    <w:p w14:paraId="31A49FB0" w14:textId="4C488314" w:rsidR="00D6403A" w:rsidRPr="00D6403A" w:rsidRDefault="0062047A" w:rsidP="00862996">
      <w:pPr>
        <w:rPr>
          <w:lang w:val="en-GB"/>
        </w:rPr>
      </w:pPr>
      <w:r>
        <w:rPr>
          <w:noProof/>
          <w:lang w:val="en-GB"/>
        </w:rPr>
        <w:drawing>
          <wp:inline distT="0" distB="0" distL="0" distR="0" wp14:anchorId="14D97534" wp14:editId="687E03A7">
            <wp:extent cx="6032500" cy="3530600"/>
            <wp:effectExtent l="0" t="0" r="0" b="0"/>
            <wp:docPr id="36" name="Picture 36"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_31.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32500" cy="3530600"/>
                    </a:xfrm>
                    <a:prstGeom prst="rect">
                      <a:avLst/>
                    </a:prstGeom>
                  </pic:spPr>
                </pic:pic>
              </a:graphicData>
            </a:graphic>
          </wp:inline>
        </w:drawing>
      </w:r>
      <w:r w:rsidR="00D6403A" w:rsidRPr="00D6403A">
        <w:rPr>
          <w:lang w:val="en-GB"/>
        </w:rPr>
        <w:t xml:space="preserve"> </w:t>
      </w:r>
    </w:p>
    <w:p w14:paraId="4DDAFB1A"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6AEF64BA" w14:textId="77777777" w:rsidR="00D6403A" w:rsidRPr="00D6403A" w:rsidRDefault="00D6403A" w:rsidP="00887B5A">
      <w:pPr>
        <w:pStyle w:val="Tablechartdiagramheading"/>
        <w:rPr>
          <w:lang w:val="en-GB"/>
        </w:rPr>
      </w:pPr>
      <w:r w:rsidRPr="00D6403A">
        <w:rPr>
          <w:lang w:val="en-GB"/>
        </w:rPr>
        <w:t>Table 11. Rate of babies with a birthweight above the 25th centile actively delivered for fetal growth restriction before 39 weeks’ gestation (FGR balance measure), 2021</w:t>
      </w:r>
    </w:p>
    <w:tbl>
      <w:tblPr>
        <w:tblStyle w:val="TableGrid"/>
        <w:tblW w:w="0" w:type="auto"/>
        <w:tblLayout w:type="fixed"/>
        <w:tblLook w:val="0020" w:firstRow="1" w:lastRow="0" w:firstColumn="0" w:lastColumn="0" w:noHBand="0" w:noVBand="0"/>
      </w:tblPr>
      <w:tblGrid>
        <w:gridCol w:w="8447"/>
        <w:gridCol w:w="1758"/>
      </w:tblGrid>
      <w:tr w:rsidR="00D6403A" w:rsidRPr="00D6403A" w14:paraId="33D05F8F" w14:textId="77777777" w:rsidTr="0062047A">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8447" w:type="dxa"/>
          </w:tcPr>
          <w:p w14:paraId="7CF82CBA" w14:textId="77777777" w:rsidR="00D6403A" w:rsidRPr="0062047A" w:rsidRDefault="00D6403A" w:rsidP="0062047A">
            <w:pPr>
              <w:pStyle w:val="Tableheader"/>
              <w:jc w:val="right"/>
            </w:pPr>
          </w:p>
        </w:tc>
        <w:tc>
          <w:tcPr>
            <w:cnfStyle w:val="000001000000" w:firstRow="0" w:lastRow="0" w:firstColumn="0" w:lastColumn="0" w:oddVBand="0" w:evenVBand="1" w:oddHBand="0" w:evenHBand="0" w:firstRowFirstColumn="0" w:firstRowLastColumn="0" w:lastRowFirstColumn="0" w:lastRowLastColumn="0"/>
            <w:tcW w:w="1758" w:type="dxa"/>
          </w:tcPr>
          <w:p w14:paraId="57D8D0D5" w14:textId="77777777" w:rsidR="00D6403A" w:rsidRPr="0062047A" w:rsidRDefault="00D6403A" w:rsidP="0062047A">
            <w:pPr>
              <w:pStyle w:val="Tableheader"/>
              <w:jc w:val="right"/>
            </w:pPr>
            <w:r w:rsidRPr="0062047A">
              <w:t>2021</w:t>
            </w:r>
          </w:p>
        </w:tc>
      </w:tr>
      <w:tr w:rsidR="00D6403A" w:rsidRPr="00D6403A" w14:paraId="401DE1AD" w14:textId="77777777" w:rsidTr="0062047A">
        <w:trPr>
          <w:trHeight w:val="60"/>
        </w:trPr>
        <w:tc>
          <w:tcPr>
            <w:cnfStyle w:val="000010000000" w:firstRow="0" w:lastRow="0" w:firstColumn="0" w:lastColumn="0" w:oddVBand="1" w:evenVBand="0" w:oddHBand="0" w:evenHBand="0" w:firstRowFirstColumn="0" w:firstRowLastColumn="0" w:lastRowFirstColumn="0" w:lastRowLastColumn="0"/>
            <w:tcW w:w="8447" w:type="dxa"/>
          </w:tcPr>
          <w:p w14:paraId="5BEEC52B" w14:textId="77777777" w:rsidR="00D6403A" w:rsidRPr="007275FD" w:rsidRDefault="00D6403A" w:rsidP="0062047A">
            <w:pPr>
              <w:pStyle w:val="Tabletext"/>
              <w:jc w:val="left"/>
              <w:rPr>
                <w:b/>
                <w:color w:val="009859"/>
                <w:lang w:val="en-GB"/>
              </w:rPr>
            </w:pPr>
            <w:r w:rsidRPr="007275FD">
              <w:rPr>
                <w:b/>
                <w:lang w:val="en-GB"/>
              </w:rPr>
              <w:t>Public</w:t>
            </w:r>
          </w:p>
        </w:tc>
        <w:tc>
          <w:tcPr>
            <w:cnfStyle w:val="000001000000" w:firstRow="0" w:lastRow="0" w:firstColumn="0" w:lastColumn="0" w:oddVBand="0" w:evenVBand="1" w:oddHBand="0" w:evenHBand="0" w:firstRowFirstColumn="0" w:firstRowLastColumn="0" w:lastRowFirstColumn="0" w:lastRowLastColumn="0"/>
            <w:tcW w:w="1758" w:type="dxa"/>
            <w:shd w:val="clear" w:color="auto" w:fill="F2F2F2" w:themeFill="background1" w:themeFillShade="F2"/>
          </w:tcPr>
          <w:p w14:paraId="720EE2C0" w14:textId="77777777" w:rsidR="00D6403A" w:rsidRPr="00D6403A" w:rsidRDefault="00D6403A" w:rsidP="00AE4C75">
            <w:pPr>
              <w:pStyle w:val="Tabletext"/>
              <w:rPr>
                <w:lang w:val="en-US"/>
              </w:rPr>
            </w:pPr>
            <w:r w:rsidRPr="00D6403A">
              <w:rPr>
                <w:lang w:val="en-US"/>
              </w:rPr>
              <w:t>16.8%</w:t>
            </w:r>
          </w:p>
        </w:tc>
      </w:tr>
      <w:tr w:rsidR="00D6403A" w:rsidRPr="00D6403A" w14:paraId="1C3D43D0" w14:textId="77777777" w:rsidTr="0062047A">
        <w:trPr>
          <w:trHeight w:val="60"/>
        </w:trPr>
        <w:tc>
          <w:tcPr>
            <w:cnfStyle w:val="000010000000" w:firstRow="0" w:lastRow="0" w:firstColumn="0" w:lastColumn="0" w:oddVBand="1" w:evenVBand="0" w:oddHBand="0" w:evenHBand="0" w:firstRowFirstColumn="0" w:firstRowLastColumn="0" w:lastRowFirstColumn="0" w:lastRowLastColumn="0"/>
            <w:tcW w:w="8447" w:type="dxa"/>
          </w:tcPr>
          <w:p w14:paraId="5567827D" w14:textId="77777777" w:rsidR="00D6403A" w:rsidRPr="007275FD" w:rsidRDefault="00D6403A" w:rsidP="0062047A">
            <w:pPr>
              <w:pStyle w:val="Tabletext"/>
              <w:jc w:val="left"/>
              <w:rPr>
                <w:b/>
                <w:color w:val="009859"/>
                <w:lang w:val="en-GB"/>
              </w:rPr>
            </w:pPr>
            <w:r w:rsidRPr="007275FD">
              <w:rPr>
                <w:b/>
                <w:lang w:val="en-GB"/>
              </w:rPr>
              <w:t>Private</w:t>
            </w:r>
          </w:p>
        </w:tc>
        <w:tc>
          <w:tcPr>
            <w:cnfStyle w:val="000001000000" w:firstRow="0" w:lastRow="0" w:firstColumn="0" w:lastColumn="0" w:oddVBand="0" w:evenVBand="1" w:oddHBand="0" w:evenHBand="0" w:firstRowFirstColumn="0" w:firstRowLastColumn="0" w:lastRowFirstColumn="0" w:lastRowLastColumn="0"/>
            <w:tcW w:w="1758" w:type="dxa"/>
            <w:shd w:val="clear" w:color="auto" w:fill="F2F2F2" w:themeFill="background1" w:themeFillShade="F2"/>
          </w:tcPr>
          <w:p w14:paraId="7F05CAAD" w14:textId="77777777" w:rsidR="00D6403A" w:rsidRPr="00D6403A" w:rsidRDefault="00D6403A" w:rsidP="00AE4C75">
            <w:pPr>
              <w:pStyle w:val="Tabletext"/>
              <w:rPr>
                <w:lang w:val="en-US"/>
              </w:rPr>
            </w:pPr>
            <w:r w:rsidRPr="00D6403A">
              <w:rPr>
                <w:lang w:val="en-US"/>
              </w:rPr>
              <w:t>22.1%</w:t>
            </w:r>
          </w:p>
        </w:tc>
      </w:tr>
      <w:tr w:rsidR="00D6403A" w:rsidRPr="00D6403A" w14:paraId="0C685A55" w14:textId="77777777" w:rsidTr="0062047A">
        <w:trPr>
          <w:trHeight w:val="60"/>
        </w:trPr>
        <w:tc>
          <w:tcPr>
            <w:cnfStyle w:val="000010000000" w:firstRow="0" w:lastRow="0" w:firstColumn="0" w:lastColumn="0" w:oddVBand="1" w:evenVBand="0" w:oddHBand="0" w:evenHBand="0" w:firstRowFirstColumn="0" w:firstRowLastColumn="0" w:lastRowFirstColumn="0" w:lastRowLastColumn="0"/>
            <w:tcW w:w="8447" w:type="dxa"/>
          </w:tcPr>
          <w:p w14:paraId="755F4ADE" w14:textId="77777777" w:rsidR="00D6403A" w:rsidRPr="007275FD" w:rsidRDefault="00D6403A" w:rsidP="0062047A">
            <w:pPr>
              <w:pStyle w:val="Tabletext"/>
              <w:jc w:val="left"/>
              <w:rPr>
                <w:b/>
                <w:color w:val="009859"/>
                <w:lang w:val="en-GB"/>
              </w:rPr>
            </w:pPr>
            <w:r w:rsidRPr="007275FD">
              <w:rPr>
                <w:b/>
                <w:lang w:val="en-GB"/>
              </w:rPr>
              <w:t xml:space="preserve">Statewide </w:t>
            </w:r>
          </w:p>
        </w:tc>
        <w:tc>
          <w:tcPr>
            <w:cnfStyle w:val="000001000000" w:firstRow="0" w:lastRow="0" w:firstColumn="0" w:lastColumn="0" w:oddVBand="0" w:evenVBand="1" w:oddHBand="0" w:evenHBand="0" w:firstRowFirstColumn="0" w:firstRowLastColumn="0" w:lastRowFirstColumn="0" w:lastRowLastColumn="0"/>
            <w:tcW w:w="1758" w:type="dxa"/>
            <w:shd w:val="clear" w:color="auto" w:fill="F2F2F2" w:themeFill="background1" w:themeFillShade="F2"/>
          </w:tcPr>
          <w:p w14:paraId="63C80B5A" w14:textId="77777777" w:rsidR="00D6403A" w:rsidRPr="00D6403A" w:rsidRDefault="00D6403A" w:rsidP="00AE4C75">
            <w:pPr>
              <w:pStyle w:val="Tabletext"/>
              <w:rPr>
                <w:lang w:val="en-US"/>
              </w:rPr>
            </w:pPr>
            <w:r w:rsidRPr="00D6403A">
              <w:rPr>
                <w:lang w:val="en-US"/>
              </w:rPr>
              <w:t>18.2%</w:t>
            </w:r>
          </w:p>
        </w:tc>
      </w:tr>
    </w:tbl>
    <w:p w14:paraId="30D9A8E1" w14:textId="77777777" w:rsidR="0062047A" w:rsidRDefault="0062047A" w:rsidP="005939CC">
      <w:pPr>
        <w:pStyle w:val="Heading2"/>
        <w:rPr>
          <w:lang w:val="en-GB"/>
        </w:rPr>
      </w:pPr>
      <w:bookmarkStart w:id="43" w:name="_Toc159326601"/>
    </w:p>
    <w:p w14:paraId="43D7AA1C" w14:textId="77777777" w:rsidR="0062047A" w:rsidRDefault="0062047A">
      <w:pPr>
        <w:rPr>
          <w:rFonts w:asciiTheme="majorHAnsi" w:eastAsiaTheme="majorEastAsia" w:hAnsiTheme="majorHAnsi" w:cs="Times New Roman (Headings CS)"/>
          <w:b/>
          <w:bCs/>
          <w:color w:val="007586" w:themeColor="text2"/>
          <w:sz w:val="28"/>
          <w:szCs w:val="26"/>
          <w:lang w:val="en-GB"/>
        </w:rPr>
      </w:pPr>
      <w:r>
        <w:rPr>
          <w:lang w:val="en-GB"/>
        </w:rPr>
        <w:br w:type="page"/>
      </w:r>
    </w:p>
    <w:p w14:paraId="5608FC40" w14:textId="29307A7C" w:rsidR="00D6403A" w:rsidRPr="00D6403A" w:rsidRDefault="00D6403A" w:rsidP="005939CC">
      <w:pPr>
        <w:pStyle w:val="Heading2"/>
        <w:rPr>
          <w:lang w:val="en-GB"/>
        </w:rPr>
      </w:pPr>
      <w:r w:rsidRPr="00D6403A">
        <w:rPr>
          <w:lang w:val="en-GB"/>
        </w:rPr>
        <w:lastRenderedPageBreak/>
        <w:t>Definition and data source</w:t>
      </w:r>
      <w:bookmarkEnd w:id="43"/>
    </w:p>
    <w:p w14:paraId="31C21A2A" w14:textId="77777777" w:rsidR="00D6403A" w:rsidRPr="00D6403A" w:rsidRDefault="00D6403A" w:rsidP="008340E5">
      <w:pPr>
        <w:pStyle w:val="Heading3"/>
        <w:rPr>
          <w:lang w:val="en-GB"/>
        </w:rPr>
      </w:pPr>
      <w:r w:rsidRPr="00D6403A">
        <w:rPr>
          <w:lang w:val="en-GB"/>
        </w:rPr>
        <w:t>Definition</w:t>
      </w:r>
    </w:p>
    <w:p w14:paraId="7E727AD8" w14:textId="77777777" w:rsidR="00D6403A" w:rsidRPr="00D6403A" w:rsidRDefault="00D6403A" w:rsidP="00862996">
      <w:pPr>
        <w:rPr>
          <w:lang w:val="en-GB"/>
        </w:rPr>
      </w:pPr>
      <w:r w:rsidRPr="00D6403A">
        <w:rPr>
          <w:lang w:val="en-GB"/>
        </w:rPr>
        <w:t>Severe FGR is defined as a birthweight less than the third centile for gestation and sex whether liveborn or stillborn.</w:t>
      </w:r>
    </w:p>
    <w:p w14:paraId="08DFBC83" w14:textId="77777777" w:rsidR="00D6403A" w:rsidRPr="00D6403A" w:rsidRDefault="00D6403A" w:rsidP="00862996">
      <w:pPr>
        <w:rPr>
          <w:lang w:val="en-GB"/>
        </w:rPr>
      </w:pPr>
      <w:r w:rsidRPr="00D6403A">
        <w:rPr>
          <w:lang w:val="en-GB"/>
        </w:rPr>
        <w:t>For indicator 3a, exclusions are:</w:t>
      </w:r>
    </w:p>
    <w:p w14:paraId="0A4FB3CD" w14:textId="77777777" w:rsidR="00D6403A" w:rsidRPr="00D6403A" w:rsidRDefault="00D6403A" w:rsidP="00005134">
      <w:pPr>
        <w:pStyle w:val="Bullet1"/>
        <w:rPr>
          <w:lang w:val="en-GB"/>
        </w:rPr>
      </w:pPr>
      <w:r w:rsidRPr="00D6403A">
        <w:rPr>
          <w:lang w:val="en-GB"/>
        </w:rPr>
        <w:t>babies without severe FGR</w:t>
      </w:r>
    </w:p>
    <w:p w14:paraId="2EB17A84" w14:textId="77777777" w:rsidR="00D6403A" w:rsidRPr="00D6403A" w:rsidRDefault="00D6403A" w:rsidP="00005134">
      <w:pPr>
        <w:pStyle w:val="Bullet1"/>
        <w:rPr>
          <w:lang w:val="en-GB"/>
        </w:rPr>
      </w:pPr>
      <w:r w:rsidRPr="00D6403A">
        <w:rPr>
          <w:lang w:val="en-GB"/>
        </w:rPr>
        <w:t>multiple births</w:t>
      </w:r>
    </w:p>
    <w:p w14:paraId="69B5F8E3" w14:textId="77777777" w:rsidR="00D6403A" w:rsidRPr="00D6403A" w:rsidRDefault="00D6403A" w:rsidP="00005134">
      <w:pPr>
        <w:pStyle w:val="Bullet1"/>
        <w:rPr>
          <w:lang w:val="en-GB"/>
        </w:rPr>
      </w:pPr>
      <w:r w:rsidRPr="00D6403A">
        <w:rPr>
          <w:lang w:val="en-GB"/>
        </w:rPr>
        <w:t>births at earlier gestations (less than 32 weeks).</w:t>
      </w:r>
    </w:p>
    <w:p w14:paraId="0519FBA1" w14:textId="77777777" w:rsidR="00D6403A" w:rsidRPr="00D6403A" w:rsidRDefault="00D6403A" w:rsidP="00862996">
      <w:pPr>
        <w:rPr>
          <w:lang w:val="en-GB"/>
        </w:rPr>
      </w:pPr>
      <w:r w:rsidRPr="00D6403A">
        <w:rPr>
          <w:lang w:val="en-GB"/>
        </w:rPr>
        <w:t>For indicator 3b, exclusions are:</w:t>
      </w:r>
    </w:p>
    <w:p w14:paraId="50D6F6D3" w14:textId="77777777" w:rsidR="00D6403A" w:rsidRPr="00D6403A" w:rsidRDefault="00D6403A" w:rsidP="00005134">
      <w:pPr>
        <w:pStyle w:val="Bullet1"/>
        <w:rPr>
          <w:lang w:val="en-GB"/>
        </w:rPr>
      </w:pPr>
      <w:r w:rsidRPr="00D6403A">
        <w:rPr>
          <w:lang w:val="en-GB"/>
        </w:rPr>
        <w:t>babies not delivered for suspected FGR</w:t>
      </w:r>
    </w:p>
    <w:p w14:paraId="61C7E45A" w14:textId="77777777" w:rsidR="00D6403A" w:rsidRPr="00D6403A" w:rsidRDefault="00D6403A" w:rsidP="00005134">
      <w:pPr>
        <w:pStyle w:val="Bullet1"/>
        <w:rPr>
          <w:lang w:val="en-GB"/>
        </w:rPr>
      </w:pPr>
      <w:r w:rsidRPr="00D6403A">
        <w:rPr>
          <w:lang w:val="en-GB"/>
        </w:rPr>
        <w:t>multiple births</w:t>
      </w:r>
    </w:p>
    <w:p w14:paraId="4C903985" w14:textId="77777777" w:rsidR="00D6403A" w:rsidRPr="00D6403A" w:rsidRDefault="00D6403A" w:rsidP="00005134">
      <w:pPr>
        <w:pStyle w:val="Bullet1"/>
        <w:rPr>
          <w:lang w:val="en-GB"/>
        </w:rPr>
      </w:pPr>
      <w:r w:rsidRPr="00D6403A">
        <w:rPr>
          <w:lang w:val="en-GB"/>
        </w:rPr>
        <w:t>births less than 32 weeks’ gestation and births greater than or equal to 39 weeks’ gestation.</w:t>
      </w:r>
    </w:p>
    <w:p w14:paraId="53FB8193" w14:textId="77777777" w:rsidR="00D6403A" w:rsidRPr="00D6403A" w:rsidRDefault="00D6403A" w:rsidP="008340E5">
      <w:pPr>
        <w:pStyle w:val="Heading3"/>
        <w:rPr>
          <w:lang w:val="en-GB"/>
        </w:rPr>
      </w:pPr>
      <w:r w:rsidRPr="00D6403A">
        <w:rPr>
          <w:lang w:val="en-GB"/>
        </w:rPr>
        <w:t>Data source: Victorian Perinatal Data Collection</w:t>
      </w:r>
    </w:p>
    <w:p w14:paraId="72A6D192" w14:textId="77777777" w:rsidR="00D6403A" w:rsidRPr="00D6403A" w:rsidRDefault="00D6403A" w:rsidP="00005134">
      <w:pPr>
        <w:rPr>
          <w:lang w:val="en-GB"/>
        </w:rPr>
      </w:pPr>
      <w:r w:rsidRPr="00D6403A">
        <w:rPr>
          <w:lang w:val="en-GB"/>
        </w:rPr>
        <w:t>Data for this indicator is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04C2C0D5" w14:textId="77777777" w:rsidR="00D6403A" w:rsidRPr="00D6403A" w:rsidRDefault="00D6403A" w:rsidP="00862996">
      <w:pPr>
        <w:rPr>
          <w:lang w:val="en-GB"/>
        </w:rPr>
      </w:pPr>
      <w:r w:rsidRPr="00D6403A">
        <w:rPr>
          <w:lang w:val="en-GB"/>
        </w:rPr>
        <w:t>Indicator 3a is derived using the following VPDC variables: ‘Sex – baby’, ‘Estimated gestational age’, ‘Birthweight’ and ‘Plurality’.</w:t>
      </w:r>
    </w:p>
    <w:p w14:paraId="3E6C6958" w14:textId="77777777" w:rsidR="00D6403A" w:rsidRPr="00D6403A" w:rsidRDefault="00D6403A" w:rsidP="00862996">
      <w:pPr>
        <w:rPr>
          <w:lang w:val="en-GB"/>
        </w:rPr>
      </w:pPr>
      <w:r w:rsidRPr="00D6403A">
        <w:rPr>
          <w:lang w:val="en-GB"/>
        </w:rPr>
        <w:t>Indicator 3b is derived using the following VPDC variables: ‘Sex – baby’, ‘Estimated gestational age’, ‘Birthweight’, ‘Plurality’ and ‘Labour type’.</w:t>
      </w:r>
    </w:p>
    <w:p w14:paraId="60123720"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691F30BA" w14:textId="77777777" w:rsidTr="0062047A">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35D99E84" w14:textId="77777777" w:rsidR="00D6403A" w:rsidRPr="00D6403A" w:rsidRDefault="00D6403A" w:rsidP="0062047A">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78A30A43" w14:textId="77777777" w:rsidR="00D6403A" w:rsidRPr="00D6403A" w:rsidRDefault="00D6403A" w:rsidP="0062047A">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21CDA427" w14:textId="77777777" w:rsidR="00D6403A" w:rsidRPr="00D6403A" w:rsidRDefault="00D6403A" w:rsidP="0062047A">
            <w:pPr>
              <w:pStyle w:val="Tableheader"/>
              <w:rPr>
                <w:b/>
                <w:lang w:val="en-GB"/>
              </w:rPr>
            </w:pPr>
            <w:r w:rsidRPr="00D6403A">
              <w:rPr>
                <w:b/>
                <w:lang w:val="en-GB"/>
              </w:rPr>
              <w:t>Denominator</w:t>
            </w:r>
          </w:p>
        </w:tc>
      </w:tr>
      <w:tr w:rsidR="00D6403A" w:rsidRPr="00D6403A" w14:paraId="1EDB3769" w14:textId="77777777" w:rsidTr="0062047A">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6C9D3120" w14:textId="77777777" w:rsidR="00D6403A" w:rsidRPr="0062047A" w:rsidRDefault="00D6403A" w:rsidP="0062047A">
            <w:pPr>
              <w:pStyle w:val="Tabletext"/>
              <w:jc w:val="left"/>
              <w:rPr>
                <w:b/>
                <w:lang w:val="en-GB"/>
              </w:rPr>
            </w:pPr>
            <w:r w:rsidRPr="0062047A">
              <w:rPr>
                <w:b/>
                <w:lang w:val="en-GB"/>
              </w:rPr>
              <w:t>Indicator 3a: Rate of severe fetal growth restriction in a singleton pregnancy undelivered by 40 weeks</w:t>
            </w:r>
          </w:p>
        </w:tc>
        <w:tc>
          <w:tcPr>
            <w:cnfStyle w:val="000001000000" w:firstRow="0" w:lastRow="0" w:firstColumn="0" w:lastColumn="0" w:oddVBand="0" w:evenVBand="1" w:oddHBand="0" w:evenHBand="0" w:firstRowFirstColumn="0" w:firstRowLastColumn="0" w:lastRowFirstColumn="0" w:lastRowLastColumn="0"/>
            <w:tcW w:w="3401" w:type="dxa"/>
          </w:tcPr>
          <w:p w14:paraId="6572857E" w14:textId="77777777" w:rsidR="00D6403A" w:rsidRPr="00D6403A" w:rsidRDefault="00D6403A" w:rsidP="0062047A">
            <w:pPr>
              <w:pStyle w:val="Tabletext"/>
              <w:jc w:val="left"/>
              <w:rPr>
                <w:lang w:val="en-US"/>
              </w:rPr>
            </w:pPr>
            <w:r w:rsidRPr="00D6403A">
              <w:rPr>
                <w:lang w:val="en-US"/>
              </w:rPr>
              <w:t>Birth at 40 or more weeks’ gestation of a singleton baby with severe FGR</w:t>
            </w:r>
          </w:p>
        </w:tc>
        <w:tc>
          <w:tcPr>
            <w:cnfStyle w:val="000010000000" w:firstRow="0" w:lastRow="0" w:firstColumn="0" w:lastColumn="0" w:oddVBand="1" w:evenVBand="0" w:oddHBand="0" w:evenHBand="0" w:firstRowFirstColumn="0" w:firstRowLastColumn="0" w:lastRowFirstColumn="0" w:lastRowLastColumn="0"/>
            <w:tcW w:w="3402" w:type="dxa"/>
          </w:tcPr>
          <w:p w14:paraId="75783020" w14:textId="77777777" w:rsidR="00D6403A" w:rsidRPr="00D6403A" w:rsidRDefault="00D6403A" w:rsidP="0062047A">
            <w:pPr>
              <w:pStyle w:val="Tabletext"/>
              <w:jc w:val="left"/>
              <w:rPr>
                <w:lang w:val="en-US"/>
              </w:rPr>
            </w:pPr>
            <w:r w:rsidRPr="00D6403A">
              <w:rPr>
                <w:lang w:val="en-US"/>
              </w:rPr>
              <w:t>Singleton births (live and stillborn) with severe FGR born at and beyond 32 weeks’ gestation</w:t>
            </w:r>
          </w:p>
        </w:tc>
      </w:tr>
      <w:tr w:rsidR="00D6403A" w:rsidRPr="00D6403A" w14:paraId="43D0D001" w14:textId="77777777" w:rsidTr="0062047A">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5AE96D51" w14:textId="77777777" w:rsidR="00D6403A" w:rsidRPr="0062047A" w:rsidRDefault="00D6403A" w:rsidP="0062047A">
            <w:pPr>
              <w:pStyle w:val="Tabletext"/>
              <w:jc w:val="left"/>
              <w:rPr>
                <w:b/>
                <w:lang w:val="en-GB"/>
              </w:rPr>
            </w:pPr>
            <w:r w:rsidRPr="0062047A">
              <w:rPr>
                <w:b/>
                <w:lang w:val="en-GB"/>
              </w:rPr>
              <w:t xml:space="preserve">Indicator 3b: Rate of babies with a birthweight above the 25th centile actively delivered for fetal growth </w:t>
            </w:r>
            <w:r w:rsidRPr="0062047A">
              <w:rPr>
                <w:b/>
                <w:spacing w:val="-2"/>
                <w:lang w:val="en-GB"/>
              </w:rPr>
              <w:t>restriction before 39</w:t>
            </w:r>
            <w:r w:rsidRPr="0062047A">
              <w:rPr>
                <w:rFonts w:ascii="Cambria" w:hAnsi="Cambria" w:cs="Cambria"/>
                <w:b/>
                <w:spacing w:val="-2"/>
                <w:lang w:val="en-GB"/>
              </w:rPr>
              <w:t> </w:t>
            </w:r>
            <w:r w:rsidRPr="0062047A">
              <w:rPr>
                <w:b/>
                <w:spacing w:val="-2"/>
                <w:lang w:val="en-GB"/>
              </w:rPr>
              <w:t>weeks’</w:t>
            </w:r>
            <w:r w:rsidRPr="0062047A">
              <w:rPr>
                <w:rFonts w:ascii="Cambria" w:hAnsi="Cambria" w:cs="Cambria"/>
                <w:b/>
                <w:spacing w:val="-2"/>
                <w:lang w:val="en-GB"/>
              </w:rPr>
              <w:t> </w:t>
            </w:r>
            <w:r w:rsidRPr="0062047A">
              <w:rPr>
                <w:b/>
                <w:spacing w:val="-2"/>
                <w:lang w:val="en-GB"/>
              </w:rPr>
              <w:t>gestation</w:t>
            </w:r>
          </w:p>
        </w:tc>
        <w:tc>
          <w:tcPr>
            <w:cnfStyle w:val="000001000000" w:firstRow="0" w:lastRow="0" w:firstColumn="0" w:lastColumn="0" w:oddVBand="0" w:evenVBand="1" w:oddHBand="0" w:evenHBand="0" w:firstRowFirstColumn="0" w:firstRowLastColumn="0" w:lastRowFirstColumn="0" w:lastRowLastColumn="0"/>
            <w:tcW w:w="3401" w:type="dxa"/>
          </w:tcPr>
          <w:p w14:paraId="4813A2C7" w14:textId="77777777" w:rsidR="00D6403A" w:rsidRPr="00D6403A" w:rsidRDefault="00D6403A" w:rsidP="0062047A">
            <w:pPr>
              <w:pStyle w:val="Tabletext"/>
              <w:jc w:val="left"/>
              <w:rPr>
                <w:lang w:val="en-US"/>
              </w:rPr>
            </w:pPr>
            <w:r w:rsidRPr="00D6403A">
              <w:rPr>
                <w:lang w:val="en-US"/>
              </w:rPr>
              <w:t>Singleton births iatrogenically delivered for FGR before 39 weeks’ gestation whose birthweight was above the 25th centile</w:t>
            </w:r>
          </w:p>
        </w:tc>
        <w:tc>
          <w:tcPr>
            <w:cnfStyle w:val="000010000000" w:firstRow="0" w:lastRow="0" w:firstColumn="0" w:lastColumn="0" w:oddVBand="1" w:evenVBand="0" w:oddHBand="0" w:evenHBand="0" w:firstRowFirstColumn="0" w:firstRowLastColumn="0" w:lastRowFirstColumn="0" w:lastRowLastColumn="0"/>
            <w:tcW w:w="3402" w:type="dxa"/>
          </w:tcPr>
          <w:p w14:paraId="34588AC7" w14:textId="77777777" w:rsidR="00D6403A" w:rsidRPr="00D6403A" w:rsidRDefault="00D6403A" w:rsidP="0062047A">
            <w:pPr>
              <w:pStyle w:val="Tabletext"/>
              <w:jc w:val="left"/>
              <w:rPr>
                <w:lang w:val="en-US"/>
              </w:rPr>
            </w:pPr>
            <w:r w:rsidRPr="00AE4C75">
              <w:t>Singleton births iatrogenically delivered for FGR before 39</w:t>
            </w:r>
            <w:r w:rsidRPr="00D6403A">
              <w:rPr>
                <w:rFonts w:ascii="Cambria" w:hAnsi="Cambria" w:cs="Cambria"/>
                <w:lang w:val="en-US"/>
              </w:rPr>
              <w:t> </w:t>
            </w:r>
            <w:r w:rsidRPr="00AE4C75">
              <w:t>weeks’</w:t>
            </w:r>
            <w:r w:rsidRPr="00D6403A">
              <w:rPr>
                <w:rFonts w:ascii="Cambria" w:hAnsi="Cambria" w:cs="Cambria"/>
                <w:lang w:val="en-US"/>
              </w:rPr>
              <w:t> </w:t>
            </w:r>
            <w:r w:rsidRPr="00D6403A">
              <w:rPr>
                <w:lang w:val="en-US"/>
              </w:rPr>
              <w:t>gestation</w:t>
            </w:r>
          </w:p>
        </w:tc>
      </w:tr>
    </w:tbl>
    <w:p w14:paraId="7733D6D5" w14:textId="77777777" w:rsidR="00D6403A" w:rsidRPr="00D6403A" w:rsidRDefault="00D6403A" w:rsidP="0062047A">
      <w:pPr>
        <w:pStyle w:val="FootnoteText"/>
        <w:rPr>
          <w:lang w:val="en-GB"/>
        </w:rPr>
      </w:pPr>
      <w:r w:rsidRPr="00D6403A">
        <w:rPr>
          <w:lang w:val="en-GB"/>
        </w:rPr>
        <w:t xml:space="preserve">For indicator 3a, a baby is considered to be severely growth-restricted when their birthweight is below the third centile for gestation, sex and plurality. It is calculated based on the Australian Institute of Health and Welfare’s national birthweight percentiles by sex and </w:t>
      </w:r>
      <w:r w:rsidRPr="00D6403A">
        <w:rPr>
          <w:spacing w:val="-3"/>
          <w:lang w:val="en-GB"/>
        </w:rPr>
        <w:t xml:space="preserve">gestation, 2004 to 2013 tables (refer to Tables 26 and 27). For example, if a male singleton baby weighing 1,600 grams is born at 35 weeks, </w:t>
      </w:r>
      <w:r w:rsidRPr="00D6403A">
        <w:rPr>
          <w:lang w:val="en-GB"/>
        </w:rPr>
        <w:t xml:space="preserve">it falls below the third centile for gestation, sex and plurality. The baby is then considered severely growth restricted (Indicator 3a). </w:t>
      </w:r>
    </w:p>
    <w:p w14:paraId="1AC5A756" w14:textId="77777777" w:rsidR="00D6403A" w:rsidRPr="00D6403A" w:rsidRDefault="00D6403A" w:rsidP="0062047A">
      <w:pPr>
        <w:pStyle w:val="FootnoteText"/>
        <w:rPr>
          <w:lang w:val="en-GB"/>
        </w:rPr>
      </w:pPr>
      <w:r w:rsidRPr="00D6403A">
        <w:rPr>
          <w:lang w:val="en-GB"/>
        </w:rPr>
        <w:t>For indicator 3b, a baby is considered to be normally growing if their birthweight was above the 25th centile for gestation, sex and plurality. It is calculated based on the Australian Institute of Health and Welfare’s national birthweight percentiles by sex and</w:t>
      </w:r>
      <w:r w:rsidRPr="00D6403A">
        <w:rPr>
          <w:rFonts w:ascii="Cambria" w:hAnsi="Cambria" w:cs="Cambria"/>
          <w:lang w:val="en-GB"/>
        </w:rPr>
        <w:t> </w:t>
      </w:r>
      <w:r w:rsidRPr="0062047A">
        <w:t>gestation</w:t>
      </w:r>
      <w:r w:rsidRPr="00D6403A">
        <w:rPr>
          <w:lang w:val="en-GB"/>
        </w:rPr>
        <w:t>, 2004 to 2013 tables (refer to Tables 26 and 27).</w:t>
      </w:r>
    </w:p>
    <w:p w14:paraId="0F3977A1" w14:textId="77777777" w:rsidR="0062047A" w:rsidRDefault="0062047A" w:rsidP="0062047A">
      <w:pPr>
        <w:pStyle w:val="Heading2"/>
        <w:rPr>
          <w:lang w:val="en-GB"/>
        </w:rPr>
        <w:sectPr w:rsidR="0062047A" w:rsidSect="004D6F5F">
          <w:pgSz w:w="11901" w:h="16817" w:code="9"/>
          <w:pgMar w:top="3402" w:right="851" w:bottom="1361" w:left="851" w:header="539" w:footer="624" w:gutter="0"/>
          <w:cols w:space="284"/>
          <w:docGrid w:linePitch="360" w:charSpace="46114"/>
        </w:sectPr>
      </w:pPr>
      <w:bookmarkStart w:id="44" w:name="_Toc159326602"/>
    </w:p>
    <w:p w14:paraId="2BB14EC2" w14:textId="438F4B3E" w:rsidR="00D6403A" w:rsidRPr="00D6403A" w:rsidRDefault="00D6403A" w:rsidP="0062047A">
      <w:pPr>
        <w:pStyle w:val="Heading1"/>
        <w:framePr w:wrap="around"/>
        <w:rPr>
          <w:lang w:val="en-GB"/>
        </w:rPr>
      </w:pPr>
      <w:r w:rsidRPr="00D6403A">
        <w:rPr>
          <w:lang w:val="en-GB"/>
        </w:rPr>
        <w:lastRenderedPageBreak/>
        <w:t>4a and 4b: Vaginal birth after primary caesarean section</w:t>
      </w:r>
      <w:bookmarkEnd w:id="44"/>
    </w:p>
    <w:p w14:paraId="4C272B03" w14:textId="6B4660F6" w:rsidR="00D6403A" w:rsidRPr="00D6403A" w:rsidRDefault="00D6403A" w:rsidP="00D6403A">
      <w:pPr>
        <w:pStyle w:val="IntroductoryText"/>
        <w:rPr>
          <w:lang w:val="en-GB"/>
        </w:rPr>
      </w:pPr>
      <w:r w:rsidRPr="00D6403A">
        <w:rPr>
          <w:lang w:val="en-GB"/>
        </w:rPr>
        <w:t>Vaginal birth after caesarean section (VBAC) describes a successful vaginal birth in a woman who has had a caesarean section in a previous pregnancy. Labour in women desiring a VBAC without contraindications is accepted and generally safe.</w:t>
      </w:r>
    </w:p>
    <w:p w14:paraId="15A9F752" w14:textId="77777777" w:rsidR="00D6403A" w:rsidRPr="00D6403A" w:rsidRDefault="00D6403A" w:rsidP="00D64F24">
      <w:pPr>
        <w:pStyle w:val="IntroductoryText"/>
        <w:rPr>
          <w:lang w:val="en-GB"/>
        </w:rPr>
      </w:pPr>
      <w:r w:rsidRPr="00D64F24">
        <w:t>When successful, VBAC is associated with a decrease in maternal morbidity and avoidance of surgical recovery in the postpartum period as well as a decreased risk of complications in future pregnancies. There is a risk of serious potential complications including uterine rupture or dehiscence and associated maternal or neonatal morbidity.</w:t>
      </w:r>
      <w:r w:rsidRPr="00D6403A">
        <w:rPr>
          <w:vertAlign w:val="superscript"/>
          <w:lang w:val="en-GB"/>
        </w:rPr>
        <w:footnoteReference w:id="6"/>
      </w:r>
    </w:p>
    <w:p w14:paraId="3481C77A" w14:textId="77777777" w:rsidR="00D6403A" w:rsidRPr="00D6403A" w:rsidRDefault="00D6403A" w:rsidP="005939CC">
      <w:pPr>
        <w:pStyle w:val="Heading2"/>
        <w:rPr>
          <w:lang w:val="en-GB"/>
        </w:rPr>
      </w:pPr>
      <w:bookmarkStart w:id="45" w:name="_Toc159326603"/>
      <w:r w:rsidRPr="00D6403A">
        <w:rPr>
          <w:lang w:val="en-GB"/>
        </w:rPr>
        <w:t>About this indicator</w:t>
      </w:r>
      <w:bookmarkEnd w:id="45"/>
    </w:p>
    <w:p w14:paraId="71CE601E" w14:textId="77777777" w:rsidR="00D6403A" w:rsidRPr="00D6403A" w:rsidRDefault="00D6403A" w:rsidP="00862996">
      <w:pPr>
        <w:rPr>
          <w:lang w:val="en-GB"/>
        </w:rPr>
      </w:pPr>
      <w:r w:rsidRPr="00D6403A">
        <w:rPr>
          <w:lang w:val="en-GB"/>
        </w:rPr>
        <w:t>Indicator 4a identifies the proportion of women who planned for a vaginal birth for their second baby after a caesarean section for their first (VBAC).</w:t>
      </w:r>
    </w:p>
    <w:p w14:paraId="154A6612" w14:textId="77777777" w:rsidR="00D6403A" w:rsidRPr="00D6403A" w:rsidRDefault="00D6403A" w:rsidP="00862996">
      <w:pPr>
        <w:rPr>
          <w:lang w:val="en-GB"/>
        </w:rPr>
      </w:pPr>
      <w:r w:rsidRPr="00D6403A">
        <w:rPr>
          <w:lang w:val="en-GB"/>
        </w:rPr>
        <w:t>Indicator 4b shows the proportion of women who achieved a planned vaginal birth for their second baby after a caesarean section for their first (VBAC).</w:t>
      </w:r>
    </w:p>
    <w:p w14:paraId="623A8E17" w14:textId="77777777" w:rsidR="00D6403A" w:rsidRPr="00D6403A" w:rsidRDefault="00D6403A" w:rsidP="00862996">
      <w:pPr>
        <w:rPr>
          <w:lang w:val="en-GB"/>
        </w:rPr>
      </w:pPr>
      <w:r w:rsidRPr="00D6403A">
        <w:rPr>
          <w:lang w:val="en-GB"/>
        </w:rPr>
        <w:t>Caesarean sections can improve outcomes for women and babies in certain circumstances. However, a caesarean section can prolong recovery after birth and may increase the chance of complications in subsequent pregnancies. If there are no contraindications, women who have had a previous caesarean section should be encouraged to consider and plan a VBAC.</w:t>
      </w:r>
    </w:p>
    <w:p w14:paraId="7B69E21E" w14:textId="2993733B" w:rsidR="00D6403A" w:rsidRDefault="00D6403A" w:rsidP="00005134">
      <w:pPr>
        <w:rPr>
          <w:lang w:val="en-GB"/>
        </w:rPr>
      </w:pPr>
      <w:r w:rsidRPr="00D6403A">
        <w:rPr>
          <w:lang w:val="en-GB"/>
        </w:rPr>
        <w:t xml:space="preserve">For health services, caesarean sections require additional resources and add costs. Level 1 and 2 services are not able to provide women with the opportunity for VBAC under the 2021 </w:t>
      </w:r>
      <w:hyperlink r:id="rId74" w:history="1">
        <w:r w:rsidRPr="00067343">
          <w:rPr>
            <w:rStyle w:val="Hyperlink"/>
            <w:lang w:val="en-GB"/>
          </w:rPr>
          <w:t>Capability frameworks for Victorian maternity and newborn services</w:t>
        </w:r>
      </w:hyperlink>
      <w:r w:rsidRPr="00D6403A">
        <w:rPr>
          <w:lang w:val="en-GB"/>
        </w:rPr>
        <w:t xml:space="preserve"> &lt;https://www.health.vic.gov.au/patient-care/capability-frameworks-for-maternity-and-newborn-care-in-victoria&gt;. These services should support a</w:t>
      </w:r>
      <w:r w:rsidRPr="00D6403A">
        <w:rPr>
          <w:rFonts w:ascii="Cambria" w:hAnsi="Cambria" w:cs="Cambria"/>
          <w:color w:val="000000"/>
          <w:lang w:val="en-GB"/>
        </w:rPr>
        <w:t> </w:t>
      </w:r>
      <w:r w:rsidRPr="00D6403A">
        <w:rPr>
          <w:lang w:val="en-GB"/>
        </w:rPr>
        <w:t>woman’s wish to attempt a VBAC and refer to a service that has this capability.</w:t>
      </w:r>
    </w:p>
    <w:p w14:paraId="79D31E18" w14:textId="4B91F52B" w:rsidR="00067343" w:rsidRPr="00F27E72" w:rsidRDefault="00F27E72" w:rsidP="00F27E72">
      <w:pPr>
        <w:spacing w:before="0" w:after="0" w:line="240" w:lineRule="auto"/>
        <w:rPr>
          <w:rFonts w:ascii="Helvetica" w:eastAsia="Times New Roman" w:hAnsi="Helvetica" w:cs="Times New Roman"/>
          <w:color w:val="000000"/>
          <w:sz w:val="18"/>
          <w:szCs w:val="18"/>
          <w:lang w:eastAsia="en-US"/>
        </w:rPr>
      </w:pPr>
      <w:r w:rsidRPr="00F27E72">
        <w:rPr>
          <w:rFonts w:ascii="Helvetica" w:eastAsia="Times New Roman" w:hAnsi="Helvetica" w:cs="Times New Roman"/>
          <w:color w:val="000000"/>
          <w:sz w:val="18"/>
          <w:szCs w:val="18"/>
          <w:lang w:eastAsia="en-US"/>
        </w:rPr>
        <w:t>[Break out box text:</w:t>
      </w:r>
    </w:p>
    <w:p w14:paraId="1C2A11CE" w14:textId="77777777" w:rsidR="00F27E72" w:rsidRPr="00D6403A" w:rsidRDefault="00F27E72" w:rsidP="00F27E72">
      <w:pPr>
        <w:pStyle w:val="Heading3"/>
        <w:rPr>
          <w:lang w:val="en-GB"/>
        </w:rPr>
      </w:pPr>
      <w:r w:rsidRPr="00D6403A">
        <w:rPr>
          <w:lang w:val="en-GB"/>
        </w:rPr>
        <w:t>What pregnant women and families need to know</w:t>
      </w:r>
    </w:p>
    <w:p w14:paraId="14F9CF0D" w14:textId="77777777" w:rsidR="00F27E72" w:rsidRPr="00D6403A" w:rsidRDefault="00F27E72" w:rsidP="00005134">
      <w:pPr>
        <w:rPr>
          <w:color w:val="000000"/>
          <w:lang w:val="en-GB"/>
        </w:rPr>
      </w:pPr>
      <w:r w:rsidRPr="00D6403A">
        <w:rPr>
          <w:lang w:val="en-GB"/>
        </w:rPr>
        <w:t>Most women who have had a caesarean section in a previous pregnancy can try to have a vaginal birth for their next baby. This indicator measures how many of these women intended to have a vaginal birth, and how many actually had a vaginal birth. In Victoria more than half of women who try a VBAC will give birth to their baby vaginally. Talk to your healthcare provider about what is best for you.</w:t>
      </w:r>
    </w:p>
    <w:p w14:paraId="0B612298" w14:textId="18B8773A" w:rsidR="00D6403A" w:rsidRPr="00A962AF" w:rsidRDefault="00F27E72" w:rsidP="00A962AF">
      <w:pPr>
        <w:spacing w:before="0" w:after="0" w:line="240" w:lineRule="auto"/>
        <w:rPr>
          <w:rFonts w:ascii="Times New Roman" w:eastAsia="Times New Roman" w:hAnsi="Times New Roman" w:cs="Times New Roman"/>
          <w:sz w:val="24"/>
          <w:szCs w:val="24"/>
          <w:lang w:eastAsia="en-US"/>
        </w:rPr>
      </w:pPr>
      <w:r w:rsidRPr="00F27E72">
        <w:rPr>
          <w:rFonts w:ascii="Helvetica" w:eastAsia="Times New Roman" w:hAnsi="Helvetica" w:cs="Times New Roman"/>
          <w:color w:val="000000"/>
          <w:sz w:val="18"/>
          <w:szCs w:val="18"/>
          <w:lang w:eastAsia="en-US"/>
        </w:rPr>
        <w:t>End of break out box text.]</w:t>
      </w:r>
    </w:p>
    <w:p w14:paraId="01D6DF5F" w14:textId="77777777" w:rsidR="00A962AF" w:rsidRDefault="00A962AF">
      <w:pPr>
        <w:rPr>
          <w:rFonts w:asciiTheme="majorHAnsi" w:eastAsiaTheme="majorEastAsia" w:hAnsiTheme="majorHAnsi" w:cs="Times New Roman (Headings CS)"/>
          <w:b/>
          <w:bCs/>
          <w:color w:val="007586" w:themeColor="text2"/>
          <w:sz w:val="28"/>
          <w:szCs w:val="26"/>
          <w:lang w:val="en-GB"/>
        </w:rPr>
      </w:pPr>
      <w:bookmarkStart w:id="46" w:name="_Toc159326604"/>
      <w:r>
        <w:rPr>
          <w:lang w:val="en-GB"/>
        </w:rPr>
        <w:br w:type="page"/>
      </w:r>
    </w:p>
    <w:p w14:paraId="2878D67F" w14:textId="77C2A8E9" w:rsidR="00D6403A" w:rsidRPr="00D6403A" w:rsidRDefault="00D6403A" w:rsidP="005939CC">
      <w:pPr>
        <w:pStyle w:val="Heading2"/>
        <w:rPr>
          <w:lang w:val="en-GB"/>
        </w:rPr>
      </w:pPr>
      <w:r w:rsidRPr="00D6403A">
        <w:rPr>
          <w:lang w:val="en-GB"/>
        </w:rPr>
        <w:lastRenderedPageBreak/>
        <w:t>Observations on the data</w:t>
      </w:r>
      <w:bookmarkEnd w:id="46"/>
    </w:p>
    <w:p w14:paraId="3EC97F3C" w14:textId="2B43E235" w:rsidR="00D6403A" w:rsidRPr="00D6403A" w:rsidRDefault="00D6403A" w:rsidP="00862996">
      <w:pPr>
        <w:rPr>
          <w:lang w:val="en-GB"/>
        </w:rPr>
      </w:pPr>
      <w:r w:rsidRPr="00D6403A">
        <w:rPr>
          <w:lang w:val="en-GB"/>
        </w:rPr>
        <w:t>The proportion of women planning a VBAC (Indicator 4a) decreased from 22.9% in 2020 to 21.5% in 2021 (Figure 34). This has been a steady reduction from 2017 when 23.7% planned a VBAC (Table 12). Women in public hospitals were more likely to plan a VBAC (26.0%) compared with women in private hospitals (11.3%). There was wide variation across the hospitals and capability levels (Figure 32 and Figure 33).</w:t>
      </w:r>
    </w:p>
    <w:p w14:paraId="5322E402" w14:textId="77777777" w:rsidR="00D6403A" w:rsidRPr="00D6403A" w:rsidRDefault="00D6403A" w:rsidP="00005134">
      <w:pPr>
        <w:rPr>
          <w:lang w:val="en-GB"/>
        </w:rPr>
      </w:pPr>
      <w:r w:rsidRPr="00D6403A">
        <w:rPr>
          <w:lang w:val="en-GB"/>
        </w:rPr>
        <w:t>The proportion of women who achieved a planned VBAC (Indicator 4b) increased in 2021 to 54.3% from 52.2% in 2020. The proportion who achieved a planned VBAC increased in both public hospitals (54.1%</w:t>
      </w:r>
      <w:r w:rsidRPr="00D6403A">
        <w:rPr>
          <w:rFonts w:ascii="Cambria" w:hAnsi="Cambria" w:cs="Cambria"/>
          <w:color w:val="000000"/>
          <w:lang w:val="en-GB"/>
        </w:rPr>
        <w:t> </w:t>
      </w:r>
      <w:r w:rsidRPr="00D6403A">
        <w:rPr>
          <w:lang w:val="en-GB"/>
        </w:rPr>
        <w:t>in 2021 compared with 52.5% in 2020) and private hospitals (52.6% in 2021 compared with 48.8% in 2020) (Table 13). The proportion who achieved a VBAC showed variation across the state (from 27.8% to 77.2%) (Figure 35 and Figure 36).</w:t>
      </w:r>
    </w:p>
    <w:p w14:paraId="7C91F7F1" w14:textId="77777777" w:rsidR="00D6403A" w:rsidRPr="00D6403A" w:rsidRDefault="00D6403A" w:rsidP="005939CC">
      <w:pPr>
        <w:pStyle w:val="Heading2"/>
        <w:rPr>
          <w:lang w:val="en-GB"/>
        </w:rPr>
      </w:pPr>
      <w:bookmarkStart w:id="47" w:name="_Toc159326605"/>
      <w:r w:rsidRPr="00D6403A">
        <w:rPr>
          <w:lang w:val="en-GB"/>
        </w:rPr>
        <w:t>Strategies for improvement</w:t>
      </w:r>
      <w:bookmarkEnd w:id="47"/>
    </w:p>
    <w:p w14:paraId="06E1C2E1" w14:textId="77777777" w:rsidR="00D6403A" w:rsidRPr="00D6403A" w:rsidRDefault="00D6403A" w:rsidP="00005134">
      <w:pPr>
        <w:pStyle w:val="Bullet1"/>
        <w:rPr>
          <w:lang w:val="en-GB"/>
        </w:rPr>
      </w:pPr>
      <w:r w:rsidRPr="00D6403A">
        <w:rPr>
          <w:lang w:val="en-GB"/>
        </w:rPr>
        <w:t>Women who have a primary caesarean section should be provided adequate information before discharge from hospital about considerations for future pregnancies and birth.</w:t>
      </w:r>
    </w:p>
    <w:p w14:paraId="1DFDDBA0" w14:textId="77777777" w:rsidR="00D6403A" w:rsidRPr="00D6403A" w:rsidRDefault="00D6403A" w:rsidP="00005134">
      <w:pPr>
        <w:pStyle w:val="Bullet1"/>
        <w:rPr>
          <w:lang w:val="en-GB"/>
        </w:rPr>
      </w:pPr>
      <w:r w:rsidRPr="00D6403A">
        <w:rPr>
          <w:lang w:val="en-GB"/>
        </w:rPr>
        <w:t>Health services should provide women with individualised counselling about their options for birth if they have had one previous caesarean section and a clear management plan for labour and birth documented in the medical record.</w:t>
      </w:r>
    </w:p>
    <w:p w14:paraId="2EDF5135" w14:textId="77777777" w:rsidR="00D6403A" w:rsidRPr="00D6403A" w:rsidRDefault="00D6403A" w:rsidP="00005134">
      <w:pPr>
        <w:pStyle w:val="Bullet1"/>
        <w:rPr>
          <w:lang w:val="en-GB"/>
        </w:rPr>
      </w:pPr>
      <w:r w:rsidRPr="00D6403A">
        <w:rPr>
          <w:lang w:val="en-GB"/>
        </w:rPr>
        <w:t>Women requesting a VBAC should be supported and may need referral to a service with the capability to offer this.</w:t>
      </w:r>
    </w:p>
    <w:p w14:paraId="483B2E0D" w14:textId="77777777" w:rsidR="00D6403A" w:rsidRPr="00D6403A" w:rsidRDefault="00D6403A" w:rsidP="000D6192">
      <w:pPr>
        <w:pStyle w:val="Bullet1"/>
        <w:rPr>
          <w:lang w:val="en-GB"/>
        </w:rPr>
      </w:pPr>
      <w:r w:rsidRPr="00D6403A">
        <w:t>Health services should review VBAC pathways offered to women and review identified deficiencies to</w:t>
      </w:r>
      <w:r w:rsidRPr="00D6403A">
        <w:rPr>
          <w:rFonts w:ascii="Cambria" w:hAnsi="Cambria" w:cs="Cambria"/>
          <w:lang w:val="en-GB"/>
        </w:rPr>
        <w:t> </w:t>
      </w:r>
      <w:r w:rsidRPr="00D6403A">
        <w:rPr>
          <w:lang w:val="en-GB"/>
        </w:rPr>
        <w:t>accessing facilities, specialists or standards of care.</w:t>
      </w:r>
    </w:p>
    <w:p w14:paraId="216293B9" w14:textId="77777777" w:rsidR="00D6403A" w:rsidRPr="00D6403A" w:rsidRDefault="00D6403A" w:rsidP="000D6192">
      <w:pPr>
        <w:pStyle w:val="Bullet1"/>
      </w:pPr>
      <w:r w:rsidRPr="00D6403A">
        <w:rPr>
          <w:lang w:val="en-GB"/>
        </w:rPr>
        <w:t>Provide evidence-based information (verbal and written) to women about the benefits and risks of</w:t>
      </w:r>
      <w:r w:rsidRPr="00D6403A">
        <w:rPr>
          <w:rFonts w:ascii="Cambria" w:hAnsi="Cambria" w:cs="Cambria"/>
          <w:lang w:val="en-GB"/>
        </w:rPr>
        <w:t> </w:t>
      </w:r>
      <w:r w:rsidRPr="00D6403A">
        <w:t>VBACs.</w:t>
      </w:r>
    </w:p>
    <w:p w14:paraId="24FE18E6" w14:textId="77777777" w:rsidR="00D6403A" w:rsidRPr="00D6403A" w:rsidRDefault="00D6403A" w:rsidP="000D6192">
      <w:pPr>
        <w:pStyle w:val="Tablechartdiagramheading"/>
        <w:rPr>
          <w:lang w:val="en-GB"/>
        </w:rPr>
      </w:pPr>
      <w:r w:rsidRPr="00D6403A">
        <w:rPr>
          <w:lang w:val="en-GB"/>
        </w:rPr>
        <w:lastRenderedPageBreak/>
        <w:t>Figure 32. Indicator 4a: Rate of women who planned a vaginal birth after a primary caesarean section,</w:t>
      </w:r>
      <w:r w:rsidRPr="00D6403A">
        <w:rPr>
          <w:rFonts w:ascii="Cambria" w:hAnsi="Cambria" w:cs="Cambria"/>
          <w:lang w:val="en-GB"/>
        </w:rPr>
        <w:t> </w:t>
      </w:r>
      <w:r w:rsidRPr="00D6403A">
        <w:rPr>
          <w:lang w:val="en-GB"/>
        </w:rPr>
        <w:t>2021</w:t>
      </w:r>
    </w:p>
    <w:p w14:paraId="0C297DC4" w14:textId="322CC608" w:rsidR="00D6403A" w:rsidRPr="000D6192" w:rsidRDefault="000D6192" w:rsidP="000D6192">
      <w:pPr>
        <w:rPr>
          <w:lang w:val="en-GB"/>
        </w:rPr>
      </w:pPr>
      <w:r>
        <w:rPr>
          <w:noProof/>
          <w:lang w:val="en-GB"/>
        </w:rPr>
        <w:drawing>
          <wp:inline distT="0" distB="0" distL="0" distR="0" wp14:anchorId="7AB5F6C5" wp14:editId="00BCDD2F">
            <wp:extent cx="6476365" cy="6413500"/>
            <wp:effectExtent l="0" t="0" r="635" b="0"/>
            <wp:docPr id="37" name="Picture 37" descr="Bar chart for Indicator 4a.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_32.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476365" cy="6413500"/>
                    </a:xfrm>
                    <a:prstGeom prst="rect">
                      <a:avLst/>
                    </a:prstGeom>
                  </pic:spPr>
                </pic:pic>
              </a:graphicData>
            </a:graphic>
          </wp:inline>
        </w:drawing>
      </w:r>
    </w:p>
    <w:p w14:paraId="2ECA6DE5" w14:textId="77777777" w:rsidR="00D6403A" w:rsidRPr="00D6403A" w:rsidRDefault="00D6403A" w:rsidP="00870C38">
      <w:pPr>
        <w:pStyle w:val="Tablechartdiagramheading"/>
      </w:pPr>
      <w:r w:rsidRPr="00D6403A">
        <w:lastRenderedPageBreak/>
        <w:t>Figure 33. Funnel plot of the rate of women who planned a vaginal birth after a primary caesarean section, 2021</w:t>
      </w:r>
    </w:p>
    <w:p w14:paraId="26E6ABAE" w14:textId="07E3C416" w:rsidR="00D6403A" w:rsidRPr="00D6403A" w:rsidRDefault="000D6192" w:rsidP="00862996">
      <w:pPr>
        <w:rPr>
          <w:lang w:val="en-GB"/>
        </w:rPr>
      </w:pPr>
      <w:r>
        <w:rPr>
          <w:noProof/>
          <w:lang w:val="en-GB"/>
        </w:rPr>
        <w:drawing>
          <wp:inline distT="0" distB="0" distL="0" distR="0" wp14:anchorId="47E6260E" wp14:editId="76CF109A">
            <wp:extent cx="6045200" cy="3416300"/>
            <wp:effectExtent l="0" t="0" r="0" b="0"/>
            <wp:docPr id="38" name="Picture 38"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_33.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45200" cy="3416300"/>
                    </a:xfrm>
                    <a:prstGeom prst="rect">
                      <a:avLst/>
                    </a:prstGeom>
                  </pic:spPr>
                </pic:pic>
              </a:graphicData>
            </a:graphic>
          </wp:inline>
        </w:drawing>
      </w:r>
    </w:p>
    <w:p w14:paraId="7D8BBAC6"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2A51F0B1" w14:textId="77777777" w:rsidR="00D6403A" w:rsidRPr="00D6403A" w:rsidRDefault="00D6403A" w:rsidP="000D6192">
      <w:pPr>
        <w:pStyle w:val="Tablechartdiagramheading"/>
        <w:rPr>
          <w:lang w:val="en-GB"/>
        </w:rPr>
      </w:pPr>
      <w:r w:rsidRPr="00D6403A">
        <w:rPr>
          <w:lang w:val="en-GB"/>
        </w:rPr>
        <w:t>Table 12. Rate of women who planned a vaginal birth after a primary caesarean section,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658115F1" w14:textId="77777777" w:rsidTr="000D619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248B7DDC" w14:textId="77777777" w:rsidR="00D6403A" w:rsidRPr="000D6192" w:rsidRDefault="00D6403A" w:rsidP="000D6192">
            <w:pPr>
              <w:pStyle w:val="Tableheader"/>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1668264F" w14:textId="77777777" w:rsidR="00D6403A" w:rsidRPr="000D6192" w:rsidRDefault="00D6403A" w:rsidP="000D6192">
            <w:pPr>
              <w:pStyle w:val="Tableheader"/>
              <w:jc w:val="right"/>
              <w:rPr>
                <w:b/>
                <w:lang w:val="en-GB"/>
              </w:rPr>
            </w:pPr>
            <w:r w:rsidRPr="000D6192">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34925FD2" w14:textId="77777777" w:rsidR="00D6403A" w:rsidRPr="000D6192" w:rsidRDefault="00D6403A" w:rsidP="000D6192">
            <w:pPr>
              <w:pStyle w:val="Tableheader"/>
              <w:jc w:val="right"/>
              <w:rPr>
                <w:b/>
                <w:lang w:val="en-GB"/>
              </w:rPr>
            </w:pPr>
            <w:r w:rsidRPr="000D6192">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6E72BAD3" w14:textId="77777777" w:rsidR="00D6403A" w:rsidRPr="000D6192" w:rsidRDefault="00D6403A" w:rsidP="000D6192">
            <w:pPr>
              <w:pStyle w:val="Tableheader"/>
              <w:jc w:val="right"/>
              <w:rPr>
                <w:b/>
                <w:lang w:val="en-GB"/>
              </w:rPr>
            </w:pPr>
            <w:r w:rsidRPr="000D6192">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4276320E" w14:textId="77777777" w:rsidR="00D6403A" w:rsidRPr="000D6192" w:rsidRDefault="00D6403A" w:rsidP="000D6192">
            <w:pPr>
              <w:pStyle w:val="Tableheader"/>
              <w:jc w:val="right"/>
              <w:rPr>
                <w:b/>
                <w:lang w:val="en-GB"/>
              </w:rPr>
            </w:pPr>
            <w:r w:rsidRPr="000D6192">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4B6B113C" w14:textId="77777777" w:rsidR="00D6403A" w:rsidRPr="000D6192" w:rsidRDefault="00D6403A" w:rsidP="000D6192">
            <w:pPr>
              <w:pStyle w:val="Tableheader"/>
              <w:jc w:val="right"/>
              <w:rPr>
                <w:b/>
                <w:lang w:val="en-GB"/>
              </w:rPr>
            </w:pPr>
            <w:r w:rsidRPr="000D6192">
              <w:rPr>
                <w:b/>
                <w:lang w:val="en-GB"/>
              </w:rPr>
              <w:t>2021</w:t>
            </w:r>
          </w:p>
        </w:tc>
      </w:tr>
      <w:tr w:rsidR="00D6403A" w:rsidRPr="00D6403A" w14:paraId="28E5354B" w14:textId="77777777" w:rsidTr="000D619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2433B504" w14:textId="7FFAB3D2" w:rsidR="00D6403A" w:rsidRPr="000D6192" w:rsidRDefault="00D6403A" w:rsidP="000D6192">
            <w:pPr>
              <w:pStyle w:val="Tabletext"/>
              <w:jc w:val="left"/>
              <w:rPr>
                <w:b/>
              </w:rPr>
            </w:pPr>
            <w:r w:rsidRPr="000D6192">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6EB41498" w14:textId="77777777" w:rsidR="00D6403A" w:rsidRPr="000D6192" w:rsidRDefault="00D6403A" w:rsidP="000D6192">
            <w:pPr>
              <w:pStyle w:val="Tabletext"/>
            </w:pPr>
            <w:r w:rsidRPr="000D6192">
              <w:t>27.8%</w:t>
            </w:r>
          </w:p>
        </w:tc>
        <w:tc>
          <w:tcPr>
            <w:cnfStyle w:val="000010000000" w:firstRow="0" w:lastRow="0" w:firstColumn="0" w:lastColumn="0" w:oddVBand="1" w:evenVBand="0" w:oddHBand="0" w:evenHBand="0" w:firstRowFirstColumn="0" w:firstRowLastColumn="0" w:lastRowFirstColumn="0" w:lastRowLastColumn="0"/>
            <w:tcW w:w="737" w:type="dxa"/>
          </w:tcPr>
          <w:p w14:paraId="0D8709A0" w14:textId="77777777" w:rsidR="00D6403A" w:rsidRPr="000D6192" w:rsidRDefault="00D6403A" w:rsidP="000D6192">
            <w:pPr>
              <w:pStyle w:val="Tabletext"/>
            </w:pPr>
            <w:r w:rsidRPr="000D6192">
              <w:t>27.1%</w:t>
            </w:r>
          </w:p>
        </w:tc>
        <w:tc>
          <w:tcPr>
            <w:cnfStyle w:val="000001000000" w:firstRow="0" w:lastRow="0" w:firstColumn="0" w:lastColumn="0" w:oddVBand="0" w:evenVBand="1" w:oddHBand="0" w:evenHBand="0" w:firstRowFirstColumn="0" w:firstRowLastColumn="0" w:lastRowFirstColumn="0" w:lastRowLastColumn="0"/>
            <w:tcW w:w="737" w:type="dxa"/>
          </w:tcPr>
          <w:p w14:paraId="10890317" w14:textId="77777777" w:rsidR="00D6403A" w:rsidRPr="000D6192" w:rsidRDefault="00D6403A" w:rsidP="000D6192">
            <w:pPr>
              <w:pStyle w:val="Tabletext"/>
            </w:pPr>
            <w:r w:rsidRPr="000D6192">
              <w:t>26.3%</w:t>
            </w:r>
          </w:p>
        </w:tc>
        <w:tc>
          <w:tcPr>
            <w:cnfStyle w:val="000010000000" w:firstRow="0" w:lastRow="0" w:firstColumn="0" w:lastColumn="0" w:oddVBand="1" w:evenVBand="0" w:oddHBand="0" w:evenHBand="0" w:firstRowFirstColumn="0" w:firstRowLastColumn="0" w:lastRowFirstColumn="0" w:lastRowLastColumn="0"/>
            <w:tcW w:w="737" w:type="dxa"/>
          </w:tcPr>
          <w:p w14:paraId="7348332A" w14:textId="77777777" w:rsidR="00D6403A" w:rsidRPr="000D6192" w:rsidRDefault="00D6403A" w:rsidP="000D6192">
            <w:pPr>
              <w:pStyle w:val="Tabletext"/>
            </w:pPr>
            <w:r w:rsidRPr="000D6192">
              <w:t>27.8%</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33DFB9BC" w14:textId="77777777" w:rsidR="00D6403A" w:rsidRPr="000D6192" w:rsidRDefault="00D6403A" w:rsidP="000D6192">
            <w:pPr>
              <w:pStyle w:val="Tabletext"/>
            </w:pPr>
            <w:r w:rsidRPr="000D6192">
              <w:t>26.0%</w:t>
            </w:r>
          </w:p>
        </w:tc>
      </w:tr>
      <w:tr w:rsidR="00D6403A" w:rsidRPr="00D6403A" w14:paraId="465ADB84" w14:textId="77777777" w:rsidTr="000D619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7C3A4979" w14:textId="31B9063F" w:rsidR="00D6403A" w:rsidRPr="000D6192" w:rsidRDefault="00D6403A" w:rsidP="000D6192">
            <w:pPr>
              <w:pStyle w:val="Tabletext"/>
              <w:jc w:val="left"/>
              <w:rPr>
                <w:b/>
              </w:rPr>
            </w:pPr>
            <w:r w:rsidRPr="000D6192">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63218EE1" w14:textId="77777777" w:rsidR="00D6403A" w:rsidRPr="000D6192" w:rsidRDefault="00D6403A" w:rsidP="000D6192">
            <w:pPr>
              <w:pStyle w:val="Tabletext"/>
            </w:pPr>
            <w:r w:rsidRPr="000D6192">
              <w:t>14.7%</w:t>
            </w:r>
          </w:p>
        </w:tc>
        <w:tc>
          <w:tcPr>
            <w:cnfStyle w:val="000010000000" w:firstRow="0" w:lastRow="0" w:firstColumn="0" w:lastColumn="0" w:oddVBand="1" w:evenVBand="0" w:oddHBand="0" w:evenHBand="0" w:firstRowFirstColumn="0" w:firstRowLastColumn="0" w:lastRowFirstColumn="0" w:lastRowLastColumn="0"/>
            <w:tcW w:w="737" w:type="dxa"/>
          </w:tcPr>
          <w:p w14:paraId="19734B8C" w14:textId="77777777" w:rsidR="00D6403A" w:rsidRPr="000D6192" w:rsidRDefault="00D6403A" w:rsidP="000D6192">
            <w:pPr>
              <w:pStyle w:val="Tabletext"/>
            </w:pPr>
            <w:r w:rsidRPr="000D6192">
              <w:t>14.7%</w:t>
            </w:r>
          </w:p>
        </w:tc>
        <w:tc>
          <w:tcPr>
            <w:cnfStyle w:val="000001000000" w:firstRow="0" w:lastRow="0" w:firstColumn="0" w:lastColumn="0" w:oddVBand="0" w:evenVBand="1" w:oddHBand="0" w:evenHBand="0" w:firstRowFirstColumn="0" w:firstRowLastColumn="0" w:lastRowFirstColumn="0" w:lastRowLastColumn="0"/>
            <w:tcW w:w="737" w:type="dxa"/>
          </w:tcPr>
          <w:p w14:paraId="7725EC5C" w14:textId="77777777" w:rsidR="00D6403A" w:rsidRPr="000D6192" w:rsidRDefault="00D6403A" w:rsidP="000D6192">
            <w:pPr>
              <w:pStyle w:val="Tabletext"/>
            </w:pPr>
            <w:r w:rsidRPr="000D6192">
              <w:t>13.2%</w:t>
            </w:r>
          </w:p>
        </w:tc>
        <w:tc>
          <w:tcPr>
            <w:cnfStyle w:val="000010000000" w:firstRow="0" w:lastRow="0" w:firstColumn="0" w:lastColumn="0" w:oddVBand="1" w:evenVBand="0" w:oddHBand="0" w:evenHBand="0" w:firstRowFirstColumn="0" w:firstRowLastColumn="0" w:lastRowFirstColumn="0" w:lastRowLastColumn="0"/>
            <w:tcW w:w="737" w:type="dxa"/>
          </w:tcPr>
          <w:p w14:paraId="04E96F99" w14:textId="77777777" w:rsidR="00D6403A" w:rsidRPr="000D6192" w:rsidRDefault="00D6403A" w:rsidP="000D6192">
            <w:pPr>
              <w:pStyle w:val="Tabletext"/>
            </w:pPr>
            <w:r w:rsidRPr="000D6192">
              <w:t>11.2%</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0A6B02E6" w14:textId="77777777" w:rsidR="00D6403A" w:rsidRPr="000D6192" w:rsidRDefault="00D6403A" w:rsidP="000D6192">
            <w:pPr>
              <w:pStyle w:val="Tabletext"/>
            </w:pPr>
            <w:r w:rsidRPr="000D6192">
              <w:t>11.3%</w:t>
            </w:r>
          </w:p>
        </w:tc>
      </w:tr>
      <w:tr w:rsidR="00D6403A" w:rsidRPr="00D6403A" w14:paraId="79BCA242" w14:textId="77777777" w:rsidTr="000D619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26A42601" w14:textId="5B34144E" w:rsidR="00D6403A" w:rsidRPr="000D6192" w:rsidRDefault="00D6403A" w:rsidP="000D6192">
            <w:pPr>
              <w:pStyle w:val="Tabletext"/>
              <w:jc w:val="left"/>
              <w:rPr>
                <w:b/>
              </w:rPr>
            </w:pPr>
            <w:r w:rsidRPr="000D6192">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0252C00C" w14:textId="77777777" w:rsidR="00D6403A" w:rsidRPr="000D6192" w:rsidRDefault="00D6403A" w:rsidP="000D6192">
            <w:pPr>
              <w:pStyle w:val="Tabletext"/>
            </w:pPr>
            <w:r w:rsidRPr="000D6192">
              <w:t>23.7%</w:t>
            </w:r>
          </w:p>
        </w:tc>
        <w:tc>
          <w:tcPr>
            <w:cnfStyle w:val="000010000000" w:firstRow="0" w:lastRow="0" w:firstColumn="0" w:lastColumn="0" w:oddVBand="1" w:evenVBand="0" w:oddHBand="0" w:evenHBand="0" w:firstRowFirstColumn="0" w:firstRowLastColumn="0" w:lastRowFirstColumn="0" w:lastRowLastColumn="0"/>
            <w:tcW w:w="737" w:type="dxa"/>
          </w:tcPr>
          <w:p w14:paraId="3B9E2B01" w14:textId="77777777" w:rsidR="00D6403A" w:rsidRPr="000D6192" w:rsidRDefault="00D6403A" w:rsidP="000D6192">
            <w:pPr>
              <w:pStyle w:val="Tabletext"/>
            </w:pPr>
            <w:r w:rsidRPr="000D6192">
              <w:t>23.4%</w:t>
            </w:r>
          </w:p>
        </w:tc>
        <w:tc>
          <w:tcPr>
            <w:cnfStyle w:val="000001000000" w:firstRow="0" w:lastRow="0" w:firstColumn="0" w:lastColumn="0" w:oddVBand="0" w:evenVBand="1" w:oddHBand="0" w:evenHBand="0" w:firstRowFirstColumn="0" w:firstRowLastColumn="0" w:lastRowFirstColumn="0" w:lastRowLastColumn="0"/>
            <w:tcW w:w="737" w:type="dxa"/>
          </w:tcPr>
          <w:p w14:paraId="3DE4AA5F" w14:textId="77777777" w:rsidR="00D6403A" w:rsidRPr="000D6192" w:rsidRDefault="00D6403A" w:rsidP="000D6192">
            <w:pPr>
              <w:pStyle w:val="Tabletext"/>
            </w:pPr>
            <w:r w:rsidRPr="000D6192">
              <w:t>22.3%</w:t>
            </w:r>
          </w:p>
        </w:tc>
        <w:tc>
          <w:tcPr>
            <w:cnfStyle w:val="000010000000" w:firstRow="0" w:lastRow="0" w:firstColumn="0" w:lastColumn="0" w:oddVBand="1" w:evenVBand="0" w:oddHBand="0" w:evenHBand="0" w:firstRowFirstColumn="0" w:firstRowLastColumn="0" w:lastRowFirstColumn="0" w:lastRowLastColumn="0"/>
            <w:tcW w:w="737" w:type="dxa"/>
          </w:tcPr>
          <w:p w14:paraId="0868C34D" w14:textId="77777777" w:rsidR="00D6403A" w:rsidRPr="000D6192" w:rsidRDefault="00D6403A" w:rsidP="000D6192">
            <w:pPr>
              <w:pStyle w:val="Tabletext"/>
            </w:pPr>
            <w:r w:rsidRPr="000D6192">
              <w:t>22.9%</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36190AB5" w14:textId="77777777" w:rsidR="00D6403A" w:rsidRPr="000D6192" w:rsidRDefault="00D6403A" w:rsidP="000D6192">
            <w:pPr>
              <w:pStyle w:val="Tabletext"/>
            </w:pPr>
            <w:r w:rsidRPr="000D6192">
              <w:t>21.5%</w:t>
            </w:r>
          </w:p>
        </w:tc>
      </w:tr>
    </w:tbl>
    <w:p w14:paraId="0EACBF91" w14:textId="77777777" w:rsidR="00D6403A" w:rsidRPr="00D6403A" w:rsidRDefault="00D6403A" w:rsidP="00870C38">
      <w:pPr>
        <w:pStyle w:val="Tablechartdiagramheading"/>
      </w:pPr>
      <w:r w:rsidRPr="00D6403A">
        <w:t>Figure 34. Time trend of Indicator 4a, 2017–2021</w:t>
      </w:r>
    </w:p>
    <w:p w14:paraId="143DC77D" w14:textId="78F944D8" w:rsidR="00D6403A" w:rsidRPr="00D6403A" w:rsidRDefault="000D6192" w:rsidP="00862996">
      <w:pPr>
        <w:rPr>
          <w:lang w:val="en-GB"/>
        </w:rPr>
      </w:pPr>
      <w:r>
        <w:rPr>
          <w:noProof/>
          <w:lang w:val="en-GB"/>
        </w:rPr>
        <w:drawing>
          <wp:inline distT="0" distB="0" distL="0" distR="0" wp14:anchorId="0DD30C61" wp14:editId="5B08AC83">
            <wp:extent cx="3098800" cy="1295400"/>
            <wp:effectExtent l="0" t="0" r="0" b="0"/>
            <wp:docPr id="39" name="Picture 39" descr="Line chart of Table 12 indicator 4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_34.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1B65339A" w14:textId="4EE311F8" w:rsidR="00D6403A" w:rsidRPr="000D6192" w:rsidRDefault="00D6403A" w:rsidP="000D6192">
      <w:pPr>
        <w:pStyle w:val="Tablechartdiagramheading"/>
      </w:pPr>
      <w:r w:rsidRPr="00D6403A">
        <w:lastRenderedPageBreak/>
        <w:t>Figure 35. Indicator 4b: Rate of women who achieved a planned vaginal birth after a primary caesarean section, 2021</w:t>
      </w:r>
    </w:p>
    <w:p w14:paraId="14795F35" w14:textId="2A024540" w:rsidR="00D6403A" w:rsidRPr="00D6403A" w:rsidRDefault="000D6192" w:rsidP="00870C38">
      <w:pPr>
        <w:pStyle w:val="Tablechartdiagramheading"/>
      </w:pPr>
      <w:r>
        <w:rPr>
          <w:noProof/>
        </w:rPr>
        <w:drawing>
          <wp:inline distT="0" distB="0" distL="0" distR="0" wp14:anchorId="34277175" wp14:editId="2DF2EA06">
            <wp:extent cx="6476365" cy="4584700"/>
            <wp:effectExtent l="0" t="0" r="635" b="0"/>
            <wp:docPr id="40" name="Picture 40" descr="Bar chart for Indicator 4b.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_35.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476365" cy="4584700"/>
                    </a:xfrm>
                    <a:prstGeom prst="rect">
                      <a:avLst/>
                    </a:prstGeom>
                  </pic:spPr>
                </pic:pic>
              </a:graphicData>
            </a:graphic>
          </wp:inline>
        </w:drawing>
      </w:r>
    </w:p>
    <w:p w14:paraId="63B092EA" w14:textId="77777777" w:rsidR="000D6192" w:rsidRDefault="000D6192">
      <w:pPr>
        <w:rPr>
          <w:b/>
          <w:bCs/>
          <w:color w:val="007586" w:themeColor="text2"/>
          <w:spacing w:val="2"/>
          <w:szCs w:val="18"/>
        </w:rPr>
      </w:pPr>
      <w:r>
        <w:br w:type="page"/>
      </w:r>
    </w:p>
    <w:p w14:paraId="0F4639F1" w14:textId="03DA2B02" w:rsidR="00D6403A" w:rsidRPr="00D6403A" w:rsidRDefault="00D6403A" w:rsidP="00870C38">
      <w:pPr>
        <w:pStyle w:val="Tablechartdiagramheading"/>
      </w:pPr>
      <w:r w:rsidRPr="00D6403A">
        <w:lastRenderedPageBreak/>
        <w:t>Figure</w:t>
      </w:r>
      <w:r w:rsidR="000D6192">
        <w:t xml:space="preserve"> </w:t>
      </w:r>
      <w:r w:rsidRPr="00D6403A">
        <w:t>36. Funnel plot of the rate of women who achieved a planned vaginal birth after a primary caesarean section, 2021</w:t>
      </w:r>
    </w:p>
    <w:p w14:paraId="1429832F" w14:textId="753AFD5C" w:rsidR="00D6403A" w:rsidRPr="00D6403A" w:rsidRDefault="000D6192" w:rsidP="00862996">
      <w:pPr>
        <w:rPr>
          <w:lang w:val="en-GB"/>
        </w:rPr>
      </w:pPr>
      <w:r>
        <w:rPr>
          <w:noProof/>
          <w:lang w:val="en-GB"/>
        </w:rPr>
        <w:drawing>
          <wp:inline distT="0" distB="0" distL="0" distR="0" wp14:anchorId="7316B5C5" wp14:editId="354B89D1">
            <wp:extent cx="6019800" cy="3403600"/>
            <wp:effectExtent l="0" t="0" r="0" b="0"/>
            <wp:docPr id="41" name="Picture 41"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_36.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19800" cy="3403600"/>
                    </a:xfrm>
                    <a:prstGeom prst="rect">
                      <a:avLst/>
                    </a:prstGeom>
                  </pic:spPr>
                </pic:pic>
              </a:graphicData>
            </a:graphic>
          </wp:inline>
        </w:drawing>
      </w:r>
    </w:p>
    <w:p w14:paraId="50EAA70B"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16273B87" w14:textId="77777777" w:rsidR="00D6403A" w:rsidRPr="00D6403A" w:rsidRDefault="00D6403A" w:rsidP="00887B5A">
      <w:pPr>
        <w:pStyle w:val="Tablechartdiagramheading"/>
        <w:rPr>
          <w:lang w:val="en-GB"/>
        </w:rPr>
      </w:pPr>
      <w:r w:rsidRPr="00D6403A">
        <w:rPr>
          <w:lang w:val="en-GB"/>
        </w:rPr>
        <w:t>Table 13. Rate of women who achieved a planned vaginal birth after a primary caesarean section,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38866B66" w14:textId="77777777" w:rsidTr="000D6192">
        <w:trPr>
          <w:cnfStyle w:val="100000000000" w:firstRow="1" w:lastRow="0" w:firstColumn="0" w:lastColumn="0" w:oddVBand="0" w:evenVBand="0" w:oddHBand="0" w:evenHBand="0" w:firstRowFirstColumn="0" w:firstRowLastColumn="0" w:lastRowFirstColumn="0" w:lastRowLastColumn="0"/>
          <w:trHeight w:val="283"/>
        </w:trPr>
        <w:tc>
          <w:tcPr>
            <w:cnfStyle w:val="000010000000" w:firstRow="0" w:lastRow="0" w:firstColumn="0" w:lastColumn="0" w:oddVBand="1" w:evenVBand="0" w:oddHBand="0" w:evenHBand="0" w:firstRowFirstColumn="0" w:firstRowLastColumn="0" w:lastRowFirstColumn="0" w:lastRowLastColumn="0"/>
            <w:tcW w:w="1276" w:type="dxa"/>
          </w:tcPr>
          <w:p w14:paraId="7A236A07" w14:textId="77777777" w:rsidR="00D6403A" w:rsidRPr="000D6192" w:rsidRDefault="00D6403A" w:rsidP="000D6192">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3BA79364" w14:textId="77777777" w:rsidR="00D6403A" w:rsidRPr="000D6192" w:rsidRDefault="00D6403A" w:rsidP="000D6192">
            <w:pPr>
              <w:pStyle w:val="Tableheader"/>
              <w:jc w:val="right"/>
              <w:rPr>
                <w:b/>
                <w:lang w:val="en-GB"/>
              </w:rPr>
            </w:pPr>
            <w:r w:rsidRPr="000D6192">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26CE3F1E" w14:textId="77777777" w:rsidR="00D6403A" w:rsidRPr="000D6192" w:rsidRDefault="00D6403A" w:rsidP="000D6192">
            <w:pPr>
              <w:pStyle w:val="Tableheader"/>
              <w:jc w:val="right"/>
              <w:rPr>
                <w:b/>
                <w:lang w:val="en-GB"/>
              </w:rPr>
            </w:pPr>
            <w:r w:rsidRPr="000D6192">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515828EE" w14:textId="77777777" w:rsidR="00D6403A" w:rsidRPr="000D6192" w:rsidRDefault="00D6403A" w:rsidP="000D6192">
            <w:pPr>
              <w:pStyle w:val="Tableheader"/>
              <w:jc w:val="right"/>
              <w:rPr>
                <w:b/>
                <w:lang w:val="en-GB"/>
              </w:rPr>
            </w:pPr>
            <w:r w:rsidRPr="000D6192">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3E2713CB" w14:textId="77777777" w:rsidR="00D6403A" w:rsidRPr="000D6192" w:rsidRDefault="00D6403A" w:rsidP="000D6192">
            <w:pPr>
              <w:pStyle w:val="Tableheader"/>
              <w:jc w:val="right"/>
              <w:rPr>
                <w:b/>
                <w:lang w:val="en-GB"/>
              </w:rPr>
            </w:pPr>
            <w:r w:rsidRPr="000D6192">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7C2F2AB5" w14:textId="77777777" w:rsidR="00D6403A" w:rsidRPr="000D6192" w:rsidRDefault="00D6403A" w:rsidP="000D6192">
            <w:pPr>
              <w:pStyle w:val="Tableheader"/>
              <w:jc w:val="right"/>
              <w:rPr>
                <w:b/>
                <w:lang w:val="en-GB"/>
              </w:rPr>
            </w:pPr>
            <w:r w:rsidRPr="000D6192">
              <w:rPr>
                <w:b/>
                <w:lang w:val="en-GB"/>
              </w:rPr>
              <w:t>2021</w:t>
            </w:r>
          </w:p>
        </w:tc>
      </w:tr>
      <w:tr w:rsidR="00D6403A" w:rsidRPr="00D6403A" w14:paraId="197CADF9" w14:textId="77777777" w:rsidTr="000D619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17D2F575" w14:textId="45E9B6FB" w:rsidR="00D6403A" w:rsidRPr="000D6192" w:rsidRDefault="00D6403A" w:rsidP="000D6192">
            <w:pPr>
              <w:pStyle w:val="Tabletext"/>
              <w:jc w:val="left"/>
              <w:rPr>
                <w:b/>
              </w:rPr>
            </w:pPr>
            <w:r w:rsidRPr="000D6192">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131F5556" w14:textId="77777777" w:rsidR="00D6403A" w:rsidRPr="000D6192" w:rsidRDefault="00D6403A" w:rsidP="000D6192">
            <w:pPr>
              <w:pStyle w:val="Tabletext"/>
            </w:pPr>
            <w:r w:rsidRPr="000D6192">
              <w:t>54.4%</w:t>
            </w:r>
          </w:p>
        </w:tc>
        <w:tc>
          <w:tcPr>
            <w:cnfStyle w:val="000010000000" w:firstRow="0" w:lastRow="0" w:firstColumn="0" w:lastColumn="0" w:oddVBand="1" w:evenVBand="0" w:oddHBand="0" w:evenHBand="0" w:firstRowFirstColumn="0" w:firstRowLastColumn="0" w:lastRowFirstColumn="0" w:lastRowLastColumn="0"/>
            <w:tcW w:w="737" w:type="dxa"/>
          </w:tcPr>
          <w:p w14:paraId="341970D3" w14:textId="77777777" w:rsidR="00D6403A" w:rsidRPr="000D6192" w:rsidRDefault="00D6403A" w:rsidP="000D6192">
            <w:pPr>
              <w:pStyle w:val="Tabletext"/>
            </w:pPr>
            <w:r w:rsidRPr="000D6192">
              <w:t>55.0%</w:t>
            </w:r>
          </w:p>
        </w:tc>
        <w:tc>
          <w:tcPr>
            <w:cnfStyle w:val="000001000000" w:firstRow="0" w:lastRow="0" w:firstColumn="0" w:lastColumn="0" w:oddVBand="0" w:evenVBand="1" w:oddHBand="0" w:evenHBand="0" w:firstRowFirstColumn="0" w:firstRowLastColumn="0" w:lastRowFirstColumn="0" w:lastRowLastColumn="0"/>
            <w:tcW w:w="737" w:type="dxa"/>
          </w:tcPr>
          <w:p w14:paraId="4F0A2B6A" w14:textId="77777777" w:rsidR="00D6403A" w:rsidRPr="000D6192" w:rsidRDefault="00D6403A" w:rsidP="000D6192">
            <w:pPr>
              <w:pStyle w:val="Tabletext"/>
            </w:pPr>
            <w:r w:rsidRPr="000D6192">
              <w:t>54.1%</w:t>
            </w:r>
          </w:p>
        </w:tc>
        <w:tc>
          <w:tcPr>
            <w:cnfStyle w:val="000010000000" w:firstRow="0" w:lastRow="0" w:firstColumn="0" w:lastColumn="0" w:oddVBand="1" w:evenVBand="0" w:oddHBand="0" w:evenHBand="0" w:firstRowFirstColumn="0" w:firstRowLastColumn="0" w:lastRowFirstColumn="0" w:lastRowLastColumn="0"/>
            <w:tcW w:w="737" w:type="dxa"/>
          </w:tcPr>
          <w:p w14:paraId="54305667" w14:textId="77777777" w:rsidR="00D6403A" w:rsidRPr="000D6192" w:rsidRDefault="00D6403A" w:rsidP="000D6192">
            <w:pPr>
              <w:pStyle w:val="Tabletext"/>
            </w:pPr>
            <w:r w:rsidRPr="000D6192">
              <w:t>52.5%</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5D6F7F8A" w14:textId="77777777" w:rsidR="00D6403A" w:rsidRPr="000D6192" w:rsidRDefault="00D6403A" w:rsidP="000D6192">
            <w:pPr>
              <w:pStyle w:val="Tabletext"/>
            </w:pPr>
            <w:r w:rsidRPr="000D6192">
              <w:t>54.1%</w:t>
            </w:r>
          </w:p>
        </w:tc>
      </w:tr>
      <w:tr w:rsidR="00D6403A" w:rsidRPr="00D6403A" w14:paraId="01E00FC3" w14:textId="77777777" w:rsidTr="000D619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F2ADEF4" w14:textId="351E6B04" w:rsidR="00D6403A" w:rsidRPr="000D6192" w:rsidRDefault="00D6403A" w:rsidP="000D6192">
            <w:pPr>
              <w:pStyle w:val="Tabletext"/>
              <w:jc w:val="left"/>
              <w:rPr>
                <w:b/>
              </w:rPr>
            </w:pPr>
            <w:r w:rsidRPr="000D6192">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0AB82B02" w14:textId="77777777" w:rsidR="00D6403A" w:rsidRPr="000D6192" w:rsidRDefault="00D6403A" w:rsidP="000D6192">
            <w:pPr>
              <w:pStyle w:val="Tabletext"/>
            </w:pPr>
            <w:r w:rsidRPr="000D6192">
              <w:t>48.8%</w:t>
            </w:r>
          </w:p>
        </w:tc>
        <w:tc>
          <w:tcPr>
            <w:cnfStyle w:val="000010000000" w:firstRow="0" w:lastRow="0" w:firstColumn="0" w:lastColumn="0" w:oddVBand="1" w:evenVBand="0" w:oddHBand="0" w:evenHBand="0" w:firstRowFirstColumn="0" w:firstRowLastColumn="0" w:lastRowFirstColumn="0" w:lastRowLastColumn="0"/>
            <w:tcW w:w="737" w:type="dxa"/>
          </w:tcPr>
          <w:p w14:paraId="5656A293" w14:textId="77777777" w:rsidR="00D6403A" w:rsidRPr="000D6192" w:rsidRDefault="00D6403A" w:rsidP="000D6192">
            <w:pPr>
              <w:pStyle w:val="Tabletext"/>
            </w:pPr>
            <w:r w:rsidRPr="000D6192">
              <w:t>46.9%</w:t>
            </w:r>
          </w:p>
        </w:tc>
        <w:tc>
          <w:tcPr>
            <w:cnfStyle w:val="000001000000" w:firstRow="0" w:lastRow="0" w:firstColumn="0" w:lastColumn="0" w:oddVBand="0" w:evenVBand="1" w:oddHBand="0" w:evenHBand="0" w:firstRowFirstColumn="0" w:firstRowLastColumn="0" w:lastRowFirstColumn="0" w:lastRowLastColumn="0"/>
            <w:tcW w:w="737" w:type="dxa"/>
          </w:tcPr>
          <w:p w14:paraId="54A7B9BE" w14:textId="77777777" w:rsidR="00D6403A" w:rsidRPr="000D6192" w:rsidRDefault="00D6403A" w:rsidP="000D6192">
            <w:pPr>
              <w:pStyle w:val="Tabletext"/>
            </w:pPr>
            <w:r w:rsidRPr="000D6192">
              <w:t>48.1%</w:t>
            </w:r>
          </w:p>
        </w:tc>
        <w:tc>
          <w:tcPr>
            <w:cnfStyle w:val="000010000000" w:firstRow="0" w:lastRow="0" w:firstColumn="0" w:lastColumn="0" w:oddVBand="1" w:evenVBand="0" w:oddHBand="0" w:evenHBand="0" w:firstRowFirstColumn="0" w:firstRowLastColumn="0" w:lastRowFirstColumn="0" w:lastRowLastColumn="0"/>
            <w:tcW w:w="737" w:type="dxa"/>
          </w:tcPr>
          <w:p w14:paraId="418D8DC8" w14:textId="77777777" w:rsidR="00D6403A" w:rsidRPr="000D6192" w:rsidRDefault="00D6403A" w:rsidP="000D6192">
            <w:pPr>
              <w:pStyle w:val="Tabletext"/>
            </w:pPr>
            <w:r w:rsidRPr="000D6192">
              <w:t>48.8%</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6E8510BD" w14:textId="77777777" w:rsidR="00D6403A" w:rsidRPr="000D6192" w:rsidRDefault="00D6403A" w:rsidP="000D6192">
            <w:pPr>
              <w:pStyle w:val="Tabletext"/>
            </w:pPr>
            <w:r w:rsidRPr="000D6192">
              <w:t>52.6%</w:t>
            </w:r>
          </w:p>
        </w:tc>
      </w:tr>
      <w:tr w:rsidR="00D6403A" w:rsidRPr="00D6403A" w14:paraId="5BC98A6D" w14:textId="77777777" w:rsidTr="000D619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0BC94AF0" w14:textId="6A055A69" w:rsidR="00D6403A" w:rsidRPr="000D6192" w:rsidRDefault="00D6403A" w:rsidP="000D6192">
            <w:pPr>
              <w:pStyle w:val="Tabletext"/>
              <w:jc w:val="left"/>
              <w:rPr>
                <w:b/>
              </w:rPr>
            </w:pPr>
            <w:r w:rsidRPr="000D6192">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444C9B47" w14:textId="77777777" w:rsidR="00D6403A" w:rsidRPr="000D6192" w:rsidRDefault="00D6403A" w:rsidP="000D6192">
            <w:pPr>
              <w:pStyle w:val="Tabletext"/>
            </w:pPr>
            <w:r w:rsidRPr="000D6192">
              <w:t>54.8%</w:t>
            </w:r>
          </w:p>
        </w:tc>
        <w:tc>
          <w:tcPr>
            <w:cnfStyle w:val="000010000000" w:firstRow="0" w:lastRow="0" w:firstColumn="0" w:lastColumn="0" w:oddVBand="1" w:evenVBand="0" w:oddHBand="0" w:evenHBand="0" w:firstRowFirstColumn="0" w:firstRowLastColumn="0" w:lastRowFirstColumn="0" w:lastRowLastColumn="0"/>
            <w:tcW w:w="737" w:type="dxa"/>
          </w:tcPr>
          <w:p w14:paraId="49EDC534" w14:textId="77777777" w:rsidR="00D6403A" w:rsidRPr="000D6192" w:rsidRDefault="00D6403A" w:rsidP="000D6192">
            <w:pPr>
              <w:pStyle w:val="Tabletext"/>
            </w:pPr>
            <w:r w:rsidRPr="000D6192">
              <w:t>53.5%</w:t>
            </w:r>
          </w:p>
        </w:tc>
        <w:tc>
          <w:tcPr>
            <w:cnfStyle w:val="000001000000" w:firstRow="0" w:lastRow="0" w:firstColumn="0" w:lastColumn="0" w:oddVBand="0" w:evenVBand="1" w:oddHBand="0" w:evenHBand="0" w:firstRowFirstColumn="0" w:firstRowLastColumn="0" w:lastRowFirstColumn="0" w:lastRowLastColumn="0"/>
            <w:tcW w:w="737" w:type="dxa"/>
          </w:tcPr>
          <w:p w14:paraId="41B34551" w14:textId="77777777" w:rsidR="00D6403A" w:rsidRPr="000D6192" w:rsidRDefault="00D6403A" w:rsidP="000D6192">
            <w:pPr>
              <w:pStyle w:val="Tabletext"/>
            </w:pPr>
            <w:r w:rsidRPr="000D6192">
              <w:t>53.2%</w:t>
            </w:r>
          </w:p>
        </w:tc>
        <w:tc>
          <w:tcPr>
            <w:cnfStyle w:val="000010000000" w:firstRow="0" w:lastRow="0" w:firstColumn="0" w:lastColumn="0" w:oddVBand="1" w:evenVBand="0" w:oddHBand="0" w:evenHBand="0" w:firstRowFirstColumn="0" w:firstRowLastColumn="0" w:lastRowFirstColumn="0" w:lastRowLastColumn="0"/>
            <w:tcW w:w="737" w:type="dxa"/>
          </w:tcPr>
          <w:p w14:paraId="1576FDB5" w14:textId="77777777" w:rsidR="00D6403A" w:rsidRPr="000D6192" w:rsidRDefault="00D6403A" w:rsidP="000D6192">
            <w:pPr>
              <w:pStyle w:val="Tabletext"/>
            </w:pPr>
            <w:r w:rsidRPr="000D6192">
              <w:t>52.2%</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10EFD4F6" w14:textId="77777777" w:rsidR="00D6403A" w:rsidRPr="000D6192" w:rsidRDefault="00D6403A" w:rsidP="000D6192">
            <w:pPr>
              <w:pStyle w:val="Tabletext"/>
            </w:pPr>
            <w:r w:rsidRPr="000D6192">
              <w:t>54.3%</w:t>
            </w:r>
          </w:p>
        </w:tc>
      </w:tr>
    </w:tbl>
    <w:p w14:paraId="1EEA63AB" w14:textId="77777777" w:rsidR="00D6403A" w:rsidRPr="00D6403A" w:rsidRDefault="00D6403A" w:rsidP="00887B5A">
      <w:pPr>
        <w:pStyle w:val="Tablechartdiagramheading"/>
        <w:rPr>
          <w:lang w:val="en-GB"/>
        </w:rPr>
      </w:pPr>
      <w:r w:rsidRPr="00D6403A">
        <w:rPr>
          <w:lang w:val="en-GB"/>
        </w:rPr>
        <w:t>Figure 37. Time trend of Indicator 4b, 2017–2021</w:t>
      </w:r>
    </w:p>
    <w:p w14:paraId="20FE57A3" w14:textId="3429E046" w:rsidR="00D6403A" w:rsidRPr="00D6403A" w:rsidRDefault="000D6192" w:rsidP="00862996">
      <w:pPr>
        <w:rPr>
          <w:lang w:val="en-GB"/>
        </w:rPr>
      </w:pPr>
      <w:r>
        <w:rPr>
          <w:noProof/>
          <w:lang w:val="en-GB"/>
        </w:rPr>
        <w:drawing>
          <wp:inline distT="0" distB="0" distL="0" distR="0" wp14:anchorId="458DAF41" wp14:editId="10C01DFF">
            <wp:extent cx="3098800" cy="1295400"/>
            <wp:effectExtent l="0" t="0" r="0" b="0"/>
            <wp:docPr id="42" name="Picture 42" descr="Line chart of Table 12 indicator 4b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_37.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13930CFB" w14:textId="77777777" w:rsidR="00D6403A" w:rsidRPr="00D6403A" w:rsidRDefault="00D6403A" w:rsidP="005939CC">
      <w:pPr>
        <w:pStyle w:val="Heading2"/>
        <w:rPr>
          <w:lang w:val="en-GB"/>
        </w:rPr>
      </w:pPr>
      <w:bookmarkStart w:id="48" w:name="_Toc159326606"/>
      <w:r w:rsidRPr="00D6403A">
        <w:rPr>
          <w:lang w:val="en-GB"/>
        </w:rPr>
        <w:lastRenderedPageBreak/>
        <w:t>Definition and data source</w:t>
      </w:r>
      <w:bookmarkEnd w:id="48"/>
    </w:p>
    <w:p w14:paraId="0B65BBE0" w14:textId="77777777" w:rsidR="00D6403A" w:rsidRPr="00D6403A" w:rsidRDefault="00D6403A" w:rsidP="008340E5">
      <w:pPr>
        <w:pStyle w:val="Heading3"/>
        <w:rPr>
          <w:lang w:val="en-GB"/>
        </w:rPr>
      </w:pPr>
      <w:r w:rsidRPr="00D6403A">
        <w:rPr>
          <w:lang w:val="en-GB"/>
        </w:rPr>
        <w:t>Definitions</w:t>
      </w:r>
    </w:p>
    <w:p w14:paraId="58E526D0" w14:textId="77777777" w:rsidR="00D6403A" w:rsidRPr="00D6403A" w:rsidRDefault="00D6403A" w:rsidP="00862996">
      <w:pPr>
        <w:rPr>
          <w:lang w:val="en-GB"/>
        </w:rPr>
      </w:pPr>
      <w:r w:rsidRPr="00D6403A">
        <w:rPr>
          <w:lang w:val="en-GB"/>
        </w:rPr>
        <w:t>Definitions for this indicator may differ from VBAC indicators reported by other organisations. Primary caesarean is often defined as the first caesarean regardless of parity, whereas this indicator selects women having a singleton second birth at term, whose only prior birth was by caesarean.</w:t>
      </w:r>
    </w:p>
    <w:p w14:paraId="6A0EDA5E" w14:textId="77777777" w:rsidR="00D6403A" w:rsidRPr="00D6403A" w:rsidRDefault="00D6403A" w:rsidP="00005134">
      <w:pPr>
        <w:rPr>
          <w:lang w:val="en-GB"/>
        </w:rPr>
      </w:pPr>
      <w:r w:rsidRPr="00D6403A">
        <w:rPr>
          <w:lang w:val="en-GB"/>
        </w:rPr>
        <w:t>The VPDC collects outcomes for women at term whose only previous birth was a caesarean section; any of these women who entered labour and did not have a subsequent planned caesarean is assumed to</w:t>
      </w:r>
      <w:r w:rsidRPr="00D6403A">
        <w:rPr>
          <w:rFonts w:ascii="Cambria" w:hAnsi="Cambria" w:cs="Cambria"/>
          <w:color w:val="000000"/>
          <w:lang w:val="en-GB"/>
        </w:rPr>
        <w:t> </w:t>
      </w:r>
      <w:r w:rsidRPr="00D6403A">
        <w:rPr>
          <w:lang w:val="en-GB"/>
        </w:rPr>
        <w:t>have planned a VBAC.</w:t>
      </w:r>
    </w:p>
    <w:p w14:paraId="56DC3C10" w14:textId="77777777" w:rsidR="00D6403A" w:rsidRPr="00D6403A" w:rsidRDefault="00D6403A" w:rsidP="00862996">
      <w:pPr>
        <w:rPr>
          <w:lang w:val="en-GB"/>
        </w:rPr>
      </w:pPr>
      <w:r w:rsidRPr="00D6403A">
        <w:rPr>
          <w:lang w:val="en-GB"/>
        </w:rPr>
        <w:t>Excluded are:</w:t>
      </w:r>
    </w:p>
    <w:p w14:paraId="59F90B93" w14:textId="77777777" w:rsidR="00D6403A" w:rsidRPr="00D6403A" w:rsidRDefault="00D6403A" w:rsidP="00005134">
      <w:pPr>
        <w:pStyle w:val="Bullet1"/>
        <w:rPr>
          <w:lang w:val="en-GB"/>
        </w:rPr>
      </w:pPr>
      <w:r w:rsidRPr="00D6403A">
        <w:rPr>
          <w:lang w:val="en-GB"/>
        </w:rPr>
        <w:t>some hospitals – not all hospitals in Victoria offer VBAC, and those that do not have been excluded from the indicator</w:t>
      </w:r>
    </w:p>
    <w:p w14:paraId="423DF778" w14:textId="77777777" w:rsidR="00D6403A" w:rsidRPr="00D6403A" w:rsidRDefault="00D6403A" w:rsidP="00005134">
      <w:pPr>
        <w:pStyle w:val="Bullet1"/>
        <w:rPr>
          <w:lang w:val="en-GB"/>
        </w:rPr>
      </w:pPr>
      <w:r w:rsidRPr="00D6403A">
        <w:rPr>
          <w:lang w:val="en-GB"/>
        </w:rPr>
        <w:t>women who had a pre-labour unplanned caesarean</w:t>
      </w:r>
    </w:p>
    <w:p w14:paraId="5E4B941A" w14:textId="77777777" w:rsidR="00D6403A" w:rsidRPr="00D6403A" w:rsidRDefault="00D6403A" w:rsidP="00005134">
      <w:pPr>
        <w:pStyle w:val="Bullet1"/>
        <w:rPr>
          <w:lang w:val="en-GB"/>
        </w:rPr>
      </w:pPr>
      <w:r w:rsidRPr="00D6403A">
        <w:rPr>
          <w:lang w:val="en-GB"/>
        </w:rPr>
        <w:t>multiple births (more than one baby – for example, twins or triplets)</w:t>
      </w:r>
    </w:p>
    <w:p w14:paraId="147D9DA9" w14:textId="77777777" w:rsidR="00D6403A" w:rsidRPr="00D6403A" w:rsidRDefault="00D6403A" w:rsidP="00005134">
      <w:pPr>
        <w:pStyle w:val="Bullet1"/>
        <w:rPr>
          <w:lang w:val="en-GB"/>
        </w:rPr>
      </w:pPr>
      <w:r w:rsidRPr="00D6403A">
        <w:rPr>
          <w:lang w:val="en-GB"/>
        </w:rPr>
        <w:t>women who had a vaginal birth for their previous birth</w:t>
      </w:r>
    </w:p>
    <w:p w14:paraId="32162BAB" w14:textId="77777777" w:rsidR="00D6403A" w:rsidRPr="00D6403A" w:rsidRDefault="00D6403A" w:rsidP="00005134">
      <w:pPr>
        <w:pStyle w:val="Bullet1"/>
        <w:rPr>
          <w:lang w:val="en-GB"/>
        </w:rPr>
      </w:pPr>
      <w:r w:rsidRPr="00D6403A">
        <w:rPr>
          <w:lang w:val="en-GB"/>
        </w:rPr>
        <w:t>women not having their second birth.</w:t>
      </w:r>
    </w:p>
    <w:p w14:paraId="17961FB5" w14:textId="77777777" w:rsidR="00D6403A" w:rsidRPr="00D6403A" w:rsidRDefault="00D6403A" w:rsidP="008340E5">
      <w:pPr>
        <w:pStyle w:val="Heading3"/>
        <w:rPr>
          <w:lang w:val="en-GB"/>
        </w:rPr>
      </w:pPr>
      <w:r w:rsidRPr="00D6403A">
        <w:rPr>
          <w:lang w:val="en-GB"/>
        </w:rPr>
        <w:t>Data source: Victorian Perinatal Data Collection</w:t>
      </w:r>
    </w:p>
    <w:p w14:paraId="754B1B66" w14:textId="77777777" w:rsidR="00D6403A" w:rsidRPr="00D6403A" w:rsidRDefault="00D6403A" w:rsidP="00005134">
      <w:pPr>
        <w:rPr>
          <w:lang w:val="en-GB"/>
        </w:rPr>
      </w:pPr>
      <w:r w:rsidRPr="00D6403A">
        <w:rPr>
          <w:lang w:val="en-GB"/>
        </w:rPr>
        <w:t>Data for these indicators are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5D66FE2E" w14:textId="77777777" w:rsidR="00D6403A" w:rsidRPr="00D6403A" w:rsidRDefault="00D6403A" w:rsidP="00862996">
      <w:pPr>
        <w:rPr>
          <w:lang w:val="en-GB"/>
        </w:rPr>
      </w:pPr>
      <w:r w:rsidRPr="00D6403A">
        <w:rPr>
          <w:lang w:val="en-GB"/>
        </w:rPr>
        <w:t>The indicators are derived using the following VPDC variables: ‘Parity’, ‘Total number of previous caesareans’, ‘Last birth – caesarean section indicator’, ‘Plurality’, ‘Estimated gestational age’, ‘Birthweight’, ‘Birth order’, ‘Labour type’ and ‘Method of birth’.</w:t>
      </w:r>
    </w:p>
    <w:p w14:paraId="53321ABA"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6617C608" w14:textId="77777777" w:rsidTr="002F2F60">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4438409D" w14:textId="77777777" w:rsidR="00D6403A" w:rsidRPr="002F2F60" w:rsidRDefault="00D6403A" w:rsidP="002F2F60">
            <w:pPr>
              <w:pStyle w:val="Tableheader"/>
              <w:rPr>
                <w:b/>
              </w:rPr>
            </w:pPr>
            <w:r w:rsidRPr="002F2F60">
              <w:rPr>
                <w: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3D13A838" w14:textId="77777777" w:rsidR="00D6403A" w:rsidRPr="002F2F60" w:rsidRDefault="00D6403A" w:rsidP="002F2F60">
            <w:pPr>
              <w:pStyle w:val="Tableheader"/>
              <w:rPr>
                <w:b/>
              </w:rPr>
            </w:pPr>
            <w:r w:rsidRPr="002F2F60">
              <w:rPr>
                <w: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36293660" w14:textId="77777777" w:rsidR="00D6403A" w:rsidRPr="002F2F60" w:rsidRDefault="00D6403A" w:rsidP="002F2F60">
            <w:pPr>
              <w:pStyle w:val="Tableheader"/>
              <w:rPr>
                <w:b/>
              </w:rPr>
            </w:pPr>
            <w:r w:rsidRPr="002F2F60">
              <w:rPr>
                <w:b/>
              </w:rPr>
              <w:t>Denominator</w:t>
            </w:r>
          </w:p>
        </w:tc>
      </w:tr>
      <w:tr w:rsidR="00D6403A" w:rsidRPr="00D6403A" w14:paraId="47C54D42" w14:textId="77777777" w:rsidTr="002F2F60">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391513D9" w14:textId="77777777" w:rsidR="00D6403A" w:rsidRPr="002F2F60" w:rsidRDefault="00D6403A" w:rsidP="002F2F60">
            <w:pPr>
              <w:pStyle w:val="Tabletext"/>
              <w:jc w:val="left"/>
              <w:rPr>
                <w:b/>
                <w:lang w:val="en-GB"/>
              </w:rPr>
            </w:pPr>
            <w:r w:rsidRPr="002F2F60">
              <w:rPr>
                <w:b/>
                <w:lang w:val="en-GB"/>
              </w:rPr>
              <w:t>Indicator 4a: Rate of women who planned a vaginal birth after a primary caesarean section</w:t>
            </w:r>
          </w:p>
        </w:tc>
        <w:tc>
          <w:tcPr>
            <w:cnfStyle w:val="000001000000" w:firstRow="0" w:lastRow="0" w:firstColumn="0" w:lastColumn="0" w:oddVBand="0" w:evenVBand="1" w:oddHBand="0" w:evenHBand="0" w:firstRowFirstColumn="0" w:firstRowLastColumn="0" w:lastRowFirstColumn="0" w:lastRowLastColumn="0"/>
            <w:tcW w:w="3401" w:type="dxa"/>
          </w:tcPr>
          <w:p w14:paraId="78A737BB" w14:textId="77777777" w:rsidR="00D6403A" w:rsidRPr="00D6403A" w:rsidRDefault="00D6403A" w:rsidP="002F2F60">
            <w:pPr>
              <w:pStyle w:val="Tabletext"/>
              <w:jc w:val="left"/>
              <w:rPr>
                <w:lang w:val="en-US"/>
              </w:rPr>
            </w:pPr>
            <w:r w:rsidRPr="00AE4C75">
              <w:t>The number of women (second time mothers and at term with a singleton pregnancy) whose previous birth was a caesarean section and who enter labour with a</w:t>
            </w:r>
            <w:r w:rsidRPr="00D6403A">
              <w:rPr>
                <w:rFonts w:ascii="Cambria" w:hAnsi="Cambria" w:cs="Cambria"/>
                <w:lang w:val="en-US"/>
              </w:rPr>
              <w:t> </w:t>
            </w:r>
            <w:r w:rsidRPr="00D6403A">
              <w:rPr>
                <w:lang w:val="en-US"/>
              </w:rPr>
              <w:t>plan for a vaginal birth</w:t>
            </w:r>
          </w:p>
        </w:tc>
        <w:tc>
          <w:tcPr>
            <w:cnfStyle w:val="000010000000" w:firstRow="0" w:lastRow="0" w:firstColumn="0" w:lastColumn="0" w:oddVBand="1" w:evenVBand="0" w:oddHBand="0" w:evenHBand="0" w:firstRowFirstColumn="0" w:firstRowLastColumn="0" w:lastRowFirstColumn="0" w:lastRowLastColumn="0"/>
            <w:tcW w:w="3402" w:type="dxa"/>
          </w:tcPr>
          <w:p w14:paraId="42120136" w14:textId="77777777" w:rsidR="00D6403A" w:rsidRPr="00D6403A" w:rsidRDefault="00D6403A" w:rsidP="002F2F60">
            <w:pPr>
              <w:pStyle w:val="Tabletext"/>
              <w:jc w:val="left"/>
              <w:rPr>
                <w:lang w:val="en-US"/>
              </w:rPr>
            </w:pPr>
            <w:r w:rsidRPr="00AE4C75">
              <w:t>The number of women (second time mothers and at term with a singleton pregnancy) whose previous birth was a caesarean</w:t>
            </w:r>
            <w:r w:rsidRPr="00D6403A">
              <w:rPr>
                <w:rFonts w:ascii="Cambria" w:hAnsi="Cambria" w:cs="Cambria"/>
                <w:lang w:val="en-US"/>
              </w:rPr>
              <w:t> </w:t>
            </w:r>
            <w:r w:rsidRPr="00D6403A">
              <w:rPr>
                <w:lang w:val="en-US"/>
              </w:rPr>
              <w:t>section</w:t>
            </w:r>
          </w:p>
        </w:tc>
      </w:tr>
      <w:tr w:rsidR="00D6403A" w:rsidRPr="00D6403A" w14:paraId="320FD92F" w14:textId="77777777" w:rsidTr="002F2F60">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7731B23E" w14:textId="77777777" w:rsidR="00D6403A" w:rsidRPr="002F2F60" w:rsidRDefault="00D6403A" w:rsidP="002F2F60">
            <w:pPr>
              <w:pStyle w:val="Tabletext"/>
              <w:jc w:val="left"/>
              <w:rPr>
                <w:b/>
                <w:lang w:val="en-GB"/>
              </w:rPr>
            </w:pPr>
            <w:r w:rsidRPr="002F2F60">
              <w:rPr>
                <w:b/>
                <w:lang w:val="en-GB"/>
              </w:rPr>
              <w:t>Indicator 4b: Rate of women who achieved a planned vaginal birth after a primary caesarean section</w:t>
            </w:r>
          </w:p>
        </w:tc>
        <w:tc>
          <w:tcPr>
            <w:cnfStyle w:val="000001000000" w:firstRow="0" w:lastRow="0" w:firstColumn="0" w:lastColumn="0" w:oddVBand="0" w:evenVBand="1" w:oddHBand="0" w:evenHBand="0" w:firstRowFirstColumn="0" w:firstRowLastColumn="0" w:lastRowFirstColumn="0" w:lastRowLastColumn="0"/>
            <w:tcW w:w="3401" w:type="dxa"/>
          </w:tcPr>
          <w:p w14:paraId="488FE97C" w14:textId="77777777" w:rsidR="00D6403A" w:rsidRPr="00D6403A" w:rsidRDefault="00D6403A" w:rsidP="002F2F60">
            <w:pPr>
              <w:pStyle w:val="Tabletext"/>
              <w:jc w:val="left"/>
              <w:rPr>
                <w:lang w:val="en-US"/>
              </w:rPr>
            </w:pPr>
            <w:r w:rsidRPr="00AE4C75">
              <w:t>The number of women (second time mothers at term with a singleton pregnancy) whose previous birth was a caesarean and who enter labour with a plan for a vaginal birth and who achieve a</w:t>
            </w:r>
            <w:r w:rsidRPr="00D6403A">
              <w:rPr>
                <w:rFonts w:ascii="Cambria" w:hAnsi="Cambria" w:cs="Cambria"/>
                <w:lang w:val="en-US"/>
              </w:rPr>
              <w:t> </w:t>
            </w:r>
            <w:r w:rsidRPr="00AE4C75">
              <w:t>vaginal</w:t>
            </w:r>
            <w:r w:rsidRPr="00D6403A">
              <w:rPr>
                <w:rFonts w:ascii="Cambria" w:hAnsi="Cambria" w:cs="Cambria"/>
                <w:lang w:val="en-US"/>
              </w:rPr>
              <w:t> </w:t>
            </w:r>
            <w:r w:rsidRPr="00D6403A">
              <w:rPr>
                <w:lang w:val="en-US"/>
              </w:rPr>
              <w:t>birth</w:t>
            </w:r>
          </w:p>
        </w:tc>
        <w:tc>
          <w:tcPr>
            <w:cnfStyle w:val="000010000000" w:firstRow="0" w:lastRow="0" w:firstColumn="0" w:lastColumn="0" w:oddVBand="1" w:evenVBand="0" w:oddHBand="0" w:evenHBand="0" w:firstRowFirstColumn="0" w:firstRowLastColumn="0" w:lastRowFirstColumn="0" w:lastRowLastColumn="0"/>
            <w:tcW w:w="3402" w:type="dxa"/>
          </w:tcPr>
          <w:p w14:paraId="53FD28B7" w14:textId="77777777" w:rsidR="00D6403A" w:rsidRPr="00D6403A" w:rsidRDefault="00D6403A" w:rsidP="002F2F60">
            <w:pPr>
              <w:pStyle w:val="Tabletext"/>
              <w:jc w:val="left"/>
              <w:rPr>
                <w:lang w:val="en-US"/>
              </w:rPr>
            </w:pPr>
            <w:r w:rsidRPr="00AE4C75">
              <w:t>The number of women (second time mothers at term with a singleton pregnancy) whose previous birth was a caesarean and who enter labour with a plan for a vaginal</w:t>
            </w:r>
            <w:r w:rsidRPr="00D6403A">
              <w:rPr>
                <w:rFonts w:ascii="Cambria" w:hAnsi="Cambria" w:cs="Cambria"/>
                <w:lang w:val="en-US"/>
              </w:rPr>
              <w:t> </w:t>
            </w:r>
            <w:r w:rsidRPr="00D6403A">
              <w:rPr>
                <w:lang w:val="en-US"/>
              </w:rPr>
              <w:t>birth</w:t>
            </w:r>
          </w:p>
        </w:tc>
      </w:tr>
    </w:tbl>
    <w:p w14:paraId="250BBEB6" w14:textId="77777777" w:rsidR="00D6403A" w:rsidRPr="00D6403A" w:rsidRDefault="00D6403A" w:rsidP="00862996">
      <w:pPr>
        <w:rPr>
          <w:lang w:val="en-GB"/>
        </w:rPr>
      </w:pPr>
    </w:p>
    <w:p w14:paraId="25C291D9" w14:textId="77777777" w:rsidR="002F2F60" w:rsidRDefault="002F2F60" w:rsidP="002F2F60">
      <w:pPr>
        <w:pStyle w:val="Heading2"/>
        <w:rPr>
          <w:lang w:val="en-GB"/>
        </w:rPr>
        <w:sectPr w:rsidR="002F2F60" w:rsidSect="004D6F5F">
          <w:pgSz w:w="11901" w:h="16817" w:code="9"/>
          <w:pgMar w:top="3402" w:right="851" w:bottom="1361" w:left="851" w:header="539" w:footer="624" w:gutter="0"/>
          <w:cols w:space="284"/>
          <w:docGrid w:linePitch="360" w:charSpace="46114"/>
        </w:sectPr>
      </w:pPr>
      <w:bookmarkStart w:id="49" w:name="_Toc159326607"/>
    </w:p>
    <w:p w14:paraId="4EA00F67" w14:textId="33F3A9B7" w:rsidR="00D6403A" w:rsidRPr="00D6403A" w:rsidRDefault="00D6403A" w:rsidP="002F2F60">
      <w:pPr>
        <w:pStyle w:val="Heading1"/>
        <w:framePr w:wrap="around"/>
        <w:rPr>
          <w:lang w:val="en-GB"/>
        </w:rPr>
      </w:pPr>
      <w:r w:rsidRPr="00D6403A">
        <w:rPr>
          <w:lang w:val="en-GB"/>
        </w:rPr>
        <w:lastRenderedPageBreak/>
        <w:t>5: Five-year gestation standardised perinatal mortality ratio</w:t>
      </w:r>
      <w:bookmarkEnd w:id="49"/>
    </w:p>
    <w:p w14:paraId="6D7BC09A" w14:textId="77777777" w:rsidR="00D6403A" w:rsidRPr="00D6403A" w:rsidRDefault="00D6403A" w:rsidP="00D6403A">
      <w:pPr>
        <w:pStyle w:val="IntroductoryText"/>
        <w:rPr>
          <w:lang w:val="en-GB"/>
        </w:rPr>
      </w:pPr>
      <w:r w:rsidRPr="00D6403A">
        <w:rPr>
          <w:lang w:val="en-GB"/>
        </w:rPr>
        <w:t>Gestation standardised perinatal mortality ratio (GSPMR) is a measure of perinatal mortality that compares the observed perinatal mortality rate for babies born at individual hospitals with what would be expected, accounting for the gestation at birth. It is a partially risk-adjusted calculation, enabling hospitals with higher proportions of births at lower gestations (and therefore higher likelihood of perinatal mortality) to be validly compared with hospitals with a different distribution of gestations.</w:t>
      </w:r>
    </w:p>
    <w:p w14:paraId="3F98BA26" w14:textId="77777777" w:rsidR="00D6403A" w:rsidRPr="00D6403A" w:rsidRDefault="00D6403A" w:rsidP="005939CC">
      <w:pPr>
        <w:pStyle w:val="Heading2"/>
        <w:rPr>
          <w:lang w:val="en-GB"/>
        </w:rPr>
      </w:pPr>
      <w:bookmarkStart w:id="50" w:name="_Toc159326608"/>
      <w:r w:rsidRPr="00D6403A">
        <w:rPr>
          <w:lang w:val="en-GB"/>
        </w:rPr>
        <w:t>About this indicator</w:t>
      </w:r>
      <w:bookmarkEnd w:id="50"/>
    </w:p>
    <w:p w14:paraId="612A145A" w14:textId="77777777" w:rsidR="00D6403A" w:rsidRPr="00D6403A" w:rsidRDefault="00D6403A" w:rsidP="00005134">
      <w:pPr>
        <w:rPr>
          <w:lang w:val="en-GB"/>
        </w:rPr>
      </w:pPr>
      <w:r w:rsidRPr="00D6403A">
        <w:rPr>
          <w:lang w:val="en-GB"/>
        </w:rPr>
        <w:t>Perinatal mortality includes stillbirths (death before birth) and deaths in the first 28 days for babies born</w:t>
      </w:r>
      <w:r w:rsidRPr="00D6403A">
        <w:rPr>
          <w:rFonts w:ascii="Cambria" w:hAnsi="Cambria" w:cs="Cambria"/>
          <w:color w:val="000000"/>
          <w:lang w:val="en-GB"/>
        </w:rPr>
        <w:t> </w:t>
      </w:r>
      <w:r w:rsidRPr="00D6403A">
        <w:rPr>
          <w:lang w:val="en-GB"/>
        </w:rPr>
        <w:t>alive.</w:t>
      </w:r>
    </w:p>
    <w:p w14:paraId="265BA4A7" w14:textId="77777777" w:rsidR="00D6403A" w:rsidRPr="00D6403A" w:rsidRDefault="00D6403A" w:rsidP="00862996">
      <w:pPr>
        <w:rPr>
          <w:lang w:val="en-GB"/>
        </w:rPr>
      </w:pPr>
      <w:r w:rsidRPr="00D6403A">
        <w:rPr>
          <w:lang w:val="en-GB"/>
        </w:rPr>
        <w:t>Pooling the data over 5-year periods adds stability to the data and reduces the risk of over-interpretation of chance fluctuations.</w:t>
      </w:r>
    </w:p>
    <w:p w14:paraId="24C859FC" w14:textId="77777777" w:rsidR="00D6403A" w:rsidRPr="00D6403A" w:rsidRDefault="00D6403A" w:rsidP="00862996">
      <w:pPr>
        <w:rPr>
          <w:lang w:val="en-GB"/>
        </w:rPr>
      </w:pPr>
      <w:r w:rsidRPr="00D6403A">
        <w:rPr>
          <w:lang w:val="en-GB"/>
        </w:rPr>
        <w:t>The indicator provides a visual representation of the variation in perinatal mortality occurring across Victorian public and private hospitals compared with the statewide rate.</w:t>
      </w:r>
    </w:p>
    <w:p w14:paraId="3530DEAE" w14:textId="77777777" w:rsidR="00D6403A" w:rsidRPr="00D6403A" w:rsidRDefault="00D6403A" w:rsidP="00D6403A">
      <w:pPr>
        <w:rPr>
          <w:lang w:val="en-GB"/>
        </w:rPr>
      </w:pPr>
      <w:r w:rsidRPr="00D6403A">
        <w:t>The GSPMR of the individual health services are published in this report only if there are 5 or more perinatal deaths (stillbirths and neonatal deaths) in the 5 pooled years (2017–2021). More services are included in the current report because in previous reports only individual health services with at least 5</w:t>
      </w:r>
      <w:r w:rsidRPr="00D6403A">
        <w:rPr>
          <w:rFonts w:ascii="Cambria" w:hAnsi="Cambria" w:cs="Cambria"/>
          <w:lang w:val="en-GB"/>
        </w:rPr>
        <w:t> </w:t>
      </w:r>
      <w:r w:rsidRPr="00D6403A">
        <w:t>perinatal deaths in any one of the 5 included years were published. Only hospitals with at least 10</w:t>
      </w:r>
      <w:r w:rsidRPr="00D6403A">
        <w:rPr>
          <w:rFonts w:ascii="Cambria" w:hAnsi="Cambria" w:cs="Cambria"/>
          <w:lang w:val="en-GB"/>
        </w:rPr>
        <w:t> </w:t>
      </w:r>
      <w:r w:rsidRPr="00D6403A">
        <w:rPr>
          <w:lang w:val="en-GB"/>
        </w:rPr>
        <w:t>babies in the denominator in 2021 are reported.</w:t>
      </w:r>
    </w:p>
    <w:p w14:paraId="2EDB93A7" w14:textId="33E12877" w:rsidR="00D6403A" w:rsidRDefault="00D6403A" w:rsidP="00D6403A">
      <w:r w:rsidRPr="00D6403A">
        <w:rPr>
          <w:lang w:val="en-GB"/>
        </w:rPr>
        <w:t>It is important to note that the GSPMR is adjusted only for the gestation at birth. Many other factors also put babies at higher and lower risk of perinatal death, including the socioeconomic situation of</w:t>
      </w:r>
      <w:r w:rsidRPr="00D6403A">
        <w:rPr>
          <w:rFonts w:ascii="Cambria" w:hAnsi="Cambria" w:cs="Cambria"/>
          <w:lang w:val="en-GB"/>
        </w:rPr>
        <w:t> </w:t>
      </w:r>
      <w:r w:rsidRPr="00D6403A">
        <w:t>the</w:t>
      </w:r>
      <w:r w:rsidRPr="00D6403A">
        <w:rPr>
          <w:rFonts w:ascii="Cambria" w:hAnsi="Cambria" w:cs="Cambria"/>
          <w:lang w:val="en-GB"/>
        </w:rPr>
        <w:t> </w:t>
      </w:r>
      <w:r w:rsidRPr="00D6403A">
        <w:t>woman. This may explain some of these results that are lower than expected.</w:t>
      </w:r>
    </w:p>
    <w:p w14:paraId="5FDA2DB4" w14:textId="41A4E47D" w:rsidR="002F2F60" w:rsidRPr="002F2F60" w:rsidRDefault="002F2F60" w:rsidP="002F2F60">
      <w:pPr>
        <w:spacing w:before="0" w:after="0" w:line="240" w:lineRule="auto"/>
        <w:rPr>
          <w:rFonts w:ascii="Helvetica" w:eastAsia="Times New Roman" w:hAnsi="Helvetica" w:cs="Times New Roman"/>
          <w:color w:val="000000"/>
          <w:sz w:val="18"/>
          <w:szCs w:val="18"/>
          <w:lang w:eastAsia="en-US"/>
        </w:rPr>
      </w:pPr>
      <w:r w:rsidRPr="002F2F60">
        <w:rPr>
          <w:rFonts w:ascii="Helvetica" w:eastAsia="Times New Roman" w:hAnsi="Helvetica" w:cs="Times New Roman"/>
          <w:color w:val="000000"/>
          <w:sz w:val="18"/>
          <w:szCs w:val="18"/>
          <w:lang w:eastAsia="en-US"/>
        </w:rPr>
        <w:t>[Break out box text:</w:t>
      </w:r>
    </w:p>
    <w:p w14:paraId="3E073499" w14:textId="77777777" w:rsidR="002F2F60" w:rsidRPr="00D6403A" w:rsidRDefault="002F2F60" w:rsidP="002F2F60">
      <w:pPr>
        <w:pStyle w:val="Heading3"/>
        <w:rPr>
          <w:lang w:val="en-GB"/>
        </w:rPr>
      </w:pPr>
      <w:r w:rsidRPr="00D6403A">
        <w:rPr>
          <w:lang w:val="en-GB"/>
        </w:rPr>
        <w:t>What pregnant women and families need to know</w:t>
      </w:r>
    </w:p>
    <w:p w14:paraId="3579A56E" w14:textId="77777777" w:rsidR="002F2F60" w:rsidRPr="00D6403A" w:rsidRDefault="002F2F60" w:rsidP="002F2F60">
      <w:pPr>
        <w:rPr>
          <w:lang w:val="en-GB"/>
        </w:rPr>
      </w:pPr>
      <w:r w:rsidRPr="00D6403A">
        <w:rPr>
          <w:lang w:val="en-GB"/>
        </w:rPr>
        <w:t>Counting how many unborn and newborn babies die tells us part of the story about the quality of care for new mothers and babies.</w:t>
      </w:r>
    </w:p>
    <w:p w14:paraId="16CC2A41" w14:textId="77777777" w:rsidR="002F2F60" w:rsidRPr="00D6403A" w:rsidRDefault="002F2F60" w:rsidP="002F2F60">
      <w:pPr>
        <w:rPr>
          <w:lang w:val="en-GB"/>
        </w:rPr>
      </w:pPr>
      <w:r w:rsidRPr="00D6403A">
        <w:rPr>
          <w:lang w:val="en-GB"/>
        </w:rPr>
        <w:t>We know some deaths are unexpected and could not have been prevented. We average the number of deaths over a 5-year period to get a better sense of the overall care that a hospital provides. For this indicator we only look at babies born at or after 32 weeks’ gestation and up until 28 days after birth. Not all these deaths occur within the healthcare system.</w:t>
      </w:r>
    </w:p>
    <w:p w14:paraId="317DC96B" w14:textId="6649C28D" w:rsidR="002F2F60" w:rsidRPr="00D6403A" w:rsidRDefault="002F2F60" w:rsidP="00005134">
      <w:pPr>
        <w:rPr>
          <w:color w:val="000000"/>
          <w:lang w:val="en-GB"/>
        </w:rPr>
      </w:pPr>
      <w:r w:rsidRPr="00D6403A">
        <w:rPr>
          <w:lang w:val="en-GB"/>
        </w:rPr>
        <w:t>There should be very little difference between hospitals.</w:t>
      </w:r>
    </w:p>
    <w:p w14:paraId="289B72D4" w14:textId="77777777" w:rsidR="002F2F60" w:rsidRPr="002F2F60" w:rsidRDefault="002F2F60" w:rsidP="002F2F60">
      <w:pPr>
        <w:spacing w:before="0" w:after="0" w:line="240" w:lineRule="auto"/>
        <w:rPr>
          <w:rFonts w:ascii="Times New Roman" w:eastAsia="Times New Roman" w:hAnsi="Times New Roman" w:cs="Times New Roman"/>
          <w:sz w:val="24"/>
          <w:szCs w:val="24"/>
          <w:lang w:eastAsia="en-US"/>
        </w:rPr>
      </w:pPr>
      <w:r w:rsidRPr="002F2F60">
        <w:rPr>
          <w:rFonts w:ascii="Helvetica" w:eastAsia="Times New Roman" w:hAnsi="Helvetica" w:cs="Times New Roman"/>
          <w:color w:val="000000"/>
          <w:sz w:val="18"/>
          <w:szCs w:val="18"/>
          <w:lang w:eastAsia="en-US"/>
        </w:rPr>
        <w:t>End of break out box text.]</w:t>
      </w:r>
    </w:p>
    <w:p w14:paraId="0789ED6C" w14:textId="77777777" w:rsidR="00A962AF" w:rsidRDefault="00A962AF">
      <w:pPr>
        <w:rPr>
          <w:rFonts w:asciiTheme="majorHAnsi" w:eastAsiaTheme="majorEastAsia" w:hAnsiTheme="majorHAnsi" w:cstheme="majorBidi"/>
          <w:b/>
          <w:bCs/>
          <w:color w:val="000000" w:themeColor="text1"/>
          <w:sz w:val="24"/>
          <w:szCs w:val="22"/>
          <w:lang w:val="en-GB"/>
        </w:rPr>
      </w:pPr>
      <w:r>
        <w:rPr>
          <w:lang w:val="en-GB"/>
        </w:rPr>
        <w:br w:type="page"/>
      </w:r>
    </w:p>
    <w:p w14:paraId="1FA17173" w14:textId="36B98E04" w:rsidR="00D6403A" w:rsidRPr="00D6403A" w:rsidRDefault="00D6403A" w:rsidP="008340E5">
      <w:pPr>
        <w:pStyle w:val="Heading3"/>
        <w:rPr>
          <w:lang w:val="en-GB"/>
        </w:rPr>
      </w:pPr>
      <w:r w:rsidRPr="00D6403A">
        <w:rPr>
          <w:lang w:val="en-GB"/>
        </w:rPr>
        <w:lastRenderedPageBreak/>
        <w:t>How to interpret the ratio</w:t>
      </w:r>
    </w:p>
    <w:p w14:paraId="0F8A0A0B" w14:textId="77777777" w:rsidR="00D6403A" w:rsidRPr="00D6403A" w:rsidRDefault="00D6403A" w:rsidP="00005134">
      <w:pPr>
        <w:rPr>
          <w:lang w:val="en-GB"/>
        </w:rPr>
      </w:pPr>
      <w:r w:rsidRPr="00D6403A">
        <w:rPr>
          <w:lang w:val="en-GB"/>
        </w:rPr>
        <w:t>The statewide ratio (the reference population) is set at ‘1’. A GSPMR of 1 indicates that the observed number of perinatal deaths at that hospital is exactly what would be expected, considering the</w:t>
      </w:r>
      <w:r w:rsidRPr="00D6403A">
        <w:rPr>
          <w:rFonts w:ascii="Cambria" w:hAnsi="Cambria" w:cs="Cambria"/>
          <w:color w:val="000000"/>
          <w:lang w:val="en-GB"/>
        </w:rPr>
        <w:t> </w:t>
      </w:r>
      <w:r w:rsidRPr="00D6403A">
        <w:rPr>
          <w:lang w:val="en-GB"/>
        </w:rPr>
        <w:t>gestation of babies born there.</w:t>
      </w:r>
    </w:p>
    <w:p w14:paraId="3DB0037D" w14:textId="77777777" w:rsidR="00D6403A" w:rsidRPr="00D6403A" w:rsidRDefault="00D6403A" w:rsidP="00862996">
      <w:pPr>
        <w:rPr>
          <w:lang w:val="en-GB"/>
        </w:rPr>
      </w:pPr>
      <w:r w:rsidRPr="00D6403A">
        <w:rPr>
          <w:lang w:val="en-GB"/>
        </w:rPr>
        <w:t>An individual hospital with a ratio of:</w:t>
      </w:r>
    </w:p>
    <w:p w14:paraId="2482B4CB" w14:textId="77777777" w:rsidR="00D6403A" w:rsidRPr="00D6403A" w:rsidRDefault="00D6403A" w:rsidP="002F2F60">
      <w:pPr>
        <w:pStyle w:val="Bullet1"/>
        <w:rPr>
          <w:lang w:val="en-GB"/>
        </w:rPr>
      </w:pPr>
      <w:r w:rsidRPr="0099763F">
        <w:rPr>
          <w:rFonts w:cstheme="minorHAnsi"/>
          <w:b/>
        </w:rPr>
        <w:t>0.5</w:t>
      </w:r>
      <w:r w:rsidRPr="00D6403A">
        <w:rPr>
          <w:lang w:val="en-GB"/>
        </w:rPr>
        <w:t xml:space="preserve"> has a perinatal mortality that is half the statewide rate</w:t>
      </w:r>
    </w:p>
    <w:p w14:paraId="455E962E" w14:textId="77777777" w:rsidR="00D6403A" w:rsidRPr="00D6403A" w:rsidRDefault="00D6403A" w:rsidP="002F2F60">
      <w:pPr>
        <w:pStyle w:val="Bullet1"/>
        <w:rPr>
          <w:lang w:val="en-GB"/>
        </w:rPr>
      </w:pPr>
      <w:r w:rsidRPr="0099763F">
        <w:rPr>
          <w:rFonts w:cstheme="minorHAnsi"/>
          <w:b/>
        </w:rPr>
        <w:t>1</w:t>
      </w:r>
      <w:r w:rsidRPr="00D6403A">
        <w:rPr>
          <w:lang w:val="en-GB"/>
        </w:rPr>
        <w:t xml:space="preserve"> has a perinatal mortality that is equal to the statewide rate</w:t>
      </w:r>
    </w:p>
    <w:p w14:paraId="58B432A9" w14:textId="77777777" w:rsidR="00D6403A" w:rsidRPr="00D6403A" w:rsidRDefault="00D6403A" w:rsidP="002F2F60">
      <w:pPr>
        <w:pStyle w:val="Bullet1"/>
        <w:rPr>
          <w:lang w:val="en-GB"/>
        </w:rPr>
      </w:pPr>
      <w:r w:rsidRPr="0099763F">
        <w:rPr>
          <w:rFonts w:cstheme="minorHAnsi"/>
          <w:b/>
        </w:rPr>
        <w:t>1.5</w:t>
      </w:r>
      <w:r w:rsidRPr="00D6403A">
        <w:rPr>
          <w:lang w:val="en-GB"/>
        </w:rPr>
        <w:t xml:space="preserve"> has a perinatal mortality that is 50% above the statewide rate</w:t>
      </w:r>
    </w:p>
    <w:p w14:paraId="14084FF8" w14:textId="77777777" w:rsidR="00D6403A" w:rsidRPr="00D6403A" w:rsidRDefault="00D6403A" w:rsidP="002F2F60">
      <w:pPr>
        <w:pStyle w:val="Bullet1"/>
        <w:rPr>
          <w:lang w:val="en-GB"/>
        </w:rPr>
      </w:pPr>
      <w:r w:rsidRPr="0099763F">
        <w:rPr>
          <w:rFonts w:cstheme="minorHAnsi"/>
          <w:b/>
        </w:rPr>
        <w:t>2</w:t>
      </w:r>
      <w:r w:rsidRPr="00D6403A">
        <w:rPr>
          <w:lang w:val="en-GB"/>
        </w:rPr>
        <w:t xml:space="preserve"> represents perinatal mortality that is double the statewide rate.</w:t>
      </w:r>
    </w:p>
    <w:p w14:paraId="1DF09704" w14:textId="77777777" w:rsidR="00D6403A" w:rsidRPr="00D6403A" w:rsidRDefault="00D6403A" w:rsidP="00862996">
      <w:pPr>
        <w:rPr>
          <w:lang w:val="en-GB"/>
        </w:rPr>
      </w:pPr>
      <w:r w:rsidRPr="00D6403A">
        <w:rPr>
          <w:lang w:val="en-GB"/>
        </w:rPr>
        <w:t>These rates include only babies who were born at 32 or more weeks’ gestation.</w:t>
      </w:r>
    </w:p>
    <w:p w14:paraId="31DE3797" w14:textId="77777777" w:rsidR="00D6403A" w:rsidRPr="00D6403A" w:rsidRDefault="00D6403A" w:rsidP="00862996">
      <w:pPr>
        <w:rPr>
          <w:lang w:val="en-GB"/>
        </w:rPr>
      </w:pPr>
      <w:r w:rsidRPr="00D6403A">
        <w:rPr>
          <w:lang w:val="en-GB"/>
        </w:rPr>
        <w:t>The statewide rate (1) does not necessarily represent the optimal or clinically appropriate rate for perinatal mortality. A rate greater than 1 indicates more deaths occurred than were expected, and a rate less than 1 indicates fewer deaths occurred than were expected.</w:t>
      </w:r>
    </w:p>
    <w:p w14:paraId="35076C1B" w14:textId="77777777" w:rsidR="00D6403A" w:rsidRPr="00D6403A" w:rsidRDefault="00D6403A" w:rsidP="008340E5">
      <w:pPr>
        <w:pStyle w:val="Heading3"/>
        <w:rPr>
          <w:lang w:val="en-GB"/>
        </w:rPr>
      </w:pPr>
      <w:r w:rsidRPr="00D6403A">
        <w:rPr>
          <w:lang w:val="en-GB"/>
        </w:rPr>
        <w:t>What does the GSPMR tell us?</w:t>
      </w:r>
    </w:p>
    <w:p w14:paraId="78CB0FE3" w14:textId="77777777" w:rsidR="00D6403A" w:rsidRPr="00D6403A" w:rsidRDefault="00D6403A" w:rsidP="00005134">
      <w:pPr>
        <w:pStyle w:val="Bullet1"/>
        <w:rPr>
          <w:lang w:val="en-GB"/>
        </w:rPr>
      </w:pPr>
      <w:r w:rsidRPr="00D6403A">
        <w:rPr>
          <w:lang w:val="en-GB"/>
        </w:rPr>
        <w:t>It shows where there is variation in perinatal mortality rates for hospitals of similar capability or size.</w:t>
      </w:r>
    </w:p>
    <w:p w14:paraId="212D6DA1" w14:textId="77777777" w:rsidR="00D6403A" w:rsidRPr="00D6403A" w:rsidRDefault="00D6403A" w:rsidP="00005134">
      <w:pPr>
        <w:pStyle w:val="Bullet1"/>
        <w:rPr>
          <w:lang w:val="en-GB"/>
        </w:rPr>
      </w:pPr>
      <w:r w:rsidRPr="00D6403A">
        <w:rPr>
          <w:lang w:val="en-GB"/>
        </w:rPr>
        <w:t>It adjusts for gestation, the most important risk factor for perinatal death.</w:t>
      </w:r>
    </w:p>
    <w:p w14:paraId="66D37E32" w14:textId="77777777" w:rsidR="00D6403A" w:rsidRPr="00D6403A" w:rsidRDefault="00D6403A" w:rsidP="008340E5">
      <w:pPr>
        <w:pStyle w:val="Heading3"/>
        <w:rPr>
          <w:lang w:val="en-GB"/>
        </w:rPr>
      </w:pPr>
      <w:r w:rsidRPr="00D6403A">
        <w:rPr>
          <w:lang w:val="en-GB"/>
        </w:rPr>
        <w:t>What can’t the GSPMR tell us?</w:t>
      </w:r>
    </w:p>
    <w:p w14:paraId="5A9D33A8" w14:textId="77777777" w:rsidR="00D6403A" w:rsidRPr="00D6403A" w:rsidRDefault="00D6403A" w:rsidP="00862996">
      <w:pPr>
        <w:rPr>
          <w:lang w:val="en-GB"/>
        </w:rPr>
      </w:pPr>
      <w:r w:rsidRPr="00D6403A">
        <w:rPr>
          <w:lang w:val="en-GB"/>
        </w:rPr>
        <w:t>The GSPMR does not indicate:</w:t>
      </w:r>
    </w:p>
    <w:p w14:paraId="5BD398A9" w14:textId="77777777" w:rsidR="00D6403A" w:rsidRPr="00D6403A" w:rsidRDefault="00D6403A" w:rsidP="00005134">
      <w:pPr>
        <w:pStyle w:val="Bullet1"/>
        <w:rPr>
          <w:lang w:val="en-GB"/>
        </w:rPr>
      </w:pPr>
      <w:r w:rsidRPr="00D6403A">
        <w:rPr>
          <w:lang w:val="en-GB"/>
        </w:rPr>
        <w:t>statewide or individual hospital perinatal mortality rates</w:t>
      </w:r>
    </w:p>
    <w:p w14:paraId="5F94630F" w14:textId="77777777" w:rsidR="00D6403A" w:rsidRPr="00D6403A" w:rsidRDefault="00D6403A" w:rsidP="00005134">
      <w:pPr>
        <w:pStyle w:val="Bullet1"/>
        <w:rPr>
          <w:lang w:val="en-GB"/>
        </w:rPr>
      </w:pPr>
      <w:r w:rsidRPr="00D6403A">
        <w:rPr>
          <w:lang w:val="en-GB"/>
        </w:rPr>
        <w:t>whether the results for a given hospital are improving over the 5-year period</w:t>
      </w:r>
    </w:p>
    <w:p w14:paraId="5AA92438" w14:textId="77777777" w:rsidR="00D6403A" w:rsidRPr="00D6403A" w:rsidRDefault="00D6403A" w:rsidP="00005134">
      <w:pPr>
        <w:pStyle w:val="Bullet1"/>
        <w:rPr>
          <w:lang w:val="en-GB"/>
        </w:rPr>
      </w:pPr>
      <w:r w:rsidRPr="00D6403A">
        <w:rPr>
          <w:lang w:val="en-GB"/>
        </w:rPr>
        <w:t>the reasons for the deaths or how the babies died (a baby may have died before arriving at the birth hospital, while in the hospital or following discharge from hospital – for example, due to sudden unexpected death in infancy, a car accident or injury)</w:t>
      </w:r>
    </w:p>
    <w:p w14:paraId="25DF5628" w14:textId="77777777" w:rsidR="00D6403A" w:rsidRPr="00D6403A" w:rsidRDefault="00D6403A" w:rsidP="00005134">
      <w:pPr>
        <w:pStyle w:val="Bullet1"/>
        <w:rPr>
          <w:lang w:val="en-GB"/>
        </w:rPr>
      </w:pPr>
      <w:r w:rsidRPr="00D6403A">
        <w:rPr>
          <w:lang w:val="en-GB"/>
        </w:rPr>
        <w:t>whether the death could have been avoided</w:t>
      </w:r>
    </w:p>
    <w:p w14:paraId="03F8FFE5" w14:textId="77777777" w:rsidR="00D6403A" w:rsidRPr="00D6403A" w:rsidRDefault="00D6403A" w:rsidP="00005134">
      <w:pPr>
        <w:pStyle w:val="Bullet1"/>
        <w:rPr>
          <w:lang w:val="en-GB"/>
        </w:rPr>
      </w:pPr>
      <w:r w:rsidRPr="00D6403A">
        <w:rPr>
          <w:lang w:val="en-GB"/>
        </w:rPr>
        <w:t>whether the care around the time of death was provided by a different hospital (transfer) or health professional than the birth hospital</w:t>
      </w:r>
    </w:p>
    <w:p w14:paraId="027DB2FC" w14:textId="77777777" w:rsidR="00D6403A" w:rsidRPr="00D6403A" w:rsidRDefault="00D6403A" w:rsidP="00005134">
      <w:pPr>
        <w:pStyle w:val="Bullet1"/>
        <w:rPr>
          <w:lang w:val="en-GB"/>
        </w:rPr>
      </w:pPr>
      <w:r w:rsidRPr="00D6403A">
        <w:rPr>
          <w:lang w:val="en-GB"/>
        </w:rPr>
        <w:t>where the baby died – it only tells us where the baby was born</w:t>
      </w:r>
    </w:p>
    <w:p w14:paraId="2B482944" w14:textId="77777777" w:rsidR="00D6403A" w:rsidRPr="00D6403A" w:rsidRDefault="00D6403A" w:rsidP="00005134">
      <w:pPr>
        <w:pStyle w:val="Bullet1"/>
        <w:rPr>
          <w:lang w:val="en-GB"/>
        </w:rPr>
      </w:pPr>
      <w:r w:rsidRPr="00D6403A">
        <w:rPr>
          <w:lang w:val="en-GB"/>
        </w:rPr>
        <w:t>the safety of a maternity service</w:t>
      </w:r>
    </w:p>
    <w:p w14:paraId="0A63E6A2" w14:textId="77777777" w:rsidR="00D6403A" w:rsidRPr="00D6403A" w:rsidRDefault="00D6403A" w:rsidP="00005134">
      <w:pPr>
        <w:pStyle w:val="Bullet1"/>
        <w:rPr>
          <w:lang w:val="en-GB"/>
        </w:rPr>
      </w:pPr>
      <w:r w:rsidRPr="00D6403A">
        <w:rPr>
          <w:lang w:val="en-GB"/>
        </w:rPr>
        <w:t>the contribution of important risk factors associated with perinatal mortality such as obesity, smoking, pre-existing illness of the mother, low socioeconomic status and ethnicity.</w:t>
      </w:r>
    </w:p>
    <w:p w14:paraId="350E76A3" w14:textId="77777777" w:rsidR="00A962AF" w:rsidRDefault="00A962AF">
      <w:pPr>
        <w:rPr>
          <w:rFonts w:asciiTheme="majorHAnsi" w:eastAsiaTheme="majorEastAsia" w:hAnsiTheme="majorHAnsi" w:cstheme="majorBidi"/>
          <w:b/>
          <w:bCs/>
          <w:color w:val="000000" w:themeColor="text1"/>
          <w:sz w:val="24"/>
          <w:szCs w:val="22"/>
          <w:lang w:val="en-GB"/>
        </w:rPr>
      </w:pPr>
      <w:r>
        <w:rPr>
          <w:lang w:val="en-GB"/>
        </w:rPr>
        <w:br w:type="page"/>
      </w:r>
    </w:p>
    <w:p w14:paraId="76917F51" w14:textId="51B5586F" w:rsidR="00D6403A" w:rsidRPr="00D6403A" w:rsidRDefault="00D6403A" w:rsidP="008340E5">
      <w:pPr>
        <w:pStyle w:val="Heading3"/>
        <w:rPr>
          <w:lang w:val="en-GB"/>
        </w:rPr>
      </w:pPr>
      <w:r w:rsidRPr="00D6403A">
        <w:rPr>
          <w:lang w:val="en-GB"/>
        </w:rPr>
        <w:lastRenderedPageBreak/>
        <w:t xml:space="preserve">How to read these plots </w:t>
      </w:r>
    </w:p>
    <w:p w14:paraId="46CE359F" w14:textId="51660407" w:rsidR="00D6403A" w:rsidRPr="00D6403A" w:rsidRDefault="00D6403A" w:rsidP="00862996">
      <w:pPr>
        <w:rPr>
          <w:lang w:val="en-GB"/>
        </w:rPr>
      </w:pPr>
      <w:r w:rsidRPr="00D6403A">
        <w:rPr>
          <w:lang w:val="en-GB"/>
        </w:rPr>
        <w:t>Each dot on Figure 38 and Figure 39 represents one hospital. The horizontal line on each graph represents a GSPMR where the observed count of deaths is equal to the expected count of deaths (GSMPR = 1).</w:t>
      </w:r>
    </w:p>
    <w:p w14:paraId="6FEBDD84" w14:textId="77777777" w:rsidR="00D6403A" w:rsidRPr="00D6403A" w:rsidRDefault="00D6403A" w:rsidP="00862996">
      <w:pPr>
        <w:rPr>
          <w:lang w:val="en-GB"/>
        </w:rPr>
      </w:pPr>
      <w:r w:rsidRPr="00D6403A">
        <w:rPr>
          <w:lang w:val="en-GB"/>
        </w:rPr>
        <w:t>Hospitals (dots) that are above this line (above 1) have a GSPMR that suggests the observed count of deaths are higher than the expected count of deaths. Hospitals that are below this line have a GSPMR that suggests the observed count of deaths is lower than the expected count. It is desirable to have a GSPMR less than 1; however, due to the nature of this indicator, around half of all hospitals will always have a GSPMR greater than 1 and around half will have a GSPMR less than 1.</w:t>
      </w:r>
    </w:p>
    <w:p w14:paraId="469DF91A" w14:textId="77777777" w:rsidR="00D6403A" w:rsidRPr="00D6403A" w:rsidRDefault="00D6403A" w:rsidP="00862996">
      <w:pPr>
        <w:rPr>
          <w:lang w:val="en-GB"/>
        </w:rPr>
      </w:pPr>
      <w:r w:rsidRPr="00D6403A">
        <w:rPr>
          <w:lang w:val="en-GB"/>
        </w:rPr>
        <w:t>The dashed and solid blue lines in the funnel plot (Figure 39) represent control limits based on one standard deviation (1SD) and 2 standard deviations (2SD) from the solid horizontal line, respectively. Control limits can be used to test how different a hospital’s GSPMR is from 1, taking the size of the hospital into consideration. If a hospital falls outside the 2SD control limits of the plot, its GSPMR is considered to be significantly different from 1. In the above funnel plot, hospitals that fall above the upper 2SD control limit have significantly higher than expected perinatal mortality. Hospitals that fall below the lower 2SD control limit have significantly lower than expected perinatal mortality.</w:t>
      </w:r>
    </w:p>
    <w:p w14:paraId="356A46DE" w14:textId="77777777" w:rsidR="00D6403A" w:rsidRPr="00D6403A" w:rsidRDefault="00D6403A" w:rsidP="00005134">
      <w:pPr>
        <w:rPr>
          <w:lang w:val="en-GB"/>
        </w:rPr>
      </w:pPr>
      <w:r w:rsidRPr="00D6403A">
        <w:rPr>
          <w:lang w:val="en-GB"/>
        </w:rPr>
        <w:t>It is important to note that the GSPMR is adjusted only for the gestation at birth. Many other factors also put babies at higher and lower risk of perinatal death, including the socioeconomic situation of</w:t>
      </w:r>
      <w:r w:rsidRPr="00D6403A">
        <w:rPr>
          <w:rFonts w:ascii="Cambria" w:hAnsi="Cambria" w:cs="Cambria"/>
          <w:color w:val="000000"/>
          <w:lang w:val="en-GB"/>
        </w:rPr>
        <w:t> </w:t>
      </w:r>
      <w:r w:rsidRPr="00D6403A">
        <w:rPr>
          <w:lang w:val="en-GB"/>
        </w:rPr>
        <w:t>the</w:t>
      </w:r>
      <w:r w:rsidRPr="00D6403A">
        <w:rPr>
          <w:rFonts w:ascii="Cambria" w:hAnsi="Cambria" w:cs="Cambria"/>
          <w:color w:val="000000"/>
          <w:lang w:val="en-GB"/>
        </w:rPr>
        <w:t> </w:t>
      </w:r>
      <w:r w:rsidRPr="00D6403A">
        <w:rPr>
          <w:lang w:val="en-GB"/>
        </w:rPr>
        <w:t>woman. This may explain some of these results that are lower than average.</w:t>
      </w:r>
    </w:p>
    <w:p w14:paraId="727F1412" w14:textId="77777777" w:rsidR="00D6403A" w:rsidRPr="00D6403A" w:rsidRDefault="00D6403A" w:rsidP="00870C38">
      <w:pPr>
        <w:pStyle w:val="Tablechartdiagramheading"/>
      </w:pPr>
      <w:r w:rsidRPr="00D6403A">
        <w:lastRenderedPageBreak/>
        <w:t>Figure 38. Five-year gestation standardised perinatal mortality rate, 2017–2021</w:t>
      </w:r>
    </w:p>
    <w:p w14:paraId="1031FB51" w14:textId="585AF74D" w:rsidR="00D6403A" w:rsidRPr="00D6403A" w:rsidRDefault="002F2F60" w:rsidP="00862996">
      <w:pPr>
        <w:rPr>
          <w:lang w:val="en-GB"/>
        </w:rPr>
      </w:pPr>
      <w:r>
        <w:rPr>
          <w:noProof/>
          <w:lang w:val="en-GB"/>
        </w:rPr>
        <w:drawing>
          <wp:inline distT="0" distB="0" distL="0" distR="0" wp14:anchorId="34CE2076" wp14:editId="092CA4EF">
            <wp:extent cx="6451600" cy="4597400"/>
            <wp:effectExtent l="0" t="0" r="0" b="0"/>
            <wp:docPr id="43" name="Picture 43" descr="Chart showing five-year gestatiom standardised perinatal mortality rate, 2017-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_38.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51600" cy="4597400"/>
                    </a:xfrm>
                    <a:prstGeom prst="rect">
                      <a:avLst/>
                    </a:prstGeom>
                  </pic:spPr>
                </pic:pic>
              </a:graphicData>
            </a:graphic>
          </wp:inline>
        </w:drawing>
      </w:r>
    </w:p>
    <w:p w14:paraId="688300CE" w14:textId="77777777" w:rsidR="00D6403A" w:rsidRPr="00D6403A" w:rsidRDefault="00D6403A" w:rsidP="002F2F60">
      <w:pPr>
        <w:pStyle w:val="FootnoteText"/>
        <w:rPr>
          <w:lang w:val="en-GB"/>
        </w:rPr>
      </w:pPr>
      <w:r w:rsidRPr="00D6403A">
        <w:rPr>
          <w:lang w:val="en-GB"/>
        </w:rPr>
        <w:t xml:space="preserve">Only health services with at least 5 deaths during the 5-year reference period are included in this plot. </w:t>
      </w:r>
    </w:p>
    <w:p w14:paraId="04C2C963" w14:textId="77777777" w:rsidR="00D6403A" w:rsidRPr="00D6403A" w:rsidRDefault="00D6403A" w:rsidP="00BE40B9">
      <w:pPr>
        <w:pStyle w:val="FootnoteText"/>
        <w:rPr>
          <w:lang w:val="en-GB"/>
        </w:rPr>
      </w:pPr>
      <w:r w:rsidRPr="00D6403A">
        <w:rPr>
          <w:lang w:val="en-GB"/>
        </w:rPr>
        <w:t>The GSPMRs for individual health services are given in Appendix 3: Overview of results.</w:t>
      </w:r>
    </w:p>
    <w:p w14:paraId="0E788354" w14:textId="77777777" w:rsidR="00D6403A" w:rsidRPr="00D6403A" w:rsidRDefault="00D6403A" w:rsidP="00870C38">
      <w:pPr>
        <w:pStyle w:val="Tablechartdiagramheading"/>
      </w:pPr>
      <w:r w:rsidRPr="00D6403A">
        <w:lastRenderedPageBreak/>
        <w:t>Figure 39. Funnel plot of 5-year GSPMR compared with the statewide public rate 2017–2021</w:t>
      </w:r>
    </w:p>
    <w:p w14:paraId="4052DC32" w14:textId="7ED3A8C6" w:rsidR="00D6403A" w:rsidRPr="00D6403A" w:rsidRDefault="002F2F60" w:rsidP="00862996">
      <w:pPr>
        <w:rPr>
          <w:lang w:val="en-GB"/>
        </w:rPr>
      </w:pPr>
      <w:r>
        <w:rPr>
          <w:noProof/>
          <w:lang w:val="en-GB"/>
        </w:rPr>
        <w:drawing>
          <wp:inline distT="0" distB="0" distL="0" distR="0" wp14:anchorId="18FEBB41" wp14:editId="6DF272D7">
            <wp:extent cx="5981700" cy="3289300"/>
            <wp:effectExtent l="0" t="0" r="0" b="0"/>
            <wp:docPr id="44" name="Picture 44"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_39.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81700" cy="3289300"/>
                    </a:xfrm>
                    <a:prstGeom prst="rect">
                      <a:avLst/>
                    </a:prstGeom>
                  </pic:spPr>
                </pic:pic>
              </a:graphicData>
            </a:graphic>
          </wp:inline>
        </w:drawing>
      </w:r>
    </w:p>
    <w:p w14:paraId="45D64A39" w14:textId="77777777" w:rsidR="00D6403A" w:rsidRPr="00D6403A" w:rsidRDefault="00D6403A" w:rsidP="00F343F5">
      <w:pPr>
        <w:pStyle w:val="FootnoteText"/>
        <w:rPr>
          <w:lang w:val="en-GB"/>
        </w:rPr>
      </w:pPr>
      <w:r w:rsidRPr="00D6403A">
        <w:rPr>
          <w:lang w:val="en-GB"/>
        </w:rPr>
        <w:t xml:space="preserve">Only health services with at least 5 deaths during the 5-year reference period are included in the funnel plot. </w:t>
      </w:r>
    </w:p>
    <w:p w14:paraId="48EA414D" w14:textId="77777777" w:rsidR="00D6403A" w:rsidRPr="00D6403A" w:rsidRDefault="00D6403A" w:rsidP="00BE40B9">
      <w:pPr>
        <w:pStyle w:val="FootnoteText"/>
        <w:rPr>
          <w:lang w:val="en-GB"/>
        </w:rPr>
      </w:pPr>
      <w:r w:rsidRPr="00D6403A">
        <w:rPr>
          <w:lang w:val="en-GB"/>
        </w:rPr>
        <w:t>The GSPMRs for individual health services are given in Appendix 3: Overview of results.</w:t>
      </w:r>
    </w:p>
    <w:p w14:paraId="30F19B7B" w14:textId="77777777" w:rsidR="00C43FF0" w:rsidRDefault="00C43FF0">
      <w:pPr>
        <w:rPr>
          <w:rFonts w:asciiTheme="majorHAnsi" w:eastAsiaTheme="majorEastAsia" w:hAnsiTheme="majorHAnsi" w:cs="Times New Roman (Headings CS)"/>
          <w:b/>
          <w:bCs/>
          <w:color w:val="007586" w:themeColor="text2"/>
          <w:sz w:val="28"/>
          <w:szCs w:val="26"/>
          <w:lang w:val="en-GB"/>
        </w:rPr>
      </w:pPr>
      <w:bookmarkStart w:id="51" w:name="_Toc159326609"/>
      <w:r>
        <w:rPr>
          <w:lang w:val="en-GB"/>
        </w:rPr>
        <w:br w:type="page"/>
      </w:r>
    </w:p>
    <w:p w14:paraId="430E5873" w14:textId="1DF3E700" w:rsidR="00D6403A" w:rsidRPr="00D6403A" w:rsidRDefault="00D6403A" w:rsidP="005939CC">
      <w:pPr>
        <w:pStyle w:val="Heading2"/>
        <w:rPr>
          <w:lang w:val="en-GB"/>
        </w:rPr>
      </w:pPr>
      <w:r w:rsidRPr="00D6403A">
        <w:rPr>
          <w:lang w:val="en-GB"/>
        </w:rPr>
        <w:lastRenderedPageBreak/>
        <w:t>Definition and data source</w:t>
      </w:r>
      <w:bookmarkEnd w:id="51"/>
    </w:p>
    <w:p w14:paraId="18640E25" w14:textId="77777777" w:rsidR="00D6403A" w:rsidRPr="00D6403A" w:rsidRDefault="00D6403A" w:rsidP="008340E5">
      <w:pPr>
        <w:pStyle w:val="Heading3"/>
        <w:rPr>
          <w:lang w:val="en-GB"/>
        </w:rPr>
      </w:pPr>
      <w:r w:rsidRPr="00D6403A">
        <w:rPr>
          <w:lang w:val="en-GB"/>
        </w:rPr>
        <w:t>Definition</w:t>
      </w:r>
    </w:p>
    <w:p w14:paraId="517F572A" w14:textId="77777777" w:rsidR="00D6403A" w:rsidRPr="00D6403A" w:rsidRDefault="00D6403A" w:rsidP="00005134">
      <w:pPr>
        <w:rPr>
          <w:lang w:val="en-GB"/>
        </w:rPr>
      </w:pPr>
      <w:r w:rsidRPr="00D6403A">
        <w:rPr>
          <w:lang w:val="en-GB"/>
        </w:rPr>
        <w:t>The GSPMR is standardised according to the gestational age-specific perinatal mortality rates of the total population in Victorian hospitals. The standardisation does not adjust for inter-hospital transfers, and deaths are ascribed to the birth hospital regardless of the timing of the death in relation to</w:t>
      </w:r>
      <w:r w:rsidRPr="00D6403A">
        <w:rPr>
          <w:rFonts w:ascii="Cambria" w:hAnsi="Cambria" w:cs="Cambria"/>
          <w:color w:val="000000"/>
          <w:lang w:val="en-GB"/>
        </w:rPr>
        <w:t> </w:t>
      </w:r>
      <w:r w:rsidRPr="00D6403A">
        <w:rPr>
          <w:lang w:val="en-GB"/>
        </w:rPr>
        <w:t>the</w:t>
      </w:r>
      <w:r w:rsidRPr="00D6403A">
        <w:rPr>
          <w:rFonts w:ascii="Cambria" w:hAnsi="Cambria" w:cs="Cambria"/>
          <w:color w:val="000000"/>
          <w:lang w:val="en-GB"/>
        </w:rPr>
        <w:t> </w:t>
      </w:r>
      <w:r w:rsidRPr="00D6403A">
        <w:rPr>
          <w:lang w:val="en-GB"/>
        </w:rPr>
        <w:t>transfer.</w:t>
      </w:r>
    </w:p>
    <w:p w14:paraId="1D3FC92A" w14:textId="77777777" w:rsidR="00D6403A" w:rsidRPr="00D6403A" w:rsidRDefault="00D6403A" w:rsidP="00862996">
      <w:pPr>
        <w:rPr>
          <w:lang w:val="en-GB"/>
        </w:rPr>
      </w:pPr>
      <w:r w:rsidRPr="00D6403A">
        <w:rPr>
          <w:lang w:val="en-GB"/>
        </w:rPr>
        <w:t>The data in this report:</w:t>
      </w:r>
    </w:p>
    <w:p w14:paraId="3315211B" w14:textId="77777777" w:rsidR="00D6403A" w:rsidRPr="00D6403A" w:rsidRDefault="00D6403A" w:rsidP="00005134">
      <w:pPr>
        <w:pStyle w:val="Bullet1"/>
        <w:rPr>
          <w:lang w:val="en-GB"/>
        </w:rPr>
      </w:pPr>
      <w:r w:rsidRPr="00D6403A">
        <w:rPr>
          <w:lang w:val="en-GB"/>
        </w:rPr>
        <w:t>is calculated from 5 years of pooled data between 2017 and 2021</w:t>
      </w:r>
    </w:p>
    <w:p w14:paraId="4CA3E246" w14:textId="77777777" w:rsidR="00D6403A" w:rsidRPr="00D6403A" w:rsidRDefault="00D6403A" w:rsidP="00005134">
      <w:pPr>
        <w:pStyle w:val="Bullet1"/>
        <w:rPr>
          <w:lang w:val="en-GB"/>
        </w:rPr>
      </w:pPr>
      <w:r w:rsidRPr="00D6403A">
        <w:rPr>
          <w:lang w:val="en-GB"/>
        </w:rPr>
        <w:t>is standardised using gestational age</w:t>
      </w:r>
    </w:p>
    <w:p w14:paraId="462C6CA0" w14:textId="77777777" w:rsidR="00D6403A" w:rsidRPr="00D6403A" w:rsidRDefault="00D6403A" w:rsidP="00005134">
      <w:pPr>
        <w:pStyle w:val="Bullet1"/>
        <w:rPr>
          <w:lang w:val="en-GB"/>
        </w:rPr>
      </w:pPr>
      <w:r w:rsidRPr="00D6403A">
        <w:rPr>
          <w:lang w:val="en-GB"/>
        </w:rPr>
        <w:t>excludes births earlier than 32 weeks, 0 days</w:t>
      </w:r>
    </w:p>
    <w:p w14:paraId="314FFDC2" w14:textId="77777777" w:rsidR="00D6403A" w:rsidRPr="00D6403A" w:rsidRDefault="00D6403A" w:rsidP="00005134">
      <w:pPr>
        <w:pStyle w:val="Bullet1"/>
        <w:rPr>
          <w:lang w:val="en-GB"/>
        </w:rPr>
      </w:pPr>
      <w:r w:rsidRPr="00D6403A">
        <w:rPr>
          <w:lang w:val="en-GB"/>
        </w:rPr>
        <w:t>excludes birthweights less than 150 grams regardless of gestation</w:t>
      </w:r>
    </w:p>
    <w:p w14:paraId="64C6C7D4" w14:textId="77777777" w:rsidR="00D6403A" w:rsidRPr="00D6403A" w:rsidRDefault="00D6403A" w:rsidP="00005134">
      <w:pPr>
        <w:pStyle w:val="Bullet1"/>
        <w:rPr>
          <w:lang w:val="en-GB"/>
        </w:rPr>
      </w:pPr>
      <w:r w:rsidRPr="00D6403A">
        <w:rPr>
          <w:lang w:val="en-GB"/>
        </w:rPr>
        <w:t>excludes all deaths due to congenital anomalies and all terminations of pregnancy.</w:t>
      </w:r>
    </w:p>
    <w:p w14:paraId="38ECED61" w14:textId="77777777" w:rsidR="00D6403A" w:rsidRPr="00D6403A" w:rsidRDefault="00D6403A" w:rsidP="00862996">
      <w:pPr>
        <w:rPr>
          <w:lang w:val="en-GB"/>
        </w:rPr>
      </w:pPr>
      <w:r w:rsidRPr="00D6403A">
        <w:rPr>
          <w:lang w:val="en-GB"/>
        </w:rPr>
        <w:t>These exclusions provide a more sensitive indicator to reflect the quality of care.</w:t>
      </w:r>
    </w:p>
    <w:p w14:paraId="745B6226" w14:textId="06EA1CAA" w:rsidR="00D6403A" w:rsidRPr="00D6403A" w:rsidRDefault="00D6403A" w:rsidP="00005134">
      <w:pPr>
        <w:rPr>
          <w:lang w:val="en-GB"/>
        </w:rPr>
      </w:pPr>
      <w:r w:rsidRPr="00D6403A">
        <w:rPr>
          <w:lang w:val="en-GB"/>
        </w:rPr>
        <w:t>The GSPMR is presented with data for individual public and private hospitals being shown in relation to the statewide hospital perinatal mortality rate for each week of gestation as the standard or</w:t>
      </w:r>
      <w:r w:rsidRPr="00D6403A">
        <w:rPr>
          <w:rFonts w:ascii="Cambria" w:hAnsi="Cambria" w:cs="Cambria"/>
          <w:color w:val="000000"/>
          <w:lang w:val="en-GB"/>
        </w:rPr>
        <w:t> </w:t>
      </w:r>
      <w:r w:rsidRPr="00D6403A">
        <w:rPr>
          <w:lang w:val="en-GB"/>
        </w:rPr>
        <w:t>reference</w:t>
      </w:r>
      <w:r w:rsidRPr="00D6403A">
        <w:rPr>
          <w:rFonts w:ascii="Cambria" w:hAnsi="Cambria" w:cs="Cambria"/>
          <w:color w:val="000000"/>
          <w:lang w:val="en-GB"/>
        </w:rPr>
        <w:t> </w:t>
      </w:r>
      <w:r w:rsidRPr="00D6403A">
        <w:rPr>
          <w:lang w:val="en-GB"/>
        </w:rPr>
        <w:t>population.</w:t>
      </w:r>
    </w:p>
    <w:p w14:paraId="70D149AE" w14:textId="77777777" w:rsidR="00D6403A" w:rsidRPr="00D6403A" w:rsidRDefault="00D6403A" w:rsidP="008340E5">
      <w:pPr>
        <w:pStyle w:val="Heading3"/>
        <w:rPr>
          <w:lang w:val="en-GB"/>
        </w:rPr>
      </w:pPr>
      <w:r w:rsidRPr="00D6403A">
        <w:rPr>
          <w:lang w:val="en-GB"/>
        </w:rPr>
        <w:t>Data source: Victorian Perinatal Data Collection</w:t>
      </w:r>
    </w:p>
    <w:p w14:paraId="28049E69" w14:textId="77777777" w:rsidR="00D6403A" w:rsidRPr="00D6403A" w:rsidRDefault="00D6403A" w:rsidP="00005134">
      <w:pPr>
        <w:rPr>
          <w:lang w:val="en-GB"/>
        </w:rPr>
      </w:pPr>
      <w:r w:rsidRPr="00D6403A">
        <w:rPr>
          <w:lang w:val="en-GB"/>
        </w:rPr>
        <w:t>Data for this indicator is sourced from the VPDC for the calendar year from 1 January 2017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543DE1E8" w14:textId="77777777" w:rsidR="00D6403A" w:rsidRPr="00D6403A" w:rsidRDefault="00D6403A" w:rsidP="00887B5A">
      <w:pPr>
        <w:pStyle w:val="Tablechartdiagramheading"/>
        <w:rPr>
          <w:lang w:val="en-GB"/>
        </w:rPr>
      </w:pPr>
      <w:r w:rsidRPr="00D6403A">
        <w:rPr>
          <w:lang w:val="en-GB"/>
        </w:rPr>
        <w:t>Observed/expected</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722CA705" w14:textId="77777777" w:rsidTr="002F2F60">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65107139" w14:textId="77777777" w:rsidR="00D6403A" w:rsidRPr="002F2F60" w:rsidRDefault="00D6403A" w:rsidP="002F2F60">
            <w:pPr>
              <w:pStyle w:val="Tableheader"/>
              <w:rPr>
                <w:b/>
              </w:rPr>
            </w:pPr>
            <w:r w:rsidRPr="002F2F60">
              <w:rPr>
                <w: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42D47FC8" w14:textId="77777777" w:rsidR="00D6403A" w:rsidRPr="002F2F60" w:rsidRDefault="00D6403A" w:rsidP="002F2F60">
            <w:pPr>
              <w:pStyle w:val="Tableheader"/>
              <w:rPr>
                <w:b/>
              </w:rPr>
            </w:pPr>
            <w:r w:rsidRPr="002F2F60">
              <w:rPr>
                <w:b/>
              </w:rPr>
              <w:t>Observed</w:t>
            </w:r>
          </w:p>
        </w:tc>
        <w:tc>
          <w:tcPr>
            <w:cnfStyle w:val="000010000000" w:firstRow="0" w:lastRow="0" w:firstColumn="0" w:lastColumn="0" w:oddVBand="1" w:evenVBand="0" w:oddHBand="0" w:evenHBand="0" w:firstRowFirstColumn="0" w:firstRowLastColumn="0" w:lastRowFirstColumn="0" w:lastRowLastColumn="0"/>
            <w:tcW w:w="3402" w:type="dxa"/>
          </w:tcPr>
          <w:p w14:paraId="6D3700F5" w14:textId="77777777" w:rsidR="00D6403A" w:rsidRPr="002F2F60" w:rsidRDefault="00D6403A" w:rsidP="002F2F60">
            <w:pPr>
              <w:pStyle w:val="Tableheader"/>
              <w:rPr>
                <w:b/>
              </w:rPr>
            </w:pPr>
            <w:r w:rsidRPr="002F2F60">
              <w:rPr>
                <w:b/>
              </w:rPr>
              <w:t>Expected</w:t>
            </w:r>
          </w:p>
        </w:tc>
      </w:tr>
      <w:tr w:rsidR="00D6403A" w:rsidRPr="00D6403A" w14:paraId="2789365C" w14:textId="77777777" w:rsidTr="002F2F60">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361059F0" w14:textId="77777777" w:rsidR="00D6403A" w:rsidRPr="002F2F60" w:rsidRDefault="00D6403A" w:rsidP="002F2F60">
            <w:pPr>
              <w:pStyle w:val="Tabletext"/>
              <w:jc w:val="left"/>
              <w:rPr>
                <w:b/>
              </w:rPr>
            </w:pPr>
            <w:r w:rsidRPr="002F2F60">
              <w:rPr>
                <w:b/>
              </w:rPr>
              <w:t>Indicator 5: Perinatal mortality ratio for babies born at 32 or more weeks (gestation standardised, excluding all terminations of pregnancy and deaths due to congenital anomalies) using 5 years’ pooled data in Victorian public and private hospitals (32 weeks or more GSMPR)</w:t>
            </w:r>
          </w:p>
        </w:tc>
        <w:tc>
          <w:tcPr>
            <w:cnfStyle w:val="000001000000" w:firstRow="0" w:lastRow="0" w:firstColumn="0" w:lastColumn="0" w:oddVBand="0" w:evenVBand="1" w:oddHBand="0" w:evenHBand="0" w:firstRowFirstColumn="0" w:firstRowLastColumn="0" w:lastRowFirstColumn="0" w:lastRowLastColumn="0"/>
            <w:tcW w:w="3401" w:type="dxa"/>
          </w:tcPr>
          <w:p w14:paraId="2C570E0D" w14:textId="77777777" w:rsidR="00D6403A" w:rsidRPr="00D6403A" w:rsidRDefault="00D6403A" w:rsidP="002F2F60">
            <w:pPr>
              <w:pStyle w:val="Tabletext"/>
              <w:jc w:val="left"/>
              <w:rPr>
                <w:lang w:val="en-US"/>
              </w:rPr>
            </w:pPr>
            <w:r w:rsidRPr="00AE4C75">
              <w:t>Observed perinatal deaths from 32</w:t>
            </w:r>
            <w:r w:rsidRPr="00D6403A">
              <w:rPr>
                <w:rFonts w:ascii="Cambria" w:hAnsi="Cambria" w:cs="Cambria"/>
                <w:lang w:val="en-US"/>
              </w:rPr>
              <w:t> </w:t>
            </w:r>
            <w:r w:rsidRPr="00D6403A">
              <w:rPr>
                <w:lang w:val="en-US"/>
              </w:rPr>
              <w:t>weeks, 0 days (by weeks’ gestation at birth)</w:t>
            </w:r>
          </w:p>
        </w:tc>
        <w:tc>
          <w:tcPr>
            <w:cnfStyle w:val="000010000000" w:firstRow="0" w:lastRow="0" w:firstColumn="0" w:lastColumn="0" w:oddVBand="1" w:evenVBand="0" w:oddHBand="0" w:evenHBand="0" w:firstRowFirstColumn="0" w:firstRowLastColumn="0" w:lastRowFirstColumn="0" w:lastRowLastColumn="0"/>
            <w:tcW w:w="3402" w:type="dxa"/>
          </w:tcPr>
          <w:p w14:paraId="22C2D59A" w14:textId="77777777" w:rsidR="00D6403A" w:rsidRPr="00D6403A" w:rsidRDefault="00D6403A" w:rsidP="002F2F60">
            <w:pPr>
              <w:pStyle w:val="Tabletext"/>
              <w:jc w:val="left"/>
              <w:rPr>
                <w:lang w:val="en-US"/>
              </w:rPr>
            </w:pPr>
            <w:r w:rsidRPr="00AE4C75">
              <w:t>Expected perinatal deaths from 32</w:t>
            </w:r>
            <w:r w:rsidRPr="00D6403A">
              <w:rPr>
                <w:rFonts w:ascii="Cambria" w:hAnsi="Cambria" w:cs="Cambria"/>
                <w:lang w:val="en-US"/>
              </w:rPr>
              <w:t> </w:t>
            </w:r>
            <w:r w:rsidRPr="00D6403A">
              <w:rPr>
                <w:lang w:val="en-US"/>
              </w:rPr>
              <w:t>weeks, 0 days (by weeks’ gestation at birth)</w:t>
            </w:r>
          </w:p>
        </w:tc>
      </w:tr>
    </w:tbl>
    <w:p w14:paraId="55F730DA" w14:textId="77777777" w:rsidR="00D6403A" w:rsidRPr="00D6403A" w:rsidRDefault="00D6403A" w:rsidP="00862996">
      <w:pPr>
        <w:rPr>
          <w:lang w:val="en-GB"/>
        </w:rPr>
      </w:pPr>
    </w:p>
    <w:p w14:paraId="13404505" w14:textId="77777777" w:rsidR="002F2F60" w:rsidRDefault="002F2F60" w:rsidP="00D6403A">
      <w:pPr>
        <w:suppressAutoHyphens/>
        <w:autoSpaceDE w:val="0"/>
        <w:autoSpaceDN w:val="0"/>
        <w:adjustRightInd w:val="0"/>
        <w:spacing w:before="0" w:after="227" w:line="520" w:lineRule="atLeast"/>
        <w:textAlignment w:val="center"/>
        <w:rPr>
          <w:rStyle w:val="Heading1Char"/>
        </w:rPr>
        <w:sectPr w:rsidR="002F2F60" w:rsidSect="004D6F5F">
          <w:pgSz w:w="11901" w:h="16817" w:code="9"/>
          <w:pgMar w:top="3402" w:right="851" w:bottom="1361" w:left="851" w:header="539" w:footer="624" w:gutter="0"/>
          <w:cols w:space="284"/>
          <w:docGrid w:linePitch="360" w:charSpace="46114"/>
        </w:sectPr>
      </w:pPr>
      <w:bookmarkStart w:id="52" w:name="_Toc159326610"/>
    </w:p>
    <w:p w14:paraId="09E5AB6D" w14:textId="38A0FE15" w:rsidR="00D6403A" w:rsidRPr="002F2F60" w:rsidRDefault="00D6403A" w:rsidP="002F2F60">
      <w:pPr>
        <w:pStyle w:val="Heading1"/>
        <w:framePr w:wrap="around"/>
        <w:rPr>
          <w:rStyle w:val="Heading1Char"/>
          <w:b/>
          <w:bCs/>
        </w:rPr>
      </w:pPr>
      <w:r w:rsidRPr="002F2F60">
        <w:rPr>
          <w:rStyle w:val="Heading1Char"/>
          <w:b/>
          <w:bCs/>
        </w:rPr>
        <w:lastRenderedPageBreak/>
        <w:t>6a and 6b: Readmissions during the</w:t>
      </w:r>
      <w:bookmarkEnd w:id="52"/>
      <w:r w:rsidRPr="002F2F60">
        <w:t> </w:t>
      </w:r>
      <w:r w:rsidRPr="002F2F60">
        <w:rPr>
          <w:rStyle w:val="Heading1Char"/>
          <w:b/>
          <w:bCs/>
        </w:rPr>
        <w:t>postnatal period</w:t>
      </w:r>
    </w:p>
    <w:p w14:paraId="4AEE3D81" w14:textId="77777777" w:rsidR="00D6403A" w:rsidRPr="00D6403A" w:rsidRDefault="00D6403A" w:rsidP="00D6403A">
      <w:pPr>
        <w:pStyle w:val="IntroductoryText"/>
        <w:rPr>
          <w:lang w:val="en-GB"/>
        </w:rPr>
      </w:pPr>
      <w:r w:rsidRPr="00D6403A">
        <w:rPr>
          <w:lang w:val="en-GB"/>
        </w:rPr>
        <w:t>The postnatal period is a period of adjustment to early parenting and recovery that may include establishing breastfeeding. Readmissions to hospital in the postnatal period are usually unplanned and may be avoidable. Reducing avoidable hospital readmissions supports better health outcomes, improves patient safety and leads to greater efficiency in the healthcare system.</w:t>
      </w:r>
    </w:p>
    <w:p w14:paraId="30BA4D97" w14:textId="77777777" w:rsidR="00D6403A" w:rsidRPr="00D6403A" w:rsidRDefault="00D6403A" w:rsidP="00862996">
      <w:pPr>
        <w:rPr>
          <w:lang w:val="en-GB"/>
        </w:rPr>
      </w:pPr>
      <w:r w:rsidRPr="00D6403A">
        <w:rPr>
          <w:lang w:val="en-GB"/>
        </w:rPr>
        <w:t>Higher readmission rates can be associated with discharge practices, the care provided during the days following birth and/or limited support in the community. Ensuring a successful transition from hospital to community-based care (maternal and child health services and general practitioners) is important for the ongoing support of women, babies and families. For most women and babies admitted as public patients, this transition usually occurs after at least one home visit following discharge, by a hospital midwife. This visit should occur between 24 to 48 hours after discharge from the hospital.</w:t>
      </w:r>
    </w:p>
    <w:p w14:paraId="763F5785" w14:textId="77777777" w:rsidR="00D6403A" w:rsidRPr="00D6403A" w:rsidRDefault="00D6403A" w:rsidP="005939CC">
      <w:pPr>
        <w:pStyle w:val="Heading2"/>
        <w:rPr>
          <w:lang w:val="en-GB"/>
        </w:rPr>
      </w:pPr>
      <w:bookmarkStart w:id="53" w:name="_Toc159326611"/>
      <w:r w:rsidRPr="00D6403A">
        <w:rPr>
          <w:lang w:val="en-GB"/>
        </w:rPr>
        <w:t>About this indicator</w:t>
      </w:r>
      <w:bookmarkEnd w:id="53"/>
    </w:p>
    <w:p w14:paraId="770D75F6" w14:textId="77777777" w:rsidR="00D6403A" w:rsidRPr="00D6403A" w:rsidRDefault="00D6403A" w:rsidP="00862996">
      <w:pPr>
        <w:rPr>
          <w:lang w:val="en-GB"/>
        </w:rPr>
      </w:pPr>
      <w:r w:rsidRPr="00D6403A">
        <w:rPr>
          <w:lang w:val="en-GB"/>
        </w:rPr>
        <w:t>These indicators measure the rate of unplanned and potentially preventable postpartum readmissions of women (6a) and newborns (6b) to any hospital within 28 days of discharge from the birth hospital.</w:t>
      </w:r>
    </w:p>
    <w:p w14:paraId="5A7346E4" w14:textId="61435CBF" w:rsidR="00D6403A" w:rsidRDefault="00D6403A" w:rsidP="00862996">
      <w:pPr>
        <w:rPr>
          <w:lang w:val="en-GB"/>
        </w:rPr>
      </w:pPr>
      <w:r w:rsidRPr="00D6403A">
        <w:rPr>
          <w:lang w:val="en-GB"/>
        </w:rPr>
        <w:t>High-quality care means most women and their babies should not return to hospital during the postnatal period. While not all unplanned readmissions are as a result of poor-quality care and not all complications are avoidable, unplanned and potentially preventable hospital stays during this period reflects a deviation from the normal course of postnatal recovery. This results in increased healthcare costs and possible impacts on health and wellbeing for women and their babies.</w:t>
      </w:r>
    </w:p>
    <w:p w14:paraId="7049FACD" w14:textId="52A8DB05" w:rsidR="002F2F60" w:rsidRPr="003F0E09" w:rsidRDefault="003F0E09" w:rsidP="003F0E09">
      <w:pPr>
        <w:spacing w:before="0" w:after="0" w:line="240" w:lineRule="auto"/>
        <w:rPr>
          <w:rFonts w:ascii="Times New Roman" w:eastAsia="Times New Roman" w:hAnsi="Times New Roman" w:cs="Times New Roman"/>
          <w:sz w:val="24"/>
          <w:szCs w:val="24"/>
          <w:lang w:eastAsia="en-US"/>
        </w:rPr>
      </w:pPr>
      <w:r w:rsidRPr="003F0E09">
        <w:rPr>
          <w:rFonts w:ascii="Helvetica" w:eastAsia="Times New Roman" w:hAnsi="Helvetica" w:cs="Times New Roman"/>
          <w:color w:val="000000"/>
          <w:sz w:val="18"/>
          <w:szCs w:val="18"/>
          <w:lang w:eastAsia="en-US"/>
        </w:rPr>
        <w:t>[Break out box text:</w:t>
      </w:r>
    </w:p>
    <w:p w14:paraId="2E9AF3E7" w14:textId="77777777" w:rsidR="003F0E09" w:rsidRPr="00D6403A" w:rsidRDefault="003F0E09" w:rsidP="003F0E09">
      <w:pPr>
        <w:pStyle w:val="Heading3"/>
        <w:rPr>
          <w:lang w:val="en-GB"/>
        </w:rPr>
      </w:pPr>
      <w:r w:rsidRPr="00D6403A">
        <w:rPr>
          <w:lang w:val="en-GB"/>
        </w:rPr>
        <w:t>What pregnant women and families need to know</w:t>
      </w:r>
    </w:p>
    <w:p w14:paraId="098BB2FF" w14:textId="77777777" w:rsidR="003F0E09" w:rsidRPr="00D6403A" w:rsidRDefault="003F0E09" w:rsidP="00005134">
      <w:pPr>
        <w:rPr>
          <w:color w:val="000000"/>
          <w:lang w:val="en-GB"/>
        </w:rPr>
      </w:pPr>
      <w:r w:rsidRPr="00D6403A">
        <w:rPr>
          <w:lang w:val="en-GB"/>
        </w:rPr>
        <w:t>Healthy babies born to healthy mothers generally don’t need to go back to hospital in their first month. Sometimes readmitting the baby or the mother is unavoidable and is the safest thing to do because a condition has developed since discharge. The graphs on the following pages (Figure 40 and Figure 43) show how many mothers and babies needed to go back to hospital within 28 days of birth for each hospital. The rate should be low.</w:t>
      </w:r>
    </w:p>
    <w:p w14:paraId="375E5F23" w14:textId="77777777" w:rsidR="003F0E09" w:rsidRPr="003F0E09" w:rsidRDefault="003F0E09" w:rsidP="003F0E09">
      <w:pPr>
        <w:spacing w:before="0" w:after="0" w:line="240" w:lineRule="auto"/>
        <w:rPr>
          <w:rFonts w:ascii="Times New Roman" w:eastAsia="Times New Roman" w:hAnsi="Times New Roman" w:cs="Times New Roman"/>
          <w:sz w:val="24"/>
          <w:szCs w:val="24"/>
          <w:lang w:eastAsia="en-US"/>
        </w:rPr>
      </w:pPr>
      <w:r w:rsidRPr="003F0E09">
        <w:rPr>
          <w:rFonts w:ascii="Helvetica" w:eastAsia="Times New Roman" w:hAnsi="Helvetica" w:cs="Times New Roman"/>
          <w:color w:val="000000"/>
          <w:sz w:val="18"/>
          <w:szCs w:val="18"/>
          <w:lang w:eastAsia="en-US"/>
        </w:rPr>
        <w:t>End of break out box text.]</w:t>
      </w:r>
    </w:p>
    <w:p w14:paraId="1290F69B" w14:textId="77777777" w:rsidR="00D6403A" w:rsidRPr="00D6403A" w:rsidRDefault="00D6403A" w:rsidP="005939CC">
      <w:pPr>
        <w:pStyle w:val="Heading2"/>
        <w:rPr>
          <w:lang w:val="en-GB"/>
        </w:rPr>
      </w:pPr>
      <w:bookmarkStart w:id="54" w:name="_Toc159326612"/>
      <w:r w:rsidRPr="00D6403A">
        <w:rPr>
          <w:lang w:val="en-GB"/>
        </w:rPr>
        <w:t>Observations on the data</w:t>
      </w:r>
      <w:bookmarkEnd w:id="54"/>
    </w:p>
    <w:p w14:paraId="5E5149D6" w14:textId="77777777" w:rsidR="00D6403A" w:rsidRPr="00D6403A" w:rsidRDefault="00D6403A" w:rsidP="003F0E09">
      <w:pPr>
        <w:rPr>
          <w:lang w:val="en-GB"/>
        </w:rPr>
      </w:pPr>
      <w:r w:rsidRPr="00D6403A">
        <w:rPr>
          <w:spacing w:val="-2"/>
          <w:lang w:val="en-GB"/>
        </w:rPr>
        <w:t xml:space="preserve">In 2021, the statewide rate of unplanned maternal readmissions within 28 days of discharge (Indicator 6a) </w:t>
      </w:r>
      <w:r w:rsidRPr="00D6403A">
        <w:rPr>
          <w:lang w:val="en-GB"/>
        </w:rPr>
        <w:t>was 2.0%, a slight reduction from the previous year’s rate of 2.3% (Figure 40, Figure 41, Figure 42 and</w:t>
      </w:r>
      <w:r w:rsidRPr="00D6403A">
        <w:rPr>
          <w:rFonts w:ascii="Cambria" w:hAnsi="Cambria" w:cs="Cambria"/>
          <w:lang w:val="en-GB"/>
        </w:rPr>
        <w:t> </w:t>
      </w:r>
      <w:r w:rsidRPr="00D6403A">
        <w:rPr>
          <w:lang w:val="en-GB"/>
        </w:rPr>
        <w:t>Table 14).</w:t>
      </w:r>
    </w:p>
    <w:p w14:paraId="6F8A730D" w14:textId="77777777" w:rsidR="00D6403A" w:rsidRPr="00D6403A" w:rsidRDefault="00D6403A" w:rsidP="003F0E09">
      <w:pPr>
        <w:rPr>
          <w:spacing w:val="-2"/>
          <w:lang w:val="en-GB"/>
        </w:rPr>
      </w:pPr>
      <w:r w:rsidRPr="00D6403A">
        <w:rPr>
          <w:spacing w:val="-2"/>
          <w:lang w:val="en-GB"/>
        </w:rPr>
        <w:t>As in previous years, the rate was higher in public hospitals at 2.2% compared with private hospitals at</w:t>
      </w:r>
      <w:r w:rsidRPr="00D6403A">
        <w:rPr>
          <w:rFonts w:ascii="Cambria" w:hAnsi="Cambria" w:cs="Cambria"/>
          <w:spacing w:val="-2"/>
          <w:lang w:val="en-GB"/>
        </w:rPr>
        <w:t> </w:t>
      </w:r>
      <w:r w:rsidRPr="00D6403A">
        <w:rPr>
          <w:spacing w:val="-2"/>
          <w:lang w:val="en-GB"/>
        </w:rPr>
        <w:t>1.3% which may reflect an average longer length of stay in private hospitals during the birth admission.</w:t>
      </w:r>
    </w:p>
    <w:p w14:paraId="2D6CB189" w14:textId="77777777" w:rsidR="00D6403A" w:rsidRPr="00D6403A" w:rsidRDefault="00D6403A" w:rsidP="00D6403A">
      <w:pPr>
        <w:suppressAutoHyphens/>
        <w:autoSpaceDE w:val="0"/>
        <w:autoSpaceDN w:val="0"/>
        <w:adjustRightInd w:val="0"/>
        <w:spacing w:before="0" w:after="159"/>
        <w:textAlignment w:val="center"/>
        <w:rPr>
          <w:lang w:val="en-GB"/>
        </w:rPr>
      </w:pPr>
      <w:r w:rsidRPr="00D6403A">
        <w:rPr>
          <w:lang w:val="en-GB"/>
        </w:rPr>
        <w:t>The public hospital statewide average rate of unplanned newborn readmissions within 28 days of discharge (Indicator 6b) was 4.9%, which has remained steady since 2020 (Figure 43, Figure 44 and Table</w:t>
      </w:r>
      <w:r w:rsidRPr="00D6403A">
        <w:rPr>
          <w:rFonts w:ascii="Cambria" w:hAnsi="Cambria" w:cs="Cambria"/>
          <w:color w:val="000000"/>
          <w:lang w:val="en-GB"/>
        </w:rPr>
        <w:t> </w:t>
      </w:r>
      <w:r w:rsidRPr="00D6403A">
        <w:rPr>
          <w:lang w:val="en-GB"/>
        </w:rPr>
        <w:t>15). The rate of readmissions for newborns has increased since 2017–18 when the rate of unplanned readmissions was 4.1% (Table 15).</w:t>
      </w:r>
    </w:p>
    <w:p w14:paraId="3DE39954" w14:textId="14275CB1" w:rsidR="00D6403A" w:rsidRPr="00D6403A" w:rsidRDefault="00D6403A" w:rsidP="003F0E09">
      <w:pPr>
        <w:rPr>
          <w:lang w:val="en-GB"/>
        </w:rPr>
      </w:pPr>
      <w:r w:rsidRPr="00D6403A">
        <w:rPr>
          <w:lang w:val="en-GB"/>
        </w:rPr>
        <w:lastRenderedPageBreak/>
        <w:t xml:space="preserve">The reduction in length of stay for mothers and babies has been persistent since the end of pandemic restrictions. The rate of unplanned readmissions may be a balance measure for reduction in length of stay. The recently released </w:t>
      </w:r>
      <w:hyperlink r:id="rId83" w:history="1">
        <w:r w:rsidRPr="003F0E09">
          <w:rPr>
            <w:rStyle w:val="Hyperlink"/>
            <w:lang w:val="en-GB"/>
          </w:rPr>
          <w:t>CCOPMM 2023 COVID-19 communique</w:t>
        </w:r>
      </w:hyperlink>
      <w:r w:rsidRPr="00D6403A">
        <w:rPr>
          <w:lang w:val="en-GB"/>
        </w:rPr>
        <w:t xml:space="preserve"> &lt;https://www.safercare.vic.gov.au/sites/default/files/2023-09/Final%20CCOPMM%20COVID%20communique.pdf&gt; notes a reduction in readmission for women with infections and lactation problems but an increase in hypertensive disorders, while noting an increase in readmission for babies with feeding problems.</w:t>
      </w:r>
    </w:p>
    <w:p w14:paraId="5F7E0D12" w14:textId="3FE6852A" w:rsidR="00D6403A" w:rsidRPr="00D6403A" w:rsidRDefault="00D6403A" w:rsidP="003F0E09">
      <w:pPr>
        <w:rPr>
          <w:lang w:val="en-GB"/>
        </w:rPr>
      </w:pPr>
      <w:r w:rsidRPr="00D6403A">
        <w:rPr>
          <w:lang w:val="en-GB"/>
        </w:rPr>
        <w:t>It is worth noting that health services may be reporting readmission differently due to different policies around domiciliary or hospital in the home care.</w:t>
      </w:r>
    </w:p>
    <w:p w14:paraId="01C8586A" w14:textId="77777777" w:rsidR="00D6403A" w:rsidRPr="00D6403A" w:rsidRDefault="00D6403A" w:rsidP="003F0E09">
      <w:pPr>
        <w:pStyle w:val="Heading2"/>
        <w:rPr>
          <w:lang w:val="en-GB"/>
        </w:rPr>
      </w:pPr>
      <w:r w:rsidRPr="00D6403A">
        <w:rPr>
          <w:lang w:val="en-GB"/>
        </w:rPr>
        <w:t>Strategies for improvement</w:t>
      </w:r>
    </w:p>
    <w:p w14:paraId="7DF48B0F" w14:textId="77777777" w:rsidR="00D6403A" w:rsidRPr="00D6403A" w:rsidRDefault="00D6403A" w:rsidP="003F0E09">
      <w:pPr>
        <w:rPr>
          <w:lang w:val="en-GB"/>
        </w:rPr>
      </w:pPr>
      <w:r w:rsidRPr="00D6403A">
        <w:rPr>
          <w:lang w:val="en-GB"/>
        </w:rPr>
        <w:t>Health services should consider:</w:t>
      </w:r>
    </w:p>
    <w:p w14:paraId="2987B344" w14:textId="77777777" w:rsidR="00D6403A" w:rsidRPr="00D6403A" w:rsidRDefault="00D6403A" w:rsidP="003F0E09">
      <w:pPr>
        <w:pStyle w:val="Bullet1"/>
        <w:rPr>
          <w:lang w:val="en-GB"/>
        </w:rPr>
      </w:pPr>
      <w:r w:rsidRPr="00D6403A">
        <w:rPr>
          <w:lang w:val="en-GB"/>
        </w:rPr>
        <w:t>whether the length of stay in hospital following birth is appropriate to the individual needs of women and babies</w:t>
      </w:r>
    </w:p>
    <w:p w14:paraId="55F50900" w14:textId="77777777" w:rsidR="00D6403A" w:rsidRPr="00D6403A" w:rsidRDefault="00D6403A" w:rsidP="003F0E09">
      <w:pPr>
        <w:pStyle w:val="Bullet1"/>
        <w:rPr>
          <w:lang w:val="en-GB"/>
        </w:rPr>
      </w:pPr>
      <w:r w:rsidRPr="00D6403A">
        <w:rPr>
          <w:lang w:val="en-GB"/>
        </w:rPr>
        <w:t>auditing and identifying the groups of women and babies who have higher readmission rates for the</w:t>
      </w:r>
      <w:r w:rsidRPr="00D6403A">
        <w:rPr>
          <w:rFonts w:ascii="Cambria" w:hAnsi="Cambria" w:cs="Cambria"/>
          <w:lang w:val="en-GB"/>
        </w:rPr>
        <w:t> </w:t>
      </w:r>
      <w:r w:rsidRPr="00D6403A">
        <w:rPr>
          <w:lang w:val="en-GB"/>
        </w:rPr>
        <w:t>purpose of implementing improvement initiatives</w:t>
      </w:r>
    </w:p>
    <w:p w14:paraId="346721EA" w14:textId="77777777" w:rsidR="00D6403A" w:rsidRPr="00D6403A" w:rsidRDefault="00D6403A" w:rsidP="003F0E09">
      <w:pPr>
        <w:pStyle w:val="Bullet1"/>
        <w:rPr>
          <w:lang w:val="en-GB"/>
        </w:rPr>
      </w:pPr>
      <w:r w:rsidRPr="00D6403A">
        <w:rPr>
          <w:lang w:val="en-GB"/>
        </w:rPr>
        <w:t>providing individualised (verbal and written) information in the discharge plan and education tools for women and their families at discharge and use an interpreter if needed</w:t>
      </w:r>
    </w:p>
    <w:p w14:paraId="738CCA79" w14:textId="77777777" w:rsidR="00D6403A" w:rsidRPr="00D6403A" w:rsidRDefault="00D6403A" w:rsidP="003F0E09">
      <w:pPr>
        <w:pStyle w:val="Bullet1"/>
        <w:rPr>
          <w:lang w:val="en-GB"/>
        </w:rPr>
      </w:pPr>
      <w:r w:rsidRPr="00D6403A">
        <w:rPr>
          <w:lang w:val="en-GB"/>
        </w:rPr>
        <w:t>the number of home-based domiciliary visits and the extent of care different groups of women can</w:t>
      </w:r>
      <w:r w:rsidRPr="00D6403A">
        <w:rPr>
          <w:rFonts w:ascii="Cambria" w:hAnsi="Cambria" w:cs="Cambria"/>
          <w:lang w:val="en-GB"/>
        </w:rPr>
        <w:t> </w:t>
      </w:r>
      <w:r w:rsidRPr="00D6403A">
        <w:rPr>
          <w:lang w:val="en-GB"/>
        </w:rPr>
        <w:t>expect from hospital midwives</w:t>
      </w:r>
    </w:p>
    <w:p w14:paraId="7B407432" w14:textId="77777777" w:rsidR="00D6403A" w:rsidRPr="00D6403A" w:rsidRDefault="00D6403A" w:rsidP="003F0E09">
      <w:pPr>
        <w:pStyle w:val="Bullet1"/>
        <w:rPr>
          <w:lang w:val="en-GB"/>
        </w:rPr>
      </w:pPr>
      <w:r w:rsidRPr="00D6403A">
        <w:rPr>
          <w:lang w:val="en-GB"/>
        </w:rPr>
        <w:t>an analysis of the reasons for readmission of women and newborns, noting that readmissions are not always a result of poor care and that quick detection of postnatal complications is important and constitutes good care such as jaundice in a newborn or hypertension in a mother (hospitals should take steps to avoid preventable complications such as wound infections post caesarean section)</w:t>
      </w:r>
    </w:p>
    <w:p w14:paraId="72B6A643" w14:textId="77777777" w:rsidR="00D6403A" w:rsidRPr="00D6403A" w:rsidRDefault="00D6403A" w:rsidP="003F0E09">
      <w:pPr>
        <w:pStyle w:val="Bullet1"/>
        <w:rPr>
          <w:lang w:val="en-GB"/>
        </w:rPr>
      </w:pPr>
      <w:r w:rsidRPr="00D6403A">
        <w:rPr>
          <w:lang w:val="en-GB"/>
        </w:rPr>
        <w:t>a review of the effectiveness of postnatal programs, identifying areas of risk to women and babies, those at increased risk of readmission and trialling interventions to prevent readmission</w:t>
      </w:r>
    </w:p>
    <w:p w14:paraId="64153B2B" w14:textId="77777777" w:rsidR="00D6403A" w:rsidRPr="00D6403A" w:rsidRDefault="00D6403A" w:rsidP="003F0E09">
      <w:pPr>
        <w:pStyle w:val="Bullet1"/>
        <w:rPr>
          <w:lang w:val="en-GB"/>
        </w:rPr>
      </w:pPr>
      <w:r w:rsidRPr="00D6403A">
        <w:rPr>
          <w:lang w:val="en-GB"/>
        </w:rPr>
        <w:t>access to local services and pathways across health services to support regional and rural areas</w:t>
      </w:r>
    </w:p>
    <w:p w14:paraId="1D8BD0F1" w14:textId="77777777" w:rsidR="00D6403A" w:rsidRPr="00D6403A" w:rsidRDefault="00D6403A" w:rsidP="003F0E09">
      <w:pPr>
        <w:pStyle w:val="Bullet1"/>
        <w:rPr>
          <w:lang w:val="en-GB"/>
        </w:rPr>
      </w:pPr>
      <w:r w:rsidRPr="00D6403A">
        <w:rPr>
          <w:lang w:val="en-GB"/>
        </w:rPr>
        <w:t>implementing models of care that promote continuity through the antenatal and postnatal period</w:t>
      </w:r>
    </w:p>
    <w:p w14:paraId="17DB6BBE" w14:textId="77777777" w:rsidR="00D6403A" w:rsidRPr="00D6403A" w:rsidRDefault="00D6403A" w:rsidP="00005134">
      <w:pPr>
        <w:pStyle w:val="Bullet1"/>
        <w:rPr>
          <w:lang w:val="en-GB"/>
        </w:rPr>
      </w:pPr>
      <w:r w:rsidRPr="00D6403A">
        <w:rPr>
          <w:lang w:val="en-GB"/>
        </w:rPr>
        <w:t>ensuring transitions of care to community-based services (for example, maternal child health, perinatal mental health and general practitioner care) are timely.</w:t>
      </w:r>
    </w:p>
    <w:p w14:paraId="57C128B8" w14:textId="77777777" w:rsidR="00D6403A" w:rsidRPr="00D6403A" w:rsidRDefault="00D6403A" w:rsidP="00870C38">
      <w:pPr>
        <w:pStyle w:val="Tablechartdiagramheading"/>
      </w:pPr>
      <w:r w:rsidRPr="00D6403A">
        <w:lastRenderedPageBreak/>
        <w:t>Figure 40. Indicator 6a: Rate of maternal readmissions during the postnatal period, 2021–22</w:t>
      </w:r>
    </w:p>
    <w:p w14:paraId="28440CBD" w14:textId="422925A5" w:rsidR="00D6403A" w:rsidRPr="00D6403A" w:rsidRDefault="0045523A" w:rsidP="00862996">
      <w:pPr>
        <w:rPr>
          <w:lang w:val="en-GB"/>
        </w:rPr>
      </w:pPr>
      <w:r>
        <w:rPr>
          <w:noProof/>
          <w:lang w:val="en-GB"/>
        </w:rPr>
        <w:drawing>
          <wp:inline distT="0" distB="0" distL="0" distR="0" wp14:anchorId="3F95FCEA" wp14:editId="1F49D163">
            <wp:extent cx="6476365" cy="7280910"/>
            <wp:effectExtent l="0" t="0" r="635" b="0"/>
            <wp:docPr id="45" name="Picture 45" descr="Bar chart for Indicator 6a.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_40.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476365" cy="7280910"/>
                    </a:xfrm>
                    <a:prstGeom prst="rect">
                      <a:avLst/>
                    </a:prstGeom>
                  </pic:spPr>
                </pic:pic>
              </a:graphicData>
            </a:graphic>
          </wp:inline>
        </w:drawing>
      </w:r>
    </w:p>
    <w:p w14:paraId="55A965BB" w14:textId="77777777" w:rsidR="00D6403A" w:rsidRPr="00D6403A" w:rsidRDefault="00D6403A" w:rsidP="00887B5A">
      <w:pPr>
        <w:pStyle w:val="Tablechartdiagramheading"/>
        <w:rPr>
          <w:lang w:val="en-GB"/>
        </w:rPr>
      </w:pPr>
      <w:r w:rsidRPr="00D6403A">
        <w:rPr>
          <w:lang w:val="en-GB"/>
        </w:rPr>
        <w:lastRenderedPageBreak/>
        <w:t>Figure 41. Funnel plot of maternal readmissions during the postnatal period, 2021–22</w:t>
      </w:r>
    </w:p>
    <w:p w14:paraId="5EB0A42D" w14:textId="25C12F90" w:rsidR="00D6403A" w:rsidRPr="00D6403A" w:rsidRDefault="0045523A" w:rsidP="00862996">
      <w:pPr>
        <w:rPr>
          <w:lang w:val="en-GB"/>
        </w:rPr>
      </w:pPr>
      <w:r>
        <w:rPr>
          <w:noProof/>
          <w:lang w:val="en-GB"/>
        </w:rPr>
        <w:drawing>
          <wp:inline distT="0" distB="0" distL="0" distR="0" wp14:anchorId="7F4A5CE2" wp14:editId="33354FF9">
            <wp:extent cx="6007100" cy="3416300"/>
            <wp:effectExtent l="0" t="0" r="0" b="0"/>
            <wp:docPr id="46" name="Picture 46"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_41.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007100" cy="3416300"/>
                    </a:xfrm>
                    <a:prstGeom prst="rect">
                      <a:avLst/>
                    </a:prstGeom>
                  </pic:spPr>
                </pic:pic>
              </a:graphicData>
            </a:graphic>
          </wp:inline>
        </w:drawing>
      </w:r>
      <w:r w:rsidR="00D6403A" w:rsidRPr="00D6403A">
        <w:rPr>
          <w:lang w:val="en-GB"/>
        </w:rPr>
        <w:t xml:space="preserve"> </w:t>
      </w:r>
    </w:p>
    <w:p w14:paraId="450DDA51"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7C4F8803" w14:textId="77777777" w:rsidR="00D6403A" w:rsidRPr="00D6403A" w:rsidRDefault="00D6403A" w:rsidP="0045523A">
      <w:pPr>
        <w:pStyle w:val="Tablechartdiagramheading"/>
        <w:rPr>
          <w:lang w:val="en-GB"/>
        </w:rPr>
      </w:pPr>
      <w:r w:rsidRPr="00D6403A">
        <w:rPr>
          <w:lang w:val="en-GB"/>
        </w:rPr>
        <w:t>Table 14. Rate of maternal readmissions during the postnatal period, by financial year 2017–18 to</w:t>
      </w:r>
      <w:r w:rsidRPr="00D6403A">
        <w:rPr>
          <w:rFonts w:ascii="Cambria" w:hAnsi="Cambria" w:cs="Cambria"/>
          <w:lang w:val="en-GB"/>
        </w:rPr>
        <w:t> </w:t>
      </w:r>
      <w:r w:rsidRPr="00D6403A">
        <w:rPr>
          <w:lang w:val="en-GB"/>
        </w:rPr>
        <w:t>2021–22</w:t>
      </w:r>
    </w:p>
    <w:tbl>
      <w:tblPr>
        <w:tblStyle w:val="TableGrid"/>
        <w:tblW w:w="10273" w:type="dxa"/>
        <w:tblLayout w:type="fixed"/>
        <w:tblLook w:val="0020" w:firstRow="1" w:lastRow="0" w:firstColumn="0" w:lastColumn="0" w:noHBand="0" w:noVBand="0"/>
      </w:tblPr>
      <w:tblGrid>
        <w:gridCol w:w="2643"/>
        <w:gridCol w:w="1526"/>
        <w:gridCol w:w="1526"/>
        <w:gridCol w:w="1526"/>
        <w:gridCol w:w="1526"/>
        <w:gridCol w:w="1526"/>
      </w:tblGrid>
      <w:tr w:rsidR="00D6403A" w:rsidRPr="00D6403A" w14:paraId="3312B765" w14:textId="77777777" w:rsidTr="0045523A">
        <w:trPr>
          <w:cnfStyle w:val="100000000000" w:firstRow="1" w:lastRow="0" w:firstColumn="0" w:lastColumn="0" w:oddVBand="0" w:evenVBand="0" w:oddHBand="0" w:evenHBand="0" w:firstRowFirstColumn="0" w:firstRowLastColumn="0" w:lastRowFirstColumn="0" w:lastRowLastColumn="0"/>
          <w:trHeight w:val="252"/>
          <w:tblHeader/>
        </w:trPr>
        <w:tc>
          <w:tcPr>
            <w:cnfStyle w:val="000010000000" w:firstRow="0" w:lastRow="0" w:firstColumn="0" w:lastColumn="0" w:oddVBand="1" w:evenVBand="0" w:oddHBand="0" w:evenHBand="0" w:firstRowFirstColumn="0" w:firstRowLastColumn="0" w:lastRowFirstColumn="0" w:lastRowLastColumn="0"/>
            <w:tcW w:w="2643" w:type="dxa"/>
          </w:tcPr>
          <w:p w14:paraId="1221E3FD" w14:textId="77777777" w:rsidR="00D6403A" w:rsidRPr="0045523A" w:rsidRDefault="00D6403A" w:rsidP="0045523A">
            <w:pPr>
              <w:autoSpaceDE w:val="0"/>
              <w:autoSpaceDN w:val="0"/>
              <w:adjustRightInd w:val="0"/>
              <w:spacing w:line="240" w:lineRule="auto"/>
              <w:jc w:val="right"/>
              <w:rPr>
                <w:rFonts w:ascii="VIC" w:hAnsi="VIC"/>
                <w:sz w:val="24"/>
                <w:szCs w:val="24"/>
                <w:lang w:val="en-US"/>
              </w:rPr>
            </w:pPr>
          </w:p>
        </w:tc>
        <w:tc>
          <w:tcPr>
            <w:cnfStyle w:val="000001000000" w:firstRow="0" w:lastRow="0" w:firstColumn="0" w:lastColumn="0" w:oddVBand="0" w:evenVBand="1" w:oddHBand="0" w:evenHBand="0" w:firstRowFirstColumn="0" w:firstRowLastColumn="0" w:lastRowFirstColumn="0" w:lastRowLastColumn="0"/>
            <w:tcW w:w="1526" w:type="dxa"/>
          </w:tcPr>
          <w:p w14:paraId="39340EFE" w14:textId="7383593B" w:rsidR="00D6403A" w:rsidRPr="0045523A" w:rsidRDefault="00D6403A" w:rsidP="0045523A">
            <w:pPr>
              <w:pStyle w:val="Tableheader"/>
              <w:jc w:val="right"/>
              <w:rPr>
                <w:b/>
                <w:lang w:val="en-GB"/>
              </w:rPr>
            </w:pPr>
            <w:r w:rsidRPr="0045523A">
              <w:rPr>
                <w:b/>
                <w:lang w:val="en-GB"/>
              </w:rPr>
              <w:t>2017–18</w:t>
            </w:r>
          </w:p>
        </w:tc>
        <w:tc>
          <w:tcPr>
            <w:cnfStyle w:val="000010000000" w:firstRow="0" w:lastRow="0" w:firstColumn="0" w:lastColumn="0" w:oddVBand="1" w:evenVBand="0" w:oddHBand="0" w:evenHBand="0" w:firstRowFirstColumn="0" w:firstRowLastColumn="0" w:lastRowFirstColumn="0" w:lastRowLastColumn="0"/>
            <w:tcW w:w="1526" w:type="dxa"/>
          </w:tcPr>
          <w:p w14:paraId="1D2FF4F3" w14:textId="11032CF0" w:rsidR="00D6403A" w:rsidRPr="0045523A" w:rsidRDefault="00D6403A" w:rsidP="0045523A">
            <w:pPr>
              <w:pStyle w:val="Tableheader"/>
              <w:jc w:val="right"/>
              <w:rPr>
                <w:b/>
                <w:lang w:val="en-GB"/>
              </w:rPr>
            </w:pPr>
            <w:r w:rsidRPr="0045523A">
              <w:rPr>
                <w:b/>
                <w:lang w:val="en-GB"/>
              </w:rPr>
              <w:t>2018–19</w:t>
            </w:r>
          </w:p>
        </w:tc>
        <w:tc>
          <w:tcPr>
            <w:cnfStyle w:val="000001000000" w:firstRow="0" w:lastRow="0" w:firstColumn="0" w:lastColumn="0" w:oddVBand="0" w:evenVBand="1" w:oddHBand="0" w:evenHBand="0" w:firstRowFirstColumn="0" w:firstRowLastColumn="0" w:lastRowFirstColumn="0" w:lastRowLastColumn="0"/>
            <w:tcW w:w="1526" w:type="dxa"/>
          </w:tcPr>
          <w:p w14:paraId="53D4DD7A" w14:textId="41DFBA72" w:rsidR="00D6403A" w:rsidRPr="0045523A" w:rsidRDefault="00D6403A" w:rsidP="0045523A">
            <w:pPr>
              <w:pStyle w:val="Tableheader"/>
              <w:jc w:val="right"/>
              <w:rPr>
                <w:b/>
                <w:lang w:val="en-GB"/>
              </w:rPr>
            </w:pPr>
            <w:r w:rsidRPr="0045523A">
              <w:rPr>
                <w:b/>
                <w:lang w:val="en-GB"/>
              </w:rPr>
              <w:t>2019–20</w:t>
            </w:r>
          </w:p>
        </w:tc>
        <w:tc>
          <w:tcPr>
            <w:cnfStyle w:val="000010000000" w:firstRow="0" w:lastRow="0" w:firstColumn="0" w:lastColumn="0" w:oddVBand="1" w:evenVBand="0" w:oddHBand="0" w:evenHBand="0" w:firstRowFirstColumn="0" w:firstRowLastColumn="0" w:lastRowFirstColumn="0" w:lastRowLastColumn="0"/>
            <w:tcW w:w="1526" w:type="dxa"/>
          </w:tcPr>
          <w:p w14:paraId="28416AF0" w14:textId="3F00774A" w:rsidR="00D6403A" w:rsidRPr="0045523A" w:rsidRDefault="00D6403A" w:rsidP="0045523A">
            <w:pPr>
              <w:pStyle w:val="Tableheader"/>
              <w:jc w:val="right"/>
              <w:rPr>
                <w:b/>
                <w:lang w:val="en-GB"/>
              </w:rPr>
            </w:pPr>
            <w:r w:rsidRPr="0045523A">
              <w:rPr>
                <w:b/>
                <w:lang w:val="en-GB"/>
              </w:rPr>
              <w:t>2020–21</w:t>
            </w:r>
          </w:p>
        </w:tc>
        <w:tc>
          <w:tcPr>
            <w:cnfStyle w:val="000001000000" w:firstRow="0" w:lastRow="0" w:firstColumn="0" w:lastColumn="0" w:oddVBand="0" w:evenVBand="1" w:oddHBand="0" w:evenHBand="0" w:firstRowFirstColumn="0" w:firstRowLastColumn="0" w:lastRowFirstColumn="0" w:lastRowLastColumn="0"/>
            <w:tcW w:w="1526" w:type="dxa"/>
          </w:tcPr>
          <w:p w14:paraId="70B035F4" w14:textId="0FED1D7D" w:rsidR="00D6403A" w:rsidRPr="0045523A" w:rsidRDefault="00D6403A" w:rsidP="0045523A">
            <w:pPr>
              <w:pStyle w:val="Tableheader"/>
              <w:jc w:val="right"/>
              <w:rPr>
                <w:b/>
                <w:lang w:val="en-GB"/>
              </w:rPr>
            </w:pPr>
            <w:r w:rsidRPr="0045523A">
              <w:rPr>
                <w:b/>
                <w:lang w:val="en-GB"/>
              </w:rPr>
              <w:t>2021–22</w:t>
            </w:r>
          </w:p>
        </w:tc>
      </w:tr>
      <w:tr w:rsidR="00D6403A" w:rsidRPr="00D6403A" w14:paraId="3C979D19" w14:textId="77777777" w:rsidTr="0045523A">
        <w:trPr>
          <w:trHeight w:val="53"/>
        </w:trPr>
        <w:tc>
          <w:tcPr>
            <w:cnfStyle w:val="000010000000" w:firstRow="0" w:lastRow="0" w:firstColumn="0" w:lastColumn="0" w:oddVBand="1" w:evenVBand="0" w:oddHBand="0" w:evenHBand="0" w:firstRowFirstColumn="0" w:firstRowLastColumn="0" w:lastRowFirstColumn="0" w:lastRowLastColumn="0"/>
            <w:tcW w:w="2643" w:type="dxa"/>
          </w:tcPr>
          <w:p w14:paraId="70126AF1" w14:textId="29C513A0" w:rsidR="00D6403A" w:rsidRPr="0045523A" w:rsidRDefault="00D6403A" w:rsidP="0045523A">
            <w:pPr>
              <w:pStyle w:val="Tabletext"/>
              <w:jc w:val="left"/>
              <w:rPr>
                <w:b/>
              </w:rPr>
            </w:pPr>
            <w:r w:rsidRPr="0045523A">
              <w:rPr>
                <w:b/>
              </w:rPr>
              <w:t>Public</w:t>
            </w:r>
          </w:p>
        </w:tc>
        <w:tc>
          <w:tcPr>
            <w:cnfStyle w:val="000001000000" w:firstRow="0" w:lastRow="0" w:firstColumn="0" w:lastColumn="0" w:oddVBand="0" w:evenVBand="1" w:oddHBand="0" w:evenHBand="0" w:firstRowFirstColumn="0" w:firstRowLastColumn="0" w:lastRowFirstColumn="0" w:lastRowLastColumn="0"/>
            <w:tcW w:w="1526" w:type="dxa"/>
          </w:tcPr>
          <w:p w14:paraId="0D9D83CF" w14:textId="77777777" w:rsidR="00D6403A" w:rsidRPr="0045523A" w:rsidRDefault="00D6403A" w:rsidP="0045523A">
            <w:pPr>
              <w:pStyle w:val="Tabletext"/>
            </w:pPr>
            <w:r w:rsidRPr="0045523A">
              <w:t>2.5%</w:t>
            </w:r>
          </w:p>
        </w:tc>
        <w:tc>
          <w:tcPr>
            <w:cnfStyle w:val="000010000000" w:firstRow="0" w:lastRow="0" w:firstColumn="0" w:lastColumn="0" w:oddVBand="1" w:evenVBand="0" w:oddHBand="0" w:evenHBand="0" w:firstRowFirstColumn="0" w:firstRowLastColumn="0" w:lastRowFirstColumn="0" w:lastRowLastColumn="0"/>
            <w:tcW w:w="1526" w:type="dxa"/>
          </w:tcPr>
          <w:p w14:paraId="6ED6512C" w14:textId="77777777" w:rsidR="00D6403A" w:rsidRPr="0045523A" w:rsidRDefault="00D6403A" w:rsidP="0045523A">
            <w:pPr>
              <w:pStyle w:val="Tabletext"/>
            </w:pPr>
            <w:r w:rsidRPr="0045523A">
              <w:t>2.7%</w:t>
            </w:r>
          </w:p>
        </w:tc>
        <w:tc>
          <w:tcPr>
            <w:cnfStyle w:val="000001000000" w:firstRow="0" w:lastRow="0" w:firstColumn="0" w:lastColumn="0" w:oddVBand="0" w:evenVBand="1" w:oddHBand="0" w:evenHBand="0" w:firstRowFirstColumn="0" w:firstRowLastColumn="0" w:lastRowFirstColumn="0" w:lastRowLastColumn="0"/>
            <w:tcW w:w="1526" w:type="dxa"/>
          </w:tcPr>
          <w:p w14:paraId="2EF4EEEF" w14:textId="77777777" w:rsidR="00D6403A" w:rsidRPr="0045523A" w:rsidRDefault="00D6403A" w:rsidP="0045523A">
            <w:pPr>
              <w:pStyle w:val="Tabletext"/>
            </w:pPr>
            <w:r w:rsidRPr="0045523A">
              <w:t>2.4%</w:t>
            </w:r>
          </w:p>
        </w:tc>
        <w:tc>
          <w:tcPr>
            <w:cnfStyle w:val="000010000000" w:firstRow="0" w:lastRow="0" w:firstColumn="0" w:lastColumn="0" w:oddVBand="1" w:evenVBand="0" w:oddHBand="0" w:evenHBand="0" w:firstRowFirstColumn="0" w:firstRowLastColumn="0" w:lastRowFirstColumn="0" w:lastRowLastColumn="0"/>
            <w:tcW w:w="1526" w:type="dxa"/>
          </w:tcPr>
          <w:p w14:paraId="057F1AAC" w14:textId="77777777" w:rsidR="00D6403A" w:rsidRPr="0045523A" w:rsidRDefault="00D6403A" w:rsidP="0045523A">
            <w:pPr>
              <w:pStyle w:val="Tabletext"/>
            </w:pPr>
            <w:r w:rsidRPr="0045523A">
              <w:t>2.5%</w:t>
            </w:r>
          </w:p>
        </w:tc>
        <w:tc>
          <w:tcPr>
            <w:cnfStyle w:val="000001000000" w:firstRow="0" w:lastRow="0" w:firstColumn="0" w:lastColumn="0" w:oddVBand="0" w:evenVBand="1" w:oddHBand="0" w:evenHBand="0" w:firstRowFirstColumn="0" w:firstRowLastColumn="0" w:lastRowFirstColumn="0" w:lastRowLastColumn="0"/>
            <w:tcW w:w="1526" w:type="dxa"/>
            <w:shd w:val="clear" w:color="auto" w:fill="F2F2F2" w:themeFill="background1" w:themeFillShade="F2"/>
          </w:tcPr>
          <w:p w14:paraId="782EF5C6" w14:textId="77777777" w:rsidR="00D6403A" w:rsidRPr="0045523A" w:rsidRDefault="00D6403A" w:rsidP="0045523A">
            <w:pPr>
              <w:pStyle w:val="Tabletext"/>
            </w:pPr>
            <w:r w:rsidRPr="0045523A">
              <w:t>2.2%</w:t>
            </w:r>
          </w:p>
        </w:tc>
      </w:tr>
      <w:tr w:rsidR="00D6403A" w:rsidRPr="00D6403A" w14:paraId="3C58C575" w14:textId="77777777" w:rsidTr="0045523A">
        <w:trPr>
          <w:trHeight w:val="53"/>
        </w:trPr>
        <w:tc>
          <w:tcPr>
            <w:cnfStyle w:val="000010000000" w:firstRow="0" w:lastRow="0" w:firstColumn="0" w:lastColumn="0" w:oddVBand="1" w:evenVBand="0" w:oddHBand="0" w:evenHBand="0" w:firstRowFirstColumn="0" w:firstRowLastColumn="0" w:lastRowFirstColumn="0" w:lastRowLastColumn="0"/>
            <w:tcW w:w="2643" w:type="dxa"/>
          </w:tcPr>
          <w:p w14:paraId="1F729EC7" w14:textId="63D307FE" w:rsidR="00D6403A" w:rsidRPr="0045523A" w:rsidRDefault="00D6403A" w:rsidP="0045523A">
            <w:pPr>
              <w:pStyle w:val="Tabletext"/>
              <w:jc w:val="left"/>
              <w:rPr>
                <w:b/>
              </w:rPr>
            </w:pPr>
            <w:r w:rsidRPr="0045523A">
              <w:rPr>
                <w:b/>
              </w:rPr>
              <w:t>Private</w:t>
            </w:r>
          </w:p>
        </w:tc>
        <w:tc>
          <w:tcPr>
            <w:cnfStyle w:val="000001000000" w:firstRow="0" w:lastRow="0" w:firstColumn="0" w:lastColumn="0" w:oddVBand="0" w:evenVBand="1" w:oddHBand="0" w:evenHBand="0" w:firstRowFirstColumn="0" w:firstRowLastColumn="0" w:lastRowFirstColumn="0" w:lastRowLastColumn="0"/>
            <w:tcW w:w="1526" w:type="dxa"/>
          </w:tcPr>
          <w:p w14:paraId="0B41F1D7" w14:textId="77777777" w:rsidR="00D6403A" w:rsidRPr="0045523A" w:rsidRDefault="00D6403A" w:rsidP="0045523A">
            <w:pPr>
              <w:pStyle w:val="Tabletext"/>
            </w:pPr>
            <w:r w:rsidRPr="0045523A">
              <w:t>2.5%</w:t>
            </w:r>
          </w:p>
        </w:tc>
        <w:tc>
          <w:tcPr>
            <w:cnfStyle w:val="000010000000" w:firstRow="0" w:lastRow="0" w:firstColumn="0" w:lastColumn="0" w:oddVBand="1" w:evenVBand="0" w:oddHBand="0" w:evenHBand="0" w:firstRowFirstColumn="0" w:firstRowLastColumn="0" w:lastRowFirstColumn="0" w:lastRowLastColumn="0"/>
            <w:tcW w:w="1526" w:type="dxa"/>
          </w:tcPr>
          <w:p w14:paraId="7BE78BC2" w14:textId="77777777" w:rsidR="00D6403A" w:rsidRPr="0045523A" w:rsidRDefault="00D6403A" w:rsidP="0045523A">
            <w:pPr>
              <w:pStyle w:val="Tabletext"/>
            </w:pPr>
            <w:r w:rsidRPr="0045523A">
              <w:t>2.0%</w:t>
            </w:r>
          </w:p>
        </w:tc>
        <w:tc>
          <w:tcPr>
            <w:cnfStyle w:val="000001000000" w:firstRow="0" w:lastRow="0" w:firstColumn="0" w:lastColumn="0" w:oddVBand="0" w:evenVBand="1" w:oddHBand="0" w:evenHBand="0" w:firstRowFirstColumn="0" w:firstRowLastColumn="0" w:lastRowFirstColumn="0" w:lastRowLastColumn="0"/>
            <w:tcW w:w="1526" w:type="dxa"/>
          </w:tcPr>
          <w:p w14:paraId="7CE99CB1" w14:textId="77777777" w:rsidR="00D6403A" w:rsidRPr="0045523A" w:rsidRDefault="00D6403A" w:rsidP="0045523A">
            <w:pPr>
              <w:pStyle w:val="Tabletext"/>
            </w:pPr>
            <w:r w:rsidRPr="0045523A">
              <w:t>1.7%</w:t>
            </w:r>
          </w:p>
        </w:tc>
        <w:tc>
          <w:tcPr>
            <w:cnfStyle w:val="000010000000" w:firstRow="0" w:lastRow="0" w:firstColumn="0" w:lastColumn="0" w:oddVBand="1" w:evenVBand="0" w:oddHBand="0" w:evenHBand="0" w:firstRowFirstColumn="0" w:firstRowLastColumn="0" w:lastRowFirstColumn="0" w:lastRowLastColumn="0"/>
            <w:tcW w:w="1526" w:type="dxa"/>
          </w:tcPr>
          <w:p w14:paraId="292D1F06" w14:textId="77777777" w:rsidR="00D6403A" w:rsidRPr="0045523A" w:rsidRDefault="00D6403A" w:rsidP="0045523A">
            <w:pPr>
              <w:pStyle w:val="Tabletext"/>
            </w:pPr>
            <w:r w:rsidRPr="0045523A">
              <w:t>1.7%</w:t>
            </w:r>
          </w:p>
        </w:tc>
        <w:tc>
          <w:tcPr>
            <w:cnfStyle w:val="000001000000" w:firstRow="0" w:lastRow="0" w:firstColumn="0" w:lastColumn="0" w:oddVBand="0" w:evenVBand="1" w:oddHBand="0" w:evenHBand="0" w:firstRowFirstColumn="0" w:firstRowLastColumn="0" w:lastRowFirstColumn="0" w:lastRowLastColumn="0"/>
            <w:tcW w:w="1526" w:type="dxa"/>
            <w:shd w:val="clear" w:color="auto" w:fill="F2F2F2" w:themeFill="background1" w:themeFillShade="F2"/>
          </w:tcPr>
          <w:p w14:paraId="430BF23C" w14:textId="77777777" w:rsidR="00D6403A" w:rsidRPr="0045523A" w:rsidRDefault="00D6403A" w:rsidP="0045523A">
            <w:pPr>
              <w:pStyle w:val="Tabletext"/>
            </w:pPr>
            <w:r w:rsidRPr="0045523A">
              <w:t>1.3%</w:t>
            </w:r>
          </w:p>
        </w:tc>
      </w:tr>
      <w:tr w:rsidR="00D6403A" w:rsidRPr="00D6403A" w14:paraId="1198CFDC" w14:textId="77777777" w:rsidTr="0045523A">
        <w:trPr>
          <w:trHeight w:val="53"/>
        </w:trPr>
        <w:tc>
          <w:tcPr>
            <w:cnfStyle w:val="000010000000" w:firstRow="0" w:lastRow="0" w:firstColumn="0" w:lastColumn="0" w:oddVBand="1" w:evenVBand="0" w:oddHBand="0" w:evenHBand="0" w:firstRowFirstColumn="0" w:firstRowLastColumn="0" w:lastRowFirstColumn="0" w:lastRowLastColumn="0"/>
            <w:tcW w:w="2643" w:type="dxa"/>
          </w:tcPr>
          <w:p w14:paraId="349BF54B" w14:textId="717DE753" w:rsidR="00D6403A" w:rsidRPr="0045523A" w:rsidRDefault="00D6403A" w:rsidP="0045523A">
            <w:pPr>
              <w:pStyle w:val="Tabletext"/>
              <w:jc w:val="left"/>
              <w:rPr>
                <w:b/>
              </w:rPr>
            </w:pPr>
            <w:r w:rsidRPr="0045523A">
              <w:rPr>
                <w:b/>
              </w:rPr>
              <w:t xml:space="preserve">Statewide </w:t>
            </w:r>
          </w:p>
        </w:tc>
        <w:tc>
          <w:tcPr>
            <w:cnfStyle w:val="000001000000" w:firstRow="0" w:lastRow="0" w:firstColumn="0" w:lastColumn="0" w:oddVBand="0" w:evenVBand="1" w:oddHBand="0" w:evenHBand="0" w:firstRowFirstColumn="0" w:firstRowLastColumn="0" w:lastRowFirstColumn="0" w:lastRowLastColumn="0"/>
            <w:tcW w:w="1526" w:type="dxa"/>
          </w:tcPr>
          <w:p w14:paraId="5E1E0547" w14:textId="77777777" w:rsidR="00D6403A" w:rsidRPr="0045523A" w:rsidRDefault="00D6403A" w:rsidP="0045523A">
            <w:pPr>
              <w:pStyle w:val="Tabletext"/>
            </w:pPr>
            <w:r w:rsidRPr="0045523A">
              <w:t>2.5%</w:t>
            </w:r>
          </w:p>
        </w:tc>
        <w:tc>
          <w:tcPr>
            <w:cnfStyle w:val="000010000000" w:firstRow="0" w:lastRow="0" w:firstColumn="0" w:lastColumn="0" w:oddVBand="1" w:evenVBand="0" w:oddHBand="0" w:evenHBand="0" w:firstRowFirstColumn="0" w:firstRowLastColumn="0" w:lastRowFirstColumn="0" w:lastRowLastColumn="0"/>
            <w:tcW w:w="1526" w:type="dxa"/>
          </w:tcPr>
          <w:p w14:paraId="40BD5620" w14:textId="77777777" w:rsidR="00D6403A" w:rsidRPr="0045523A" w:rsidRDefault="00D6403A" w:rsidP="0045523A">
            <w:pPr>
              <w:pStyle w:val="Tabletext"/>
            </w:pPr>
            <w:r w:rsidRPr="0045523A">
              <w:t>2.6%</w:t>
            </w:r>
          </w:p>
        </w:tc>
        <w:tc>
          <w:tcPr>
            <w:cnfStyle w:val="000001000000" w:firstRow="0" w:lastRow="0" w:firstColumn="0" w:lastColumn="0" w:oddVBand="0" w:evenVBand="1" w:oddHBand="0" w:evenHBand="0" w:firstRowFirstColumn="0" w:firstRowLastColumn="0" w:lastRowFirstColumn="0" w:lastRowLastColumn="0"/>
            <w:tcW w:w="1526" w:type="dxa"/>
          </w:tcPr>
          <w:p w14:paraId="3A9DE197" w14:textId="77777777" w:rsidR="00D6403A" w:rsidRPr="0045523A" w:rsidRDefault="00D6403A" w:rsidP="0045523A">
            <w:pPr>
              <w:pStyle w:val="Tabletext"/>
            </w:pPr>
            <w:r w:rsidRPr="0045523A">
              <w:t>2.3%</w:t>
            </w:r>
          </w:p>
        </w:tc>
        <w:tc>
          <w:tcPr>
            <w:cnfStyle w:val="000010000000" w:firstRow="0" w:lastRow="0" w:firstColumn="0" w:lastColumn="0" w:oddVBand="1" w:evenVBand="0" w:oddHBand="0" w:evenHBand="0" w:firstRowFirstColumn="0" w:firstRowLastColumn="0" w:lastRowFirstColumn="0" w:lastRowLastColumn="0"/>
            <w:tcW w:w="1526" w:type="dxa"/>
          </w:tcPr>
          <w:p w14:paraId="55E44122" w14:textId="77777777" w:rsidR="00D6403A" w:rsidRPr="0045523A" w:rsidRDefault="00D6403A" w:rsidP="0045523A">
            <w:pPr>
              <w:pStyle w:val="Tabletext"/>
            </w:pPr>
            <w:r w:rsidRPr="0045523A">
              <w:t>2.3%</w:t>
            </w:r>
          </w:p>
        </w:tc>
        <w:tc>
          <w:tcPr>
            <w:cnfStyle w:val="000001000000" w:firstRow="0" w:lastRow="0" w:firstColumn="0" w:lastColumn="0" w:oddVBand="0" w:evenVBand="1" w:oddHBand="0" w:evenHBand="0" w:firstRowFirstColumn="0" w:firstRowLastColumn="0" w:lastRowFirstColumn="0" w:lastRowLastColumn="0"/>
            <w:tcW w:w="1526" w:type="dxa"/>
            <w:shd w:val="clear" w:color="auto" w:fill="F2F2F2" w:themeFill="background1" w:themeFillShade="F2"/>
          </w:tcPr>
          <w:p w14:paraId="30A3A90B" w14:textId="77777777" w:rsidR="00D6403A" w:rsidRPr="0045523A" w:rsidRDefault="00D6403A" w:rsidP="0045523A">
            <w:pPr>
              <w:pStyle w:val="Tabletext"/>
            </w:pPr>
            <w:r w:rsidRPr="0045523A">
              <w:t>2.0%</w:t>
            </w:r>
          </w:p>
        </w:tc>
      </w:tr>
    </w:tbl>
    <w:p w14:paraId="54786583" w14:textId="77777777" w:rsidR="00D6403A" w:rsidRPr="00D6403A" w:rsidRDefault="00D6403A" w:rsidP="00870C38">
      <w:pPr>
        <w:pStyle w:val="Tablechartdiagramheading"/>
      </w:pPr>
      <w:r w:rsidRPr="00D6403A">
        <w:t>Figure 42. Time trend of Indicator 6a, 2017–2021</w:t>
      </w:r>
    </w:p>
    <w:p w14:paraId="29DB2B02" w14:textId="68497DCF" w:rsidR="00D6403A" w:rsidRPr="00D6403A" w:rsidRDefault="0045523A" w:rsidP="00862996">
      <w:pPr>
        <w:rPr>
          <w:lang w:val="en-GB"/>
        </w:rPr>
      </w:pPr>
      <w:r>
        <w:rPr>
          <w:noProof/>
          <w:lang w:val="en-GB"/>
        </w:rPr>
        <w:drawing>
          <wp:inline distT="0" distB="0" distL="0" distR="0" wp14:anchorId="666C4E41" wp14:editId="086559DE">
            <wp:extent cx="3048000" cy="1295400"/>
            <wp:effectExtent l="0" t="0" r="0" b="0"/>
            <wp:docPr id="47" name="Picture 47" descr="Line chart of Table 14 indicator 6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_42.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048000" cy="1295400"/>
                    </a:xfrm>
                    <a:prstGeom prst="rect">
                      <a:avLst/>
                    </a:prstGeom>
                  </pic:spPr>
                </pic:pic>
              </a:graphicData>
            </a:graphic>
          </wp:inline>
        </w:drawing>
      </w:r>
    </w:p>
    <w:p w14:paraId="580DAC17" w14:textId="77777777" w:rsidR="00D6403A" w:rsidRPr="00D6403A" w:rsidRDefault="00D6403A" w:rsidP="00870C38">
      <w:pPr>
        <w:pStyle w:val="Tablechartdiagramheading"/>
      </w:pPr>
      <w:r w:rsidRPr="00D6403A">
        <w:lastRenderedPageBreak/>
        <w:t>Figure 43. Indicator 6b: Rate of newborn readmissions during the postnatal period, 2021–22</w:t>
      </w:r>
    </w:p>
    <w:p w14:paraId="1F8FC952" w14:textId="6C1CF87C" w:rsidR="00D6403A" w:rsidRPr="00D6403A" w:rsidRDefault="0045523A" w:rsidP="00862996">
      <w:pPr>
        <w:rPr>
          <w:lang w:val="en-GB"/>
        </w:rPr>
      </w:pPr>
      <w:r>
        <w:rPr>
          <w:noProof/>
          <w:lang w:val="en-GB"/>
        </w:rPr>
        <w:drawing>
          <wp:inline distT="0" distB="0" distL="0" distR="0" wp14:anchorId="2E75AF80" wp14:editId="34930CF8">
            <wp:extent cx="6476365" cy="5457825"/>
            <wp:effectExtent l="0" t="0" r="635" b="3175"/>
            <wp:docPr id="48" name="Picture 48" descr="Bar chart for Indicator 6b.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_43.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476365" cy="5457825"/>
                    </a:xfrm>
                    <a:prstGeom prst="rect">
                      <a:avLst/>
                    </a:prstGeom>
                  </pic:spPr>
                </pic:pic>
              </a:graphicData>
            </a:graphic>
          </wp:inline>
        </w:drawing>
      </w:r>
      <w:r w:rsidR="00D6403A" w:rsidRPr="00D6403A">
        <w:rPr>
          <w:lang w:val="en-GB"/>
        </w:rPr>
        <w:t xml:space="preserve"> </w:t>
      </w:r>
    </w:p>
    <w:p w14:paraId="6A2B15E5" w14:textId="77777777" w:rsidR="00D6403A" w:rsidRPr="00D6403A" w:rsidRDefault="00D6403A" w:rsidP="0045523A">
      <w:pPr>
        <w:pStyle w:val="FootnoteText"/>
        <w:rPr>
          <w:lang w:val="en-GB"/>
        </w:rPr>
      </w:pPr>
      <w:r w:rsidRPr="00D6403A">
        <w:rPr>
          <w:lang w:val="en-GB"/>
        </w:rPr>
        <w:t>Note: Reporting of unqualified neonate admissions to the VAED for private hospitals is optional. It is therefore not possible to establish an accurate denominator (that includes public and private hospitals) for this indicator. As such, only public hospitals are</w:t>
      </w:r>
      <w:r w:rsidRPr="00D6403A">
        <w:rPr>
          <w:rFonts w:ascii="Cambria" w:hAnsi="Cambria" w:cs="Cambria"/>
          <w:lang w:val="en-GB"/>
        </w:rPr>
        <w:t> </w:t>
      </w:r>
      <w:r w:rsidRPr="00D6403A">
        <w:rPr>
          <w:lang w:val="en-GB"/>
        </w:rPr>
        <w:t>included in the results.</w:t>
      </w:r>
    </w:p>
    <w:p w14:paraId="11F3DA7F" w14:textId="77777777" w:rsidR="00D6403A" w:rsidRPr="00D6403A" w:rsidRDefault="00D6403A" w:rsidP="0045523A">
      <w:pPr>
        <w:pStyle w:val="FootnoteText"/>
        <w:rPr>
          <w:lang w:val="en-GB"/>
        </w:rPr>
      </w:pPr>
      <w:r w:rsidRPr="00D6403A">
        <w:rPr>
          <w:lang w:val="en-GB"/>
        </w:rPr>
        <w:t>Hospitals presented in this bar chart (Figure 43) are reported by neonatal capability levels.</w:t>
      </w:r>
    </w:p>
    <w:p w14:paraId="70EF7C0D" w14:textId="77777777" w:rsidR="00D6403A" w:rsidRPr="00D6403A" w:rsidRDefault="00D6403A" w:rsidP="00870C38">
      <w:pPr>
        <w:pStyle w:val="Tablechartdiagramheading"/>
      </w:pPr>
      <w:r w:rsidRPr="00D6403A">
        <w:lastRenderedPageBreak/>
        <w:t>Figure 44. Funnel plot of newborn readmissions during the postnatal period, 2021–22</w:t>
      </w:r>
    </w:p>
    <w:p w14:paraId="2E76EEE4" w14:textId="705E632C" w:rsidR="00D6403A" w:rsidRPr="00D6403A" w:rsidRDefault="008F7388" w:rsidP="00862996">
      <w:pPr>
        <w:rPr>
          <w:lang w:val="en-GB"/>
        </w:rPr>
      </w:pPr>
      <w:r>
        <w:rPr>
          <w:noProof/>
          <w:lang w:val="en-GB"/>
        </w:rPr>
        <w:drawing>
          <wp:inline distT="0" distB="0" distL="0" distR="0" wp14:anchorId="700F73E9" wp14:editId="4329C5B8">
            <wp:extent cx="5981700" cy="3416300"/>
            <wp:effectExtent l="0" t="0" r="0" b="0"/>
            <wp:docPr id="49" name="Picture 49"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_44.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81700" cy="3416300"/>
                    </a:xfrm>
                    <a:prstGeom prst="rect">
                      <a:avLst/>
                    </a:prstGeom>
                  </pic:spPr>
                </pic:pic>
              </a:graphicData>
            </a:graphic>
          </wp:inline>
        </w:drawing>
      </w:r>
      <w:r w:rsidR="00D6403A" w:rsidRPr="00D6403A">
        <w:rPr>
          <w:lang w:val="en-GB"/>
        </w:rPr>
        <w:t xml:space="preserve"> </w:t>
      </w:r>
    </w:p>
    <w:p w14:paraId="4245C175"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50710939" w14:textId="77777777" w:rsidR="00D6403A" w:rsidRPr="008F7388" w:rsidRDefault="00D6403A" w:rsidP="008F7388">
      <w:pPr>
        <w:pStyle w:val="Tablechartdiagramheading"/>
      </w:pPr>
      <w:r w:rsidRPr="00D6403A">
        <w:rPr>
          <w:lang w:val="en-GB"/>
        </w:rPr>
        <w:t>Table 15. Rate of newborn readmissions during the postnatal period, by financial year 2017–18 to</w:t>
      </w:r>
      <w:r w:rsidRPr="00D6403A">
        <w:rPr>
          <w:rFonts w:ascii="Cambria" w:hAnsi="Cambria" w:cs="Cambria"/>
          <w:lang w:val="en-GB"/>
        </w:rPr>
        <w:t> </w:t>
      </w:r>
      <w:r w:rsidRPr="00D6403A">
        <w:rPr>
          <w:lang w:val="en-GB"/>
        </w:rPr>
        <w:t>2021–22</w:t>
      </w:r>
    </w:p>
    <w:tbl>
      <w:tblPr>
        <w:tblStyle w:val="TableGrid"/>
        <w:tblW w:w="10292" w:type="dxa"/>
        <w:tblLayout w:type="fixed"/>
        <w:tblLook w:val="0020" w:firstRow="1" w:lastRow="0" w:firstColumn="0" w:lastColumn="0" w:noHBand="0" w:noVBand="0"/>
      </w:tblPr>
      <w:tblGrid>
        <w:gridCol w:w="2647"/>
        <w:gridCol w:w="1529"/>
        <w:gridCol w:w="1529"/>
        <w:gridCol w:w="1529"/>
        <w:gridCol w:w="1529"/>
        <w:gridCol w:w="1529"/>
      </w:tblGrid>
      <w:tr w:rsidR="00D6403A" w:rsidRPr="00D6403A" w14:paraId="1270CEAA" w14:textId="77777777" w:rsidTr="008F7388">
        <w:trPr>
          <w:cnfStyle w:val="100000000000" w:firstRow="1" w:lastRow="0" w:firstColumn="0" w:lastColumn="0" w:oddVBand="0" w:evenVBand="0" w:oddHBand="0" w:evenHBand="0" w:firstRowFirstColumn="0" w:firstRowLastColumn="0" w:lastRowFirstColumn="0" w:lastRowLastColumn="0"/>
          <w:trHeight w:val="221"/>
          <w:tblHeader/>
        </w:trPr>
        <w:tc>
          <w:tcPr>
            <w:cnfStyle w:val="000010000000" w:firstRow="0" w:lastRow="0" w:firstColumn="0" w:lastColumn="0" w:oddVBand="1" w:evenVBand="0" w:oddHBand="0" w:evenHBand="0" w:firstRowFirstColumn="0" w:firstRowLastColumn="0" w:lastRowFirstColumn="0" w:lastRowLastColumn="0"/>
            <w:tcW w:w="2647" w:type="dxa"/>
          </w:tcPr>
          <w:p w14:paraId="1B7BBCBB" w14:textId="77777777" w:rsidR="00D6403A" w:rsidRPr="008F7388" w:rsidRDefault="00D6403A" w:rsidP="008F7388">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1529" w:type="dxa"/>
          </w:tcPr>
          <w:p w14:paraId="7504106C" w14:textId="3A409B59" w:rsidR="00D6403A" w:rsidRPr="008F7388" w:rsidRDefault="00D6403A" w:rsidP="008F7388">
            <w:pPr>
              <w:pStyle w:val="Tableheader"/>
              <w:jc w:val="right"/>
              <w:rPr>
                <w:b/>
                <w:lang w:val="en-GB"/>
              </w:rPr>
            </w:pPr>
            <w:r w:rsidRPr="008F7388">
              <w:rPr>
                <w:b/>
                <w:lang w:val="en-GB"/>
              </w:rPr>
              <w:t>2017–18</w:t>
            </w:r>
          </w:p>
        </w:tc>
        <w:tc>
          <w:tcPr>
            <w:cnfStyle w:val="000010000000" w:firstRow="0" w:lastRow="0" w:firstColumn="0" w:lastColumn="0" w:oddVBand="1" w:evenVBand="0" w:oddHBand="0" w:evenHBand="0" w:firstRowFirstColumn="0" w:firstRowLastColumn="0" w:lastRowFirstColumn="0" w:lastRowLastColumn="0"/>
            <w:tcW w:w="1529" w:type="dxa"/>
          </w:tcPr>
          <w:p w14:paraId="37F6EBCE" w14:textId="45326B06" w:rsidR="00D6403A" w:rsidRPr="008F7388" w:rsidRDefault="00D6403A" w:rsidP="008F7388">
            <w:pPr>
              <w:pStyle w:val="Tableheader"/>
              <w:jc w:val="right"/>
              <w:rPr>
                <w:b/>
                <w:lang w:val="en-GB"/>
              </w:rPr>
            </w:pPr>
            <w:r w:rsidRPr="008F7388">
              <w:rPr>
                <w:b/>
                <w:lang w:val="en-GB"/>
              </w:rPr>
              <w:t>2018–19</w:t>
            </w:r>
          </w:p>
        </w:tc>
        <w:tc>
          <w:tcPr>
            <w:cnfStyle w:val="000001000000" w:firstRow="0" w:lastRow="0" w:firstColumn="0" w:lastColumn="0" w:oddVBand="0" w:evenVBand="1" w:oddHBand="0" w:evenHBand="0" w:firstRowFirstColumn="0" w:firstRowLastColumn="0" w:lastRowFirstColumn="0" w:lastRowLastColumn="0"/>
            <w:tcW w:w="1529" w:type="dxa"/>
          </w:tcPr>
          <w:p w14:paraId="16C11F52" w14:textId="596CFCFD" w:rsidR="00D6403A" w:rsidRPr="008F7388" w:rsidRDefault="00D6403A" w:rsidP="008F7388">
            <w:pPr>
              <w:pStyle w:val="Tableheader"/>
              <w:jc w:val="right"/>
              <w:rPr>
                <w:b/>
                <w:lang w:val="en-GB"/>
              </w:rPr>
            </w:pPr>
            <w:r w:rsidRPr="008F7388">
              <w:rPr>
                <w:b/>
                <w:lang w:val="en-GB"/>
              </w:rPr>
              <w:t>2019–20</w:t>
            </w:r>
          </w:p>
        </w:tc>
        <w:tc>
          <w:tcPr>
            <w:cnfStyle w:val="000010000000" w:firstRow="0" w:lastRow="0" w:firstColumn="0" w:lastColumn="0" w:oddVBand="1" w:evenVBand="0" w:oddHBand="0" w:evenHBand="0" w:firstRowFirstColumn="0" w:firstRowLastColumn="0" w:lastRowFirstColumn="0" w:lastRowLastColumn="0"/>
            <w:tcW w:w="1529" w:type="dxa"/>
          </w:tcPr>
          <w:p w14:paraId="09DB4C55" w14:textId="5F3D9AEA" w:rsidR="00D6403A" w:rsidRPr="008F7388" w:rsidRDefault="00D6403A" w:rsidP="008F7388">
            <w:pPr>
              <w:pStyle w:val="Tableheader"/>
              <w:jc w:val="right"/>
              <w:rPr>
                <w:b/>
                <w:lang w:val="en-GB"/>
              </w:rPr>
            </w:pPr>
            <w:r w:rsidRPr="008F7388">
              <w:rPr>
                <w:b/>
                <w:lang w:val="en-GB"/>
              </w:rPr>
              <w:t>2020–21</w:t>
            </w:r>
          </w:p>
        </w:tc>
        <w:tc>
          <w:tcPr>
            <w:cnfStyle w:val="000001000000" w:firstRow="0" w:lastRow="0" w:firstColumn="0" w:lastColumn="0" w:oddVBand="0" w:evenVBand="1" w:oddHBand="0" w:evenHBand="0" w:firstRowFirstColumn="0" w:firstRowLastColumn="0" w:lastRowFirstColumn="0" w:lastRowLastColumn="0"/>
            <w:tcW w:w="1529" w:type="dxa"/>
          </w:tcPr>
          <w:p w14:paraId="3D0C0D8E" w14:textId="1A2D846A" w:rsidR="00D6403A" w:rsidRPr="008F7388" w:rsidRDefault="00D6403A" w:rsidP="008F7388">
            <w:pPr>
              <w:pStyle w:val="Tableheader"/>
              <w:jc w:val="right"/>
              <w:rPr>
                <w:b/>
                <w:lang w:val="en-GB"/>
              </w:rPr>
            </w:pPr>
            <w:r w:rsidRPr="008F7388">
              <w:rPr>
                <w:b/>
                <w:lang w:val="en-GB"/>
              </w:rPr>
              <w:t>2021–22</w:t>
            </w:r>
          </w:p>
        </w:tc>
      </w:tr>
      <w:tr w:rsidR="00D6403A" w:rsidRPr="00D6403A" w14:paraId="30098234" w14:textId="77777777" w:rsidTr="008F7388">
        <w:trPr>
          <w:trHeight w:val="46"/>
        </w:trPr>
        <w:tc>
          <w:tcPr>
            <w:cnfStyle w:val="000010000000" w:firstRow="0" w:lastRow="0" w:firstColumn="0" w:lastColumn="0" w:oddVBand="1" w:evenVBand="0" w:oddHBand="0" w:evenHBand="0" w:firstRowFirstColumn="0" w:firstRowLastColumn="0" w:lastRowFirstColumn="0" w:lastRowLastColumn="0"/>
            <w:tcW w:w="2647" w:type="dxa"/>
          </w:tcPr>
          <w:p w14:paraId="0CB50D94" w14:textId="53736965" w:rsidR="00D6403A" w:rsidRPr="008F7388" w:rsidRDefault="00D6403A" w:rsidP="008F7388">
            <w:pPr>
              <w:pStyle w:val="Tabletext"/>
              <w:jc w:val="left"/>
              <w:rPr>
                <w:b/>
              </w:rPr>
            </w:pPr>
            <w:r w:rsidRPr="008F7388">
              <w:rPr>
                <w:b/>
              </w:rPr>
              <w:t>Public</w:t>
            </w:r>
          </w:p>
        </w:tc>
        <w:tc>
          <w:tcPr>
            <w:cnfStyle w:val="000001000000" w:firstRow="0" w:lastRow="0" w:firstColumn="0" w:lastColumn="0" w:oddVBand="0" w:evenVBand="1" w:oddHBand="0" w:evenHBand="0" w:firstRowFirstColumn="0" w:firstRowLastColumn="0" w:lastRowFirstColumn="0" w:lastRowLastColumn="0"/>
            <w:tcW w:w="1529" w:type="dxa"/>
          </w:tcPr>
          <w:p w14:paraId="18D694A0" w14:textId="77777777" w:rsidR="00D6403A" w:rsidRPr="008F7388" w:rsidRDefault="00D6403A" w:rsidP="008F7388">
            <w:pPr>
              <w:pStyle w:val="Tabletext"/>
            </w:pPr>
            <w:r w:rsidRPr="008F7388">
              <w:t>4.1%</w:t>
            </w:r>
          </w:p>
        </w:tc>
        <w:tc>
          <w:tcPr>
            <w:cnfStyle w:val="000010000000" w:firstRow="0" w:lastRow="0" w:firstColumn="0" w:lastColumn="0" w:oddVBand="1" w:evenVBand="0" w:oddHBand="0" w:evenHBand="0" w:firstRowFirstColumn="0" w:firstRowLastColumn="0" w:lastRowFirstColumn="0" w:lastRowLastColumn="0"/>
            <w:tcW w:w="1529" w:type="dxa"/>
          </w:tcPr>
          <w:p w14:paraId="7B1077E4" w14:textId="77777777" w:rsidR="00D6403A" w:rsidRPr="008F7388" w:rsidRDefault="00D6403A" w:rsidP="008F7388">
            <w:pPr>
              <w:pStyle w:val="Tabletext"/>
            </w:pPr>
            <w:r w:rsidRPr="008F7388">
              <w:t>4.1%</w:t>
            </w:r>
          </w:p>
        </w:tc>
        <w:tc>
          <w:tcPr>
            <w:cnfStyle w:val="000001000000" w:firstRow="0" w:lastRow="0" w:firstColumn="0" w:lastColumn="0" w:oddVBand="0" w:evenVBand="1" w:oddHBand="0" w:evenHBand="0" w:firstRowFirstColumn="0" w:firstRowLastColumn="0" w:lastRowFirstColumn="0" w:lastRowLastColumn="0"/>
            <w:tcW w:w="1529" w:type="dxa"/>
          </w:tcPr>
          <w:p w14:paraId="41D467C1" w14:textId="77777777" w:rsidR="00D6403A" w:rsidRPr="008F7388" w:rsidRDefault="00D6403A" w:rsidP="008F7388">
            <w:pPr>
              <w:pStyle w:val="Tabletext"/>
            </w:pPr>
            <w:r w:rsidRPr="008F7388">
              <w:t>4.1%</w:t>
            </w:r>
          </w:p>
        </w:tc>
        <w:tc>
          <w:tcPr>
            <w:cnfStyle w:val="000010000000" w:firstRow="0" w:lastRow="0" w:firstColumn="0" w:lastColumn="0" w:oddVBand="1" w:evenVBand="0" w:oddHBand="0" w:evenHBand="0" w:firstRowFirstColumn="0" w:firstRowLastColumn="0" w:lastRowFirstColumn="0" w:lastRowLastColumn="0"/>
            <w:tcW w:w="1529" w:type="dxa"/>
          </w:tcPr>
          <w:p w14:paraId="0C9D2FC2" w14:textId="77777777" w:rsidR="00D6403A" w:rsidRPr="008F7388" w:rsidRDefault="00D6403A" w:rsidP="008F7388">
            <w:pPr>
              <w:pStyle w:val="Tabletext"/>
            </w:pPr>
            <w:r w:rsidRPr="008F7388">
              <w:t>4.9%</w:t>
            </w:r>
          </w:p>
        </w:tc>
        <w:tc>
          <w:tcPr>
            <w:cnfStyle w:val="000001000000" w:firstRow="0" w:lastRow="0" w:firstColumn="0" w:lastColumn="0" w:oddVBand="0" w:evenVBand="1" w:oddHBand="0" w:evenHBand="0" w:firstRowFirstColumn="0" w:firstRowLastColumn="0" w:lastRowFirstColumn="0" w:lastRowLastColumn="0"/>
            <w:tcW w:w="1529" w:type="dxa"/>
            <w:shd w:val="clear" w:color="auto" w:fill="F2F2F2" w:themeFill="background1" w:themeFillShade="F2"/>
          </w:tcPr>
          <w:p w14:paraId="053DD463" w14:textId="77777777" w:rsidR="00D6403A" w:rsidRPr="008F7388" w:rsidRDefault="00D6403A" w:rsidP="008F7388">
            <w:pPr>
              <w:pStyle w:val="Tabletext"/>
            </w:pPr>
            <w:r w:rsidRPr="008F7388">
              <w:t>4.9%</w:t>
            </w:r>
          </w:p>
        </w:tc>
      </w:tr>
    </w:tbl>
    <w:p w14:paraId="2E494878" w14:textId="77777777" w:rsidR="00D6403A" w:rsidRPr="00D6403A" w:rsidRDefault="00D6403A" w:rsidP="00870C38">
      <w:pPr>
        <w:pStyle w:val="Tablechartdiagramheading"/>
      </w:pPr>
      <w:r w:rsidRPr="00D6403A">
        <w:t>Figure 45. Time trend of Indicator 6b, 2017–2021</w:t>
      </w:r>
    </w:p>
    <w:p w14:paraId="4C6DED79" w14:textId="6A38D428" w:rsidR="00D6403A" w:rsidRPr="00D6403A" w:rsidRDefault="008F7388" w:rsidP="00862996">
      <w:pPr>
        <w:rPr>
          <w:lang w:val="en-GB"/>
        </w:rPr>
      </w:pPr>
      <w:r>
        <w:rPr>
          <w:noProof/>
          <w:lang w:val="en-GB"/>
        </w:rPr>
        <w:drawing>
          <wp:inline distT="0" distB="0" distL="0" distR="0" wp14:anchorId="212FE4C4" wp14:editId="7A2D9E95">
            <wp:extent cx="3048000" cy="1295400"/>
            <wp:effectExtent l="0" t="0" r="0" b="0"/>
            <wp:docPr id="50" name="Picture 50" descr="Line chart of Table 15 indicator 6b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_45.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48000" cy="1295400"/>
                    </a:xfrm>
                    <a:prstGeom prst="rect">
                      <a:avLst/>
                    </a:prstGeom>
                  </pic:spPr>
                </pic:pic>
              </a:graphicData>
            </a:graphic>
          </wp:inline>
        </w:drawing>
      </w:r>
    </w:p>
    <w:p w14:paraId="0C866152" w14:textId="77777777" w:rsidR="00D6403A" w:rsidRPr="00D6403A" w:rsidRDefault="00D6403A" w:rsidP="005939CC">
      <w:pPr>
        <w:pStyle w:val="Heading2"/>
        <w:rPr>
          <w:lang w:val="en-GB"/>
        </w:rPr>
      </w:pPr>
      <w:bookmarkStart w:id="55" w:name="_Toc159326613"/>
      <w:r w:rsidRPr="00D6403A">
        <w:rPr>
          <w:lang w:val="en-GB"/>
        </w:rPr>
        <w:lastRenderedPageBreak/>
        <w:t>Definitions and data sources</w:t>
      </w:r>
      <w:bookmarkEnd w:id="55"/>
    </w:p>
    <w:p w14:paraId="1A502B95" w14:textId="098F810A" w:rsidR="00D6403A" w:rsidRPr="00D6403A" w:rsidRDefault="00D6403A" w:rsidP="008340E5">
      <w:pPr>
        <w:pStyle w:val="Heading3"/>
        <w:rPr>
          <w:lang w:val="en-GB"/>
        </w:rPr>
      </w:pPr>
      <w:r w:rsidRPr="00D6403A">
        <w:rPr>
          <w:lang w:val="en-GB"/>
        </w:rPr>
        <w:t>Definition: Indicator 6a</w:t>
      </w:r>
    </w:p>
    <w:p w14:paraId="10A4ADBA" w14:textId="77777777" w:rsidR="00D6403A" w:rsidRPr="00D6403A" w:rsidRDefault="00D6403A" w:rsidP="00862996">
      <w:pPr>
        <w:rPr>
          <w:lang w:val="en-GB"/>
        </w:rPr>
      </w:pPr>
      <w:r w:rsidRPr="00D6403A">
        <w:rPr>
          <w:lang w:val="en-GB"/>
        </w:rPr>
        <w:t>The readmission rate is calculated for the hospital that discharged the mother from the birth episode. The rate includes admissions to any Victorian health service after the birth episode, not just a readmission to the birthing service.</w:t>
      </w:r>
    </w:p>
    <w:p w14:paraId="18A96DB2" w14:textId="77777777" w:rsidR="00D6403A" w:rsidRPr="00D6403A" w:rsidRDefault="00D6403A" w:rsidP="00862996">
      <w:pPr>
        <w:rPr>
          <w:lang w:val="en-GB"/>
        </w:rPr>
      </w:pPr>
      <w:r w:rsidRPr="00D6403A">
        <w:rPr>
          <w:lang w:val="en-GB"/>
        </w:rPr>
        <w:t>Women transferred to another health service following a birth are excluded from the numerator total. Women who present to an emergency department or urgent care centre, but who are not admitted, are excluded from the numerator total. Women who are readmitted and have a principal diagnosis related to their pregnancy and/or birth are included in the numerator total. However, diagnosis codes that are associated with a complexity that cannot be prevented (or managed) through postnatal care and/or that are associated with a condition(s) that manifests after discharge from hospital without any indication of its presence prior to this time are excluded (refer to list below).</w:t>
      </w:r>
    </w:p>
    <w:p w14:paraId="36E21730" w14:textId="77777777" w:rsidR="00D6403A" w:rsidRPr="00D6403A" w:rsidRDefault="00D6403A" w:rsidP="00005134">
      <w:pPr>
        <w:rPr>
          <w:lang w:val="en-GB"/>
        </w:rPr>
      </w:pPr>
      <w:r w:rsidRPr="00D6403A">
        <w:rPr>
          <w:lang w:val="en-GB"/>
        </w:rPr>
        <w:t>The denominator is the total number of birth episodes at a health service. The only exclusion is maternal</w:t>
      </w:r>
      <w:r w:rsidRPr="00D6403A">
        <w:rPr>
          <w:rFonts w:ascii="Cambria" w:hAnsi="Cambria" w:cs="Cambria"/>
          <w:color w:val="000000"/>
          <w:lang w:val="en-GB"/>
        </w:rPr>
        <w:t> </w:t>
      </w:r>
      <w:r w:rsidRPr="00D6403A">
        <w:rPr>
          <w:lang w:val="en-GB"/>
        </w:rPr>
        <w:t>death.</w:t>
      </w:r>
    </w:p>
    <w:p w14:paraId="1AA057E5" w14:textId="77777777" w:rsidR="00D6403A" w:rsidRPr="00D6403A" w:rsidRDefault="00D6403A" w:rsidP="00862996">
      <w:pPr>
        <w:rPr>
          <w:lang w:val="en-GB"/>
        </w:rPr>
      </w:pPr>
      <w:r w:rsidRPr="00D6403A">
        <w:rPr>
          <w:lang w:val="en-GB"/>
        </w:rPr>
        <w:t>Potentially preventable readmission principal diagnosis codes are limited to the following:</w:t>
      </w:r>
    </w:p>
    <w:p w14:paraId="14589C4C" w14:textId="77777777" w:rsidR="00D6403A" w:rsidRPr="00D6403A" w:rsidRDefault="00D6403A" w:rsidP="00005134">
      <w:pPr>
        <w:pStyle w:val="Bullet1"/>
        <w:rPr>
          <w:lang w:val="en-GB"/>
        </w:rPr>
      </w:pPr>
      <w:r w:rsidRPr="00D6403A">
        <w:rPr>
          <w:lang w:val="en-GB"/>
        </w:rPr>
        <w:t>O722 – Delayed and secondary postpartum haemorrhage</w:t>
      </w:r>
    </w:p>
    <w:p w14:paraId="2670DA9D" w14:textId="77777777" w:rsidR="00D6403A" w:rsidRPr="00D6403A" w:rsidRDefault="00D6403A" w:rsidP="00005134">
      <w:pPr>
        <w:pStyle w:val="Bullet1"/>
        <w:rPr>
          <w:lang w:val="en-GB"/>
        </w:rPr>
      </w:pPr>
      <w:r w:rsidRPr="00D6403A">
        <w:rPr>
          <w:lang w:val="en-GB"/>
        </w:rPr>
        <w:t>O860 – Infection of obstetric surgical wound</w:t>
      </w:r>
    </w:p>
    <w:p w14:paraId="527F8C0E" w14:textId="77777777" w:rsidR="00D6403A" w:rsidRPr="00D6403A" w:rsidRDefault="00D6403A" w:rsidP="00005134">
      <w:pPr>
        <w:pStyle w:val="Bullet1"/>
        <w:rPr>
          <w:lang w:val="en-GB"/>
        </w:rPr>
      </w:pPr>
      <w:r w:rsidRPr="00D6403A">
        <w:rPr>
          <w:lang w:val="en-GB"/>
        </w:rPr>
        <w:t>O85 – Puerperal sepsis</w:t>
      </w:r>
    </w:p>
    <w:p w14:paraId="022CD8D2" w14:textId="77777777" w:rsidR="00D6403A" w:rsidRPr="00D6403A" w:rsidRDefault="00D6403A" w:rsidP="00005134">
      <w:pPr>
        <w:pStyle w:val="Bullet1"/>
        <w:rPr>
          <w:lang w:val="en-GB"/>
        </w:rPr>
      </w:pPr>
      <w:r w:rsidRPr="00D6403A">
        <w:rPr>
          <w:lang w:val="en-GB"/>
        </w:rPr>
        <w:t>O9120 – Non-purulent mastitis without attachment difficulties</w:t>
      </w:r>
    </w:p>
    <w:p w14:paraId="0D869AB4" w14:textId="77777777" w:rsidR="00D6403A" w:rsidRPr="00D6403A" w:rsidRDefault="00D6403A" w:rsidP="00005134">
      <w:pPr>
        <w:pStyle w:val="Bullet1"/>
        <w:rPr>
          <w:lang w:val="en-GB"/>
        </w:rPr>
      </w:pPr>
      <w:r w:rsidRPr="00D6403A">
        <w:rPr>
          <w:lang w:val="en-GB"/>
        </w:rPr>
        <w:t>Z466 – Fitting and adjustment of urinary device</w:t>
      </w:r>
    </w:p>
    <w:p w14:paraId="7FE99786" w14:textId="77777777" w:rsidR="00D6403A" w:rsidRPr="00D6403A" w:rsidRDefault="00D6403A" w:rsidP="00005134">
      <w:pPr>
        <w:pStyle w:val="Bullet1"/>
        <w:rPr>
          <w:lang w:val="en-GB"/>
        </w:rPr>
      </w:pPr>
      <w:r w:rsidRPr="00D6403A">
        <w:rPr>
          <w:lang w:val="en-GB"/>
        </w:rPr>
        <w:t>O901 – Disruption of perineal obstetric wound</w:t>
      </w:r>
    </w:p>
    <w:p w14:paraId="3F66DFFF" w14:textId="77777777" w:rsidR="00D6403A" w:rsidRPr="00D6403A" w:rsidRDefault="00D6403A" w:rsidP="00005134">
      <w:pPr>
        <w:pStyle w:val="Bullet1"/>
        <w:rPr>
          <w:lang w:val="en-GB"/>
        </w:rPr>
      </w:pPr>
      <w:r w:rsidRPr="00D6403A">
        <w:rPr>
          <w:lang w:val="en-GB"/>
        </w:rPr>
        <w:t>O149 – Pre-eclampsia (unspecified)</w:t>
      </w:r>
    </w:p>
    <w:p w14:paraId="68AC1E43" w14:textId="77777777" w:rsidR="00D6403A" w:rsidRPr="00D6403A" w:rsidRDefault="00D6403A" w:rsidP="00005134">
      <w:pPr>
        <w:pStyle w:val="Bullet1"/>
        <w:rPr>
          <w:lang w:val="en-GB"/>
        </w:rPr>
      </w:pPr>
      <w:r w:rsidRPr="00D6403A">
        <w:rPr>
          <w:lang w:val="en-GB"/>
        </w:rPr>
        <w:t>O16 – Unspecified maternal hypertension</w:t>
      </w:r>
    </w:p>
    <w:p w14:paraId="2E11EE5F" w14:textId="77777777" w:rsidR="00D6403A" w:rsidRPr="00D6403A" w:rsidRDefault="00D6403A" w:rsidP="00005134">
      <w:pPr>
        <w:pStyle w:val="Bullet1"/>
        <w:rPr>
          <w:lang w:val="en-GB"/>
        </w:rPr>
      </w:pPr>
      <w:r w:rsidRPr="00D6403A">
        <w:rPr>
          <w:lang w:val="en-GB"/>
        </w:rPr>
        <w:t>O9903 – Anaemia complicating childbirth and the puerperium</w:t>
      </w:r>
    </w:p>
    <w:p w14:paraId="00F279EC" w14:textId="77777777" w:rsidR="00D6403A" w:rsidRPr="00D6403A" w:rsidRDefault="00D6403A" w:rsidP="00005134">
      <w:pPr>
        <w:pStyle w:val="Bullet1"/>
        <w:rPr>
          <w:lang w:val="en-GB"/>
        </w:rPr>
      </w:pPr>
      <w:r w:rsidRPr="00D6403A">
        <w:rPr>
          <w:lang w:val="en-GB"/>
        </w:rPr>
        <w:t>O731 – Retained portion placenta and membranes without haemorrhage</w:t>
      </w:r>
    </w:p>
    <w:p w14:paraId="713C0A2E" w14:textId="77777777" w:rsidR="00D6403A" w:rsidRPr="00D6403A" w:rsidRDefault="00D6403A" w:rsidP="00005134">
      <w:pPr>
        <w:pStyle w:val="Bullet1"/>
        <w:rPr>
          <w:lang w:val="en-GB"/>
        </w:rPr>
      </w:pPr>
      <w:r w:rsidRPr="00D6403A">
        <w:rPr>
          <w:lang w:val="en-GB"/>
        </w:rPr>
        <w:t>O721 – Other immediate postpartum haemorrhage</w:t>
      </w:r>
    </w:p>
    <w:p w14:paraId="275F7070" w14:textId="77777777" w:rsidR="00D6403A" w:rsidRPr="00D6403A" w:rsidRDefault="00D6403A" w:rsidP="00005134">
      <w:pPr>
        <w:pStyle w:val="Bullet1"/>
        <w:rPr>
          <w:lang w:val="en-GB"/>
        </w:rPr>
      </w:pPr>
      <w:r w:rsidRPr="00D6403A">
        <w:rPr>
          <w:lang w:val="en-GB"/>
        </w:rPr>
        <w:t>O902 – Haematoma of obstetric wound</w:t>
      </w:r>
    </w:p>
    <w:p w14:paraId="13694318" w14:textId="77777777" w:rsidR="00D6403A" w:rsidRPr="00D6403A" w:rsidRDefault="00D6403A" w:rsidP="00005134">
      <w:pPr>
        <w:pStyle w:val="Bullet1"/>
        <w:rPr>
          <w:lang w:val="en-GB"/>
        </w:rPr>
      </w:pPr>
      <w:r w:rsidRPr="00D6403A">
        <w:rPr>
          <w:lang w:val="en-GB"/>
        </w:rPr>
        <w:t>O862 – Urinary tract infection following delivery</w:t>
      </w:r>
    </w:p>
    <w:p w14:paraId="483FB15B" w14:textId="77777777" w:rsidR="00D6403A" w:rsidRPr="00D6403A" w:rsidRDefault="00D6403A" w:rsidP="00005134">
      <w:pPr>
        <w:pStyle w:val="Bullet1"/>
        <w:rPr>
          <w:lang w:val="en-GB"/>
        </w:rPr>
      </w:pPr>
      <w:r w:rsidRPr="00D6403A">
        <w:rPr>
          <w:lang w:val="en-GB"/>
        </w:rPr>
        <w:t>O900 – Disruption of caesarean section wound</w:t>
      </w:r>
    </w:p>
    <w:p w14:paraId="4E83CE65" w14:textId="77777777" w:rsidR="00D6403A" w:rsidRPr="00D6403A" w:rsidRDefault="00D6403A" w:rsidP="00005134">
      <w:pPr>
        <w:pStyle w:val="Bullet1"/>
        <w:rPr>
          <w:lang w:val="en-GB"/>
        </w:rPr>
      </w:pPr>
      <w:r w:rsidRPr="00D6403A">
        <w:rPr>
          <w:lang w:val="en-GB"/>
        </w:rPr>
        <w:t>Z391 – Care and examination of lactating mother</w:t>
      </w:r>
    </w:p>
    <w:p w14:paraId="3191C678" w14:textId="77777777" w:rsidR="00D6403A" w:rsidRPr="00D6403A" w:rsidRDefault="00D6403A" w:rsidP="00005134">
      <w:pPr>
        <w:pStyle w:val="Bullet1"/>
        <w:rPr>
          <w:lang w:val="en-GB"/>
        </w:rPr>
      </w:pPr>
      <w:r w:rsidRPr="00D6403A">
        <w:rPr>
          <w:lang w:val="en-GB"/>
        </w:rPr>
        <w:t>O13 – Gestational hypertension</w:t>
      </w:r>
    </w:p>
    <w:p w14:paraId="4077B1E6" w14:textId="77777777" w:rsidR="00D6403A" w:rsidRPr="00D6403A" w:rsidRDefault="00D6403A" w:rsidP="00005134">
      <w:pPr>
        <w:pStyle w:val="Bullet1"/>
        <w:rPr>
          <w:lang w:val="en-GB"/>
        </w:rPr>
      </w:pPr>
      <w:r w:rsidRPr="00D6403A">
        <w:rPr>
          <w:lang w:val="en-GB"/>
        </w:rPr>
        <w:t>N390 – Urinary tract infection (site not specified)</w:t>
      </w:r>
    </w:p>
    <w:p w14:paraId="4AF0A942" w14:textId="77777777" w:rsidR="00D6403A" w:rsidRPr="00D6403A" w:rsidRDefault="00D6403A" w:rsidP="00005134">
      <w:pPr>
        <w:pStyle w:val="Bullet1"/>
        <w:rPr>
          <w:lang w:val="en-GB"/>
        </w:rPr>
      </w:pPr>
      <w:r w:rsidRPr="00D6403A">
        <w:rPr>
          <w:lang w:val="en-GB"/>
        </w:rPr>
        <w:t>O9121 – Non-purulent mastitis with attachment difficulty</w:t>
      </w:r>
    </w:p>
    <w:p w14:paraId="0D9A279D" w14:textId="77777777" w:rsidR="00D6403A" w:rsidRPr="00D6403A" w:rsidRDefault="00D6403A" w:rsidP="00005134">
      <w:pPr>
        <w:pStyle w:val="Bullet1"/>
        <w:rPr>
          <w:lang w:val="en-GB"/>
        </w:rPr>
      </w:pPr>
      <w:r w:rsidRPr="00D6403A">
        <w:rPr>
          <w:lang w:val="en-GB"/>
        </w:rPr>
        <w:t>F531 – Severe mental and behavioural disorder associated with puerperium (not elsewhere classified)</w:t>
      </w:r>
    </w:p>
    <w:p w14:paraId="6DEE7551" w14:textId="77777777" w:rsidR="00D6403A" w:rsidRPr="00D6403A" w:rsidRDefault="00D6403A" w:rsidP="00005134">
      <w:pPr>
        <w:pStyle w:val="Bullet1"/>
        <w:rPr>
          <w:lang w:val="en-GB"/>
        </w:rPr>
      </w:pPr>
      <w:r w:rsidRPr="00D6403A">
        <w:rPr>
          <w:lang w:val="en-GB"/>
        </w:rPr>
        <w:t>F530 – Mild mental and behavioural disorder associated with puerperium (not elsewhere classified)</w:t>
      </w:r>
    </w:p>
    <w:p w14:paraId="7017A8F9" w14:textId="77777777" w:rsidR="00D6403A" w:rsidRPr="00D6403A" w:rsidRDefault="00D6403A" w:rsidP="00005134">
      <w:pPr>
        <w:pStyle w:val="Bullet1"/>
        <w:rPr>
          <w:lang w:val="en-GB"/>
        </w:rPr>
      </w:pPr>
      <w:r w:rsidRPr="00D6403A">
        <w:rPr>
          <w:lang w:val="en-GB"/>
        </w:rPr>
        <w:t>G9719 – Reaction spinal and lumbar puncture (not elsewhere classified)</w:t>
      </w:r>
    </w:p>
    <w:p w14:paraId="56BA3EBC" w14:textId="77777777" w:rsidR="00D6403A" w:rsidRPr="00D6403A" w:rsidRDefault="00D6403A" w:rsidP="00005134">
      <w:pPr>
        <w:pStyle w:val="Bullet1"/>
        <w:rPr>
          <w:lang w:val="en-GB"/>
        </w:rPr>
      </w:pPr>
      <w:r w:rsidRPr="00D6403A">
        <w:rPr>
          <w:lang w:val="en-GB"/>
        </w:rPr>
        <w:lastRenderedPageBreak/>
        <w:t>R509 – Fever (unspecified)</w:t>
      </w:r>
    </w:p>
    <w:p w14:paraId="420589E3" w14:textId="77777777" w:rsidR="00D6403A" w:rsidRPr="00D6403A" w:rsidRDefault="00D6403A" w:rsidP="00005134">
      <w:pPr>
        <w:pStyle w:val="Bullet1"/>
        <w:rPr>
          <w:lang w:val="en-GB"/>
        </w:rPr>
      </w:pPr>
      <w:r w:rsidRPr="00D6403A">
        <w:rPr>
          <w:lang w:val="en-GB"/>
        </w:rPr>
        <w:t>R33 – Retention of urine</w:t>
      </w:r>
    </w:p>
    <w:p w14:paraId="6987B044" w14:textId="77777777" w:rsidR="00D6403A" w:rsidRPr="00D6403A" w:rsidRDefault="00D6403A" w:rsidP="00005134">
      <w:pPr>
        <w:pStyle w:val="Bullet1"/>
        <w:rPr>
          <w:lang w:val="en-GB"/>
        </w:rPr>
      </w:pPr>
      <w:r w:rsidRPr="00D6403A">
        <w:rPr>
          <w:lang w:val="en-GB"/>
        </w:rPr>
        <w:t>O152 – Eclampsia in the puerperium</w:t>
      </w:r>
    </w:p>
    <w:p w14:paraId="158202A3" w14:textId="77777777" w:rsidR="00D6403A" w:rsidRPr="00D6403A" w:rsidRDefault="00D6403A" w:rsidP="00005134">
      <w:pPr>
        <w:pStyle w:val="Bullet1"/>
        <w:rPr>
          <w:lang w:val="en-GB"/>
        </w:rPr>
      </w:pPr>
      <w:r w:rsidRPr="00D6403A">
        <w:rPr>
          <w:lang w:val="en-GB"/>
        </w:rPr>
        <w:t>O720 – Third-stage haemorrhage</w:t>
      </w:r>
    </w:p>
    <w:p w14:paraId="37ABEA34" w14:textId="77777777" w:rsidR="00D6403A" w:rsidRPr="00D6403A" w:rsidRDefault="00D6403A" w:rsidP="00005134">
      <w:pPr>
        <w:pStyle w:val="Bullet1"/>
        <w:rPr>
          <w:lang w:val="en-GB"/>
        </w:rPr>
      </w:pPr>
      <w:r w:rsidRPr="00D6403A">
        <w:rPr>
          <w:lang w:val="en-GB"/>
        </w:rPr>
        <w:t>T8852 – Failed moderate sedation during procedure.</w:t>
      </w:r>
    </w:p>
    <w:p w14:paraId="59448F33" w14:textId="77777777" w:rsidR="00D6403A" w:rsidRPr="008F7388" w:rsidRDefault="00D6403A" w:rsidP="008F7388">
      <w:pPr>
        <w:pStyle w:val="Heading3"/>
      </w:pPr>
      <w:r w:rsidRPr="008F7388">
        <w:t>Data source: Victorian Admitted Episodes Dataset (VAED)</w:t>
      </w:r>
    </w:p>
    <w:p w14:paraId="36368E37" w14:textId="77777777" w:rsidR="00D6403A" w:rsidRPr="00D6403A" w:rsidRDefault="00D6403A" w:rsidP="008F7388">
      <w:pPr>
        <w:rPr>
          <w:lang w:val="en-GB"/>
        </w:rPr>
      </w:pPr>
      <w:r w:rsidRPr="00D6403A">
        <w:rPr>
          <w:lang w:val="en-GB"/>
        </w:rPr>
        <w:t>Data for this indicator is sourced from the VAED for the financial year 1 July 2021 to 30 June 2022.</w:t>
      </w:r>
    </w:p>
    <w:p w14:paraId="65FAA307"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56B29002" w14:textId="77777777" w:rsidTr="006D79F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5B4D3595" w14:textId="77777777" w:rsidR="00D6403A" w:rsidRPr="00D6403A" w:rsidRDefault="00D6403A" w:rsidP="006D79F2">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3C0D8080" w14:textId="77777777" w:rsidR="00D6403A" w:rsidRPr="00D6403A" w:rsidRDefault="00D6403A" w:rsidP="006D79F2">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6D079380" w14:textId="77777777" w:rsidR="00D6403A" w:rsidRPr="00D6403A" w:rsidRDefault="00D6403A" w:rsidP="006D79F2">
            <w:pPr>
              <w:pStyle w:val="Tableheader"/>
              <w:rPr>
                <w:b/>
                <w:lang w:val="en-GB"/>
              </w:rPr>
            </w:pPr>
            <w:r w:rsidRPr="00D6403A">
              <w:rPr>
                <w:b/>
                <w:lang w:val="en-GB"/>
              </w:rPr>
              <w:t>Denominator</w:t>
            </w:r>
          </w:p>
        </w:tc>
      </w:tr>
      <w:tr w:rsidR="00D6403A" w:rsidRPr="00D6403A" w14:paraId="3E6852CF" w14:textId="77777777" w:rsidTr="006D79F2">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1B4B75F8" w14:textId="77777777" w:rsidR="00D6403A" w:rsidRPr="006D79F2" w:rsidRDefault="00D6403A" w:rsidP="006D79F2">
            <w:pPr>
              <w:pStyle w:val="Tabletext"/>
              <w:jc w:val="left"/>
              <w:rPr>
                <w:b/>
              </w:rPr>
            </w:pPr>
            <w:r w:rsidRPr="006D79F2">
              <w:rPr>
                <w:b/>
              </w:rPr>
              <w:t>Indicator 6a: Readmission of a mother within 28 days of discharge from a birthing episode admission in a Victorian public or private hospital</w:t>
            </w:r>
          </w:p>
        </w:tc>
        <w:tc>
          <w:tcPr>
            <w:cnfStyle w:val="000001000000" w:firstRow="0" w:lastRow="0" w:firstColumn="0" w:lastColumn="0" w:oddVBand="0" w:evenVBand="1" w:oddHBand="0" w:evenHBand="0" w:firstRowFirstColumn="0" w:firstRowLastColumn="0" w:lastRowFirstColumn="0" w:lastRowLastColumn="0"/>
            <w:tcW w:w="3401" w:type="dxa"/>
          </w:tcPr>
          <w:p w14:paraId="38F96B62" w14:textId="77777777" w:rsidR="00D6403A" w:rsidRPr="006D79F2" w:rsidRDefault="00D6403A" w:rsidP="006D79F2">
            <w:pPr>
              <w:pStyle w:val="Tabletext"/>
              <w:jc w:val="left"/>
            </w:pPr>
            <w:r w:rsidRPr="006D79F2">
              <w:t>The number of women readmitted to any health service within 28 days with a potentially preventable readmission diagnosis code</w:t>
            </w:r>
          </w:p>
        </w:tc>
        <w:tc>
          <w:tcPr>
            <w:cnfStyle w:val="000010000000" w:firstRow="0" w:lastRow="0" w:firstColumn="0" w:lastColumn="0" w:oddVBand="1" w:evenVBand="0" w:oddHBand="0" w:evenHBand="0" w:firstRowFirstColumn="0" w:firstRowLastColumn="0" w:lastRowFirstColumn="0" w:lastRowLastColumn="0"/>
            <w:tcW w:w="3402" w:type="dxa"/>
          </w:tcPr>
          <w:p w14:paraId="53996298" w14:textId="77777777" w:rsidR="00D6403A" w:rsidRPr="006D79F2" w:rsidRDefault="00D6403A" w:rsidP="006D79F2">
            <w:pPr>
              <w:pStyle w:val="Tabletext"/>
              <w:jc w:val="left"/>
            </w:pPr>
            <w:r w:rsidRPr="006D79F2">
              <w:t>The total number of birth episodes at a health service</w:t>
            </w:r>
          </w:p>
        </w:tc>
      </w:tr>
    </w:tbl>
    <w:p w14:paraId="31A71DFE" w14:textId="77777777" w:rsidR="00D6403A" w:rsidRPr="00D6403A" w:rsidRDefault="00D6403A" w:rsidP="008340E5">
      <w:pPr>
        <w:pStyle w:val="Heading3"/>
        <w:rPr>
          <w:lang w:val="en-GB"/>
        </w:rPr>
      </w:pPr>
      <w:r w:rsidRPr="00D6403A">
        <w:rPr>
          <w:lang w:val="en-GB"/>
        </w:rPr>
        <w:t>Definition: Indicator 6b</w:t>
      </w:r>
    </w:p>
    <w:p w14:paraId="73366B2B" w14:textId="77777777" w:rsidR="00D6403A" w:rsidRPr="00D6403A" w:rsidRDefault="00D6403A" w:rsidP="00862996">
      <w:pPr>
        <w:rPr>
          <w:lang w:val="en-GB"/>
        </w:rPr>
      </w:pPr>
      <w:r w:rsidRPr="00D6403A">
        <w:rPr>
          <w:lang w:val="en-GB"/>
        </w:rPr>
        <w:t>Readmissions that meet the criteria for inclusion are attributed to the health service that provided postnatal care as part of the birthing episode.</w:t>
      </w:r>
    </w:p>
    <w:p w14:paraId="09BA3EEB" w14:textId="77777777" w:rsidR="00D6403A" w:rsidRPr="00D6403A" w:rsidRDefault="00D6403A" w:rsidP="00005134">
      <w:pPr>
        <w:rPr>
          <w:lang w:val="en-GB"/>
        </w:rPr>
      </w:pPr>
      <w:r w:rsidRPr="00D6403A">
        <w:rPr>
          <w:lang w:val="en-GB"/>
        </w:rPr>
        <w:t>The readmission rate is calculated for the hospital that discharged the baby from the birth episode. The</w:t>
      </w:r>
      <w:r w:rsidRPr="00D6403A">
        <w:rPr>
          <w:rFonts w:ascii="Cambria" w:hAnsi="Cambria" w:cs="Cambria"/>
          <w:color w:val="000000"/>
          <w:lang w:val="en-GB"/>
        </w:rPr>
        <w:t> </w:t>
      </w:r>
      <w:r w:rsidRPr="00D6403A">
        <w:rPr>
          <w:lang w:val="en-GB"/>
        </w:rPr>
        <w:t>rate includes admissions to any Victorian health service after birth, not just a readmission to the birthing service. Babies transferred to another health services following a birth separation are excluded from the numerator total.</w:t>
      </w:r>
    </w:p>
    <w:p w14:paraId="490C7F3C" w14:textId="77777777" w:rsidR="00D6403A" w:rsidRPr="00D6403A" w:rsidRDefault="00D6403A" w:rsidP="00862996">
      <w:pPr>
        <w:rPr>
          <w:lang w:val="en-GB"/>
        </w:rPr>
      </w:pPr>
      <w:r w:rsidRPr="00D6403A">
        <w:rPr>
          <w:lang w:val="en-GB"/>
        </w:rPr>
        <w:t>Babies who are readmitted on the same day of discharge are also excluded. This is because it is not possible to determine from the dataset whether these are genuine readmissions or a new separation following a planned transfer of care.</w:t>
      </w:r>
    </w:p>
    <w:p w14:paraId="7F79EDAB" w14:textId="77777777" w:rsidR="00D6403A" w:rsidRPr="00D6403A" w:rsidRDefault="00D6403A" w:rsidP="00D6403A">
      <w:pPr>
        <w:rPr>
          <w:lang w:val="en-GB"/>
        </w:rPr>
      </w:pPr>
      <w:r w:rsidRPr="00D6403A">
        <w:t>Babies who present to an emergency department or urgent care centre, but who are not admitted, are</w:t>
      </w:r>
      <w:r w:rsidRPr="00D6403A">
        <w:rPr>
          <w:rFonts w:ascii="Cambria" w:hAnsi="Cambria" w:cs="Cambria"/>
          <w:lang w:val="en-GB"/>
        </w:rPr>
        <w:t> </w:t>
      </w:r>
      <w:r w:rsidRPr="00D6403A">
        <w:rPr>
          <w:lang w:val="en-GB"/>
        </w:rPr>
        <w:t>excluded from the numerator total.</w:t>
      </w:r>
    </w:p>
    <w:p w14:paraId="039FC744" w14:textId="61561BDF" w:rsidR="00D6403A" w:rsidRPr="00D6403A" w:rsidRDefault="00D6403A" w:rsidP="00D6403A">
      <w:r w:rsidRPr="00D6403A">
        <w:rPr>
          <w:lang w:val="en-GB"/>
        </w:rPr>
        <w:t>Babies who are readmitted and have a principal diagnosis related to the pregnancy and/or birth are included in the numerator total (refer to list below). However, diagnosis codes that are associated with a</w:t>
      </w:r>
      <w:r w:rsidRPr="00D6403A">
        <w:rPr>
          <w:rFonts w:ascii="Cambria" w:hAnsi="Cambria" w:cs="Cambria"/>
          <w:lang w:val="en-GB"/>
        </w:rPr>
        <w:t> </w:t>
      </w:r>
      <w:r w:rsidRPr="00D6403A">
        <w:t>complexity that cannot be prevented (or managed) through postnatal care and/or that are associated with a condition(s) that manifests after discharge from hospital without any indication of its presence prior to this time are excluded.</w:t>
      </w:r>
    </w:p>
    <w:p w14:paraId="23AC1ED9" w14:textId="77777777" w:rsidR="00D6403A" w:rsidRPr="00D6403A" w:rsidRDefault="00D6403A" w:rsidP="00862996">
      <w:pPr>
        <w:rPr>
          <w:lang w:val="en-GB"/>
        </w:rPr>
      </w:pPr>
      <w:r w:rsidRPr="00D6403A">
        <w:rPr>
          <w:lang w:val="en-GB"/>
        </w:rPr>
        <w:t>The denominator includes the total number of babies discharged from a health service. Stillbirths and neonatal deaths prior to discharge are excluded. Qualified and unqualified neonates are included – irrespective of their accommodation type during the birth episode (if they spent time in neonatal unit).</w:t>
      </w:r>
    </w:p>
    <w:p w14:paraId="1D282594" w14:textId="77777777" w:rsidR="00D6403A" w:rsidRPr="00D6403A" w:rsidRDefault="00D6403A" w:rsidP="00862996">
      <w:pPr>
        <w:rPr>
          <w:lang w:val="en-GB"/>
        </w:rPr>
      </w:pPr>
      <w:r w:rsidRPr="00D6403A">
        <w:rPr>
          <w:lang w:val="en-GB"/>
        </w:rPr>
        <w:t>Potentially preventable readmissions are limited to the following list of principal diagnoses:</w:t>
      </w:r>
    </w:p>
    <w:p w14:paraId="283661D4" w14:textId="77777777" w:rsidR="00D6403A" w:rsidRPr="00D6403A" w:rsidRDefault="00D6403A" w:rsidP="00005134">
      <w:pPr>
        <w:pStyle w:val="Bullet1"/>
        <w:rPr>
          <w:lang w:val="en-GB"/>
        </w:rPr>
      </w:pPr>
      <w:r w:rsidRPr="00D6403A">
        <w:rPr>
          <w:lang w:val="en-GB"/>
        </w:rPr>
        <w:t>P599 – Neonatal jaundice (unspecified)</w:t>
      </w:r>
    </w:p>
    <w:p w14:paraId="4953CB4C" w14:textId="77777777" w:rsidR="00D6403A" w:rsidRPr="00D6403A" w:rsidRDefault="00D6403A" w:rsidP="00005134">
      <w:pPr>
        <w:pStyle w:val="Bullet1"/>
        <w:rPr>
          <w:lang w:val="en-GB"/>
        </w:rPr>
      </w:pPr>
      <w:r w:rsidRPr="00D6403A">
        <w:rPr>
          <w:lang w:val="en-GB"/>
        </w:rPr>
        <w:lastRenderedPageBreak/>
        <w:t>P929 – Feeding problem of newborn (unspecified)</w:t>
      </w:r>
    </w:p>
    <w:p w14:paraId="2EAAEED0" w14:textId="77777777" w:rsidR="00D6403A" w:rsidRPr="00D6403A" w:rsidRDefault="00D6403A" w:rsidP="00005134">
      <w:pPr>
        <w:pStyle w:val="Bullet1"/>
        <w:rPr>
          <w:lang w:val="en-GB"/>
        </w:rPr>
      </w:pPr>
      <w:r w:rsidRPr="00D6403A">
        <w:rPr>
          <w:lang w:val="en-GB"/>
        </w:rPr>
        <w:t>R628 – Other lack of expected normal physiological deviation</w:t>
      </w:r>
    </w:p>
    <w:p w14:paraId="6E9870FC" w14:textId="77777777" w:rsidR="00D6403A" w:rsidRPr="00D6403A" w:rsidRDefault="00D6403A" w:rsidP="00005134">
      <w:pPr>
        <w:pStyle w:val="Bullet1"/>
        <w:rPr>
          <w:lang w:val="en-GB"/>
        </w:rPr>
      </w:pPr>
      <w:r w:rsidRPr="00D6403A">
        <w:rPr>
          <w:lang w:val="en-GB"/>
        </w:rPr>
        <w:t>P369 – Bacterial sepsis of newborn (unspecified)</w:t>
      </w:r>
    </w:p>
    <w:p w14:paraId="69336210" w14:textId="77777777" w:rsidR="00D6403A" w:rsidRPr="00D6403A" w:rsidRDefault="00D6403A" w:rsidP="00005134">
      <w:pPr>
        <w:pStyle w:val="Bullet1"/>
        <w:rPr>
          <w:lang w:val="en-GB"/>
        </w:rPr>
      </w:pPr>
      <w:r w:rsidRPr="00D6403A">
        <w:rPr>
          <w:lang w:val="en-GB"/>
        </w:rPr>
        <w:t>P928 – Other feeding problems of newborn</w:t>
      </w:r>
    </w:p>
    <w:p w14:paraId="7345FD04" w14:textId="77777777" w:rsidR="00D6403A" w:rsidRPr="00D6403A" w:rsidRDefault="00D6403A" w:rsidP="00005134">
      <w:pPr>
        <w:pStyle w:val="Bullet1"/>
        <w:rPr>
          <w:lang w:val="en-GB"/>
        </w:rPr>
      </w:pPr>
      <w:r w:rsidRPr="00D6403A">
        <w:rPr>
          <w:lang w:val="en-GB"/>
        </w:rPr>
        <w:t>P590 – Neonatal jaundice with pre-term delivery</w:t>
      </w:r>
    </w:p>
    <w:p w14:paraId="5F08704C" w14:textId="77777777" w:rsidR="00D6403A" w:rsidRPr="00D6403A" w:rsidRDefault="00D6403A" w:rsidP="00005134">
      <w:pPr>
        <w:pStyle w:val="Bullet1"/>
        <w:rPr>
          <w:lang w:val="en-GB"/>
        </w:rPr>
      </w:pPr>
      <w:r w:rsidRPr="00D6403A">
        <w:rPr>
          <w:lang w:val="en-GB"/>
        </w:rPr>
        <w:t>P598 – Neonatal jaundice from other specific causes</w:t>
      </w:r>
    </w:p>
    <w:p w14:paraId="61C8F889" w14:textId="77777777" w:rsidR="00D6403A" w:rsidRPr="00D6403A" w:rsidRDefault="00D6403A" w:rsidP="00005134">
      <w:pPr>
        <w:pStyle w:val="Bullet1"/>
        <w:rPr>
          <w:lang w:val="en-GB"/>
        </w:rPr>
      </w:pPr>
      <w:r w:rsidRPr="00D6403A">
        <w:rPr>
          <w:lang w:val="en-GB"/>
        </w:rPr>
        <w:t xml:space="preserve">P0732 – Other pre-term infant </w:t>
      </w:r>
      <w:r w:rsidRPr="00D6403A">
        <w:rPr>
          <w:rFonts w:hint="eastAsia"/>
          <w:lang w:val="en-GB"/>
        </w:rPr>
        <w:t>≥</w:t>
      </w:r>
      <w:r w:rsidRPr="00D6403A">
        <w:rPr>
          <w:lang w:val="en-GB"/>
        </w:rPr>
        <w:t xml:space="preserve"> 32 weeks’ gestation but &lt; 37 completed weeks</w:t>
      </w:r>
    </w:p>
    <w:p w14:paraId="75F3934E" w14:textId="77777777" w:rsidR="00D6403A" w:rsidRPr="00D6403A" w:rsidRDefault="00D6403A" w:rsidP="00005134">
      <w:pPr>
        <w:pStyle w:val="Bullet1"/>
        <w:rPr>
          <w:lang w:val="en-GB"/>
        </w:rPr>
      </w:pPr>
      <w:r w:rsidRPr="00D6403A">
        <w:rPr>
          <w:lang w:val="en-GB"/>
        </w:rPr>
        <w:t>P551 – ABO isoimmunisation of fetus and newborn</w:t>
      </w:r>
    </w:p>
    <w:p w14:paraId="1C671AFD" w14:textId="77777777" w:rsidR="00D6403A" w:rsidRPr="00D6403A" w:rsidRDefault="00D6403A" w:rsidP="00005134">
      <w:pPr>
        <w:pStyle w:val="Bullet1"/>
        <w:rPr>
          <w:lang w:val="en-GB"/>
        </w:rPr>
      </w:pPr>
      <w:r w:rsidRPr="00D6403A">
        <w:rPr>
          <w:lang w:val="en-GB"/>
        </w:rPr>
        <w:t>Z0371 – Observation of newborn for suspected infectious condition</w:t>
      </w:r>
    </w:p>
    <w:p w14:paraId="3A8314EE" w14:textId="77777777" w:rsidR="00D6403A" w:rsidRPr="00D6403A" w:rsidRDefault="00D6403A" w:rsidP="00005134">
      <w:pPr>
        <w:pStyle w:val="Bullet1"/>
        <w:rPr>
          <w:lang w:val="en-GB"/>
        </w:rPr>
      </w:pPr>
      <w:r w:rsidRPr="00D6403A">
        <w:rPr>
          <w:lang w:val="en-GB"/>
        </w:rPr>
        <w:t>P2840 – Apnoea of newborn (unspecified)</w:t>
      </w:r>
    </w:p>
    <w:p w14:paraId="51C6D111" w14:textId="77777777" w:rsidR="00D6403A" w:rsidRPr="00D6403A" w:rsidRDefault="00D6403A" w:rsidP="00005134">
      <w:pPr>
        <w:pStyle w:val="Bullet1"/>
        <w:rPr>
          <w:lang w:val="en-GB"/>
        </w:rPr>
      </w:pPr>
      <w:r w:rsidRPr="00D6403A">
        <w:rPr>
          <w:lang w:val="en-GB"/>
        </w:rPr>
        <w:t>P282 – Cyanotic attacks of newborn</w:t>
      </w:r>
    </w:p>
    <w:p w14:paraId="534F5483" w14:textId="77777777" w:rsidR="00D6403A" w:rsidRPr="00D6403A" w:rsidRDefault="00D6403A" w:rsidP="00005134">
      <w:pPr>
        <w:pStyle w:val="Bullet1"/>
        <w:rPr>
          <w:lang w:val="en-GB"/>
        </w:rPr>
      </w:pPr>
      <w:r w:rsidRPr="00D6403A">
        <w:rPr>
          <w:lang w:val="en-GB"/>
        </w:rPr>
        <w:t>A870 – Enteroviral meningitis</w:t>
      </w:r>
    </w:p>
    <w:p w14:paraId="256A0F8A" w14:textId="77777777" w:rsidR="00D6403A" w:rsidRPr="00D6403A" w:rsidRDefault="00D6403A" w:rsidP="00005134">
      <w:pPr>
        <w:pStyle w:val="Bullet1"/>
        <w:rPr>
          <w:lang w:val="en-GB"/>
        </w:rPr>
      </w:pPr>
      <w:r w:rsidRPr="00D6403A">
        <w:rPr>
          <w:lang w:val="en-GB"/>
        </w:rPr>
        <w:t>P38 – Omphalitis newborn with or without mild haemorrhage</w:t>
      </w:r>
    </w:p>
    <w:p w14:paraId="70E2F4D3" w14:textId="77777777" w:rsidR="00D6403A" w:rsidRPr="00D6403A" w:rsidRDefault="00D6403A" w:rsidP="00005134">
      <w:pPr>
        <w:pStyle w:val="Bullet1"/>
        <w:rPr>
          <w:lang w:val="en-GB"/>
        </w:rPr>
      </w:pPr>
      <w:r w:rsidRPr="00D6403A">
        <w:rPr>
          <w:lang w:val="en-GB"/>
        </w:rPr>
        <w:t>P741 – Dehydration of newborn</w:t>
      </w:r>
    </w:p>
    <w:p w14:paraId="4DD73EBC" w14:textId="77777777" w:rsidR="00D6403A" w:rsidRPr="00D6403A" w:rsidRDefault="00D6403A" w:rsidP="00005134">
      <w:pPr>
        <w:pStyle w:val="Bullet1"/>
        <w:rPr>
          <w:lang w:val="en-GB"/>
        </w:rPr>
      </w:pPr>
      <w:r w:rsidRPr="00D6403A">
        <w:rPr>
          <w:lang w:val="en-GB"/>
        </w:rPr>
        <w:t>P809 – Hypothermia of newborn (unspecified)</w:t>
      </w:r>
    </w:p>
    <w:p w14:paraId="558E8458" w14:textId="77777777" w:rsidR="00D6403A" w:rsidRPr="00D6403A" w:rsidRDefault="00D6403A" w:rsidP="00005134">
      <w:pPr>
        <w:pStyle w:val="Bullet1"/>
        <w:rPr>
          <w:lang w:val="en-GB"/>
        </w:rPr>
      </w:pPr>
      <w:r w:rsidRPr="00D6403A">
        <w:rPr>
          <w:lang w:val="en-GB"/>
        </w:rPr>
        <w:t>P90 – Convulsions of newborn</w:t>
      </w:r>
    </w:p>
    <w:p w14:paraId="5777F9D6" w14:textId="77777777" w:rsidR="00D6403A" w:rsidRPr="00D6403A" w:rsidRDefault="00D6403A" w:rsidP="00005134">
      <w:pPr>
        <w:pStyle w:val="Bullet1"/>
        <w:rPr>
          <w:lang w:val="en-GB"/>
        </w:rPr>
      </w:pPr>
      <w:r w:rsidRPr="00D6403A">
        <w:rPr>
          <w:lang w:val="en-GB"/>
        </w:rPr>
        <w:t>R634 – Abnormal weight loss.</w:t>
      </w:r>
    </w:p>
    <w:p w14:paraId="30B866BA" w14:textId="77777777" w:rsidR="00D6403A" w:rsidRPr="00D6403A" w:rsidRDefault="00D6403A" w:rsidP="008340E5">
      <w:pPr>
        <w:pStyle w:val="Heading3"/>
        <w:rPr>
          <w:lang w:val="en-GB"/>
        </w:rPr>
      </w:pPr>
      <w:r w:rsidRPr="00D6403A">
        <w:rPr>
          <w:lang w:val="en-GB"/>
        </w:rPr>
        <w:t>Data source: Victorian Admitted Episodes Dataset</w:t>
      </w:r>
    </w:p>
    <w:p w14:paraId="2D49BB33" w14:textId="77777777" w:rsidR="00D6403A" w:rsidRPr="00D6403A" w:rsidRDefault="00D6403A" w:rsidP="00862996">
      <w:pPr>
        <w:rPr>
          <w:lang w:val="en-GB"/>
        </w:rPr>
      </w:pPr>
      <w:r w:rsidRPr="00D6403A">
        <w:rPr>
          <w:lang w:val="en-GB"/>
        </w:rPr>
        <w:t>Data for this indicator is sourced from the VAED for the financial year 1 July 2021 to 30 June 2022.</w:t>
      </w:r>
    </w:p>
    <w:p w14:paraId="009F4DE7" w14:textId="3F781F8A" w:rsidR="00D6403A" w:rsidRPr="00D6403A" w:rsidRDefault="00D6403A" w:rsidP="00005134">
      <w:pPr>
        <w:rPr>
          <w:lang w:val="en-GB"/>
        </w:rPr>
      </w:pPr>
      <w:r w:rsidRPr="00D6403A">
        <w:rPr>
          <w:lang w:val="en-GB"/>
        </w:rPr>
        <w:t>Reporting of unqualified neonate admissions to the VAED for private hospitals is optional. It is therefore not possible to establish an accurate denominator (that includes public and private hospitals) for this indicator. As such, only public hospitals are included in the results. Homebirths are not included in</w:t>
      </w:r>
      <w:r w:rsidRPr="00D6403A">
        <w:rPr>
          <w:rFonts w:ascii="Cambria" w:hAnsi="Cambria" w:cs="Cambria"/>
          <w:color w:val="000000"/>
          <w:lang w:val="en-GB"/>
        </w:rPr>
        <w:t> </w:t>
      </w:r>
      <w:r w:rsidRPr="00D6403A">
        <w:rPr>
          <w:lang w:val="en-GB"/>
        </w:rPr>
        <w:t>the</w:t>
      </w:r>
      <w:r w:rsidRPr="00D6403A">
        <w:rPr>
          <w:rFonts w:ascii="Cambria" w:hAnsi="Cambria" w:cs="Cambria"/>
          <w:color w:val="000000"/>
          <w:lang w:val="en-GB"/>
        </w:rPr>
        <w:t> </w:t>
      </w:r>
      <w:r w:rsidRPr="00D6403A">
        <w:rPr>
          <w:lang w:val="en-GB"/>
        </w:rPr>
        <w:t>VAED.</w:t>
      </w:r>
    </w:p>
    <w:p w14:paraId="7A7C3722"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36059560" w14:textId="77777777" w:rsidTr="00E177CD">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0A5C179B" w14:textId="77777777" w:rsidR="00D6403A" w:rsidRPr="00D6403A" w:rsidRDefault="00D6403A" w:rsidP="00E177CD">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0A0244E4" w14:textId="77777777" w:rsidR="00D6403A" w:rsidRPr="00D6403A" w:rsidRDefault="00D6403A" w:rsidP="00E177CD">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14199F6B" w14:textId="77777777" w:rsidR="00D6403A" w:rsidRPr="00D6403A" w:rsidRDefault="00D6403A" w:rsidP="00E177CD">
            <w:pPr>
              <w:pStyle w:val="Tableheader"/>
              <w:rPr>
                <w:b/>
                <w:lang w:val="en-GB"/>
              </w:rPr>
            </w:pPr>
            <w:r w:rsidRPr="00D6403A">
              <w:rPr>
                <w:b/>
                <w:lang w:val="en-GB"/>
              </w:rPr>
              <w:t>Denominator</w:t>
            </w:r>
          </w:p>
        </w:tc>
      </w:tr>
      <w:tr w:rsidR="00D6403A" w:rsidRPr="00D6403A" w14:paraId="7D656BD7" w14:textId="77777777" w:rsidTr="00E177CD">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0F4064FC" w14:textId="77777777" w:rsidR="00D6403A" w:rsidRPr="00E177CD" w:rsidRDefault="00D6403A" w:rsidP="00E177CD">
            <w:pPr>
              <w:pStyle w:val="Tabletext"/>
              <w:jc w:val="left"/>
              <w:rPr>
                <w:b/>
                <w:lang w:val="en-GB"/>
              </w:rPr>
            </w:pPr>
            <w:r w:rsidRPr="00E177CD">
              <w:rPr>
                <w:b/>
              </w:rPr>
              <w:t>Indicator 6b: Readmission of a newborn within 28 days of discharge from a birthing episode admission in</w:t>
            </w:r>
            <w:r w:rsidRPr="00E177CD">
              <w:rPr>
                <w:rFonts w:ascii="Cambria" w:hAnsi="Cambria" w:cs="Cambria"/>
                <w:b/>
                <w:lang w:val="en-GB"/>
              </w:rPr>
              <w:t> </w:t>
            </w:r>
            <w:r w:rsidRPr="00E177CD">
              <w:rPr>
                <w:b/>
                <w:lang w:val="en-GB"/>
              </w:rPr>
              <w:t>a Victorian public hospital</w:t>
            </w:r>
          </w:p>
        </w:tc>
        <w:tc>
          <w:tcPr>
            <w:cnfStyle w:val="000001000000" w:firstRow="0" w:lastRow="0" w:firstColumn="0" w:lastColumn="0" w:oddVBand="0" w:evenVBand="1" w:oddHBand="0" w:evenHBand="0" w:firstRowFirstColumn="0" w:firstRowLastColumn="0" w:lastRowFirstColumn="0" w:lastRowLastColumn="0"/>
            <w:tcW w:w="3401" w:type="dxa"/>
          </w:tcPr>
          <w:p w14:paraId="346EDA9C" w14:textId="77777777" w:rsidR="00D6403A" w:rsidRPr="00D6403A" w:rsidRDefault="00D6403A" w:rsidP="00E177CD">
            <w:pPr>
              <w:pStyle w:val="Tabletext"/>
              <w:jc w:val="left"/>
              <w:rPr>
                <w:lang w:val="en-US"/>
              </w:rPr>
            </w:pPr>
            <w:r w:rsidRPr="00D6403A">
              <w:rPr>
                <w:lang w:val="en-US"/>
              </w:rPr>
              <w:t>The number of neonates readmitted to any health service with a potentially preventable readmissions diagnosis code within 28 days of birth</w:t>
            </w:r>
          </w:p>
        </w:tc>
        <w:tc>
          <w:tcPr>
            <w:cnfStyle w:val="000010000000" w:firstRow="0" w:lastRow="0" w:firstColumn="0" w:lastColumn="0" w:oddVBand="1" w:evenVBand="0" w:oddHBand="0" w:evenHBand="0" w:firstRowFirstColumn="0" w:firstRowLastColumn="0" w:lastRowFirstColumn="0" w:lastRowLastColumn="0"/>
            <w:tcW w:w="3402" w:type="dxa"/>
          </w:tcPr>
          <w:p w14:paraId="1BC55BF4" w14:textId="77777777" w:rsidR="00D6403A" w:rsidRPr="00D6403A" w:rsidRDefault="00D6403A" w:rsidP="00E177CD">
            <w:pPr>
              <w:pStyle w:val="Tabletext"/>
              <w:jc w:val="left"/>
              <w:rPr>
                <w:lang w:val="en-US"/>
              </w:rPr>
            </w:pPr>
            <w:r w:rsidRPr="00D6403A">
              <w:rPr>
                <w:lang w:val="en-US"/>
              </w:rPr>
              <w:t>The number of neonates provided with admitted postnatal care prior to discharge</w:t>
            </w:r>
          </w:p>
        </w:tc>
      </w:tr>
    </w:tbl>
    <w:p w14:paraId="36E70CE5" w14:textId="77777777" w:rsidR="00D6403A" w:rsidRPr="00D6403A" w:rsidRDefault="00D6403A" w:rsidP="00862996">
      <w:pPr>
        <w:rPr>
          <w:lang w:val="en-GB"/>
        </w:rPr>
      </w:pPr>
    </w:p>
    <w:p w14:paraId="58E67559" w14:textId="77777777" w:rsidR="00D6403A" w:rsidRPr="00D6403A" w:rsidRDefault="00D6403A" w:rsidP="00862996">
      <w:pPr>
        <w:rPr>
          <w:lang w:val="en-GB"/>
        </w:rPr>
      </w:pPr>
    </w:p>
    <w:p w14:paraId="383BC125" w14:textId="77777777" w:rsidR="00E177CD" w:rsidRDefault="00E177CD" w:rsidP="00E177CD">
      <w:pPr>
        <w:pStyle w:val="Heading2"/>
        <w:rPr>
          <w:lang w:val="en-GB"/>
        </w:rPr>
        <w:sectPr w:rsidR="00E177CD" w:rsidSect="004D6F5F">
          <w:pgSz w:w="11901" w:h="16817" w:code="9"/>
          <w:pgMar w:top="3402" w:right="851" w:bottom="1361" w:left="851" w:header="539" w:footer="624" w:gutter="0"/>
          <w:cols w:space="284"/>
          <w:docGrid w:linePitch="360" w:charSpace="46114"/>
        </w:sectPr>
      </w:pPr>
      <w:bookmarkStart w:id="56" w:name="_Toc159326614"/>
    </w:p>
    <w:p w14:paraId="1C30AE1A" w14:textId="4CDF93F3" w:rsidR="00D6403A" w:rsidRPr="00D6403A" w:rsidRDefault="00D6403A" w:rsidP="00E177CD">
      <w:pPr>
        <w:pStyle w:val="Heading1"/>
        <w:framePr w:wrap="around"/>
        <w:rPr>
          <w:lang w:val="en-GB"/>
        </w:rPr>
      </w:pPr>
      <w:r w:rsidRPr="00D6403A">
        <w:rPr>
          <w:lang w:val="en-GB"/>
        </w:rPr>
        <w:lastRenderedPageBreak/>
        <w:t>7: Smoking cessation</w:t>
      </w:r>
      <w:bookmarkEnd w:id="56"/>
    </w:p>
    <w:p w14:paraId="4D6A2EE7" w14:textId="77777777" w:rsidR="00D6403A" w:rsidRPr="00D6403A" w:rsidRDefault="00D6403A" w:rsidP="00D64F24">
      <w:pPr>
        <w:pStyle w:val="IntroductoryText"/>
        <w:rPr>
          <w:lang w:val="en-GB"/>
        </w:rPr>
      </w:pPr>
      <w:r w:rsidRPr="00D64F24">
        <w:t>Smoking affects maternal health and babies born to women who smoke while pregnant are at risk of various preventable adverse outcomes and health complications including stillbirth, FGR and pre</w:t>
      </w:r>
      <w:r w:rsidRPr="00D6403A">
        <w:rPr>
          <w:rFonts w:ascii="Cambria Math" w:hAnsi="Cambria Math" w:cs="Cambria Math"/>
          <w:lang w:val="en-GB"/>
        </w:rPr>
        <w:t>‑</w:t>
      </w:r>
      <w:r w:rsidRPr="00D64F24">
        <w:t>term birth. During pregnancy, women are motivated to protect their baby’s health. It is therefore an important time for health professionals to assist women to quit smoking. This indicator can be used by hospitals to measure how effective their interventions are and recognises the hospitals making the</w:t>
      </w:r>
      <w:r w:rsidRPr="00D6403A">
        <w:rPr>
          <w:rFonts w:ascii="Cambria" w:hAnsi="Cambria" w:cs="Cambria"/>
          <w:lang w:val="en-GB"/>
        </w:rPr>
        <w:t> </w:t>
      </w:r>
      <w:r w:rsidRPr="00D6403A">
        <w:rPr>
          <w:lang w:val="en-GB"/>
        </w:rPr>
        <w:t>greatest impact towards smoking cessation.</w:t>
      </w:r>
    </w:p>
    <w:p w14:paraId="7D963925" w14:textId="77777777" w:rsidR="00D6403A" w:rsidRPr="00D6403A" w:rsidRDefault="00D6403A" w:rsidP="005939CC">
      <w:pPr>
        <w:pStyle w:val="Heading2"/>
        <w:rPr>
          <w:lang w:val="en-GB"/>
        </w:rPr>
      </w:pPr>
      <w:bookmarkStart w:id="57" w:name="_Toc159326615"/>
      <w:r w:rsidRPr="00D6403A">
        <w:rPr>
          <w:lang w:val="en-GB"/>
        </w:rPr>
        <w:t>About this indicator</w:t>
      </w:r>
      <w:bookmarkEnd w:id="57"/>
    </w:p>
    <w:p w14:paraId="071B297F" w14:textId="77777777" w:rsidR="00D6403A" w:rsidRPr="00D6403A" w:rsidRDefault="00D6403A" w:rsidP="00D6403A">
      <w:pPr>
        <w:rPr>
          <w:lang w:val="en-GB"/>
        </w:rPr>
      </w:pPr>
      <w:r w:rsidRPr="00D6403A">
        <w:t>This indicator assesses the effectiveness of health services in providing support for women who smoke in early pregnancy to quit. This includes smoking cessation advice, assistance and follow-up during the antenatal period. The aim is to reduce both the rate of smoking among pregnant women and the risk of</w:t>
      </w:r>
      <w:r w:rsidRPr="00D6403A">
        <w:rPr>
          <w:rFonts w:ascii="Cambria" w:hAnsi="Cambria" w:cs="Cambria"/>
          <w:lang w:val="en-GB"/>
        </w:rPr>
        <w:t> </w:t>
      </w:r>
      <w:r w:rsidRPr="00D6403A">
        <w:rPr>
          <w:lang w:val="en-GB"/>
        </w:rPr>
        <w:t>smoking-associated adverse health outcomes for women and their babies.</w:t>
      </w:r>
    </w:p>
    <w:p w14:paraId="381393BA" w14:textId="77777777" w:rsidR="00D6403A" w:rsidRPr="00D6403A" w:rsidRDefault="00D6403A" w:rsidP="00D6403A">
      <w:pPr>
        <w:rPr>
          <w:lang w:val="en-GB"/>
        </w:rPr>
      </w:pPr>
      <w:r w:rsidRPr="00D6403A">
        <w:rPr>
          <w:lang w:val="en-GB"/>
        </w:rPr>
        <w:t>The data in this report relates to the percentage of women who were reported as not smoking at</w:t>
      </w:r>
      <w:r w:rsidRPr="00D6403A">
        <w:rPr>
          <w:rFonts w:ascii="Cambria" w:hAnsi="Cambria" w:cs="Cambria"/>
          <w:lang w:val="en-GB"/>
        </w:rPr>
        <w:t> </w:t>
      </w:r>
      <w:r w:rsidRPr="00D6403A">
        <w:t>or</w:t>
      </w:r>
      <w:r w:rsidRPr="00D6403A">
        <w:rPr>
          <w:rFonts w:ascii="Cambria" w:hAnsi="Cambria" w:cs="Cambria"/>
          <w:lang w:val="en-GB"/>
        </w:rPr>
        <w:t> </w:t>
      </w:r>
      <w:r w:rsidRPr="00D6403A">
        <w:t>after</w:t>
      </w:r>
      <w:r w:rsidRPr="00D6403A">
        <w:rPr>
          <w:rFonts w:ascii="Cambria" w:hAnsi="Cambria" w:cs="Cambria"/>
          <w:lang w:val="en-GB"/>
        </w:rPr>
        <w:t> </w:t>
      </w:r>
      <w:r w:rsidRPr="00D6403A">
        <w:rPr>
          <w:lang w:val="en-GB"/>
        </w:rPr>
        <w:t>20 weeks’ gestation among those who smoked before 20 weeks.</w:t>
      </w:r>
    </w:p>
    <w:p w14:paraId="62170EF3" w14:textId="63A040FA" w:rsidR="00D6403A" w:rsidRDefault="00D6403A" w:rsidP="00D6403A">
      <w:r w:rsidRPr="00D6403A">
        <w:rPr>
          <w:lang w:val="en-GB"/>
        </w:rPr>
        <w:t>This indicator has limitations as it does not capture data on whether women continue to not smoke after</w:t>
      </w:r>
      <w:r w:rsidRPr="00D6403A">
        <w:rPr>
          <w:rFonts w:ascii="Cambria" w:hAnsi="Cambria" w:cs="Cambria"/>
          <w:lang w:val="en-GB"/>
        </w:rPr>
        <w:t> </w:t>
      </w:r>
      <w:r w:rsidRPr="00D6403A">
        <w:t>pregnancy.</w:t>
      </w:r>
    </w:p>
    <w:p w14:paraId="41B9FE00" w14:textId="77777777" w:rsidR="00E177CD" w:rsidRPr="00E177CD" w:rsidRDefault="00E177CD" w:rsidP="00E177CD">
      <w:pPr>
        <w:spacing w:before="0" w:after="0" w:line="240" w:lineRule="auto"/>
        <w:rPr>
          <w:rFonts w:ascii="Times New Roman" w:eastAsia="Times New Roman" w:hAnsi="Times New Roman" w:cs="Times New Roman"/>
          <w:sz w:val="24"/>
          <w:szCs w:val="24"/>
          <w:lang w:eastAsia="en-US"/>
        </w:rPr>
      </w:pPr>
      <w:r w:rsidRPr="00E177CD">
        <w:rPr>
          <w:rFonts w:ascii="Helvetica" w:eastAsia="Times New Roman" w:hAnsi="Helvetica" w:cs="Times New Roman"/>
          <w:color w:val="000000"/>
          <w:sz w:val="18"/>
          <w:szCs w:val="18"/>
          <w:lang w:eastAsia="en-US"/>
        </w:rPr>
        <w:t>[Break out box text:</w:t>
      </w:r>
    </w:p>
    <w:p w14:paraId="2E76D17B" w14:textId="77777777" w:rsidR="00E177CD" w:rsidRPr="00D6403A" w:rsidRDefault="00E177CD" w:rsidP="00E177CD">
      <w:pPr>
        <w:pStyle w:val="Heading3"/>
        <w:rPr>
          <w:lang w:val="en-GB"/>
        </w:rPr>
      </w:pPr>
      <w:r w:rsidRPr="00D6403A">
        <w:rPr>
          <w:lang w:val="en-GB"/>
        </w:rPr>
        <w:t>What pregnant women and families need to know</w:t>
      </w:r>
    </w:p>
    <w:p w14:paraId="1F4F2318" w14:textId="0C5898D6" w:rsidR="00E177CD" w:rsidRPr="00D6403A" w:rsidRDefault="00E177CD" w:rsidP="00005134">
      <w:pPr>
        <w:rPr>
          <w:lang w:val="en-GB"/>
        </w:rPr>
      </w:pPr>
      <w:r w:rsidRPr="00D6403A">
        <w:rPr>
          <w:lang w:val="en-GB"/>
        </w:rPr>
        <w:t xml:space="preserve">Smoking is bad for your health. If you smoke while you are pregnant, then there is a risk that this will harm your baby. Smoking during pregnancy is one of the main causes of stillbirth. Your baby may be born small or born early. Quitting at any time during pregnancy can reduce the risk of harm to your baby. For help quitting smoking or vaping during pregnancy, women can speak to their maternity health professional or call Quitline on 13 78 48 or visit the following websites: </w:t>
      </w:r>
      <w:hyperlink r:id="rId90" w:history="1">
        <w:r w:rsidRPr="00E177CD">
          <w:rPr>
            <w:rStyle w:val="Hyperlink"/>
            <w:lang w:val="en-GB"/>
          </w:rPr>
          <w:t>Quitline</w:t>
        </w:r>
      </w:hyperlink>
      <w:r w:rsidRPr="00D6403A">
        <w:rPr>
          <w:lang w:val="en-GB"/>
        </w:rPr>
        <w:t xml:space="preserve"> &lt;https://www.quit.org.au&gt; or </w:t>
      </w:r>
      <w:hyperlink r:id="rId91" w:history="1">
        <w:r w:rsidRPr="00E177CD">
          <w:rPr>
            <w:rStyle w:val="Hyperlink"/>
            <w:lang w:val="en-GB"/>
          </w:rPr>
          <w:t>iSISTAQUIT</w:t>
        </w:r>
      </w:hyperlink>
      <w:r w:rsidRPr="00D6403A">
        <w:rPr>
          <w:lang w:val="en-GB"/>
        </w:rPr>
        <w:t xml:space="preserve"> &lt;https://isistaquit.org.au&gt;.</w:t>
      </w:r>
    </w:p>
    <w:p w14:paraId="3A02072B" w14:textId="77777777" w:rsidR="00E177CD" w:rsidRPr="00D6403A" w:rsidRDefault="00E177CD" w:rsidP="00005134">
      <w:pPr>
        <w:rPr>
          <w:color w:val="000000"/>
          <w:lang w:val="en-GB"/>
        </w:rPr>
      </w:pPr>
      <w:r w:rsidRPr="00D6403A">
        <w:rPr>
          <w:lang w:val="en-GB"/>
        </w:rPr>
        <w:t>Health services monitor how many pregnant women in antenatal clinics smoke and provide advice and support to help women stop smoking while they are pregnant. We measure how many women stop smoking while they are pregnant, and the results on the graphs below are</w:t>
      </w:r>
      <w:r w:rsidRPr="00D6403A">
        <w:rPr>
          <w:rFonts w:ascii="Cambria" w:hAnsi="Cambria" w:cs="Cambria"/>
          <w:lang w:val="en-GB"/>
        </w:rPr>
        <w:t> </w:t>
      </w:r>
      <w:r w:rsidRPr="00D6403A">
        <w:rPr>
          <w:lang w:val="en-GB"/>
        </w:rPr>
        <w:t>very different between hospitals.</w:t>
      </w:r>
    </w:p>
    <w:p w14:paraId="2656AF61" w14:textId="77777777" w:rsidR="00E177CD" w:rsidRPr="00E177CD" w:rsidRDefault="00E177CD" w:rsidP="00E177CD">
      <w:pPr>
        <w:spacing w:before="0" w:after="0" w:line="240" w:lineRule="auto"/>
        <w:rPr>
          <w:rFonts w:ascii="Times New Roman" w:eastAsia="Times New Roman" w:hAnsi="Times New Roman" w:cs="Times New Roman"/>
          <w:sz w:val="24"/>
          <w:szCs w:val="24"/>
          <w:lang w:eastAsia="en-US"/>
        </w:rPr>
      </w:pPr>
      <w:r w:rsidRPr="00E177CD">
        <w:rPr>
          <w:rFonts w:ascii="Helvetica" w:eastAsia="Times New Roman" w:hAnsi="Helvetica" w:cs="Times New Roman"/>
          <w:color w:val="000000"/>
          <w:sz w:val="18"/>
          <w:szCs w:val="18"/>
          <w:lang w:eastAsia="en-US"/>
        </w:rPr>
        <w:t>End of break out box text.]</w:t>
      </w:r>
    </w:p>
    <w:p w14:paraId="199EADDF" w14:textId="77777777" w:rsidR="00D6403A" w:rsidRPr="00D6403A" w:rsidRDefault="00D6403A" w:rsidP="005939CC">
      <w:pPr>
        <w:pStyle w:val="Heading2"/>
        <w:rPr>
          <w:lang w:val="en-GB"/>
        </w:rPr>
      </w:pPr>
      <w:bookmarkStart w:id="58" w:name="_Toc159326616"/>
      <w:r w:rsidRPr="00D6403A">
        <w:rPr>
          <w:lang w:val="en-GB"/>
        </w:rPr>
        <w:t>Observations on the data</w:t>
      </w:r>
      <w:bookmarkEnd w:id="58"/>
    </w:p>
    <w:p w14:paraId="7780F7B6" w14:textId="77777777" w:rsidR="00D6403A" w:rsidRPr="00D6403A" w:rsidRDefault="00D6403A" w:rsidP="00D6403A">
      <w:pPr>
        <w:rPr>
          <w:lang w:val="en-GB"/>
        </w:rPr>
      </w:pPr>
      <w:r w:rsidRPr="00D6403A">
        <w:t xml:space="preserve">The statewide percentage of women who smoked in the first 20 weeks of their pregnancy and did not </w:t>
      </w:r>
      <w:r w:rsidRPr="00D6403A">
        <w:rPr>
          <w:spacing w:val="-1"/>
          <w:lang w:val="en-GB"/>
        </w:rPr>
        <w:t>smoke in the last 20 weeks of their pregnancy has decreased from 33.5% in 2020 to 31.4% in 2021 (Table</w:t>
      </w:r>
      <w:r w:rsidRPr="00D6403A">
        <w:rPr>
          <w:rFonts w:ascii="Cambria" w:hAnsi="Cambria" w:cs="Cambria"/>
          <w:spacing w:val="-1"/>
          <w:lang w:val="en-GB"/>
        </w:rPr>
        <w:t> </w:t>
      </w:r>
      <w:r w:rsidRPr="00D6403A">
        <w:rPr>
          <w:spacing w:val="-1"/>
          <w:lang w:val="en-GB"/>
        </w:rPr>
        <w:t xml:space="preserve">16). </w:t>
      </w:r>
      <w:r w:rsidRPr="00D6403A">
        <w:t>The rate for private hospitals continued to be higher compared with public hospitals (57.3%</w:t>
      </w:r>
      <w:r w:rsidRPr="00D6403A">
        <w:rPr>
          <w:rFonts w:ascii="Cambria" w:hAnsi="Cambria" w:cs="Cambria"/>
          <w:lang w:val="en-GB"/>
        </w:rPr>
        <w:t> </w:t>
      </w:r>
      <w:r w:rsidRPr="00D6403A">
        <w:t>and 30.5%, respectively), although private hospital cessation rate also decreased from 2020</w:t>
      </w:r>
      <w:r w:rsidRPr="00D6403A">
        <w:rPr>
          <w:rFonts w:ascii="Cambria" w:hAnsi="Cambria" w:cs="Cambria"/>
          <w:lang w:val="en-GB"/>
        </w:rPr>
        <w:t> </w:t>
      </w:r>
      <w:r w:rsidRPr="00D6403A">
        <w:rPr>
          <w:lang w:val="en-GB"/>
        </w:rPr>
        <w:t>(64.0%).</w:t>
      </w:r>
    </w:p>
    <w:p w14:paraId="29ABE7B2" w14:textId="77777777" w:rsidR="00D6403A" w:rsidRPr="00D6403A" w:rsidRDefault="00D6403A" w:rsidP="00D6403A">
      <w:r w:rsidRPr="00D6403A">
        <w:rPr>
          <w:lang w:val="en-GB"/>
        </w:rPr>
        <w:t>The smoking cessation rate between individual hospitals ranged from zero to 95.6% (Figure 46). Also</w:t>
      </w:r>
      <w:r w:rsidRPr="00D6403A">
        <w:rPr>
          <w:rFonts w:ascii="Cambria" w:hAnsi="Cambria" w:cs="Cambria"/>
          <w:lang w:val="en-GB"/>
        </w:rPr>
        <w:t> </w:t>
      </w:r>
      <w:r w:rsidRPr="00D6403A">
        <w:t>note</w:t>
      </w:r>
      <w:r w:rsidRPr="00D6403A">
        <w:rPr>
          <w:rFonts w:ascii="Cambria" w:hAnsi="Cambria" w:cs="Cambria"/>
          <w:lang w:val="en-GB"/>
        </w:rPr>
        <w:t> </w:t>
      </w:r>
      <w:r w:rsidRPr="00D6403A">
        <w:t>some outliers as shown in Figure 47. Figure 48 shows trends over time.</w:t>
      </w:r>
    </w:p>
    <w:p w14:paraId="42E464C4" w14:textId="7E5ECFB0" w:rsidR="00D6403A" w:rsidRPr="00D6403A" w:rsidRDefault="00D6403A" w:rsidP="00862996">
      <w:pPr>
        <w:rPr>
          <w:lang w:val="en-GB"/>
        </w:rPr>
      </w:pPr>
      <w:r w:rsidRPr="00D6403A">
        <w:rPr>
          <w:lang w:val="en-GB"/>
        </w:rPr>
        <w:t>The smoking cessation rates for hospitals in capability level 2 and 3 are, in general, lower than higher capability levels and private hospitals. These hospitals should review their smoking cessation programs.</w:t>
      </w:r>
    </w:p>
    <w:p w14:paraId="4EFA8985" w14:textId="16529BFC" w:rsidR="00D6403A" w:rsidRPr="00D6403A" w:rsidRDefault="00D6403A" w:rsidP="00005134">
      <w:pPr>
        <w:rPr>
          <w:lang w:val="en-GB"/>
        </w:rPr>
      </w:pPr>
      <w:r w:rsidRPr="00D6403A">
        <w:rPr>
          <w:lang w:val="en-GB"/>
        </w:rPr>
        <w:lastRenderedPageBreak/>
        <w:t xml:space="preserve">The </w:t>
      </w:r>
      <w:hyperlink r:id="rId92" w:history="1">
        <w:r w:rsidRPr="00E177CD">
          <w:rPr>
            <w:rStyle w:val="Hyperlink"/>
            <w:lang w:val="en-GB"/>
          </w:rPr>
          <w:t>Safer Baby Collaborative</w:t>
        </w:r>
      </w:hyperlink>
      <w:r w:rsidRPr="00D6403A">
        <w:rPr>
          <w:lang w:val="en-GB"/>
        </w:rPr>
        <w:t xml:space="preserve"> &lt;https://www.safercare.vic.gov.au/best-practice-improvement/improvement-projects/mothers-babies-children/safer-baby-collaborative&gt;, which included a smoking cessation component, concluded in May 2021. Despite unprecedented circumstances, including a global pandemic and devastating bushfires, the participating health services achieved exceptional outcomes for Victorians, with the participating health services reporting an increase in smoking cessation rates of women during pregnancy by 200%, from an average rate of 11% to 33%. Safer Care Victoria would like to extend our sincere gratitude to those who contributed to this work under such exceptional</w:t>
      </w:r>
      <w:r w:rsidRPr="00D6403A">
        <w:rPr>
          <w:rFonts w:ascii="Cambria" w:hAnsi="Cambria" w:cs="Cambria"/>
          <w:color w:val="000000"/>
          <w:lang w:val="en-GB"/>
        </w:rPr>
        <w:t> </w:t>
      </w:r>
      <w:r w:rsidRPr="00D6403A">
        <w:rPr>
          <w:lang w:val="en-GB"/>
        </w:rPr>
        <w:t>circumstances.</w:t>
      </w:r>
    </w:p>
    <w:p w14:paraId="7C7A96BE" w14:textId="77777777" w:rsidR="00D6403A" w:rsidRPr="00D6403A" w:rsidRDefault="00D6403A" w:rsidP="005939CC">
      <w:pPr>
        <w:pStyle w:val="Heading2"/>
        <w:rPr>
          <w:lang w:val="en-GB"/>
        </w:rPr>
      </w:pPr>
      <w:bookmarkStart w:id="59" w:name="_Toc159326617"/>
      <w:r w:rsidRPr="00D6403A">
        <w:rPr>
          <w:lang w:val="en-GB"/>
        </w:rPr>
        <w:t>Strategies for improvement</w:t>
      </w:r>
      <w:bookmarkEnd w:id="59"/>
    </w:p>
    <w:p w14:paraId="05F5F8A7" w14:textId="77777777" w:rsidR="00D6403A" w:rsidRPr="00D6403A" w:rsidRDefault="00D6403A" w:rsidP="00005134">
      <w:pPr>
        <w:pStyle w:val="Bullet1"/>
        <w:rPr>
          <w:lang w:val="en-GB"/>
        </w:rPr>
      </w:pPr>
      <w:r w:rsidRPr="00D6403A">
        <w:rPr>
          <w:lang w:val="en-GB"/>
        </w:rPr>
        <w:t>Assess and screen all pregnant women for smoking at all pregnancy care appointments and in the postnatal period and offer referral to support programs such as Quitline.</w:t>
      </w:r>
    </w:p>
    <w:p w14:paraId="4850DB6F" w14:textId="77777777" w:rsidR="00D6403A" w:rsidRPr="00D6403A" w:rsidRDefault="00D6403A" w:rsidP="00005134">
      <w:pPr>
        <w:pStyle w:val="Bullet1"/>
        <w:rPr>
          <w:lang w:val="en-GB"/>
        </w:rPr>
      </w:pPr>
      <w:r w:rsidRPr="00D6403A">
        <w:rPr>
          <w:lang w:val="en-GB"/>
        </w:rPr>
        <w:t>Data on vaping will be collected by VPDC from July 2024. Health services should ensure their processes for assessing and screening includes vaping.</w:t>
      </w:r>
    </w:p>
    <w:p w14:paraId="60FF1713" w14:textId="7A36CE90" w:rsidR="00D6403A" w:rsidRPr="00D6403A" w:rsidRDefault="00D6403A" w:rsidP="00005134">
      <w:pPr>
        <w:pStyle w:val="Bullet1"/>
        <w:rPr>
          <w:lang w:val="en-GB"/>
        </w:rPr>
      </w:pPr>
      <w:r w:rsidRPr="00D6403A">
        <w:rPr>
          <w:lang w:val="en-GB"/>
        </w:rPr>
        <w:t xml:space="preserve">Implement Stillbirth CRE </w:t>
      </w:r>
      <w:hyperlink r:id="rId93" w:history="1">
        <w:r w:rsidRPr="00E177CD">
          <w:rPr>
            <w:rStyle w:val="Hyperlink"/>
            <w:lang w:val="en-GB"/>
          </w:rPr>
          <w:t>Smoking Cessation</w:t>
        </w:r>
      </w:hyperlink>
      <w:r w:rsidRPr="00D6403A">
        <w:rPr>
          <w:lang w:val="en-GB"/>
        </w:rPr>
        <w:t xml:space="preserve"> &lt;https://stillbirthcre.org.au/about-us/our-work/the-safer-baby-bundle/smoking-cessation/&gt; strategies including implementation of the 3-step Ask, Advise, Help model and referral processes.</w:t>
      </w:r>
    </w:p>
    <w:p w14:paraId="3525275E" w14:textId="4657BE4A" w:rsidR="00D6403A" w:rsidRPr="00D6403A" w:rsidRDefault="00D6403A" w:rsidP="00005134">
      <w:pPr>
        <w:pStyle w:val="Bullet1"/>
        <w:rPr>
          <w:lang w:val="en-GB"/>
        </w:rPr>
      </w:pPr>
      <w:r w:rsidRPr="00D6403A">
        <w:rPr>
          <w:lang w:val="en-GB"/>
        </w:rPr>
        <w:t xml:space="preserve">Encourage clinicians to complete the modules within the Stillbirth CRE </w:t>
      </w:r>
      <w:hyperlink r:id="rId94" w:history="1">
        <w:r w:rsidRPr="00E177CD">
          <w:rPr>
            <w:rStyle w:val="Hyperlink"/>
            <w:lang w:val="en-GB"/>
          </w:rPr>
          <w:t>Safer Baby Bundle E-learning</w:t>
        </w:r>
      </w:hyperlink>
      <w:r w:rsidRPr="00D6403A">
        <w:rPr>
          <w:lang w:val="en-GB"/>
        </w:rPr>
        <w:t xml:space="preserve"> &lt;https://learn.stillbirthcre.org.au&gt;.</w:t>
      </w:r>
    </w:p>
    <w:p w14:paraId="6D641777" w14:textId="7768FF2B" w:rsidR="00D6403A" w:rsidRPr="00D6403A" w:rsidRDefault="00D6403A" w:rsidP="00005134">
      <w:pPr>
        <w:pStyle w:val="Bullet1"/>
        <w:rPr>
          <w:lang w:val="en-GB"/>
        </w:rPr>
      </w:pPr>
      <w:r w:rsidRPr="00D6403A">
        <w:rPr>
          <w:lang w:val="en-GB"/>
        </w:rPr>
        <w:t xml:space="preserve">Provide individualised (written and verbal) information to pregnant women and their partners on benefits of quitting smoking. Resources for pregnant women include Safer Baby Bundle, which has translated resources, </w:t>
      </w:r>
      <w:hyperlink r:id="rId95" w:history="1">
        <w:r w:rsidRPr="00E177CD">
          <w:rPr>
            <w:rStyle w:val="Hyperlink"/>
            <w:lang w:val="en-GB"/>
          </w:rPr>
          <w:t>QuitLine</w:t>
        </w:r>
      </w:hyperlink>
      <w:r w:rsidRPr="00D6403A">
        <w:rPr>
          <w:lang w:val="en-GB"/>
        </w:rPr>
        <w:t xml:space="preserve"> &lt;https://www.quit.org.au&gt; and culturally appropriate resources for pregnant Aboriginal and Torres Strait Islander women from </w:t>
      </w:r>
      <w:hyperlink r:id="rId96" w:history="1">
        <w:r w:rsidRPr="00E177CD">
          <w:rPr>
            <w:rStyle w:val="Hyperlink"/>
            <w:lang w:val="en-GB"/>
          </w:rPr>
          <w:t>iSISTAQUIT</w:t>
        </w:r>
      </w:hyperlink>
      <w:r w:rsidRPr="00D6403A">
        <w:rPr>
          <w:lang w:val="en-GB"/>
        </w:rPr>
        <w:t xml:space="preserve"> &lt;https://isistaquit.org.au&gt;.</w:t>
      </w:r>
    </w:p>
    <w:p w14:paraId="33E513A9" w14:textId="77777777" w:rsidR="00D6403A" w:rsidRPr="00D6403A" w:rsidRDefault="00D6403A" w:rsidP="00005134">
      <w:pPr>
        <w:pStyle w:val="Bullet1"/>
        <w:rPr>
          <w:lang w:val="en-GB"/>
        </w:rPr>
      </w:pPr>
      <w:r w:rsidRPr="00D6403A">
        <w:rPr>
          <w:lang w:val="en-GB"/>
        </w:rPr>
        <w:t>Develop processes for accurately recording smoking status and the advice that is provided to women.</w:t>
      </w:r>
    </w:p>
    <w:p w14:paraId="5B902A92" w14:textId="77777777" w:rsidR="00E177CD" w:rsidRDefault="00E177CD">
      <w:pPr>
        <w:rPr>
          <w:b/>
          <w:bCs/>
          <w:color w:val="007586" w:themeColor="text2"/>
          <w:spacing w:val="2"/>
          <w:szCs w:val="18"/>
        </w:rPr>
      </w:pPr>
      <w:r>
        <w:br w:type="page"/>
      </w:r>
    </w:p>
    <w:p w14:paraId="02C901F3" w14:textId="44BDFD1A" w:rsidR="00D6403A" w:rsidRPr="00E177CD" w:rsidRDefault="00D6403A" w:rsidP="00E177CD">
      <w:pPr>
        <w:pStyle w:val="Tablechartdiagramheading"/>
      </w:pPr>
      <w:r w:rsidRPr="00D6403A">
        <w:lastRenderedPageBreak/>
        <w:t>Figure 46. Indicator 7: Rate of smoking cessation during pregnancy, 2021</w:t>
      </w:r>
    </w:p>
    <w:p w14:paraId="745C8491" w14:textId="6E647434" w:rsidR="00D6403A" w:rsidRPr="00D6403A" w:rsidRDefault="00E177CD" w:rsidP="00870C38">
      <w:pPr>
        <w:pStyle w:val="Tablechartdiagramheading"/>
      </w:pPr>
      <w:r>
        <w:rPr>
          <w:noProof/>
        </w:rPr>
        <w:drawing>
          <wp:inline distT="0" distB="0" distL="0" distR="0" wp14:anchorId="1ECAE49B" wp14:editId="06D6D171">
            <wp:extent cx="6476365" cy="5415915"/>
            <wp:effectExtent l="0" t="0" r="635" b="0"/>
            <wp:docPr id="51" name="Picture 51" descr="Bar chart for Indicator 7.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_46.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76365" cy="5415915"/>
                    </a:xfrm>
                    <a:prstGeom prst="rect">
                      <a:avLst/>
                    </a:prstGeom>
                  </pic:spPr>
                </pic:pic>
              </a:graphicData>
            </a:graphic>
          </wp:inline>
        </w:drawing>
      </w:r>
    </w:p>
    <w:p w14:paraId="606D0EF2" w14:textId="77777777" w:rsidR="00E177CD" w:rsidRDefault="00E177CD">
      <w:pPr>
        <w:rPr>
          <w:b/>
          <w:bCs/>
          <w:color w:val="007586" w:themeColor="text2"/>
          <w:spacing w:val="2"/>
          <w:szCs w:val="18"/>
        </w:rPr>
      </w:pPr>
      <w:r>
        <w:br w:type="page"/>
      </w:r>
    </w:p>
    <w:p w14:paraId="1C569ED9" w14:textId="6FD52EB0" w:rsidR="00D6403A" w:rsidRPr="00D6403A" w:rsidRDefault="00D6403A" w:rsidP="00870C38">
      <w:pPr>
        <w:pStyle w:val="Tablechartdiagramheading"/>
      </w:pPr>
      <w:r w:rsidRPr="00D6403A">
        <w:lastRenderedPageBreak/>
        <w:t>Figure 47. Funnel plot of the rate of smoking cessation during pregnancy, 2021</w:t>
      </w:r>
    </w:p>
    <w:p w14:paraId="4218B217" w14:textId="012F369B" w:rsidR="00D6403A" w:rsidRPr="00D6403A" w:rsidRDefault="00FF01B5" w:rsidP="00862996">
      <w:pPr>
        <w:rPr>
          <w:lang w:val="en-GB"/>
        </w:rPr>
      </w:pPr>
      <w:r>
        <w:rPr>
          <w:noProof/>
          <w:lang w:val="en-GB"/>
        </w:rPr>
        <w:drawing>
          <wp:inline distT="0" distB="0" distL="0" distR="0" wp14:anchorId="0B4E7F93" wp14:editId="504BCBD0">
            <wp:extent cx="6019800" cy="3416300"/>
            <wp:effectExtent l="0" t="0" r="0" b="0"/>
            <wp:docPr id="52" name="Picture 52"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_47.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019800" cy="3416300"/>
                    </a:xfrm>
                    <a:prstGeom prst="rect">
                      <a:avLst/>
                    </a:prstGeom>
                  </pic:spPr>
                </pic:pic>
              </a:graphicData>
            </a:graphic>
          </wp:inline>
        </w:drawing>
      </w:r>
    </w:p>
    <w:p w14:paraId="01808729"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48975F09" w14:textId="77777777" w:rsidR="00D6403A" w:rsidRPr="00D6403A" w:rsidRDefault="00D6403A" w:rsidP="00887B5A">
      <w:pPr>
        <w:pStyle w:val="Tablechartdiagramheading"/>
        <w:rPr>
          <w:lang w:val="en-GB"/>
        </w:rPr>
      </w:pPr>
      <w:r w:rsidRPr="00D6403A">
        <w:rPr>
          <w:lang w:val="en-GB"/>
        </w:rPr>
        <w:t>Table 16. Rate of smoking cessation during pregnancy, 2017–21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0FA011E9" w14:textId="77777777" w:rsidTr="00FF01B5">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7225C0AC" w14:textId="77777777" w:rsidR="00D6403A" w:rsidRPr="00FF01B5" w:rsidRDefault="00D6403A" w:rsidP="00FF01B5">
            <w:pPr>
              <w:pStyle w:val="Tableheader"/>
              <w:jc w:val="right"/>
              <w:rPr>
                <w:b/>
              </w:rPr>
            </w:pPr>
          </w:p>
        </w:tc>
        <w:tc>
          <w:tcPr>
            <w:cnfStyle w:val="000001000000" w:firstRow="0" w:lastRow="0" w:firstColumn="0" w:lastColumn="0" w:oddVBand="0" w:evenVBand="1" w:oddHBand="0" w:evenHBand="0" w:firstRowFirstColumn="0" w:firstRowLastColumn="0" w:lastRowFirstColumn="0" w:lastRowLastColumn="0"/>
            <w:tcW w:w="737" w:type="dxa"/>
          </w:tcPr>
          <w:p w14:paraId="2D5D6F9C" w14:textId="77777777" w:rsidR="00D6403A" w:rsidRPr="00FF01B5" w:rsidRDefault="00D6403A" w:rsidP="00FF01B5">
            <w:pPr>
              <w:pStyle w:val="Tableheader"/>
              <w:jc w:val="right"/>
              <w:rPr>
                <w:b/>
              </w:rPr>
            </w:pPr>
            <w:r w:rsidRPr="00FF01B5">
              <w:rPr>
                <w:b/>
              </w:rPr>
              <w:t>2017</w:t>
            </w:r>
          </w:p>
        </w:tc>
        <w:tc>
          <w:tcPr>
            <w:cnfStyle w:val="000010000000" w:firstRow="0" w:lastRow="0" w:firstColumn="0" w:lastColumn="0" w:oddVBand="1" w:evenVBand="0" w:oddHBand="0" w:evenHBand="0" w:firstRowFirstColumn="0" w:firstRowLastColumn="0" w:lastRowFirstColumn="0" w:lastRowLastColumn="0"/>
            <w:tcW w:w="737" w:type="dxa"/>
          </w:tcPr>
          <w:p w14:paraId="748F8784" w14:textId="77777777" w:rsidR="00D6403A" w:rsidRPr="00FF01B5" w:rsidRDefault="00D6403A" w:rsidP="00FF01B5">
            <w:pPr>
              <w:pStyle w:val="Tableheader"/>
              <w:jc w:val="right"/>
              <w:rPr>
                <w:b/>
              </w:rPr>
            </w:pPr>
            <w:r w:rsidRPr="00FF01B5">
              <w:rPr>
                <w:b/>
              </w:rPr>
              <w:t>2018</w:t>
            </w:r>
          </w:p>
        </w:tc>
        <w:tc>
          <w:tcPr>
            <w:cnfStyle w:val="000001000000" w:firstRow="0" w:lastRow="0" w:firstColumn="0" w:lastColumn="0" w:oddVBand="0" w:evenVBand="1" w:oddHBand="0" w:evenHBand="0" w:firstRowFirstColumn="0" w:firstRowLastColumn="0" w:lastRowFirstColumn="0" w:lastRowLastColumn="0"/>
            <w:tcW w:w="737" w:type="dxa"/>
          </w:tcPr>
          <w:p w14:paraId="414EB69C" w14:textId="77777777" w:rsidR="00D6403A" w:rsidRPr="00FF01B5" w:rsidRDefault="00D6403A" w:rsidP="00FF01B5">
            <w:pPr>
              <w:pStyle w:val="Tableheader"/>
              <w:jc w:val="right"/>
              <w:rPr>
                <w:b/>
              </w:rPr>
            </w:pPr>
            <w:r w:rsidRPr="00FF01B5">
              <w:rPr>
                <w:b/>
              </w:rPr>
              <w:t>2019</w:t>
            </w:r>
          </w:p>
        </w:tc>
        <w:tc>
          <w:tcPr>
            <w:cnfStyle w:val="000010000000" w:firstRow="0" w:lastRow="0" w:firstColumn="0" w:lastColumn="0" w:oddVBand="1" w:evenVBand="0" w:oddHBand="0" w:evenHBand="0" w:firstRowFirstColumn="0" w:firstRowLastColumn="0" w:lastRowFirstColumn="0" w:lastRowLastColumn="0"/>
            <w:tcW w:w="737" w:type="dxa"/>
          </w:tcPr>
          <w:p w14:paraId="03C048A1" w14:textId="77777777" w:rsidR="00D6403A" w:rsidRPr="00FF01B5" w:rsidRDefault="00D6403A" w:rsidP="00FF01B5">
            <w:pPr>
              <w:pStyle w:val="Tableheader"/>
              <w:jc w:val="right"/>
              <w:rPr>
                <w:b/>
              </w:rPr>
            </w:pPr>
            <w:r w:rsidRPr="00FF01B5">
              <w:rPr>
                <w:b/>
              </w:rPr>
              <w:t>2020</w:t>
            </w:r>
          </w:p>
        </w:tc>
        <w:tc>
          <w:tcPr>
            <w:cnfStyle w:val="000001000000" w:firstRow="0" w:lastRow="0" w:firstColumn="0" w:lastColumn="0" w:oddVBand="0" w:evenVBand="1" w:oddHBand="0" w:evenHBand="0" w:firstRowFirstColumn="0" w:firstRowLastColumn="0" w:lastRowFirstColumn="0" w:lastRowLastColumn="0"/>
            <w:tcW w:w="737" w:type="dxa"/>
          </w:tcPr>
          <w:p w14:paraId="02AF06AF" w14:textId="77777777" w:rsidR="00D6403A" w:rsidRPr="00FF01B5" w:rsidRDefault="00D6403A" w:rsidP="00FF01B5">
            <w:pPr>
              <w:pStyle w:val="Tableheader"/>
              <w:jc w:val="right"/>
              <w:rPr>
                <w:b/>
              </w:rPr>
            </w:pPr>
            <w:r w:rsidRPr="00FF01B5">
              <w:rPr>
                <w:b/>
              </w:rPr>
              <w:t>2021</w:t>
            </w:r>
          </w:p>
        </w:tc>
      </w:tr>
      <w:tr w:rsidR="00D6403A" w:rsidRPr="00D6403A" w14:paraId="33155320" w14:textId="77777777" w:rsidTr="00FF01B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0ADBE32E" w14:textId="06B8BC15" w:rsidR="00D6403A" w:rsidRPr="00FF01B5" w:rsidRDefault="00D6403A" w:rsidP="00FF01B5">
            <w:pPr>
              <w:pStyle w:val="Tabletext"/>
              <w:jc w:val="left"/>
              <w:rPr>
                <w:b/>
              </w:rPr>
            </w:pPr>
            <w:r w:rsidRPr="00FF01B5">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30A7036D" w14:textId="77777777" w:rsidR="00D6403A" w:rsidRPr="00FF01B5" w:rsidRDefault="00D6403A" w:rsidP="00FF01B5">
            <w:pPr>
              <w:pStyle w:val="Tabletext"/>
            </w:pPr>
            <w:r w:rsidRPr="00FF01B5">
              <w:t>25.5%</w:t>
            </w:r>
          </w:p>
        </w:tc>
        <w:tc>
          <w:tcPr>
            <w:cnfStyle w:val="000010000000" w:firstRow="0" w:lastRow="0" w:firstColumn="0" w:lastColumn="0" w:oddVBand="1" w:evenVBand="0" w:oddHBand="0" w:evenHBand="0" w:firstRowFirstColumn="0" w:firstRowLastColumn="0" w:lastRowFirstColumn="0" w:lastRowLastColumn="0"/>
            <w:tcW w:w="737" w:type="dxa"/>
          </w:tcPr>
          <w:p w14:paraId="123B2A6B" w14:textId="77777777" w:rsidR="00D6403A" w:rsidRPr="00FF01B5" w:rsidRDefault="00D6403A" w:rsidP="00FF01B5">
            <w:pPr>
              <w:pStyle w:val="Tabletext"/>
            </w:pPr>
            <w:r w:rsidRPr="00FF01B5">
              <w:t>26.6%</w:t>
            </w:r>
          </w:p>
        </w:tc>
        <w:tc>
          <w:tcPr>
            <w:cnfStyle w:val="000001000000" w:firstRow="0" w:lastRow="0" w:firstColumn="0" w:lastColumn="0" w:oddVBand="0" w:evenVBand="1" w:oddHBand="0" w:evenHBand="0" w:firstRowFirstColumn="0" w:firstRowLastColumn="0" w:lastRowFirstColumn="0" w:lastRowLastColumn="0"/>
            <w:tcW w:w="737" w:type="dxa"/>
          </w:tcPr>
          <w:p w14:paraId="02D6F8BB" w14:textId="77777777" w:rsidR="00D6403A" w:rsidRPr="00FF01B5" w:rsidRDefault="00D6403A" w:rsidP="00FF01B5">
            <w:pPr>
              <w:pStyle w:val="Tabletext"/>
            </w:pPr>
            <w:r w:rsidRPr="00FF01B5">
              <w:t>26.8%</w:t>
            </w:r>
          </w:p>
        </w:tc>
        <w:tc>
          <w:tcPr>
            <w:cnfStyle w:val="000010000000" w:firstRow="0" w:lastRow="0" w:firstColumn="0" w:lastColumn="0" w:oddVBand="1" w:evenVBand="0" w:oddHBand="0" w:evenHBand="0" w:firstRowFirstColumn="0" w:firstRowLastColumn="0" w:lastRowFirstColumn="0" w:lastRowLastColumn="0"/>
            <w:tcW w:w="737" w:type="dxa"/>
          </w:tcPr>
          <w:p w14:paraId="0C10D7B5" w14:textId="77777777" w:rsidR="00D6403A" w:rsidRPr="00FF01B5" w:rsidRDefault="00D6403A" w:rsidP="00FF01B5">
            <w:pPr>
              <w:pStyle w:val="Tabletext"/>
            </w:pPr>
            <w:r w:rsidRPr="00FF01B5">
              <w:t>32.6%</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7D2FEFF4" w14:textId="77777777" w:rsidR="00D6403A" w:rsidRPr="00FF01B5" w:rsidRDefault="00D6403A" w:rsidP="00FF01B5">
            <w:pPr>
              <w:pStyle w:val="Tabletext"/>
            </w:pPr>
            <w:r w:rsidRPr="00FF01B5">
              <w:t>30.5%</w:t>
            </w:r>
          </w:p>
        </w:tc>
      </w:tr>
      <w:tr w:rsidR="00D6403A" w:rsidRPr="00D6403A" w14:paraId="3105FAB1" w14:textId="77777777" w:rsidTr="00FF01B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422C81E" w14:textId="374DB514" w:rsidR="00D6403A" w:rsidRPr="00FF01B5" w:rsidRDefault="00D6403A" w:rsidP="00FF01B5">
            <w:pPr>
              <w:pStyle w:val="Tabletext"/>
              <w:jc w:val="left"/>
              <w:rPr>
                <w:b/>
              </w:rPr>
            </w:pPr>
            <w:r w:rsidRPr="00FF01B5">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55640A67" w14:textId="77777777" w:rsidR="00D6403A" w:rsidRPr="00FF01B5" w:rsidRDefault="00D6403A" w:rsidP="00FF01B5">
            <w:pPr>
              <w:pStyle w:val="Tabletext"/>
            </w:pPr>
            <w:r w:rsidRPr="00FF01B5">
              <w:t>65.2%</w:t>
            </w:r>
          </w:p>
        </w:tc>
        <w:tc>
          <w:tcPr>
            <w:cnfStyle w:val="000010000000" w:firstRow="0" w:lastRow="0" w:firstColumn="0" w:lastColumn="0" w:oddVBand="1" w:evenVBand="0" w:oddHBand="0" w:evenHBand="0" w:firstRowFirstColumn="0" w:firstRowLastColumn="0" w:lastRowFirstColumn="0" w:lastRowLastColumn="0"/>
            <w:tcW w:w="737" w:type="dxa"/>
          </w:tcPr>
          <w:p w14:paraId="79EFF3A5" w14:textId="77777777" w:rsidR="00D6403A" w:rsidRPr="00FF01B5" w:rsidRDefault="00D6403A" w:rsidP="00FF01B5">
            <w:pPr>
              <w:pStyle w:val="Tabletext"/>
            </w:pPr>
            <w:r w:rsidRPr="00FF01B5">
              <w:t>60.3%</w:t>
            </w:r>
          </w:p>
        </w:tc>
        <w:tc>
          <w:tcPr>
            <w:cnfStyle w:val="000001000000" w:firstRow="0" w:lastRow="0" w:firstColumn="0" w:lastColumn="0" w:oddVBand="0" w:evenVBand="1" w:oddHBand="0" w:evenHBand="0" w:firstRowFirstColumn="0" w:firstRowLastColumn="0" w:lastRowFirstColumn="0" w:lastRowLastColumn="0"/>
            <w:tcW w:w="737" w:type="dxa"/>
          </w:tcPr>
          <w:p w14:paraId="0563062B" w14:textId="77777777" w:rsidR="00D6403A" w:rsidRPr="00FF01B5" w:rsidRDefault="00D6403A" w:rsidP="00FF01B5">
            <w:pPr>
              <w:pStyle w:val="Tabletext"/>
            </w:pPr>
            <w:r w:rsidRPr="00FF01B5">
              <w:t>59.3%</w:t>
            </w:r>
          </w:p>
        </w:tc>
        <w:tc>
          <w:tcPr>
            <w:cnfStyle w:val="000010000000" w:firstRow="0" w:lastRow="0" w:firstColumn="0" w:lastColumn="0" w:oddVBand="1" w:evenVBand="0" w:oddHBand="0" w:evenHBand="0" w:firstRowFirstColumn="0" w:firstRowLastColumn="0" w:lastRowFirstColumn="0" w:lastRowLastColumn="0"/>
            <w:tcW w:w="737" w:type="dxa"/>
          </w:tcPr>
          <w:p w14:paraId="42F05199" w14:textId="77777777" w:rsidR="00D6403A" w:rsidRPr="00FF01B5" w:rsidRDefault="00D6403A" w:rsidP="00FF01B5">
            <w:pPr>
              <w:pStyle w:val="Tabletext"/>
            </w:pPr>
            <w:r w:rsidRPr="00FF01B5">
              <w:t>64.0%</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18773A58" w14:textId="77777777" w:rsidR="00D6403A" w:rsidRPr="00FF01B5" w:rsidRDefault="00D6403A" w:rsidP="00FF01B5">
            <w:pPr>
              <w:pStyle w:val="Tabletext"/>
            </w:pPr>
            <w:r w:rsidRPr="00FF01B5">
              <w:t>57.3%</w:t>
            </w:r>
          </w:p>
        </w:tc>
      </w:tr>
      <w:tr w:rsidR="00D6403A" w:rsidRPr="00D6403A" w14:paraId="25BE1023" w14:textId="77777777" w:rsidTr="00FF01B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4D6F1F08" w14:textId="1C9EF2A9" w:rsidR="00D6403A" w:rsidRPr="00FF01B5" w:rsidRDefault="00D6403A" w:rsidP="00FF01B5">
            <w:pPr>
              <w:pStyle w:val="Tabletext"/>
              <w:jc w:val="left"/>
              <w:rPr>
                <w:b/>
              </w:rPr>
            </w:pPr>
            <w:r w:rsidRPr="00FF01B5">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3B0661BB" w14:textId="77777777" w:rsidR="00D6403A" w:rsidRPr="00FF01B5" w:rsidRDefault="00D6403A" w:rsidP="00FF01B5">
            <w:pPr>
              <w:pStyle w:val="Tabletext"/>
            </w:pPr>
            <w:r w:rsidRPr="00FF01B5">
              <w:t>27.1%</w:t>
            </w:r>
          </w:p>
        </w:tc>
        <w:tc>
          <w:tcPr>
            <w:cnfStyle w:val="000010000000" w:firstRow="0" w:lastRow="0" w:firstColumn="0" w:lastColumn="0" w:oddVBand="1" w:evenVBand="0" w:oddHBand="0" w:evenHBand="0" w:firstRowFirstColumn="0" w:firstRowLastColumn="0" w:lastRowFirstColumn="0" w:lastRowLastColumn="0"/>
            <w:tcW w:w="737" w:type="dxa"/>
          </w:tcPr>
          <w:p w14:paraId="7EE00504" w14:textId="77777777" w:rsidR="00D6403A" w:rsidRPr="00FF01B5" w:rsidRDefault="00D6403A" w:rsidP="00FF01B5">
            <w:pPr>
              <w:pStyle w:val="Tabletext"/>
            </w:pPr>
            <w:r w:rsidRPr="00FF01B5">
              <w:t>28.0%</w:t>
            </w:r>
          </w:p>
        </w:tc>
        <w:tc>
          <w:tcPr>
            <w:cnfStyle w:val="000001000000" w:firstRow="0" w:lastRow="0" w:firstColumn="0" w:lastColumn="0" w:oddVBand="0" w:evenVBand="1" w:oddHBand="0" w:evenHBand="0" w:firstRowFirstColumn="0" w:firstRowLastColumn="0" w:lastRowFirstColumn="0" w:lastRowLastColumn="0"/>
            <w:tcW w:w="737" w:type="dxa"/>
          </w:tcPr>
          <w:p w14:paraId="732D7298" w14:textId="77777777" w:rsidR="00D6403A" w:rsidRPr="00FF01B5" w:rsidRDefault="00D6403A" w:rsidP="00FF01B5">
            <w:pPr>
              <w:pStyle w:val="Tabletext"/>
            </w:pPr>
            <w:r w:rsidRPr="00FF01B5">
              <w:t>28.0%</w:t>
            </w:r>
          </w:p>
        </w:tc>
        <w:tc>
          <w:tcPr>
            <w:cnfStyle w:val="000010000000" w:firstRow="0" w:lastRow="0" w:firstColumn="0" w:lastColumn="0" w:oddVBand="1" w:evenVBand="0" w:oddHBand="0" w:evenHBand="0" w:firstRowFirstColumn="0" w:firstRowLastColumn="0" w:lastRowFirstColumn="0" w:lastRowLastColumn="0"/>
            <w:tcW w:w="737" w:type="dxa"/>
          </w:tcPr>
          <w:p w14:paraId="31923312" w14:textId="77777777" w:rsidR="00D6403A" w:rsidRPr="00FF01B5" w:rsidRDefault="00D6403A" w:rsidP="00FF01B5">
            <w:pPr>
              <w:pStyle w:val="Tabletext"/>
            </w:pPr>
            <w:r w:rsidRPr="00FF01B5">
              <w:t>33.5%</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50BE0B23" w14:textId="77777777" w:rsidR="00D6403A" w:rsidRPr="00FF01B5" w:rsidRDefault="00D6403A" w:rsidP="00FF01B5">
            <w:pPr>
              <w:pStyle w:val="Tabletext"/>
            </w:pPr>
            <w:r w:rsidRPr="00FF01B5">
              <w:t>31.4%</w:t>
            </w:r>
          </w:p>
        </w:tc>
      </w:tr>
    </w:tbl>
    <w:p w14:paraId="032FEE32" w14:textId="77777777" w:rsidR="00D6403A" w:rsidRPr="00D6403A" w:rsidRDefault="00D6403A" w:rsidP="00870C38">
      <w:pPr>
        <w:pStyle w:val="Tablechartdiagramheading"/>
      </w:pPr>
      <w:r w:rsidRPr="00D6403A">
        <w:t>Figure 48. Time trend of Indicator 7, 2017–2021</w:t>
      </w:r>
    </w:p>
    <w:p w14:paraId="648C6219" w14:textId="7D891EF9" w:rsidR="00D6403A" w:rsidRPr="00D6403A" w:rsidRDefault="00FF01B5" w:rsidP="00862996">
      <w:pPr>
        <w:rPr>
          <w:lang w:val="en-GB"/>
        </w:rPr>
      </w:pPr>
      <w:r>
        <w:rPr>
          <w:noProof/>
          <w:lang w:val="en-GB"/>
        </w:rPr>
        <w:drawing>
          <wp:inline distT="0" distB="0" distL="0" distR="0" wp14:anchorId="10762761" wp14:editId="6F2DEF8C">
            <wp:extent cx="3098800" cy="1295400"/>
            <wp:effectExtent l="0" t="0" r="0" b="0"/>
            <wp:docPr id="53" name="Picture 53" descr="Line chart of Table 16 indicator 7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_48.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789C42BA" w14:textId="77777777" w:rsidR="00D6403A" w:rsidRPr="00D6403A" w:rsidRDefault="00D6403A" w:rsidP="005939CC">
      <w:pPr>
        <w:pStyle w:val="Heading2"/>
        <w:rPr>
          <w:lang w:val="en-GB"/>
        </w:rPr>
      </w:pPr>
      <w:bookmarkStart w:id="60" w:name="_Toc159326618"/>
      <w:r w:rsidRPr="00D6403A">
        <w:rPr>
          <w:lang w:val="en-GB"/>
        </w:rPr>
        <w:lastRenderedPageBreak/>
        <w:t>Definition and data source</w:t>
      </w:r>
      <w:bookmarkEnd w:id="60"/>
    </w:p>
    <w:p w14:paraId="1DB8DE1F" w14:textId="77777777" w:rsidR="00D6403A" w:rsidRPr="00D6403A" w:rsidRDefault="00D6403A" w:rsidP="008340E5">
      <w:pPr>
        <w:pStyle w:val="Heading3"/>
        <w:rPr>
          <w:lang w:val="en-GB"/>
        </w:rPr>
      </w:pPr>
      <w:r w:rsidRPr="00D6403A">
        <w:rPr>
          <w:lang w:val="en-GB"/>
        </w:rPr>
        <w:t>Definition</w:t>
      </w:r>
    </w:p>
    <w:p w14:paraId="582E0B2D" w14:textId="77777777" w:rsidR="00D6403A" w:rsidRPr="00D6403A" w:rsidRDefault="00D6403A" w:rsidP="00005134">
      <w:pPr>
        <w:rPr>
          <w:lang w:val="en-GB"/>
        </w:rPr>
      </w:pPr>
      <w:r w:rsidRPr="00D6403A">
        <w:rPr>
          <w:lang w:val="en-GB"/>
        </w:rPr>
        <w:t>The percentage of women who were reported as not smoking at or after 20 weeks’ gestation among those who were reported as having smoked before 20 weeks. Women who were reported as not smoking before 20 weeks and women whose smoking status before 20 weeks was missing are excluded from the denominator. Women whose smoking status at 20 or more weeks was not reported are included in</w:t>
      </w:r>
      <w:r w:rsidRPr="00D6403A">
        <w:rPr>
          <w:rFonts w:ascii="Cambria" w:hAnsi="Cambria" w:cs="Cambria"/>
          <w:color w:val="000000"/>
          <w:lang w:val="en-GB"/>
        </w:rPr>
        <w:t> </w:t>
      </w:r>
      <w:r w:rsidRPr="00D6403A">
        <w:rPr>
          <w:lang w:val="en-GB"/>
        </w:rPr>
        <w:t>the</w:t>
      </w:r>
      <w:r w:rsidRPr="00D6403A">
        <w:rPr>
          <w:rFonts w:ascii="Cambria" w:hAnsi="Cambria" w:cs="Cambria"/>
          <w:color w:val="000000"/>
          <w:lang w:val="en-GB"/>
        </w:rPr>
        <w:t> </w:t>
      </w:r>
      <w:r w:rsidRPr="00D6403A">
        <w:rPr>
          <w:lang w:val="en-GB"/>
        </w:rPr>
        <w:t>denominator.</w:t>
      </w:r>
    </w:p>
    <w:p w14:paraId="796F94DC" w14:textId="239F571C" w:rsidR="00D6403A" w:rsidRPr="00D6403A" w:rsidRDefault="00D6403A" w:rsidP="00862996">
      <w:pPr>
        <w:rPr>
          <w:lang w:val="en-GB"/>
        </w:rPr>
      </w:pPr>
      <w:r w:rsidRPr="00D6403A">
        <w:rPr>
          <w:lang w:val="en-GB"/>
        </w:rPr>
        <w:t>Services with fewer than 10 women who reported as having smoked before 20 weeks’ gestation are excluded from public reporting.</w:t>
      </w:r>
    </w:p>
    <w:p w14:paraId="48AEC21E" w14:textId="77777777" w:rsidR="00D6403A" w:rsidRPr="00D6403A" w:rsidRDefault="00D6403A" w:rsidP="008340E5">
      <w:pPr>
        <w:pStyle w:val="Heading3"/>
        <w:rPr>
          <w:lang w:val="en-GB"/>
        </w:rPr>
      </w:pPr>
      <w:r w:rsidRPr="00D6403A">
        <w:rPr>
          <w:lang w:val="en-GB"/>
        </w:rPr>
        <w:t>Data source: Victorian Perinatal Data Collection</w:t>
      </w:r>
    </w:p>
    <w:p w14:paraId="7359DF06" w14:textId="77777777" w:rsidR="00D6403A" w:rsidRPr="00D6403A" w:rsidRDefault="00D6403A" w:rsidP="00D6403A">
      <w:pPr>
        <w:rPr>
          <w:lang w:val="en-GB"/>
        </w:rPr>
      </w:pPr>
      <w:r w:rsidRPr="00D6403A">
        <w:t>Data for this indicator is sourced from the VPDC for the calendar year from 1 January 2021 to</w:t>
      </w:r>
      <w:r w:rsidRPr="00D6403A">
        <w:rPr>
          <w:rFonts w:ascii="Cambria" w:hAnsi="Cambria" w:cs="Cambria"/>
          <w:lang w:val="en-GB"/>
        </w:rPr>
        <w:t> </w:t>
      </w:r>
      <w:r w:rsidRPr="00D6403A">
        <w:t>31</w:t>
      </w:r>
      <w:r w:rsidRPr="00D6403A">
        <w:rPr>
          <w:rFonts w:ascii="Cambria" w:hAnsi="Cambria" w:cs="Cambria"/>
          <w:lang w:val="en-GB"/>
        </w:rPr>
        <w:t> </w:t>
      </w:r>
      <w:r w:rsidRPr="00D6403A">
        <w:rPr>
          <w:lang w:val="en-GB"/>
        </w:rPr>
        <w:t>December 2021.</w:t>
      </w:r>
    </w:p>
    <w:p w14:paraId="59CDD91F" w14:textId="77777777" w:rsidR="00D6403A" w:rsidRPr="00D6403A" w:rsidRDefault="00D6403A" w:rsidP="00D6403A">
      <w:r w:rsidRPr="00D6403A">
        <w:rPr>
          <w:lang w:val="en-GB"/>
        </w:rPr>
        <w:t>This indicator is derived using the following VPDC variables: ‘Estimated gestational age’, ‘Birthweight’, ‘Birth order’, ‘Maternal smoking at less than 20 weeks’ and ‘Maternal smoking at more than or equal to</w:t>
      </w:r>
      <w:r w:rsidRPr="00D6403A">
        <w:rPr>
          <w:rFonts w:ascii="Cambria" w:hAnsi="Cambria" w:cs="Cambria"/>
          <w:lang w:val="en-GB"/>
        </w:rPr>
        <w:t> </w:t>
      </w:r>
      <w:r w:rsidRPr="00D6403A">
        <w:t>20 weeks’.</w:t>
      </w:r>
    </w:p>
    <w:p w14:paraId="490F627D"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6992D4B7" w14:textId="77777777" w:rsidTr="00FF01B5">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6E422249" w14:textId="77777777" w:rsidR="00D6403A" w:rsidRPr="00D6403A" w:rsidRDefault="00D6403A" w:rsidP="00FF01B5">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7A2A324B" w14:textId="77777777" w:rsidR="00D6403A" w:rsidRPr="00D6403A" w:rsidRDefault="00D6403A" w:rsidP="00FF01B5">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3FD8571D" w14:textId="77777777" w:rsidR="00D6403A" w:rsidRPr="00D6403A" w:rsidRDefault="00D6403A" w:rsidP="00FF01B5">
            <w:pPr>
              <w:pStyle w:val="Tableheader"/>
              <w:rPr>
                <w:b/>
                <w:lang w:val="en-GB"/>
              </w:rPr>
            </w:pPr>
            <w:r w:rsidRPr="00D6403A">
              <w:rPr>
                <w:b/>
                <w:lang w:val="en-GB"/>
              </w:rPr>
              <w:t>Denominator</w:t>
            </w:r>
          </w:p>
        </w:tc>
      </w:tr>
      <w:tr w:rsidR="00D6403A" w:rsidRPr="00D6403A" w14:paraId="47620C62" w14:textId="77777777" w:rsidTr="00FF01B5">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40F760E0" w14:textId="77777777" w:rsidR="00D6403A" w:rsidRPr="00FF01B5" w:rsidRDefault="00D6403A" w:rsidP="00FF01B5">
            <w:pPr>
              <w:pStyle w:val="Tabletext"/>
              <w:jc w:val="left"/>
              <w:rPr>
                <w:b/>
                <w:lang w:val="en-GB"/>
              </w:rPr>
            </w:pPr>
            <w:r w:rsidRPr="00FF01B5">
              <w:rPr>
                <w:b/>
                <w:lang w:val="en-GB"/>
              </w:rPr>
              <w:t>Indicator 7: Rate of smoking cessation during pregnancy</w:t>
            </w:r>
          </w:p>
        </w:tc>
        <w:tc>
          <w:tcPr>
            <w:cnfStyle w:val="000001000000" w:firstRow="0" w:lastRow="0" w:firstColumn="0" w:lastColumn="0" w:oddVBand="0" w:evenVBand="1" w:oddHBand="0" w:evenHBand="0" w:firstRowFirstColumn="0" w:firstRowLastColumn="0" w:lastRowFirstColumn="0" w:lastRowLastColumn="0"/>
            <w:tcW w:w="3401" w:type="dxa"/>
          </w:tcPr>
          <w:p w14:paraId="6D4C3688" w14:textId="77777777" w:rsidR="00D6403A" w:rsidRPr="00D6403A" w:rsidRDefault="00D6403A" w:rsidP="00FF01B5">
            <w:pPr>
              <w:pStyle w:val="Tabletext"/>
              <w:jc w:val="left"/>
              <w:rPr>
                <w:lang w:val="en-US"/>
              </w:rPr>
            </w:pPr>
            <w:r w:rsidRPr="00D6403A">
              <w:rPr>
                <w:lang w:val="en-US"/>
              </w:rPr>
              <w:t>The number of women who were reported as having not smoked at or after 20 weeks’ gestation among those who smoked before 20 weeks</w:t>
            </w:r>
          </w:p>
        </w:tc>
        <w:tc>
          <w:tcPr>
            <w:cnfStyle w:val="000010000000" w:firstRow="0" w:lastRow="0" w:firstColumn="0" w:lastColumn="0" w:oddVBand="1" w:evenVBand="0" w:oddHBand="0" w:evenHBand="0" w:firstRowFirstColumn="0" w:firstRowLastColumn="0" w:lastRowFirstColumn="0" w:lastRowLastColumn="0"/>
            <w:tcW w:w="3402" w:type="dxa"/>
          </w:tcPr>
          <w:p w14:paraId="1FD4F259" w14:textId="77777777" w:rsidR="00D6403A" w:rsidRPr="00D6403A" w:rsidRDefault="00D6403A" w:rsidP="00FF01B5">
            <w:pPr>
              <w:pStyle w:val="Tabletext"/>
              <w:jc w:val="left"/>
              <w:rPr>
                <w:lang w:val="en-US"/>
              </w:rPr>
            </w:pPr>
            <w:r w:rsidRPr="00D6403A">
              <w:rPr>
                <w:lang w:val="en-US"/>
              </w:rPr>
              <w:t>The number of women who smoked before 20 weeks’ gestation</w:t>
            </w:r>
          </w:p>
        </w:tc>
      </w:tr>
    </w:tbl>
    <w:p w14:paraId="2CD995B1" w14:textId="77777777" w:rsidR="00FF01B5" w:rsidRDefault="00FF01B5" w:rsidP="00FF01B5">
      <w:pPr>
        <w:pStyle w:val="Heading2"/>
        <w:rPr>
          <w:lang w:val="en-GB"/>
        </w:rPr>
        <w:sectPr w:rsidR="00FF01B5" w:rsidSect="004D6F5F">
          <w:pgSz w:w="11901" w:h="16817" w:code="9"/>
          <w:pgMar w:top="3402" w:right="851" w:bottom="1361" w:left="851" w:header="539" w:footer="624" w:gutter="0"/>
          <w:cols w:space="284"/>
          <w:docGrid w:linePitch="360" w:charSpace="46114"/>
        </w:sectPr>
      </w:pPr>
      <w:bookmarkStart w:id="61" w:name="_Toc159326619"/>
    </w:p>
    <w:p w14:paraId="22F47927" w14:textId="497872D1" w:rsidR="00D6403A" w:rsidRPr="00D6403A" w:rsidRDefault="00D6403A" w:rsidP="00FF01B5">
      <w:pPr>
        <w:pStyle w:val="Heading1"/>
        <w:framePr w:wrap="around"/>
        <w:rPr>
          <w:lang w:val="en-GB"/>
        </w:rPr>
      </w:pPr>
      <w:r w:rsidRPr="00D6403A">
        <w:rPr>
          <w:lang w:val="en-GB"/>
        </w:rPr>
        <w:lastRenderedPageBreak/>
        <w:t>8a, 8b and 8c: Breastfeeding in hospital</w:t>
      </w:r>
      <w:bookmarkEnd w:id="61"/>
    </w:p>
    <w:p w14:paraId="6ACE68F4" w14:textId="32DD9D1F" w:rsidR="00D6403A" w:rsidRPr="00D6403A" w:rsidRDefault="00D6403A" w:rsidP="00D64F24">
      <w:pPr>
        <w:pStyle w:val="IntroductoryText"/>
        <w:rPr>
          <w:lang w:val="en-GB"/>
        </w:rPr>
      </w:pPr>
      <w:r w:rsidRPr="00D64F24">
        <w:t>The health benefits for women and their babies associated with breastfeeding are well-established. Breastfeeding helps reduce the risks of infections, diabetes and obesity in babies and is protective for mothers against diabetes and breast and ovarian cancer.</w:t>
      </w:r>
      <w:r w:rsidRPr="00D6403A">
        <w:rPr>
          <w:vertAlign w:val="superscript"/>
          <w:lang w:val="en-GB"/>
        </w:rPr>
        <w:footnoteReference w:id="7"/>
      </w:r>
      <w:r w:rsidRPr="00D64F24">
        <w:t xml:space="preserve"> Breastfeeding also reduced the risk of sudden unexpected death in infancy.</w:t>
      </w:r>
      <w:r w:rsidRPr="00D6403A">
        <w:rPr>
          <w:vertAlign w:val="superscript"/>
          <w:lang w:val="en-GB"/>
        </w:rPr>
        <w:footnoteReference w:id="8"/>
      </w:r>
      <w:r w:rsidRPr="00D64F24">
        <w:t xml:space="preserve"> Monitoring indicators of breastfeeding practices is important to</w:t>
      </w:r>
      <w:r w:rsidRPr="00D6403A">
        <w:rPr>
          <w:rFonts w:ascii="Cambria" w:hAnsi="Cambria" w:cs="Cambria"/>
          <w:lang w:val="en-GB"/>
        </w:rPr>
        <w:t> </w:t>
      </w:r>
      <w:r w:rsidRPr="00D6403A">
        <w:rPr>
          <w:lang w:val="en-GB"/>
        </w:rPr>
        <w:t>protect and evaluate progress of breastfeeding promotion efforts.</w:t>
      </w:r>
    </w:p>
    <w:p w14:paraId="0B9D3A20" w14:textId="77777777" w:rsidR="00D6403A" w:rsidRPr="00D6403A" w:rsidRDefault="00D6403A" w:rsidP="005939CC">
      <w:pPr>
        <w:pStyle w:val="Heading2"/>
        <w:rPr>
          <w:lang w:val="en-GB"/>
        </w:rPr>
      </w:pPr>
      <w:bookmarkStart w:id="62" w:name="_Toc159326620"/>
      <w:r w:rsidRPr="00D6403A">
        <w:rPr>
          <w:lang w:val="en-GB"/>
        </w:rPr>
        <w:t>About this indicator</w:t>
      </w:r>
      <w:bookmarkEnd w:id="62"/>
    </w:p>
    <w:p w14:paraId="29CB9D3E" w14:textId="77777777" w:rsidR="00D6403A" w:rsidRPr="00D6403A" w:rsidRDefault="00D6403A" w:rsidP="00862996">
      <w:pPr>
        <w:rPr>
          <w:lang w:val="en-GB"/>
        </w:rPr>
      </w:pPr>
      <w:r w:rsidRPr="00D6403A">
        <w:rPr>
          <w:lang w:val="en-GB"/>
        </w:rPr>
        <w:t>These indicators assess the initiation of breastfeeding in Victorian hospitals during the birthing episode (hospital admission only), namely:</w:t>
      </w:r>
    </w:p>
    <w:p w14:paraId="035C0F2C" w14:textId="77777777" w:rsidR="00D6403A" w:rsidRPr="00D6403A" w:rsidRDefault="00D6403A" w:rsidP="00005134">
      <w:pPr>
        <w:pStyle w:val="Bullet1"/>
        <w:rPr>
          <w:lang w:val="en-GB"/>
        </w:rPr>
      </w:pPr>
      <w:r w:rsidRPr="00D6403A">
        <w:rPr>
          <w:lang w:val="en-GB"/>
        </w:rPr>
        <w:t>Indicator 8a: rate of breastfeeding initiation in mothers of term babies</w:t>
      </w:r>
    </w:p>
    <w:p w14:paraId="7DBEAE92" w14:textId="77777777" w:rsidR="00D6403A" w:rsidRPr="00D6403A" w:rsidRDefault="00D6403A" w:rsidP="00005134">
      <w:pPr>
        <w:pStyle w:val="Bullet1"/>
        <w:rPr>
          <w:lang w:val="en-GB"/>
        </w:rPr>
      </w:pPr>
      <w:r w:rsidRPr="00D6403A">
        <w:rPr>
          <w:lang w:val="en-GB"/>
        </w:rPr>
        <w:t>Indicator 8b: rate of use of infant formula in hospital in term breastfed babies</w:t>
      </w:r>
    </w:p>
    <w:p w14:paraId="173C21F5" w14:textId="77777777" w:rsidR="00D6403A" w:rsidRPr="00D6403A" w:rsidRDefault="00D6403A" w:rsidP="00870C38">
      <w:pPr>
        <w:pStyle w:val="Bullet1"/>
        <w:rPr>
          <w:lang w:val="en-GB"/>
        </w:rPr>
      </w:pPr>
      <w:r w:rsidRPr="00D6403A">
        <w:rPr>
          <w:lang w:val="en-GB"/>
        </w:rPr>
        <w:t>Indicator 8c: rate of final feed before discharge taken exclusively from the breast for term breastfed</w:t>
      </w:r>
      <w:r w:rsidRPr="00D6403A">
        <w:rPr>
          <w:rFonts w:ascii="Cambria" w:hAnsi="Cambria" w:cs="Cambria"/>
          <w:color w:val="000000"/>
          <w:lang w:val="en-GB"/>
        </w:rPr>
        <w:t> </w:t>
      </w:r>
      <w:r w:rsidRPr="00D6403A">
        <w:rPr>
          <w:lang w:val="en-GB"/>
        </w:rPr>
        <w:t>babies.</w:t>
      </w:r>
    </w:p>
    <w:p w14:paraId="78EF84D9" w14:textId="77777777" w:rsidR="00D6403A" w:rsidRPr="00D6403A" w:rsidRDefault="00D6403A" w:rsidP="00862996">
      <w:pPr>
        <w:rPr>
          <w:lang w:val="en-GB"/>
        </w:rPr>
      </w:pPr>
      <w:r w:rsidRPr="00D6403A">
        <w:rPr>
          <w:lang w:val="en-GB"/>
        </w:rPr>
        <w:t>These indicators do not capture data on whether breastfeeding is maintained longer term.</w:t>
      </w:r>
    </w:p>
    <w:p w14:paraId="17C878AA" w14:textId="77777777" w:rsidR="00D6403A" w:rsidRPr="00D6403A" w:rsidRDefault="00D6403A" w:rsidP="00862996">
      <w:pPr>
        <w:rPr>
          <w:lang w:val="en-GB"/>
        </w:rPr>
      </w:pPr>
      <w:r w:rsidRPr="00D6403A">
        <w:rPr>
          <w:lang w:val="en-GB"/>
        </w:rPr>
        <w:t>There are short- and long-term health benefits for women and their babies associated with breastfeeding. Breastfeeding provides optimal nourishment for a growing baby’s physical, cognitive and immunological development. It improves the bond between mother and baby and lowers the risk of various long-term health issues for both mothers and babies.</w:t>
      </w:r>
    </w:p>
    <w:p w14:paraId="00C9C0BE" w14:textId="5A47C1C6" w:rsidR="00D6403A" w:rsidRDefault="00D6403A" w:rsidP="00862996">
      <w:pPr>
        <w:rPr>
          <w:lang w:val="en-GB"/>
        </w:rPr>
      </w:pPr>
      <w:r w:rsidRPr="00D6403A">
        <w:rPr>
          <w:lang w:val="en-GB"/>
        </w:rPr>
        <w:t>Health services have a responsibility to promote and support breastfeeding. Clinicians should assist women to recognise when their babies need feeding and offer help if required. Providing women with accurate information about the importance of breastfeeding to their health and their babies’ health can influence infant feeding decisions.</w:t>
      </w:r>
    </w:p>
    <w:p w14:paraId="0DE1BCC6" w14:textId="504FA1B9" w:rsidR="001960E2" w:rsidRPr="001960E2" w:rsidRDefault="001960E2" w:rsidP="001960E2">
      <w:pPr>
        <w:spacing w:before="0" w:after="0" w:line="240" w:lineRule="auto"/>
        <w:rPr>
          <w:rFonts w:ascii="Times New Roman" w:eastAsia="Times New Roman" w:hAnsi="Times New Roman" w:cs="Times New Roman"/>
          <w:sz w:val="24"/>
          <w:szCs w:val="24"/>
          <w:lang w:eastAsia="en-US"/>
        </w:rPr>
      </w:pPr>
      <w:r w:rsidRPr="001960E2">
        <w:rPr>
          <w:rFonts w:ascii="Helvetica" w:eastAsia="Times New Roman" w:hAnsi="Helvetica" w:cs="Times New Roman"/>
          <w:color w:val="000000"/>
          <w:sz w:val="18"/>
          <w:szCs w:val="18"/>
          <w:lang w:eastAsia="en-US"/>
        </w:rPr>
        <w:t>[Break out box text:</w:t>
      </w:r>
    </w:p>
    <w:p w14:paraId="44EFC21A" w14:textId="77777777" w:rsidR="001960E2" w:rsidRPr="00D6403A" w:rsidRDefault="001960E2" w:rsidP="001960E2">
      <w:pPr>
        <w:pStyle w:val="Heading3"/>
        <w:rPr>
          <w:lang w:val="en-GB"/>
        </w:rPr>
      </w:pPr>
      <w:r w:rsidRPr="00D6403A">
        <w:rPr>
          <w:lang w:val="en-GB"/>
        </w:rPr>
        <w:t>What pregnant women and families need to know</w:t>
      </w:r>
    </w:p>
    <w:p w14:paraId="3CF646D9" w14:textId="7AE180D4" w:rsidR="001960E2" w:rsidRPr="00D6403A" w:rsidRDefault="001960E2" w:rsidP="00005134">
      <w:pPr>
        <w:rPr>
          <w:lang w:val="en-GB"/>
        </w:rPr>
      </w:pPr>
      <w:r w:rsidRPr="00D6403A">
        <w:rPr>
          <w:lang w:val="en-GB"/>
        </w:rPr>
        <w:t>Breastfeeding is best for newborn babies because it has the perfect nutrients for a baby’s needs and has both short and long-term benefits for the health of babies and their mothers. The World Health Organization recommends exclusive breastfeeding under 6 months and continued breastfeeding until 2 years.</w:t>
      </w:r>
      <w:r w:rsidRPr="00D6403A">
        <w:rPr>
          <w:vertAlign w:val="superscript"/>
          <w:lang w:val="en-GB"/>
        </w:rPr>
        <w:footnoteReference w:id="9"/>
      </w:r>
      <w:r w:rsidRPr="00D6403A">
        <w:rPr>
          <w:lang w:val="en-GB"/>
        </w:rPr>
        <w:t xml:space="preserve"> Health professionals should support new mothers to breastfeed by promoting and assisting with early skin-to-skin contact immediately after birth, supporting feeding within an hour of birth, providing the right environment and the right support from midwives and breastfeeding specialists.</w:t>
      </w:r>
    </w:p>
    <w:p w14:paraId="4F08BFC8" w14:textId="77777777" w:rsidR="001960E2" w:rsidRPr="00D6403A" w:rsidRDefault="001960E2" w:rsidP="001960E2">
      <w:pPr>
        <w:rPr>
          <w:lang w:val="en-GB"/>
        </w:rPr>
      </w:pPr>
      <w:r w:rsidRPr="00D6403A">
        <w:rPr>
          <w:lang w:val="en-GB"/>
        </w:rPr>
        <w:t>We measure 3 things:</w:t>
      </w:r>
    </w:p>
    <w:p w14:paraId="1DB24A67" w14:textId="77777777" w:rsidR="001960E2" w:rsidRPr="00D6403A" w:rsidRDefault="001960E2" w:rsidP="001960E2">
      <w:pPr>
        <w:rPr>
          <w:lang w:val="en-GB"/>
        </w:rPr>
      </w:pPr>
      <w:r w:rsidRPr="00D6403A">
        <w:rPr>
          <w:lang w:val="en-GB"/>
        </w:rPr>
        <w:t>(a)</w:t>
      </w:r>
      <w:r w:rsidRPr="00D6403A">
        <w:rPr>
          <w:lang w:val="en-GB"/>
        </w:rPr>
        <w:tab/>
        <w:t>how many women start feeding their babies with breast milk</w:t>
      </w:r>
    </w:p>
    <w:p w14:paraId="5BDD16BA" w14:textId="77777777" w:rsidR="001960E2" w:rsidRPr="00D6403A" w:rsidRDefault="001960E2" w:rsidP="001960E2">
      <w:pPr>
        <w:rPr>
          <w:lang w:val="en-GB"/>
        </w:rPr>
      </w:pPr>
      <w:r w:rsidRPr="00D6403A">
        <w:rPr>
          <w:lang w:val="en-GB"/>
        </w:rPr>
        <w:t>(b)</w:t>
      </w:r>
      <w:r w:rsidRPr="00D6403A">
        <w:rPr>
          <w:lang w:val="en-GB"/>
        </w:rPr>
        <w:tab/>
        <w:t>the use of infant formula in breastfed babies in hospital</w:t>
      </w:r>
    </w:p>
    <w:p w14:paraId="4BBDB815" w14:textId="77777777" w:rsidR="001960E2" w:rsidRPr="00D6403A" w:rsidRDefault="001960E2" w:rsidP="001960E2">
      <w:pPr>
        <w:rPr>
          <w:lang w:val="en-GB"/>
        </w:rPr>
      </w:pPr>
      <w:r w:rsidRPr="00D6403A">
        <w:rPr>
          <w:lang w:val="en-GB"/>
        </w:rPr>
        <w:lastRenderedPageBreak/>
        <w:t>(c)</w:t>
      </w:r>
      <w:r w:rsidRPr="00D6403A">
        <w:rPr>
          <w:lang w:val="en-GB"/>
        </w:rPr>
        <w:tab/>
        <w:t>how many women give their baby’s last feed completely from the breast before they go</w:t>
      </w:r>
      <w:r w:rsidRPr="00D6403A">
        <w:rPr>
          <w:rFonts w:ascii="Cambria" w:hAnsi="Cambria" w:cs="Cambria"/>
          <w:lang w:val="en-GB"/>
        </w:rPr>
        <w:t> </w:t>
      </w:r>
      <w:r w:rsidRPr="00D6403A">
        <w:rPr>
          <w:lang w:val="en-GB"/>
        </w:rPr>
        <w:t>home from hospital.</w:t>
      </w:r>
    </w:p>
    <w:p w14:paraId="484BE7A7" w14:textId="77777777" w:rsidR="001960E2" w:rsidRPr="00D6403A" w:rsidRDefault="001960E2" w:rsidP="001960E2">
      <w:pPr>
        <w:rPr>
          <w:lang w:val="en-GB"/>
        </w:rPr>
      </w:pPr>
      <w:r w:rsidRPr="00D6403A">
        <w:rPr>
          <w:lang w:val="en-GB"/>
        </w:rPr>
        <w:t>Most babies are fed first with breast milk and this rate is high across nearly all hospitals. However, some hospitals have a high rate of breastfed babies who are supplemented with infant formula while in hospital. This might mean that hospitals do not provide enough support for new mothers to breastfeed.</w:t>
      </w:r>
    </w:p>
    <w:p w14:paraId="2302CC55" w14:textId="5389743E" w:rsidR="001960E2" w:rsidRPr="00D6403A" w:rsidRDefault="001960E2" w:rsidP="00005134">
      <w:pPr>
        <w:rPr>
          <w:color w:val="000000"/>
          <w:lang w:val="en-GB"/>
        </w:rPr>
      </w:pPr>
      <w:r w:rsidRPr="00D6403A">
        <w:rPr>
          <w:lang w:val="en-GB"/>
        </w:rPr>
        <w:t xml:space="preserve">Many new mothers need support to breastfeed after they are discharged home from hospital because establishing breastfeeding takes time, patience and practice. The </w:t>
      </w:r>
      <w:hyperlink r:id="rId100" w:history="1">
        <w:r w:rsidRPr="001960E2">
          <w:rPr>
            <w:rStyle w:val="Hyperlink"/>
            <w:lang w:val="en-GB"/>
          </w:rPr>
          <w:t>Australian Breastfeeding Association</w:t>
        </w:r>
      </w:hyperlink>
      <w:r w:rsidRPr="00D6403A">
        <w:rPr>
          <w:lang w:val="en-GB"/>
        </w:rPr>
        <w:t xml:space="preserve"> &lt;https://www.breastfeeding.asn.au/&gt; website is a useful resource.</w:t>
      </w:r>
    </w:p>
    <w:p w14:paraId="4C6F96C1" w14:textId="77777777" w:rsidR="001960E2" w:rsidRPr="001960E2" w:rsidRDefault="001960E2" w:rsidP="001960E2">
      <w:pPr>
        <w:spacing w:before="0" w:after="0" w:line="240" w:lineRule="auto"/>
        <w:rPr>
          <w:rFonts w:ascii="Times New Roman" w:eastAsia="Times New Roman" w:hAnsi="Times New Roman" w:cs="Times New Roman"/>
          <w:sz w:val="24"/>
          <w:szCs w:val="24"/>
          <w:lang w:eastAsia="en-US"/>
        </w:rPr>
      </w:pPr>
      <w:r w:rsidRPr="001960E2">
        <w:rPr>
          <w:rFonts w:ascii="Helvetica" w:eastAsia="Times New Roman" w:hAnsi="Helvetica" w:cs="Times New Roman"/>
          <w:color w:val="000000"/>
          <w:sz w:val="18"/>
          <w:szCs w:val="18"/>
          <w:lang w:eastAsia="en-US"/>
        </w:rPr>
        <w:t>End of break out box text.]</w:t>
      </w:r>
    </w:p>
    <w:p w14:paraId="2F55E152" w14:textId="77777777" w:rsidR="00D6403A" w:rsidRPr="00D6403A" w:rsidRDefault="00D6403A" w:rsidP="005939CC">
      <w:pPr>
        <w:pStyle w:val="Heading2"/>
        <w:rPr>
          <w:lang w:val="en-GB"/>
        </w:rPr>
      </w:pPr>
      <w:bookmarkStart w:id="63" w:name="_Toc159326621"/>
      <w:r w:rsidRPr="00D6403A">
        <w:rPr>
          <w:lang w:val="en-GB"/>
        </w:rPr>
        <w:t>Observations on the data</w:t>
      </w:r>
      <w:bookmarkEnd w:id="63"/>
    </w:p>
    <w:p w14:paraId="0CB1C0B6" w14:textId="38184BAA" w:rsidR="00D6403A" w:rsidRPr="00D6403A" w:rsidRDefault="00D6403A" w:rsidP="00862996">
      <w:pPr>
        <w:rPr>
          <w:lang w:val="en-GB"/>
        </w:rPr>
      </w:pPr>
      <w:r w:rsidRPr="00D6403A">
        <w:rPr>
          <w:lang w:val="en-GB"/>
        </w:rPr>
        <w:t>The statewide rate of women with term babies who initiated breastfeeding (Indicator 8a) in 2021 was 95.5% (Figure 49, Figure 50 and Table 17). This rate has been relatively consistent over time (Figure 51).</w:t>
      </w:r>
    </w:p>
    <w:p w14:paraId="1A3AC941" w14:textId="77777777" w:rsidR="00D6403A" w:rsidRPr="00D6403A" w:rsidRDefault="00D6403A" w:rsidP="00D6403A">
      <w:pPr>
        <w:rPr>
          <w:lang w:val="en-GB"/>
        </w:rPr>
      </w:pPr>
      <w:r w:rsidRPr="00D6403A">
        <w:t>Thirty per cent of term breastfed babies were given infant formula in hospital (Indicator 8b). The</w:t>
      </w:r>
      <w:r w:rsidRPr="00D6403A">
        <w:rPr>
          <w:rFonts w:ascii="Cambria" w:hAnsi="Cambria" w:cs="Cambria"/>
          <w:lang w:val="en-GB"/>
        </w:rPr>
        <w:t> </w:t>
      </w:r>
      <w:r w:rsidRPr="00D6403A">
        <w:t>rate varied between hospitals including those providing a similar level of care (Figure 52, Figure 53 and Table</w:t>
      </w:r>
      <w:r w:rsidRPr="00D6403A">
        <w:rPr>
          <w:rFonts w:ascii="Cambria" w:hAnsi="Cambria" w:cs="Cambria"/>
          <w:lang w:val="en-GB"/>
        </w:rPr>
        <w:t> </w:t>
      </w:r>
      <w:r w:rsidRPr="00D6403A">
        <w:rPr>
          <w:lang w:val="en-GB"/>
        </w:rPr>
        <w:t>18). Overall, private hospitals had a higher rate of infant formula use compared with public hospitals (42.0 and 26.7%, respectively). Figure 54 shows trends over time.</w:t>
      </w:r>
    </w:p>
    <w:p w14:paraId="5C4792DC" w14:textId="77777777" w:rsidR="00D6403A" w:rsidRPr="00D6403A" w:rsidRDefault="00D6403A" w:rsidP="00D6403A">
      <w:r w:rsidRPr="00D6403A">
        <w:rPr>
          <w:lang w:val="en-GB"/>
        </w:rPr>
        <w:t>The statewide rate of final feed exclusively from the breast for term breastfed babies (Indicator 8c) rose slightly in 2021 compared with the steady reductions over the previous years (Figure 55, Figure 56 and Table 19). The individual hospital rates varied from 47.8% to 100% in 2021. Figure 57 shows trends over</w:t>
      </w:r>
      <w:r w:rsidRPr="00D6403A">
        <w:rPr>
          <w:rFonts w:ascii="Cambria" w:hAnsi="Cambria" w:cs="Cambria"/>
          <w:lang w:val="en-GB"/>
        </w:rPr>
        <w:t> </w:t>
      </w:r>
      <w:r w:rsidRPr="00D6403A">
        <w:t>time.</w:t>
      </w:r>
    </w:p>
    <w:p w14:paraId="40D9F05E" w14:textId="77777777" w:rsidR="00D6403A" w:rsidRPr="00D6403A" w:rsidRDefault="00D6403A" w:rsidP="005939CC">
      <w:pPr>
        <w:pStyle w:val="Heading2"/>
        <w:rPr>
          <w:lang w:val="en-GB"/>
        </w:rPr>
      </w:pPr>
      <w:bookmarkStart w:id="64" w:name="_Toc159326622"/>
      <w:r w:rsidRPr="00D6403A">
        <w:rPr>
          <w:lang w:val="en-GB"/>
        </w:rPr>
        <w:t>Strategies for improvement</w:t>
      </w:r>
      <w:bookmarkEnd w:id="64"/>
    </w:p>
    <w:p w14:paraId="03E715F3" w14:textId="5D54EF0B" w:rsidR="00D6403A" w:rsidRPr="00D6403A" w:rsidRDefault="00D6403A" w:rsidP="00005134">
      <w:pPr>
        <w:pStyle w:val="Bullet1"/>
        <w:rPr>
          <w:lang w:val="en-GB"/>
        </w:rPr>
      </w:pPr>
      <w:r w:rsidRPr="00D6403A">
        <w:rPr>
          <w:lang w:val="en-GB"/>
        </w:rPr>
        <w:t xml:space="preserve">Consider achieving and maintaining up-to-date evidence-based policies and practices that align with the </w:t>
      </w:r>
      <w:hyperlink r:id="rId101" w:history="1">
        <w:r w:rsidRPr="00B44618">
          <w:rPr>
            <w:rStyle w:val="Hyperlink"/>
            <w:lang w:val="en-GB"/>
          </w:rPr>
          <w:t>Baby Friendly Health Initiative</w:t>
        </w:r>
      </w:hyperlink>
      <w:r w:rsidRPr="00D6403A">
        <w:rPr>
          <w:lang w:val="en-GB"/>
        </w:rPr>
        <w:t xml:space="preserve"> &lt;https://bfhi.org.au&gt;.</w:t>
      </w:r>
    </w:p>
    <w:p w14:paraId="5341CFE9" w14:textId="77777777" w:rsidR="00D6403A" w:rsidRPr="00D6403A" w:rsidRDefault="00D6403A" w:rsidP="00005134">
      <w:pPr>
        <w:pStyle w:val="Bullet1"/>
        <w:rPr>
          <w:lang w:val="en-GB"/>
        </w:rPr>
      </w:pPr>
      <w:r w:rsidRPr="00D6403A">
        <w:rPr>
          <w:lang w:val="en-GB"/>
        </w:rPr>
        <w:t>Ensure referral pathways to specialist lactation services are clear and accessible.</w:t>
      </w:r>
    </w:p>
    <w:p w14:paraId="1ED2062C" w14:textId="77777777" w:rsidR="00D6403A" w:rsidRPr="00D6403A" w:rsidRDefault="00D6403A" w:rsidP="00005134">
      <w:pPr>
        <w:pStyle w:val="Bullet1"/>
        <w:rPr>
          <w:lang w:val="en-GB"/>
        </w:rPr>
      </w:pPr>
      <w:r w:rsidRPr="00D6403A">
        <w:rPr>
          <w:lang w:val="en-GB"/>
        </w:rPr>
        <w:t>Analyse the factors associated with reduced rates of breastfeeding in hospital.</w:t>
      </w:r>
    </w:p>
    <w:p w14:paraId="7A43885E" w14:textId="171B7BF9" w:rsidR="00D6403A" w:rsidRPr="00D6403A" w:rsidRDefault="00D6403A" w:rsidP="00005134">
      <w:pPr>
        <w:pStyle w:val="Bullet1"/>
        <w:rPr>
          <w:lang w:val="en-GB"/>
        </w:rPr>
      </w:pPr>
      <w:r w:rsidRPr="00D6403A">
        <w:rPr>
          <w:lang w:val="en-GB"/>
        </w:rPr>
        <w:t>Ensure infant formula use for breastfed babies is limited to those who have a clear medical indication. Educate women on the reasons for this and gain verbal and written consent.</w:t>
      </w:r>
    </w:p>
    <w:p w14:paraId="0BD37BCF" w14:textId="77777777" w:rsidR="00D6403A" w:rsidRPr="00D6403A" w:rsidRDefault="00D6403A" w:rsidP="00005134">
      <w:pPr>
        <w:pStyle w:val="Bullet1"/>
        <w:rPr>
          <w:lang w:val="en-GB"/>
        </w:rPr>
      </w:pPr>
      <w:r w:rsidRPr="00D6403A">
        <w:rPr>
          <w:lang w:val="en-GB"/>
        </w:rPr>
        <w:t>Promote the competency and confidence of midwives and other clinicians in providing breastfeeding support and education. Ensure there is enough time for clinicians to provide breastfeeding support on wards.</w:t>
      </w:r>
    </w:p>
    <w:p w14:paraId="4B4158D7" w14:textId="77777777" w:rsidR="00D6403A" w:rsidRPr="00D6403A" w:rsidRDefault="00D6403A" w:rsidP="00005134">
      <w:pPr>
        <w:pStyle w:val="Bullet1"/>
        <w:rPr>
          <w:lang w:val="en-GB"/>
        </w:rPr>
      </w:pPr>
      <w:r w:rsidRPr="00D6403A">
        <w:rPr>
          <w:lang w:val="en-GB"/>
        </w:rPr>
        <w:t>Provide women of culturally diverse backgrounds with extra support. This may include providing accurate and appropriately translated (verbal and written) information about the importance of breastfeeding.</w:t>
      </w:r>
    </w:p>
    <w:p w14:paraId="24FA0321" w14:textId="77777777" w:rsidR="00D6403A" w:rsidRPr="00D6403A" w:rsidRDefault="00D6403A" w:rsidP="00005134">
      <w:pPr>
        <w:pStyle w:val="Bullet1"/>
        <w:rPr>
          <w:lang w:val="en-GB"/>
        </w:rPr>
      </w:pPr>
      <w:r w:rsidRPr="00D6403A">
        <w:rPr>
          <w:lang w:val="en-GB"/>
        </w:rPr>
        <w:t>Monitor breastfeeding rates as continuous quality improvement through multidisciplinary review.</w:t>
      </w:r>
    </w:p>
    <w:p w14:paraId="2656C65B" w14:textId="77777777" w:rsidR="00D6403A" w:rsidRPr="00D6403A" w:rsidRDefault="00D6403A" w:rsidP="00862996">
      <w:pPr>
        <w:rPr>
          <w:lang w:val="en-GB"/>
        </w:rPr>
      </w:pPr>
    </w:p>
    <w:p w14:paraId="6A0461D4" w14:textId="77777777" w:rsidR="00D6403A" w:rsidRPr="00D6403A" w:rsidRDefault="00D6403A" w:rsidP="00870C38">
      <w:pPr>
        <w:pStyle w:val="Tablechartdiagramheading"/>
      </w:pPr>
      <w:r w:rsidRPr="00D6403A">
        <w:lastRenderedPageBreak/>
        <w:t xml:space="preserve">Figure 49. Indicator 8a: Rate of breastfeeding initiation by women who gave birth at </w:t>
      </w:r>
      <w:r w:rsidRPr="00C75848">
        <w:rPr>
          <w:rFonts w:cstheme="minorHAnsi"/>
        </w:rPr>
        <w:t>≥</w:t>
      </w:r>
      <w:r w:rsidRPr="00D6403A">
        <w:t xml:space="preserve"> 37 weeks’ </w:t>
      </w:r>
      <w:r w:rsidRPr="00D6403A">
        <w:br/>
        <w:t>gestation, 2021</w:t>
      </w:r>
    </w:p>
    <w:p w14:paraId="4529FAE0" w14:textId="66A3C86D" w:rsidR="00D6403A" w:rsidRPr="00D6403A" w:rsidRDefault="00B44618" w:rsidP="00862996">
      <w:pPr>
        <w:rPr>
          <w:lang w:val="en-GB"/>
        </w:rPr>
      </w:pPr>
      <w:r>
        <w:rPr>
          <w:noProof/>
          <w:lang w:val="en-GB"/>
        </w:rPr>
        <w:drawing>
          <wp:inline distT="0" distB="0" distL="0" distR="0" wp14:anchorId="344CE1A1" wp14:editId="044F3EEE">
            <wp:extent cx="6332968" cy="7121562"/>
            <wp:effectExtent l="0" t="0" r="4445" b="3175"/>
            <wp:docPr id="54" name="Picture 54" descr="Bar chart for Indicator 8a.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_49.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336784" cy="7125853"/>
                    </a:xfrm>
                    <a:prstGeom prst="rect">
                      <a:avLst/>
                    </a:prstGeom>
                  </pic:spPr>
                </pic:pic>
              </a:graphicData>
            </a:graphic>
          </wp:inline>
        </w:drawing>
      </w:r>
    </w:p>
    <w:p w14:paraId="768A3CB0" w14:textId="77777777" w:rsidR="00D6403A" w:rsidRPr="00D6403A" w:rsidRDefault="00D6403A" w:rsidP="00870C38">
      <w:pPr>
        <w:pStyle w:val="Tablechartdiagramheading"/>
      </w:pPr>
      <w:r w:rsidRPr="00D6403A">
        <w:lastRenderedPageBreak/>
        <w:t xml:space="preserve">Figure 50. Funnel plot of the rate of breastfeeding initiation by women who gave </w:t>
      </w:r>
      <w:r w:rsidRPr="005A636B">
        <w:rPr>
          <w:rFonts w:cstheme="minorHAnsi"/>
        </w:rPr>
        <w:t>birth at ≥ 37 weeks’</w:t>
      </w:r>
      <w:r w:rsidRPr="00D6403A">
        <w:t xml:space="preserve"> gestation, 2021</w:t>
      </w:r>
    </w:p>
    <w:p w14:paraId="3047198F" w14:textId="5B70E6AD" w:rsidR="00D6403A" w:rsidRPr="00D6403A" w:rsidRDefault="00B44618" w:rsidP="00862996">
      <w:pPr>
        <w:rPr>
          <w:lang w:val="en-GB"/>
        </w:rPr>
      </w:pPr>
      <w:r>
        <w:rPr>
          <w:noProof/>
          <w:lang w:val="en-GB"/>
        </w:rPr>
        <w:drawing>
          <wp:inline distT="0" distB="0" distL="0" distR="0" wp14:anchorId="154E4F12" wp14:editId="4B653280">
            <wp:extent cx="6121400" cy="3416300"/>
            <wp:effectExtent l="0" t="0" r="0" b="0"/>
            <wp:docPr id="55" name="Picture 55"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_50.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21400" cy="3416300"/>
                    </a:xfrm>
                    <a:prstGeom prst="rect">
                      <a:avLst/>
                    </a:prstGeom>
                  </pic:spPr>
                </pic:pic>
              </a:graphicData>
            </a:graphic>
          </wp:inline>
        </w:drawing>
      </w:r>
    </w:p>
    <w:p w14:paraId="04B2E68E"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17F51421" w14:textId="77777777" w:rsidR="00D6403A" w:rsidRPr="00D6403A" w:rsidRDefault="00D6403A" w:rsidP="00887B5A">
      <w:pPr>
        <w:pStyle w:val="Tablechartdiagramheading"/>
        <w:rPr>
          <w:lang w:val="en-GB"/>
        </w:rPr>
      </w:pPr>
      <w:r w:rsidRPr="00D6403A">
        <w:rPr>
          <w:lang w:val="en-GB"/>
        </w:rPr>
        <w:t xml:space="preserve">Table 17. Rate of breastfeeding initiation for babies </w:t>
      </w:r>
      <w:r w:rsidRPr="005A636B">
        <w:rPr>
          <w:rFonts w:cstheme="minorHAnsi"/>
          <w:lang w:val="en-GB"/>
        </w:rPr>
        <w:t>born at ≥ 37 weeks’</w:t>
      </w:r>
      <w:r w:rsidRPr="00D6403A">
        <w:rPr>
          <w:lang w:val="en-GB"/>
        </w:rPr>
        <w:t xml:space="preserve"> gestation,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630F1226" w14:textId="77777777" w:rsidTr="00B44618">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3011EFE9" w14:textId="77777777" w:rsidR="00D6403A" w:rsidRPr="00B44618" w:rsidRDefault="00D6403A" w:rsidP="00B44618">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3B2D80C8" w14:textId="77777777" w:rsidR="00D6403A" w:rsidRPr="00B44618" w:rsidRDefault="00D6403A" w:rsidP="00B44618">
            <w:pPr>
              <w:pStyle w:val="Tableheader"/>
              <w:jc w:val="right"/>
              <w:rPr>
                <w:b/>
                <w:lang w:val="en-GB"/>
              </w:rPr>
            </w:pPr>
            <w:r w:rsidRPr="00B44618">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5BB248E7" w14:textId="77777777" w:rsidR="00D6403A" w:rsidRPr="00B44618" w:rsidRDefault="00D6403A" w:rsidP="00B44618">
            <w:pPr>
              <w:pStyle w:val="Tableheader"/>
              <w:jc w:val="right"/>
              <w:rPr>
                <w:b/>
                <w:lang w:val="en-GB"/>
              </w:rPr>
            </w:pPr>
            <w:r w:rsidRPr="00B44618">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61A3B45C" w14:textId="77777777" w:rsidR="00D6403A" w:rsidRPr="00B44618" w:rsidRDefault="00D6403A" w:rsidP="00B44618">
            <w:pPr>
              <w:pStyle w:val="Tableheader"/>
              <w:jc w:val="right"/>
              <w:rPr>
                <w:b/>
                <w:lang w:val="en-GB"/>
              </w:rPr>
            </w:pPr>
            <w:r w:rsidRPr="00B44618">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604B2395" w14:textId="77777777" w:rsidR="00D6403A" w:rsidRPr="00B44618" w:rsidRDefault="00D6403A" w:rsidP="00B44618">
            <w:pPr>
              <w:pStyle w:val="Tableheader"/>
              <w:jc w:val="right"/>
              <w:rPr>
                <w:b/>
                <w:lang w:val="en-GB"/>
              </w:rPr>
            </w:pPr>
            <w:r w:rsidRPr="00B44618">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3DA0F621" w14:textId="77777777" w:rsidR="00D6403A" w:rsidRPr="00B44618" w:rsidRDefault="00D6403A" w:rsidP="00B44618">
            <w:pPr>
              <w:pStyle w:val="Tableheader"/>
              <w:jc w:val="right"/>
              <w:rPr>
                <w:b/>
                <w:lang w:val="en-GB"/>
              </w:rPr>
            </w:pPr>
            <w:r w:rsidRPr="00B44618">
              <w:rPr>
                <w:b/>
                <w:lang w:val="en-GB"/>
              </w:rPr>
              <w:t>2021</w:t>
            </w:r>
          </w:p>
        </w:tc>
      </w:tr>
      <w:tr w:rsidR="00D6403A" w:rsidRPr="00D6403A" w14:paraId="4D06DDDB" w14:textId="77777777" w:rsidTr="00B44618">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438248E" w14:textId="2D7A948D" w:rsidR="00D6403A" w:rsidRPr="00B44618" w:rsidRDefault="00D6403A" w:rsidP="00B44618">
            <w:pPr>
              <w:pStyle w:val="Tabletext"/>
              <w:jc w:val="left"/>
              <w:rPr>
                <w:b/>
              </w:rPr>
            </w:pPr>
            <w:r w:rsidRPr="00B44618">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08DF32E2" w14:textId="77777777" w:rsidR="00D6403A" w:rsidRPr="00B44618" w:rsidRDefault="00D6403A" w:rsidP="00B44618">
            <w:pPr>
              <w:pStyle w:val="Tabletext"/>
            </w:pPr>
            <w:r w:rsidRPr="00B44618">
              <w:t>95.0%</w:t>
            </w:r>
          </w:p>
        </w:tc>
        <w:tc>
          <w:tcPr>
            <w:cnfStyle w:val="000010000000" w:firstRow="0" w:lastRow="0" w:firstColumn="0" w:lastColumn="0" w:oddVBand="1" w:evenVBand="0" w:oddHBand="0" w:evenHBand="0" w:firstRowFirstColumn="0" w:firstRowLastColumn="0" w:lastRowFirstColumn="0" w:lastRowLastColumn="0"/>
            <w:tcW w:w="737" w:type="dxa"/>
          </w:tcPr>
          <w:p w14:paraId="75AFACAA" w14:textId="77777777" w:rsidR="00D6403A" w:rsidRPr="00B44618" w:rsidRDefault="00D6403A" w:rsidP="00B44618">
            <w:pPr>
              <w:pStyle w:val="Tabletext"/>
            </w:pPr>
            <w:r w:rsidRPr="00B44618">
              <w:t>95.4%</w:t>
            </w:r>
          </w:p>
        </w:tc>
        <w:tc>
          <w:tcPr>
            <w:cnfStyle w:val="000001000000" w:firstRow="0" w:lastRow="0" w:firstColumn="0" w:lastColumn="0" w:oddVBand="0" w:evenVBand="1" w:oddHBand="0" w:evenHBand="0" w:firstRowFirstColumn="0" w:firstRowLastColumn="0" w:lastRowFirstColumn="0" w:lastRowLastColumn="0"/>
            <w:tcW w:w="737" w:type="dxa"/>
          </w:tcPr>
          <w:p w14:paraId="6F7FE82C" w14:textId="77777777" w:rsidR="00D6403A" w:rsidRPr="00B44618" w:rsidRDefault="00D6403A" w:rsidP="00B44618">
            <w:pPr>
              <w:pStyle w:val="Tabletext"/>
            </w:pPr>
            <w:r w:rsidRPr="00B44618">
              <w:t>95.6%</w:t>
            </w:r>
          </w:p>
        </w:tc>
        <w:tc>
          <w:tcPr>
            <w:cnfStyle w:val="000010000000" w:firstRow="0" w:lastRow="0" w:firstColumn="0" w:lastColumn="0" w:oddVBand="1" w:evenVBand="0" w:oddHBand="0" w:evenHBand="0" w:firstRowFirstColumn="0" w:firstRowLastColumn="0" w:lastRowFirstColumn="0" w:lastRowLastColumn="0"/>
            <w:tcW w:w="737" w:type="dxa"/>
          </w:tcPr>
          <w:p w14:paraId="18FAC7EA" w14:textId="77777777" w:rsidR="00D6403A" w:rsidRPr="00B44618" w:rsidRDefault="00D6403A" w:rsidP="00B44618">
            <w:pPr>
              <w:pStyle w:val="Tabletext"/>
            </w:pPr>
            <w:r w:rsidRPr="00B44618">
              <w:t>95.4%</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67D40D15" w14:textId="77777777" w:rsidR="00D6403A" w:rsidRPr="00B44618" w:rsidRDefault="00D6403A" w:rsidP="00B44618">
            <w:pPr>
              <w:pStyle w:val="Tabletext"/>
            </w:pPr>
            <w:r w:rsidRPr="00B44618">
              <w:t>95.4%</w:t>
            </w:r>
          </w:p>
        </w:tc>
      </w:tr>
      <w:tr w:rsidR="00D6403A" w:rsidRPr="00D6403A" w14:paraId="01F867E2" w14:textId="77777777" w:rsidTr="00B44618">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1B7A04BC" w14:textId="21E3D4B9" w:rsidR="00D6403A" w:rsidRPr="00B44618" w:rsidRDefault="00D6403A" w:rsidP="00B44618">
            <w:pPr>
              <w:pStyle w:val="Tabletext"/>
              <w:jc w:val="left"/>
              <w:rPr>
                <w:b/>
              </w:rPr>
            </w:pPr>
            <w:r w:rsidRPr="00B44618">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33146289" w14:textId="77777777" w:rsidR="00D6403A" w:rsidRPr="00B44618" w:rsidRDefault="00D6403A" w:rsidP="00B44618">
            <w:pPr>
              <w:pStyle w:val="Tabletext"/>
            </w:pPr>
            <w:r w:rsidRPr="00B44618">
              <w:t>96.5%</w:t>
            </w:r>
          </w:p>
        </w:tc>
        <w:tc>
          <w:tcPr>
            <w:cnfStyle w:val="000010000000" w:firstRow="0" w:lastRow="0" w:firstColumn="0" w:lastColumn="0" w:oddVBand="1" w:evenVBand="0" w:oddHBand="0" w:evenHBand="0" w:firstRowFirstColumn="0" w:firstRowLastColumn="0" w:lastRowFirstColumn="0" w:lastRowLastColumn="0"/>
            <w:tcW w:w="737" w:type="dxa"/>
          </w:tcPr>
          <w:p w14:paraId="3014EB20" w14:textId="77777777" w:rsidR="00D6403A" w:rsidRPr="00B44618" w:rsidRDefault="00D6403A" w:rsidP="00B44618">
            <w:pPr>
              <w:pStyle w:val="Tabletext"/>
            </w:pPr>
            <w:r w:rsidRPr="00B44618">
              <w:t>96.7%</w:t>
            </w:r>
          </w:p>
        </w:tc>
        <w:tc>
          <w:tcPr>
            <w:cnfStyle w:val="000001000000" w:firstRow="0" w:lastRow="0" w:firstColumn="0" w:lastColumn="0" w:oddVBand="0" w:evenVBand="1" w:oddHBand="0" w:evenHBand="0" w:firstRowFirstColumn="0" w:firstRowLastColumn="0" w:lastRowFirstColumn="0" w:lastRowLastColumn="0"/>
            <w:tcW w:w="737" w:type="dxa"/>
          </w:tcPr>
          <w:p w14:paraId="2D8CFDCC" w14:textId="77777777" w:rsidR="00D6403A" w:rsidRPr="00B44618" w:rsidRDefault="00D6403A" w:rsidP="00B44618">
            <w:pPr>
              <w:pStyle w:val="Tabletext"/>
            </w:pPr>
            <w:r w:rsidRPr="00B44618">
              <w:t>97.0%</w:t>
            </w:r>
          </w:p>
        </w:tc>
        <w:tc>
          <w:tcPr>
            <w:cnfStyle w:val="000010000000" w:firstRow="0" w:lastRow="0" w:firstColumn="0" w:lastColumn="0" w:oddVBand="1" w:evenVBand="0" w:oddHBand="0" w:evenHBand="0" w:firstRowFirstColumn="0" w:firstRowLastColumn="0" w:lastRowFirstColumn="0" w:lastRowLastColumn="0"/>
            <w:tcW w:w="737" w:type="dxa"/>
          </w:tcPr>
          <w:p w14:paraId="14F1466A" w14:textId="77777777" w:rsidR="00D6403A" w:rsidRPr="00B44618" w:rsidRDefault="00D6403A" w:rsidP="00B44618">
            <w:pPr>
              <w:pStyle w:val="Tabletext"/>
            </w:pPr>
            <w:r w:rsidRPr="00B44618">
              <w:t>95.9%</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0727190B" w14:textId="77777777" w:rsidR="00D6403A" w:rsidRPr="00B44618" w:rsidRDefault="00D6403A" w:rsidP="00B44618">
            <w:pPr>
              <w:pStyle w:val="Tabletext"/>
            </w:pPr>
            <w:r w:rsidRPr="00B44618">
              <w:t>95.8%</w:t>
            </w:r>
          </w:p>
        </w:tc>
      </w:tr>
      <w:tr w:rsidR="00D6403A" w:rsidRPr="00D6403A" w14:paraId="70676961" w14:textId="77777777" w:rsidTr="00B44618">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31B5F503" w14:textId="76C79E46" w:rsidR="00D6403A" w:rsidRPr="00B44618" w:rsidRDefault="00D6403A" w:rsidP="00B44618">
            <w:pPr>
              <w:pStyle w:val="Tabletext"/>
              <w:jc w:val="left"/>
              <w:rPr>
                <w:b/>
              </w:rPr>
            </w:pPr>
            <w:r w:rsidRPr="00B44618">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2C853881" w14:textId="77777777" w:rsidR="00D6403A" w:rsidRPr="00B44618" w:rsidRDefault="00D6403A" w:rsidP="00B44618">
            <w:pPr>
              <w:pStyle w:val="Tabletext"/>
            </w:pPr>
            <w:r w:rsidRPr="00B44618">
              <w:t>95.4%</w:t>
            </w:r>
          </w:p>
        </w:tc>
        <w:tc>
          <w:tcPr>
            <w:cnfStyle w:val="000010000000" w:firstRow="0" w:lastRow="0" w:firstColumn="0" w:lastColumn="0" w:oddVBand="1" w:evenVBand="0" w:oddHBand="0" w:evenHBand="0" w:firstRowFirstColumn="0" w:firstRowLastColumn="0" w:lastRowFirstColumn="0" w:lastRowLastColumn="0"/>
            <w:tcW w:w="737" w:type="dxa"/>
          </w:tcPr>
          <w:p w14:paraId="0DD57120" w14:textId="77777777" w:rsidR="00D6403A" w:rsidRPr="00B44618" w:rsidRDefault="00D6403A" w:rsidP="00B44618">
            <w:pPr>
              <w:pStyle w:val="Tabletext"/>
            </w:pPr>
            <w:r w:rsidRPr="00B44618">
              <w:t>95.7%</w:t>
            </w:r>
          </w:p>
        </w:tc>
        <w:tc>
          <w:tcPr>
            <w:cnfStyle w:val="000001000000" w:firstRow="0" w:lastRow="0" w:firstColumn="0" w:lastColumn="0" w:oddVBand="0" w:evenVBand="1" w:oddHBand="0" w:evenHBand="0" w:firstRowFirstColumn="0" w:firstRowLastColumn="0" w:lastRowFirstColumn="0" w:lastRowLastColumn="0"/>
            <w:tcW w:w="737" w:type="dxa"/>
          </w:tcPr>
          <w:p w14:paraId="50619E4F" w14:textId="77777777" w:rsidR="00D6403A" w:rsidRPr="00B44618" w:rsidRDefault="00D6403A" w:rsidP="00B44618">
            <w:pPr>
              <w:pStyle w:val="Tabletext"/>
            </w:pPr>
            <w:r w:rsidRPr="00B44618">
              <w:t>95.9%</w:t>
            </w:r>
          </w:p>
        </w:tc>
        <w:tc>
          <w:tcPr>
            <w:cnfStyle w:val="000010000000" w:firstRow="0" w:lastRow="0" w:firstColumn="0" w:lastColumn="0" w:oddVBand="1" w:evenVBand="0" w:oddHBand="0" w:evenHBand="0" w:firstRowFirstColumn="0" w:firstRowLastColumn="0" w:lastRowFirstColumn="0" w:lastRowLastColumn="0"/>
            <w:tcW w:w="737" w:type="dxa"/>
          </w:tcPr>
          <w:p w14:paraId="4C0313B1" w14:textId="77777777" w:rsidR="00D6403A" w:rsidRPr="00B44618" w:rsidRDefault="00D6403A" w:rsidP="00B44618">
            <w:pPr>
              <w:pStyle w:val="Tabletext"/>
            </w:pPr>
            <w:r w:rsidRPr="00B44618">
              <w:t>95.6%</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2D1742B8" w14:textId="77777777" w:rsidR="00D6403A" w:rsidRPr="00B44618" w:rsidRDefault="00D6403A" w:rsidP="00B44618">
            <w:pPr>
              <w:pStyle w:val="Tabletext"/>
            </w:pPr>
            <w:r w:rsidRPr="00B44618">
              <w:t>95.5%</w:t>
            </w:r>
          </w:p>
        </w:tc>
      </w:tr>
    </w:tbl>
    <w:p w14:paraId="1D68FC10" w14:textId="77777777" w:rsidR="00D6403A" w:rsidRPr="00D6403A" w:rsidRDefault="00D6403A" w:rsidP="00870C38">
      <w:pPr>
        <w:pStyle w:val="Tablechartdiagramheading"/>
      </w:pPr>
      <w:r w:rsidRPr="00D6403A">
        <w:t>Figure 51. Time trend of indicator 8a, 2017–2021</w:t>
      </w:r>
    </w:p>
    <w:p w14:paraId="5F9AA9C8" w14:textId="732F5483" w:rsidR="00D6403A" w:rsidRPr="00D6403A" w:rsidRDefault="00B44618" w:rsidP="00862996">
      <w:pPr>
        <w:rPr>
          <w:lang w:val="en-GB"/>
        </w:rPr>
      </w:pPr>
      <w:r>
        <w:rPr>
          <w:noProof/>
          <w:lang w:val="en-GB"/>
        </w:rPr>
        <w:drawing>
          <wp:inline distT="0" distB="0" distL="0" distR="0" wp14:anchorId="79CA0917" wp14:editId="4D017152">
            <wp:extent cx="3149600" cy="1295400"/>
            <wp:effectExtent l="0" t="0" r="0" b="0"/>
            <wp:docPr id="56" name="Picture 56" descr="Line chart of Table 17 indicator 8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_5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149600" cy="1295400"/>
                    </a:xfrm>
                    <a:prstGeom prst="rect">
                      <a:avLst/>
                    </a:prstGeom>
                  </pic:spPr>
                </pic:pic>
              </a:graphicData>
            </a:graphic>
          </wp:inline>
        </w:drawing>
      </w:r>
    </w:p>
    <w:p w14:paraId="4B7051CB" w14:textId="77777777" w:rsidR="00D6403A" w:rsidRPr="00D6403A" w:rsidRDefault="00D6403A" w:rsidP="00870C38">
      <w:pPr>
        <w:pStyle w:val="Tablechartdiagramheading"/>
      </w:pPr>
      <w:r w:rsidRPr="00D6403A">
        <w:lastRenderedPageBreak/>
        <w:t xml:space="preserve">Figure 52. Indicator 8b: Rate of use of infant formula in hospital by breastfed babies </w:t>
      </w:r>
      <w:r w:rsidRPr="005A636B">
        <w:rPr>
          <w:rFonts w:cstheme="minorHAnsi"/>
        </w:rPr>
        <w:t>born at ≥</w:t>
      </w:r>
      <w:r w:rsidRPr="00D6403A">
        <w:t xml:space="preserve"> 37 weeks’ gestation, 2021</w:t>
      </w:r>
    </w:p>
    <w:p w14:paraId="2EFEC76B" w14:textId="122A292C" w:rsidR="00D6403A" w:rsidRPr="00D6403A" w:rsidRDefault="003723DF" w:rsidP="00862996">
      <w:pPr>
        <w:rPr>
          <w:lang w:val="en-GB"/>
        </w:rPr>
      </w:pPr>
      <w:r>
        <w:rPr>
          <w:noProof/>
          <w:lang w:val="en-GB"/>
        </w:rPr>
        <w:drawing>
          <wp:inline distT="0" distB="0" distL="0" distR="0" wp14:anchorId="767A2CDC" wp14:editId="61E944CE">
            <wp:extent cx="6232325" cy="7100047"/>
            <wp:effectExtent l="0" t="0" r="3810" b="0"/>
            <wp:docPr id="57" name="Picture 57" descr="Bar chart for Indicator 8b.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_52.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234411" cy="7102424"/>
                    </a:xfrm>
                    <a:prstGeom prst="rect">
                      <a:avLst/>
                    </a:prstGeom>
                  </pic:spPr>
                </pic:pic>
              </a:graphicData>
            </a:graphic>
          </wp:inline>
        </w:drawing>
      </w:r>
    </w:p>
    <w:p w14:paraId="7F351235" w14:textId="77777777" w:rsidR="00D6403A" w:rsidRPr="00D6403A" w:rsidRDefault="00D6403A" w:rsidP="005A636B">
      <w:pPr>
        <w:pStyle w:val="Tablechartdiagramheading"/>
        <w:rPr>
          <w:lang w:val="en-GB"/>
        </w:rPr>
      </w:pPr>
      <w:r w:rsidRPr="00D6403A">
        <w:rPr>
          <w:lang w:val="en-GB"/>
        </w:rPr>
        <w:lastRenderedPageBreak/>
        <w:t xml:space="preserve">Figure </w:t>
      </w:r>
      <w:r w:rsidRPr="005A636B">
        <w:rPr>
          <w:rFonts w:cstheme="minorHAnsi"/>
          <w:lang w:val="en-GB"/>
        </w:rPr>
        <w:t>53. Funnel plot of the rate of use of infant formula in hospital by breastfed babies born at ≥ 37 weeks’</w:t>
      </w:r>
      <w:r w:rsidRPr="00D6403A">
        <w:rPr>
          <w:lang w:val="en-GB"/>
        </w:rPr>
        <w:t xml:space="preserve"> gestation, 2021</w:t>
      </w:r>
    </w:p>
    <w:p w14:paraId="32088041" w14:textId="7BC3FAF2" w:rsidR="00D6403A" w:rsidRPr="00D6403A" w:rsidRDefault="003723DF" w:rsidP="00862996">
      <w:pPr>
        <w:rPr>
          <w:lang w:val="en-GB"/>
        </w:rPr>
      </w:pPr>
      <w:r>
        <w:rPr>
          <w:noProof/>
          <w:lang w:val="en-GB"/>
        </w:rPr>
        <w:drawing>
          <wp:inline distT="0" distB="0" distL="0" distR="0" wp14:anchorId="287F1991" wp14:editId="79A59F9D">
            <wp:extent cx="6019800" cy="3530600"/>
            <wp:effectExtent l="0" t="0" r="0" b="0"/>
            <wp:docPr id="58" name="Picture 58"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_53.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19800" cy="3530600"/>
                    </a:xfrm>
                    <a:prstGeom prst="rect">
                      <a:avLst/>
                    </a:prstGeom>
                  </pic:spPr>
                </pic:pic>
              </a:graphicData>
            </a:graphic>
          </wp:inline>
        </w:drawing>
      </w:r>
    </w:p>
    <w:p w14:paraId="5FF0DC5A"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588B359C" w14:textId="77777777" w:rsidR="00D6403A" w:rsidRPr="00D6403A" w:rsidRDefault="00D6403A" w:rsidP="00887B5A">
      <w:pPr>
        <w:pStyle w:val="Tablechartdiagramheading"/>
        <w:rPr>
          <w:lang w:val="en-GB"/>
        </w:rPr>
      </w:pPr>
      <w:r w:rsidRPr="00D6403A">
        <w:rPr>
          <w:lang w:val="en-GB"/>
        </w:rPr>
        <w:t xml:space="preserve">Table 18. Rate of use of infant formula in hospital by breastfed babies </w:t>
      </w:r>
      <w:r w:rsidRPr="005A636B">
        <w:rPr>
          <w:rFonts w:cstheme="minorHAnsi"/>
          <w:lang w:val="en-GB"/>
        </w:rPr>
        <w:t>born at ≥ 37 weeks’</w:t>
      </w:r>
      <w:r w:rsidRPr="00D6403A">
        <w:rPr>
          <w:lang w:val="en-GB"/>
        </w:rPr>
        <w:t xml:space="preserve"> gestation,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27A71908" w14:textId="77777777" w:rsidTr="003723D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6F9483C0" w14:textId="77777777" w:rsidR="00D6403A" w:rsidRPr="003723DF" w:rsidRDefault="00D6403A" w:rsidP="003723DF">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2F8F540A" w14:textId="77777777" w:rsidR="00D6403A" w:rsidRPr="003723DF" w:rsidRDefault="00D6403A" w:rsidP="003723DF">
            <w:pPr>
              <w:pStyle w:val="Tableheader"/>
              <w:jc w:val="right"/>
              <w:rPr>
                <w:b/>
                <w:lang w:val="en-GB"/>
              </w:rPr>
            </w:pPr>
            <w:r w:rsidRPr="003723DF">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2897BDB4" w14:textId="77777777" w:rsidR="00D6403A" w:rsidRPr="003723DF" w:rsidRDefault="00D6403A" w:rsidP="003723DF">
            <w:pPr>
              <w:pStyle w:val="Tableheader"/>
              <w:jc w:val="right"/>
              <w:rPr>
                <w:b/>
                <w:lang w:val="en-GB"/>
              </w:rPr>
            </w:pPr>
            <w:r w:rsidRPr="003723DF">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60557376" w14:textId="77777777" w:rsidR="00D6403A" w:rsidRPr="003723DF" w:rsidRDefault="00D6403A" w:rsidP="003723DF">
            <w:pPr>
              <w:pStyle w:val="Tableheader"/>
              <w:jc w:val="right"/>
              <w:rPr>
                <w:b/>
                <w:lang w:val="en-GB"/>
              </w:rPr>
            </w:pPr>
            <w:r w:rsidRPr="003723DF">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493B643C" w14:textId="77777777" w:rsidR="00D6403A" w:rsidRPr="003723DF" w:rsidRDefault="00D6403A" w:rsidP="003723DF">
            <w:pPr>
              <w:pStyle w:val="Tableheader"/>
              <w:jc w:val="right"/>
              <w:rPr>
                <w:b/>
                <w:lang w:val="en-GB"/>
              </w:rPr>
            </w:pPr>
            <w:r w:rsidRPr="003723DF">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068140FF" w14:textId="77777777" w:rsidR="00D6403A" w:rsidRPr="003723DF" w:rsidRDefault="00D6403A" w:rsidP="003723DF">
            <w:pPr>
              <w:pStyle w:val="Tableheader"/>
              <w:jc w:val="right"/>
              <w:rPr>
                <w:b/>
                <w:lang w:val="en-GB"/>
              </w:rPr>
            </w:pPr>
            <w:r w:rsidRPr="003723DF">
              <w:rPr>
                <w:b/>
                <w:lang w:val="en-GB"/>
              </w:rPr>
              <w:t>2021</w:t>
            </w:r>
          </w:p>
        </w:tc>
      </w:tr>
      <w:tr w:rsidR="00D6403A" w:rsidRPr="00D6403A" w14:paraId="0A2F9252"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07809B1" w14:textId="75603BFE" w:rsidR="00D6403A" w:rsidRPr="003723DF" w:rsidRDefault="00D6403A" w:rsidP="003723DF">
            <w:pPr>
              <w:pStyle w:val="Tabletext"/>
              <w:jc w:val="left"/>
              <w:rPr>
                <w:b/>
              </w:rPr>
            </w:pPr>
            <w:r w:rsidRPr="003723DF">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2818B793" w14:textId="77777777" w:rsidR="00D6403A" w:rsidRPr="003723DF" w:rsidRDefault="00D6403A" w:rsidP="003723DF">
            <w:pPr>
              <w:pStyle w:val="Tabletext"/>
            </w:pPr>
            <w:r w:rsidRPr="003723DF">
              <w:t>25.2%</w:t>
            </w:r>
          </w:p>
        </w:tc>
        <w:tc>
          <w:tcPr>
            <w:cnfStyle w:val="000010000000" w:firstRow="0" w:lastRow="0" w:firstColumn="0" w:lastColumn="0" w:oddVBand="1" w:evenVBand="0" w:oddHBand="0" w:evenHBand="0" w:firstRowFirstColumn="0" w:firstRowLastColumn="0" w:lastRowFirstColumn="0" w:lastRowLastColumn="0"/>
            <w:tcW w:w="737" w:type="dxa"/>
          </w:tcPr>
          <w:p w14:paraId="574747EF" w14:textId="77777777" w:rsidR="00D6403A" w:rsidRPr="003723DF" w:rsidRDefault="00D6403A" w:rsidP="003723DF">
            <w:pPr>
              <w:pStyle w:val="Tabletext"/>
            </w:pPr>
            <w:r w:rsidRPr="003723DF">
              <w:t>27.0%</w:t>
            </w:r>
          </w:p>
        </w:tc>
        <w:tc>
          <w:tcPr>
            <w:cnfStyle w:val="000001000000" w:firstRow="0" w:lastRow="0" w:firstColumn="0" w:lastColumn="0" w:oddVBand="0" w:evenVBand="1" w:oddHBand="0" w:evenHBand="0" w:firstRowFirstColumn="0" w:firstRowLastColumn="0" w:lastRowFirstColumn="0" w:lastRowLastColumn="0"/>
            <w:tcW w:w="737" w:type="dxa"/>
          </w:tcPr>
          <w:p w14:paraId="649F8B3E" w14:textId="77777777" w:rsidR="00D6403A" w:rsidRPr="003723DF" w:rsidRDefault="00D6403A" w:rsidP="003723DF">
            <w:pPr>
              <w:pStyle w:val="Tabletext"/>
            </w:pPr>
            <w:r w:rsidRPr="003723DF">
              <w:t>27.6%</w:t>
            </w:r>
          </w:p>
        </w:tc>
        <w:tc>
          <w:tcPr>
            <w:cnfStyle w:val="000010000000" w:firstRow="0" w:lastRow="0" w:firstColumn="0" w:lastColumn="0" w:oddVBand="1" w:evenVBand="0" w:oddHBand="0" w:evenHBand="0" w:firstRowFirstColumn="0" w:firstRowLastColumn="0" w:lastRowFirstColumn="0" w:lastRowLastColumn="0"/>
            <w:tcW w:w="737" w:type="dxa"/>
          </w:tcPr>
          <w:p w14:paraId="57ADA72F" w14:textId="77777777" w:rsidR="00D6403A" w:rsidRPr="003723DF" w:rsidRDefault="00D6403A" w:rsidP="003723DF">
            <w:pPr>
              <w:pStyle w:val="Tabletext"/>
            </w:pPr>
            <w:r w:rsidRPr="003723DF">
              <w:t>27.8%</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3BF391DD" w14:textId="77777777" w:rsidR="00D6403A" w:rsidRPr="003723DF" w:rsidRDefault="00D6403A" w:rsidP="003723DF">
            <w:pPr>
              <w:pStyle w:val="Tabletext"/>
            </w:pPr>
            <w:r w:rsidRPr="003723DF">
              <w:t>26.7%</w:t>
            </w:r>
          </w:p>
        </w:tc>
      </w:tr>
      <w:tr w:rsidR="00D6403A" w:rsidRPr="00D6403A" w14:paraId="7B6F0D54"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E0D0EC2" w14:textId="4E65FC16" w:rsidR="00D6403A" w:rsidRPr="003723DF" w:rsidRDefault="00D6403A" w:rsidP="003723DF">
            <w:pPr>
              <w:pStyle w:val="Tabletext"/>
              <w:jc w:val="left"/>
              <w:rPr>
                <w:b/>
              </w:rPr>
            </w:pPr>
            <w:r w:rsidRPr="003723DF">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35FC0071" w14:textId="77777777" w:rsidR="00D6403A" w:rsidRPr="003723DF" w:rsidRDefault="00D6403A" w:rsidP="003723DF">
            <w:pPr>
              <w:pStyle w:val="Tabletext"/>
            </w:pPr>
            <w:r w:rsidRPr="003723DF">
              <w:t>38.2%</w:t>
            </w:r>
          </w:p>
        </w:tc>
        <w:tc>
          <w:tcPr>
            <w:cnfStyle w:val="000010000000" w:firstRow="0" w:lastRow="0" w:firstColumn="0" w:lastColumn="0" w:oddVBand="1" w:evenVBand="0" w:oddHBand="0" w:evenHBand="0" w:firstRowFirstColumn="0" w:firstRowLastColumn="0" w:lastRowFirstColumn="0" w:lastRowLastColumn="0"/>
            <w:tcW w:w="737" w:type="dxa"/>
          </w:tcPr>
          <w:p w14:paraId="1FA9D255" w14:textId="77777777" w:rsidR="00D6403A" w:rsidRPr="003723DF" w:rsidRDefault="00D6403A" w:rsidP="003723DF">
            <w:pPr>
              <w:pStyle w:val="Tabletext"/>
            </w:pPr>
            <w:r w:rsidRPr="003723DF">
              <w:t>37.8%</w:t>
            </w:r>
          </w:p>
        </w:tc>
        <w:tc>
          <w:tcPr>
            <w:cnfStyle w:val="000001000000" w:firstRow="0" w:lastRow="0" w:firstColumn="0" w:lastColumn="0" w:oddVBand="0" w:evenVBand="1" w:oddHBand="0" w:evenHBand="0" w:firstRowFirstColumn="0" w:firstRowLastColumn="0" w:lastRowFirstColumn="0" w:lastRowLastColumn="0"/>
            <w:tcW w:w="737" w:type="dxa"/>
          </w:tcPr>
          <w:p w14:paraId="50F6D434" w14:textId="77777777" w:rsidR="00D6403A" w:rsidRPr="003723DF" w:rsidRDefault="00D6403A" w:rsidP="003723DF">
            <w:pPr>
              <w:pStyle w:val="Tabletext"/>
            </w:pPr>
            <w:r w:rsidRPr="003723DF">
              <w:t>38.5%</w:t>
            </w:r>
          </w:p>
        </w:tc>
        <w:tc>
          <w:tcPr>
            <w:cnfStyle w:val="000010000000" w:firstRow="0" w:lastRow="0" w:firstColumn="0" w:lastColumn="0" w:oddVBand="1" w:evenVBand="0" w:oddHBand="0" w:evenHBand="0" w:firstRowFirstColumn="0" w:firstRowLastColumn="0" w:lastRowFirstColumn="0" w:lastRowLastColumn="0"/>
            <w:tcW w:w="737" w:type="dxa"/>
          </w:tcPr>
          <w:p w14:paraId="2837BA1D" w14:textId="77777777" w:rsidR="00D6403A" w:rsidRPr="003723DF" w:rsidRDefault="00D6403A" w:rsidP="003723DF">
            <w:pPr>
              <w:pStyle w:val="Tabletext"/>
            </w:pPr>
            <w:r w:rsidRPr="003723DF">
              <w:t>40.5%</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7CEBC199" w14:textId="77777777" w:rsidR="00D6403A" w:rsidRPr="003723DF" w:rsidRDefault="00D6403A" w:rsidP="003723DF">
            <w:pPr>
              <w:pStyle w:val="Tabletext"/>
            </w:pPr>
            <w:r w:rsidRPr="003723DF">
              <w:t>42.0%</w:t>
            </w:r>
          </w:p>
        </w:tc>
      </w:tr>
      <w:tr w:rsidR="00D6403A" w:rsidRPr="00D6403A" w14:paraId="1613C895"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6E5F4E5E" w14:textId="45120ED4" w:rsidR="00D6403A" w:rsidRPr="003723DF" w:rsidRDefault="00D6403A" w:rsidP="003723DF">
            <w:pPr>
              <w:pStyle w:val="Tabletext"/>
              <w:jc w:val="left"/>
              <w:rPr>
                <w:b/>
              </w:rPr>
            </w:pPr>
            <w:r w:rsidRPr="003723DF">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594E59EB" w14:textId="77777777" w:rsidR="00D6403A" w:rsidRPr="003723DF" w:rsidRDefault="00D6403A" w:rsidP="003723DF">
            <w:pPr>
              <w:pStyle w:val="Tabletext"/>
            </w:pPr>
            <w:r w:rsidRPr="003723DF">
              <w:t>28.2%</w:t>
            </w:r>
          </w:p>
        </w:tc>
        <w:tc>
          <w:tcPr>
            <w:cnfStyle w:val="000010000000" w:firstRow="0" w:lastRow="0" w:firstColumn="0" w:lastColumn="0" w:oddVBand="1" w:evenVBand="0" w:oddHBand="0" w:evenHBand="0" w:firstRowFirstColumn="0" w:firstRowLastColumn="0" w:lastRowFirstColumn="0" w:lastRowLastColumn="0"/>
            <w:tcW w:w="737" w:type="dxa"/>
          </w:tcPr>
          <w:p w14:paraId="2DDC6A42" w14:textId="77777777" w:rsidR="00D6403A" w:rsidRPr="003723DF" w:rsidRDefault="00D6403A" w:rsidP="003723DF">
            <w:pPr>
              <w:pStyle w:val="Tabletext"/>
            </w:pPr>
            <w:r w:rsidRPr="003723DF">
              <w:t>29.4%</w:t>
            </w:r>
          </w:p>
        </w:tc>
        <w:tc>
          <w:tcPr>
            <w:cnfStyle w:val="000001000000" w:firstRow="0" w:lastRow="0" w:firstColumn="0" w:lastColumn="0" w:oddVBand="0" w:evenVBand="1" w:oddHBand="0" w:evenHBand="0" w:firstRowFirstColumn="0" w:firstRowLastColumn="0" w:lastRowFirstColumn="0" w:lastRowLastColumn="0"/>
            <w:tcW w:w="737" w:type="dxa"/>
          </w:tcPr>
          <w:p w14:paraId="7BE5304D" w14:textId="77777777" w:rsidR="00D6403A" w:rsidRPr="003723DF" w:rsidRDefault="00D6403A" w:rsidP="003723DF">
            <w:pPr>
              <w:pStyle w:val="Tabletext"/>
            </w:pPr>
            <w:r w:rsidRPr="003723DF">
              <w:t>30.0%</w:t>
            </w:r>
          </w:p>
        </w:tc>
        <w:tc>
          <w:tcPr>
            <w:cnfStyle w:val="000010000000" w:firstRow="0" w:lastRow="0" w:firstColumn="0" w:lastColumn="0" w:oddVBand="1" w:evenVBand="0" w:oddHBand="0" w:evenHBand="0" w:firstRowFirstColumn="0" w:firstRowLastColumn="0" w:lastRowFirstColumn="0" w:lastRowLastColumn="0"/>
            <w:tcW w:w="737" w:type="dxa"/>
          </w:tcPr>
          <w:p w14:paraId="227B015F" w14:textId="77777777" w:rsidR="00D6403A" w:rsidRPr="003723DF" w:rsidRDefault="00D6403A" w:rsidP="003723DF">
            <w:pPr>
              <w:pStyle w:val="Tabletext"/>
            </w:pPr>
            <w:r w:rsidRPr="003723DF">
              <w:t>30.5%</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63F055AD" w14:textId="77777777" w:rsidR="00D6403A" w:rsidRPr="003723DF" w:rsidRDefault="00D6403A" w:rsidP="003723DF">
            <w:pPr>
              <w:pStyle w:val="Tabletext"/>
            </w:pPr>
            <w:r w:rsidRPr="003723DF">
              <w:t>30.0%</w:t>
            </w:r>
          </w:p>
        </w:tc>
      </w:tr>
    </w:tbl>
    <w:p w14:paraId="551FBC10" w14:textId="77777777" w:rsidR="00D6403A" w:rsidRPr="00D6403A" w:rsidRDefault="00D6403A" w:rsidP="00870C38">
      <w:pPr>
        <w:pStyle w:val="Tablechartdiagramheading"/>
      </w:pPr>
      <w:r w:rsidRPr="00D6403A">
        <w:t>Figure 54. Time trend of Indicator 8b, 2017–2021</w:t>
      </w:r>
    </w:p>
    <w:p w14:paraId="3D7E8B0D" w14:textId="0173C4A1" w:rsidR="00D6403A" w:rsidRPr="00D6403A" w:rsidRDefault="003723DF" w:rsidP="00862996">
      <w:pPr>
        <w:rPr>
          <w:lang w:val="en-GB"/>
        </w:rPr>
      </w:pPr>
      <w:r>
        <w:rPr>
          <w:noProof/>
          <w:lang w:val="en-GB"/>
        </w:rPr>
        <w:drawing>
          <wp:inline distT="0" distB="0" distL="0" distR="0" wp14:anchorId="514B0E7B" wp14:editId="31ADF53B">
            <wp:extent cx="3098800" cy="1295400"/>
            <wp:effectExtent l="0" t="0" r="0" b="0"/>
            <wp:docPr id="59" name="Picture 59" descr="Line chart of Table 18 indicator 8b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_54.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98800" cy="1295400"/>
                    </a:xfrm>
                    <a:prstGeom prst="rect">
                      <a:avLst/>
                    </a:prstGeom>
                  </pic:spPr>
                </pic:pic>
              </a:graphicData>
            </a:graphic>
          </wp:inline>
        </w:drawing>
      </w:r>
    </w:p>
    <w:p w14:paraId="3AA95860" w14:textId="77777777" w:rsidR="00D6403A" w:rsidRPr="003723DF" w:rsidRDefault="00D6403A" w:rsidP="00870C38">
      <w:pPr>
        <w:pStyle w:val="Tablechartdiagramheading"/>
        <w:rPr>
          <w:rFonts w:cstheme="minorHAnsi"/>
        </w:rPr>
      </w:pPr>
      <w:r w:rsidRPr="003723DF">
        <w:rPr>
          <w:rFonts w:cstheme="minorHAnsi"/>
        </w:rPr>
        <w:lastRenderedPageBreak/>
        <w:t>Figure 55. Indicator 8c: Rate of final feed being taken directly from the breast by breastfed babies born at ≥ 37 weeks’ gestation, 2021.</w:t>
      </w:r>
    </w:p>
    <w:p w14:paraId="0DB02EDF" w14:textId="79E8AAB9" w:rsidR="00D6403A" w:rsidRPr="003723DF" w:rsidRDefault="003723DF" w:rsidP="00862996">
      <w:pPr>
        <w:rPr>
          <w:rFonts w:cstheme="minorHAnsi"/>
          <w:lang w:val="en-GB"/>
        </w:rPr>
      </w:pPr>
      <w:r>
        <w:rPr>
          <w:rFonts w:cstheme="minorHAnsi"/>
          <w:noProof/>
          <w:lang w:val="en-GB"/>
        </w:rPr>
        <w:drawing>
          <wp:inline distT="0" distB="0" distL="0" distR="0" wp14:anchorId="6DEA648E" wp14:editId="00C8C804">
            <wp:extent cx="6153374" cy="7160935"/>
            <wp:effectExtent l="0" t="0" r="6350" b="1905"/>
            <wp:docPr id="60" name="Picture 60" descr="Bar chart for Indicator 8c.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_55.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60265" cy="7168955"/>
                    </a:xfrm>
                    <a:prstGeom prst="rect">
                      <a:avLst/>
                    </a:prstGeom>
                  </pic:spPr>
                </pic:pic>
              </a:graphicData>
            </a:graphic>
          </wp:inline>
        </w:drawing>
      </w:r>
      <w:r w:rsidR="00D6403A" w:rsidRPr="003723DF">
        <w:rPr>
          <w:rFonts w:cstheme="minorHAnsi"/>
          <w:lang w:val="en-GB"/>
        </w:rPr>
        <w:t xml:space="preserve"> </w:t>
      </w:r>
    </w:p>
    <w:p w14:paraId="3B02EC3E" w14:textId="77777777" w:rsidR="00D6403A" w:rsidRPr="003723DF" w:rsidRDefault="00D6403A" w:rsidP="00870C38">
      <w:pPr>
        <w:pStyle w:val="Tablechartdiagramheading"/>
        <w:rPr>
          <w:rFonts w:cstheme="minorHAnsi"/>
        </w:rPr>
      </w:pPr>
      <w:r w:rsidRPr="003723DF">
        <w:rPr>
          <w:rFonts w:cstheme="minorHAnsi"/>
        </w:rPr>
        <w:lastRenderedPageBreak/>
        <w:t>Figure 56. Funnel plot of the rate of final feed being taken directly from the breast by breastfed babies born at ≥ 37 weeks’ gestation, 2021</w:t>
      </w:r>
    </w:p>
    <w:p w14:paraId="7A2DC815" w14:textId="3CC2A827" w:rsidR="00D6403A" w:rsidRPr="003723DF" w:rsidRDefault="003723DF" w:rsidP="00862996">
      <w:pPr>
        <w:rPr>
          <w:rFonts w:cstheme="minorHAnsi"/>
          <w:lang w:val="en-GB"/>
        </w:rPr>
      </w:pPr>
      <w:r>
        <w:rPr>
          <w:rFonts w:cstheme="minorHAnsi"/>
          <w:noProof/>
          <w:lang w:val="en-GB"/>
        </w:rPr>
        <w:drawing>
          <wp:inline distT="0" distB="0" distL="0" distR="0" wp14:anchorId="12B9BC8F" wp14:editId="715263BA">
            <wp:extent cx="6019800" cy="3530600"/>
            <wp:effectExtent l="0" t="0" r="0" b="0"/>
            <wp:docPr id="61" name="Picture 61"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_56.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19800" cy="3530600"/>
                    </a:xfrm>
                    <a:prstGeom prst="rect">
                      <a:avLst/>
                    </a:prstGeom>
                  </pic:spPr>
                </pic:pic>
              </a:graphicData>
            </a:graphic>
          </wp:inline>
        </w:drawing>
      </w:r>
    </w:p>
    <w:p w14:paraId="2C0FB91E"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47C35A78" w14:textId="77777777" w:rsidR="00D6403A" w:rsidRPr="003723DF" w:rsidRDefault="00D6403A" w:rsidP="003723DF">
      <w:pPr>
        <w:pStyle w:val="Tablechartdiagramheading"/>
        <w:rPr>
          <w:rFonts w:cstheme="minorHAnsi"/>
          <w:lang w:val="en-GB"/>
        </w:rPr>
      </w:pPr>
      <w:r w:rsidRPr="003723DF">
        <w:rPr>
          <w:rFonts w:cstheme="minorHAnsi"/>
          <w:lang w:val="en-GB"/>
        </w:rPr>
        <w:t>Table 19. Rate of final feed being taken directly from the breast by breastfed babies born at ≥ 37 weeks’ gestation,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666BA9E6" w14:textId="77777777" w:rsidTr="003723D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2C728377" w14:textId="77777777" w:rsidR="00D6403A" w:rsidRPr="003723DF" w:rsidRDefault="00D6403A" w:rsidP="003723DF">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402A25DA" w14:textId="77777777" w:rsidR="00D6403A" w:rsidRPr="003723DF" w:rsidRDefault="00D6403A" w:rsidP="003723DF">
            <w:pPr>
              <w:pStyle w:val="Tableheader"/>
              <w:jc w:val="right"/>
              <w:rPr>
                <w:b/>
                <w:lang w:val="en-GB"/>
              </w:rPr>
            </w:pPr>
            <w:r w:rsidRPr="003723DF">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2BFAE9D3" w14:textId="77777777" w:rsidR="00D6403A" w:rsidRPr="003723DF" w:rsidRDefault="00D6403A" w:rsidP="003723DF">
            <w:pPr>
              <w:pStyle w:val="Tableheader"/>
              <w:jc w:val="right"/>
              <w:rPr>
                <w:b/>
                <w:lang w:val="en-GB"/>
              </w:rPr>
            </w:pPr>
            <w:r w:rsidRPr="003723DF">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53E8FE05" w14:textId="77777777" w:rsidR="00D6403A" w:rsidRPr="003723DF" w:rsidRDefault="00D6403A" w:rsidP="003723DF">
            <w:pPr>
              <w:pStyle w:val="Tableheader"/>
              <w:jc w:val="right"/>
              <w:rPr>
                <w:b/>
                <w:lang w:val="en-GB"/>
              </w:rPr>
            </w:pPr>
            <w:r w:rsidRPr="003723DF">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2C65F2C3" w14:textId="77777777" w:rsidR="00D6403A" w:rsidRPr="003723DF" w:rsidRDefault="00D6403A" w:rsidP="003723DF">
            <w:pPr>
              <w:pStyle w:val="Tableheader"/>
              <w:jc w:val="right"/>
              <w:rPr>
                <w:b/>
                <w:lang w:val="en-GB"/>
              </w:rPr>
            </w:pPr>
            <w:r w:rsidRPr="003723DF">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5E1F00B9" w14:textId="77777777" w:rsidR="00D6403A" w:rsidRPr="003723DF" w:rsidRDefault="00D6403A" w:rsidP="003723DF">
            <w:pPr>
              <w:pStyle w:val="Tableheader"/>
              <w:jc w:val="right"/>
              <w:rPr>
                <w:b/>
                <w:lang w:val="en-GB"/>
              </w:rPr>
            </w:pPr>
            <w:r w:rsidRPr="003723DF">
              <w:rPr>
                <w:b/>
                <w:lang w:val="en-GB"/>
              </w:rPr>
              <w:t>2021</w:t>
            </w:r>
          </w:p>
        </w:tc>
      </w:tr>
      <w:tr w:rsidR="00D6403A" w:rsidRPr="00D6403A" w14:paraId="561D4737"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4B61BD96" w14:textId="47A65629" w:rsidR="00D6403A" w:rsidRPr="003723DF" w:rsidRDefault="00D6403A" w:rsidP="003723DF">
            <w:pPr>
              <w:pStyle w:val="Tabletext"/>
              <w:jc w:val="left"/>
              <w:rPr>
                <w:b/>
              </w:rPr>
            </w:pPr>
            <w:r w:rsidRPr="003723DF">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7FB305F2" w14:textId="77777777" w:rsidR="00D6403A" w:rsidRPr="003723DF" w:rsidRDefault="00D6403A" w:rsidP="003723DF">
            <w:pPr>
              <w:pStyle w:val="Tabletext"/>
            </w:pPr>
            <w:r w:rsidRPr="003723DF">
              <w:t>76.1%</w:t>
            </w:r>
          </w:p>
        </w:tc>
        <w:tc>
          <w:tcPr>
            <w:cnfStyle w:val="000010000000" w:firstRow="0" w:lastRow="0" w:firstColumn="0" w:lastColumn="0" w:oddVBand="1" w:evenVBand="0" w:oddHBand="0" w:evenHBand="0" w:firstRowFirstColumn="0" w:firstRowLastColumn="0" w:lastRowFirstColumn="0" w:lastRowLastColumn="0"/>
            <w:tcW w:w="737" w:type="dxa"/>
          </w:tcPr>
          <w:p w14:paraId="11F808AE" w14:textId="77777777" w:rsidR="00D6403A" w:rsidRPr="003723DF" w:rsidRDefault="00D6403A" w:rsidP="003723DF">
            <w:pPr>
              <w:pStyle w:val="Tabletext"/>
            </w:pPr>
            <w:r w:rsidRPr="003723DF">
              <w:t>75.3%</w:t>
            </w:r>
          </w:p>
        </w:tc>
        <w:tc>
          <w:tcPr>
            <w:cnfStyle w:val="000001000000" w:firstRow="0" w:lastRow="0" w:firstColumn="0" w:lastColumn="0" w:oddVBand="0" w:evenVBand="1" w:oddHBand="0" w:evenHBand="0" w:firstRowFirstColumn="0" w:firstRowLastColumn="0" w:lastRowFirstColumn="0" w:lastRowLastColumn="0"/>
            <w:tcW w:w="737" w:type="dxa"/>
          </w:tcPr>
          <w:p w14:paraId="7371C71C" w14:textId="77777777" w:rsidR="00D6403A" w:rsidRPr="003723DF" w:rsidRDefault="00D6403A" w:rsidP="003723DF">
            <w:pPr>
              <w:pStyle w:val="Tabletext"/>
            </w:pPr>
            <w:r w:rsidRPr="003723DF">
              <w:t>74.9%</w:t>
            </w:r>
          </w:p>
        </w:tc>
        <w:tc>
          <w:tcPr>
            <w:cnfStyle w:val="000010000000" w:firstRow="0" w:lastRow="0" w:firstColumn="0" w:lastColumn="0" w:oddVBand="1" w:evenVBand="0" w:oddHBand="0" w:evenHBand="0" w:firstRowFirstColumn="0" w:firstRowLastColumn="0" w:lastRowFirstColumn="0" w:lastRowLastColumn="0"/>
            <w:tcW w:w="737" w:type="dxa"/>
          </w:tcPr>
          <w:p w14:paraId="6EF07D72" w14:textId="77777777" w:rsidR="00D6403A" w:rsidRPr="003723DF" w:rsidRDefault="00D6403A" w:rsidP="003723DF">
            <w:pPr>
              <w:pStyle w:val="Tabletext"/>
            </w:pPr>
            <w:r w:rsidRPr="003723DF">
              <w:t>75.0%</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1B097D6C" w14:textId="77777777" w:rsidR="00D6403A" w:rsidRPr="003723DF" w:rsidRDefault="00D6403A" w:rsidP="003723DF">
            <w:pPr>
              <w:pStyle w:val="Tabletext"/>
            </w:pPr>
            <w:r w:rsidRPr="003723DF">
              <w:t>76.6%</w:t>
            </w:r>
          </w:p>
        </w:tc>
      </w:tr>
      <w:tr w:rsidR="00D6403A" w:rsidRPr="00D6403A" w14:paraId="5E0805F3"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3C41DE8D" w14:textId="1DC1E512" w:rsidR="00D6403A" w:rsidRPr="003723DF" w:rsidRDefault="00D6403A" w:rsidP="003723DF">
            <w:pPr>
              <w:pStyle w:val="Tabletext"/>
              <w:jc w:val="left"/>
              <w:rPr>
                <w:b/>
              </w:rPr>
            </w:pPr>
            <w:r w:rsidRPr="003723DF">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46038B55" w14:textId="77777777" w:rsidR="00D6403A" w:rsidRPr="003723DF" w:rsidRDefault="00D6403A" w:rsidP="003723DF">
            <w:pPr>
              <w:pStyle w:val="Tabletext"/>
            </w:pPr>
            <w:r w:rsidRPr="003723DF">
              <w:t>71.5%</w:t>
            </w:r>
          </w:p>
        </w:tc>
        <w:tc>
          <w:tcPr>
            <w:cnfStyle w:val="000010000000" w:firstRow="0" w:lastRow="0" w:firstColumn="0" w:lastColumn="0" w:oddVBand="1" w:evenVBand="0" w:oddHBand="0" w:evenHBand="0" w:firstRowFirstColumn="0" w:firstRowLastColumn="0" w:lastRowFirstColumn="0" w:lastRowLastColumn="0"/>
            <w:tcW w:w="737" w:type="dxa"/>
          </w:tcPr>
          <w:p w14:paraId="110519FE" w14:textId="77777777" w:rsidR="00D6403A" w:rsidRPr="003723DF" w:rsidRDefault="00D6403A" w:rsidP="003723DF">
            <w:pPr>
              <w:pStyle w:val="Tabletext"/>
            </w:pPr>
            <w:r w:rsidRPr="003723DF">
              <w:t>69.6%</w:t>
            </w:r>
          </w:p>
        </w:tc>
        <w:tc>
          <w:tcPr>
            <w:cnfStyle w:val="000001000000" w:firstRow="0" w:lastRow="0" w:firstColumn="0" w:lastColumn="0" w:oddVBand="0" w:evenVBand="1" w:oddHBand="0" w:evenHBand="0" w:firstRowFirstColumn="0" w:firstRowLastColumn="0" w:lastRowFirstColumn="0" w:lastRowLastColumn="0"/>
            <w:tcW w:w="737" w:type="dxa"/>
          </w:tcPr>
          <w:p w14:paraId="0BC2DE26" w14:textId="77777777" w:rsidR="00D6403A" w:rsidRPr="003723DF" w:rsidRDefault="00D6403A" w:rsidP="003723DF">
            <w:pPr>
              <w:pStyle w:val="Tabletext"/>
            </w:pPr>
            <w:r w:rsidRPr="003723DF">
              <w:t>68.1%</w:t>
            </w:r>
          </w:p>
        </w:tc>
        <w:tc>
          <w:tcPr>
            <w:cnfStyle w:val="000010000000" w:firstRow="0" w:lastRow="0" w:firstColumn="0" w:lastColumn="0" w:oddVBand="1" w:evenVBand="0" w:oddHBand="0" w:evenHBand="0" w:firstRowFirstColumn="0" w:firstRowLastColumn="0" w:lastRowFirstColumn="0" w:lastRowLastColumn="0"/>
            <w:tcW w:w="737" w:type="dxa"/>
          </w:tcPr>
          <w:p w14:paraId="4DD1061C" w14:textId="77777777" w:rsidR="00D6403A" w:rsidRPr="003723DF" w:rsidRDefault="00D6403A" w:rsidP="003723DF">
            <w:pPr>
              <w:pStyle w:val="Tabletext"/>
            </w:pPr>
            <w:r w:rsidRPr="003723DF">
              <w:t>65.8%</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66E443C0" w14:textId="77777777" w:rsidR="00D6403A" w:rsidRPr="003723DF" w:rsidRDefault="00D6403A" w:rsidP="003723DF">
            <w:pPr>
              <w:pStyle w:val="Tabletext"/>
            </w:pPr>
            <w:r w:rsidRPr="003723DF">
              <w:t>65.4%</w:t>
            </w:r>
          </w:p>
        </w:tc>
      </w:tr>
      <w:tr w:rsidR="00D6403A" w:rsidRPr="00D6403A" w14:paraId="28FF28C5"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74D91603" w14:textId="4DBCD552" w:rsidR="00D6403A" w:rsidRPr="003723DF" w:rsidRDefault="00D6403A" w:rsidP="003723DF">
            <w:pPr>
              <w:pStyle w:val="Tabletext"/>
              <w:jc w:val="left"/>
              <w:rPr>
                <w:b/>
              </w:rPr>
            </w:pPr>
            <w:r w:rsidRPr="003723DF">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472E7005" w14:textId="77777777" w:rsidR="00D6403A" w:rsidRPr="003723DF" w:rsidRDefault="00D6403A" w:rsidP="003723DF">
            <w:pPr>
              <w:pStyle w:val="Tabletext"/>
            </w:pPr>
            <w:r w:rsidRPr="003723DF">
              <w:t>75.1%</w:t>
            </w:r>
          </w:p>
        </w:tc>
        <w:tc>
          <w:tcPr>
            <w:cnfStyle w:val="000010000000" w:firstRow="0" w:lastRow="0" w:firstColumn="0" w:lastColumn="0" w:oddVBand="1" w:evenVBand="0" w:oddHBand="0" w:evenHBand="0" w:firstRowFirstColumn="0" w:firstRowLastColumn="0" w:lastRowFirstColumn="0" w:lastRowLastColumn="0"/>
            <w:tcW w:w="737" w:type="dxa"/>
          </w:tcPr>
          <w:p w14:paraId="5B8C3E44" w14:textId="77777777" w:rsidR="00D6403A" w:rsidRPr="003723DF" w:rsidRDefault="00D6403A" w:rsidP="003723DF">
            <w:pPr>
              <w:pStyle w:val="Tabletext"/>
            </w:pPr>
            <w:r w:rsidRPr="003723DF">
              <w:t>74.1%</w:t>
            </w:r>
          </w:p>
        </w:tc>
        <w:tc>
          <w:tcPr>
            <w:cnfStyle w:val="000001000000" w:firstRow="0" w:lastRow="0" w:firstColumn="0" w:lastColumn="0" w:oddVBand="0" w:evenVBand="1" w:oddHBand="0" w:evenHBand="0" w:firstRowFirstColumn="0" w:firstRowLastColumn="0" w:lastRowFirstColumn="0" w:lastRowLastColumn="0"/>
            <w:tcW w:w="737" w:type="dxa"/>
          </w:tcPr>
          <w:p w14:paraId="2E3D975D" w14:textId="77777777" w:rsidR="00D6403A" w:rsidRPr="003723DF" w:rsidRDefault="00D6403A" w:rsidP="003723DF">
            <w:pPr>
              <w:pStyle w:val="Tabletext"/>
            </w:pPr>
            <w:r w:rsidRPr="003723DF">
              <w:t>73.4%</w:t>
            </w:r>
          </w:p>
        </w:tc>
        <w:tc>
          <w:tcPr>
            <w:cnfStyle w:val="000010000000" w:firstRow="0" w:lastRow="0" w:firstColumn="0" w:lastColumn="0" w:oddVBand="1" w:evenVBand="0" w:oddHBand="0" w:evenHBand="0" w:firstRowFirstColumn="0" w:firstRowLastColumn="0" w:lastRowFirstColumn="0" w:lastRowLastColumn="0"/>
            <w:tcW w:w="737" w:type="dxa"/>
          </w:tcPr>
          <w:p w14:paraId="0BE48A67" w14:textId="77777777" w:rsidR="00D6403A" w:rsidRPr="003723DF" w:rsidRDefault="00D6403A" w:rsidP="003723DF">
            <w:pPr>
              <w:pStyle w:val="Tabletext"/>
            </w:pPr>
            <w:r w:rsidRPr="003723DF">
              <w:t>73.1%</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599E4D0F" w14:textId="77777777" w:rsidR="00D6403A" w:rsidRPr="003723DF" w:rsidRDefault="00D6403A" w:rsidP="003723DF">
            <w:pPr>
              <w:pStyle w:val="Tabletext"/>
            </w:pPr>
            <w:r w:rsidRPr="003723DF">
              <w:t>74.2%</w:t>
            </w:r>
          </w:p>
        </w:tc>
      </w:tr>
    </w:tbl>
    <w:p w14:paraId="2854A22D" w14:textId="3BCC4C55" w:rsidR="00D6403A" w:rsidRPr="00D6403A" w:rsidRDefault="00D6403A" w:rsidP="00870C38">
      <w:pPr>
        <w:pStyle w:val="Tablechartdiagramheading"/>
      </w:pPr>
      <w:r w:rsidRPr="00D6403A">
        <w:t>Figure 57. Time trend of Indicator 8c</w:t>
      </w:r>
      <w:r w:rsidR="00F013CA">
        <w:t xml:space="preserve">, </w:t>
      </w:r>
      <w:r w:rsidR="00F013CA" w:rsidRPr="00D6403A">
        <w:t>2017–2021</w:t>
      </w:r>
    </w:p>
    <w:p w14:paraId="51DE63E0" w14:textId="06B875E4" w:rsidR="00D6403A" w:rsidRPr="00D6403A" w:rsidRDefault="003723DF" w:rsidP="00862996">
      <w:pPr>
        <w:rPr>
          <w:lang w:val="en-GB"/>
        </w:rPr>
      </w:pPr>
      <w:r>
        <w:rPr>
          <w:noProof/>
          <w:lang w:val="en-GB"/>
        </w:rPr>
        <w:drawing>
          <wp:inline distT="0" distB="0" distL="0" distR="0" wp14:anchorId="6D8F67C5" wp14:editId="1F8FF90E">
            <wp:extent cx="3149600" cy="1295400"/>
            <wp:effectExtent l="0" t="0" r="0" b="0"/>
            <wp:docPr id="62" name="Picture 62" descr="Line chart of Table 19 indicator 8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_57.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149600" cy="1295400"/>
                    </a:xfrm>
                    <a:prstGeom prst="rect">
                      <a:avLst/>
                    </a:prstGeom>
                  </pic:spPr>
                </pic:pic>
              </a:graphicData>
            </a:graphic>
          </wp:inline>
        </w:drawing>
      </w:r>
    </w:p>
    <w:p w14:paraId="5BAA65CF" w14:textId="77777777" w:rsidR="00D6403A" w:rsidRPr="00D6403A" w:rsidRDefault="00D6403A" w:rsidP="00862996">
      <w:pPr>
        <w:rPr>
          <w:lang w:val="en-GB"/>
        </w:rPr>
      </w:pPr>
    </w:p>
    <w:p w14:paraId="3310A372" w14:textId="77777777" w:rsidR="00D6403A" w:rsidRPr="00D6403A" w:rsidRDefault="00D6403A" w:rsidP="005939CC">
      <w:pPr>
        <w:pStyle w:val="Heading2"/>
        <w:rPr>
          <w:lang w:val="en-GB"/>
        </w:rPr>
      </w:pPr>
      <w:bookmarkStart w:id="65" w:name="_Toc159326623"/>
      <w:r w:rsidRPr="00D6403A">
        <w:rPr>
          <w:lang w:val="en-GB"/>
        </w:rPr>
        <w:t>Definitions and data source</w:t>
      </w:r>
      <w:bookmarkEnd w:id="65"/>
    </w:p>
    <w:p w14:paraId="205B1FD0" w14:textId="77777777" w:rsidR="00D6403A" w:rsidRPr="00D6403A" w:rsidRDefault="00D6403A" w:rsidP="008340E5">
      <w:pPr>
        <w:pStyle w:val="Heading3"/>
        <w:rPr>
          <w:lang w:val="en-GB"/>
        </w:rPr>
      </w:pPr>
      <w:r w:rsidRPr="00D6403A">
        <w:rPr>
          <w:lang w:val="en-GB"/>
        </w:rPr>
        <w:t>Definitions</w:t>
      </w:r>
    </w:p>
    <w:p w14:paraId="62E02868" w14:textId="77777777" w:rsidR="00D6403A" w:rsidRPr="00D6403A" w:rsidRDefault="00D6403A" w:rsidP="00862996">
      <w:pPr>
        <w:rPr>
          <w:lang w:val="en-GB"/>
        </w:rPr>
      </w:pPr>
      <w:r w:rsidRPr="00D6403A">
        <w:rPr>
          <w:lang w:val="en-GB"/>
        </w:rPr>
        <w:t>This group of measures assesses aspects of breastfeeding in Victorian hospitals during the birthing episode, namely:</w:t>
      </w:r>
    </w:p>
    <w:p w14:paraId="4C7B0050" w14:textId="77777777" w:rsidR="00D6403A" w:rsidRPr="00D6403A" w:rsidRDefault="00D6403A" w:rsidP="00005134">
      <w:pPr>
        <w:pStyle w:val="Bullet1"/>
        <w:rPr>
          <w:lang w:val="en-GB"/>
        </w:rPr>
      </w:pPr>
      <w:r w:rsidRPr="00D6403A">
        <w:rPr>
          <w:lang w:val="en-GB"/>
        </w:rPr>
        <w:t xml:space="preserve">Indicator 8a: rate of breastfeeding initiation for babies born at </w:t>
      </w:r>
      <w:r w:rsidRPr="00D6403A">
        <w:rPr>
          <w:rFonts w:hint="eastAsia"/>
          <w:lang w:val="en-GB"/>
        </w:rPr>
        <w:t>≥</w:t>
      </w:r>
      <w:r w:rsidRPr="00D6403A">
        <w:rPr>
          <w:lang w:val="en-GB"/>
        </w:rPr>
        <w:t xml:space="preserve"> 37 weeks’ gestation</w:t>
      </w:r>
    </w:p>
    <w:p w14:paraId="25C7D16F" w14:textId="77777777" w:rsidR="00D6403A" w:rsidRPr="00D6403A" w:rsidRDefault="00D6403A" w:rsidP="00005134">
      <w:pPr>
        <w:pStyle w:val="Bullet1"/>
        <w:rPr>
          <w:lang w:val="en-GB"/>
        </w:rPr>
      </w:pPr>
      <w:r w:rsidRPr="00D6403A">
        <w:rPr>
          <w:lang w:val="en-GB"/>
        </w:rPr>
        <w:t xml:space="preserve">Indicator 8b: rate of use of infant formula in hospital by breastfed babies born at </w:t>
      </w:r>
      <w:r w:rsidRPr="00D6403A">
        <w:rPr>
          <w:rFonts w:hint="eastAsia"/>
          <w:lang w:val="en-GB"/>
        </w:rPr>
        <w:t>≥</w:t>
      </w:r>
      <w:r w:rsidRPr="00D6403A">
        <w:rPr>
          <w:lang w:val="en-GB"/>
        </w:rPr>
        <w:t xml:space="preserve"> 37 weeks’ gestation</w:t>
      </w:r>
    </w:p>
    <w:p w14:paraId="7DBA5707" w14:textId="77777777" w:rsidR="00D6403A" w:rsidRPr="00D6403A" w:rsidRDefault="00D6403A" w:rsidP="00870C38">
      <w:pPr>
        <w:pStyle w:val="Bullet1"/>
        <w:rPr>
          <w:lang w:val="en-GB"/>
        </w:rPr>
      </w:pPr>
      <w:r w:rsidRPr="00D6403A">
        <w:rPr>
          <w:lang w:val="en-GB"/>
        </w:rPr>
        <w:t>Indicator 8c: rate of final feed being taken directly from the breast by breastfed babies born at</w:t>
      </w:r>
      <w:r w:rsidRPr="00D6403A">
        <w:rPr>
          <w:rFonts w:ascii="Cambria" w:hAnsi="Cambria" w:cs="Cambria"/>
          <w:color w:val="000000"/>
          <w:lang w:val="en-GB"/>
        </w:rPr>
        <w:t> </w:t>
      </w:r>
      <w:r w:rsidRPr="00D6403A">
        <w:rPr>
          <w:rFonts w:hint="eastAsia"/>
          <w:lang w:val="en-GB"/>
        </w:rPr>
        <w:t>≥</w:t>
      </w:r>
      <w:r w:rsidRPr="00D6403A">
        <w:rPr>
          <w:rFonts w:ascii="Cambria" w:hAnsi="Cambria" w:cs="Cambria"/>
          <w:color w:val="000000"/>
          <w:lang w:val="en-GB"/>
        </w:rPr>
        <w:t> </w:t>
      </w:r>
      <w:r w:rsidRPr="00D6403A">
        <w:rPr>
          <w:lang w:val="en-GB"/>
        </w:rPr>
        <w:t>37</w:t>
      </w:r>
      <w:r w:rsidRPr="00D6403A">
        <w:rPr>
          <w:rFonts w:ascii="Cambria" w:hAnsi="Cambria" w:cs="Cambria"/>
          <w:color w:val="000000"/>
          <w:lang w:val="en-GB"/>
        </w:rPr>
        <w:t> </w:t>
      </w:r>
      <w:r w:rsidRPr="00D6403A">
        <w:rPr>
          <w:lang w:val="en-GB"/>
        </w:rPr>
        <w:t>weeks’ gestation.</w:t>
      </w:r>
    </w:p>
    <w:p w14:paraId="70A9A139" w14:textId="77777777" w:rsidR="00D6403A" w:rsidRPr="00D6403A" w:rsidRDefault="00D6403A" w:rsidP="008340E5">
      <w:pPr>
        <w:pStyle w:val="Heading3"/>
        <w:rPr>
          <w:lang w:val="en-GB"/>
        </w:rPr>
      </w:pPr>
      <w:r w:rsidRPr="00D6403A">
        <w:rPr>
          <w:lang w:val="en-GB"/>
        </w:rPr>
        <w:t>Data source: Victorian Perinatal Data Collection</w:t>
      </w:r>
    </w:p>
    <w:p w14:paraId="369B0750" w14:textId="77777777" w:rsidR="00D6403A" w:rsidRPr="00D6403A" w:rsidRDefault="00D6403A" w:rsidP="00005134">
      <w:pPr>
        <w:rPr>
          <w:lang w:val="en-GB"/>
        </w:rPr>
      </w:pPr>
      <w:r w:rsidRPr="00D6403A">
        <w:rPr>
          <w:lang w:val="en-GB"/>
        </w:rPr>
        <w:t>Data for this indicator is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7474486C" w14:textId="77777777" w:rsidR="00D6403A" w:rsidRPr="00D6403A" w:rsidRDefault="00D6403A" w:rsidP="00862996">
      <w:pPr>
        <w:rPr>
          <w:lang w:val="en-GB"/>
        </w:rPr>
      </w:pPr>
      <w:r w:rsidRPr="00D6403A">
        <w:rPr>
          <w:lang w:val="en-GB"/>
        </w:rPr>
        <w:t>The indicators are derived using the following VPDC variables: ‘Breastfeeding attempted’, ‘Formula given in hospital’, ‘Last feed before discharge taken exclusively from the breast’, ‘Estimated gestational age’, ‘Birthweight’, ‘Birth status’ and ‘Birth order’.</w:t>
      </w:r>
    </w:p>
    <w:p w14:paraId="2C0B5890"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35CA0014" w14:textId="77777777" w:rsidTr="003723D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4A515392" w14:textId="77777777" w:rsidR="00D6403A" w:rsidRPr="00D6403A" w:rsidRDefault="00D6403A" w:rsidP="003723DF">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2CFFD7EA" w14:textId="77777777" w:rsidR="00D6403A" w:rsidRPr="00D6403A" w:rsidRDefault="00D6403A" w:rsidP="003723DF">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6E0AF79C" w14:textId="77777777" w:rsidR="00D6403A" w:rsidRPr="00D6403A" w:rsidRDefault="00D6403A" w:rsidP="003723DF">
            <w:pPr>
              <w:pStyle w:val="Tableheader"/>
              <w:rPr>
                <w:b/>
                <w:lang w:val="en-GB"/>
              </w:rPr>
            </w:pPr>
            <w:r w:rsidRPr="00D6403A">
              <w:rPr>
                <w:b/>
                <w:lang w:val="en-GB"/>
              </w:rPr>
              <w:t>Denominator</w:t>
            </w:r>
          </w:p>
        </w:tc>
      </w:tr>
      <w:tr w:rsidR="00D6403A" w:rsidRPr="00D6403A" w14:paraId="2C7412AD" w14:textId="77777777" w:rsidTr="003723DF">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2171C207" w14:textId="77777777" w:rsidR="00D6403A" w:rsidRPr="003723DF" w:rsidRDefault="00D6403A" w:rsidP="003723DF">
            <w:pPr>
              <w:pStyle w:val="Tabletext"/>
              <w:jc w:val="left"/>
              <w:rPr>
                <w:rFonts w:cstheme="minorHAnsi"/>
                <w:b/>
              </w:rPr>
            </w:pPr>
            <w:r w:rsidRPr="003723DF">
              <w:rPr>
                <w:rFonts w:cstheme="minorHAnsi"/>
                <w:b/>
              </w:rPr>
              <w:t>Indicator 8a: Rate of breastfeeding initiation for babies born at ≥ 37 weeks’ gestation</w:t>
            </w:r>
          </w:p>
        </w:tc>
        <w:tc>
          <w:tcPr>
            <w:cnfStyle w:val="000001000000" w:firstRow="0" w:lastRow="0" w:firstColumn="0" w:lastColumn="0" w:oddVBand="0" w:evenVBand="1" w:oddHBand="0" w:evenHBand="0" w:firstRowFirstColumn="0" w:firstRowLastColumn="0" w:lastRowFirstColumn="0" w:lastRowLastColumn="0"/>
            <w:tcW w:w="3401" w:type="dxa"/>
          </w:tcPr>
          <w:p w14:paraId="242D5A51" w14:textId="77777777" w:rsidR="00D6403A" w:rsidRPr="003723DF" w:rsidRDefault="00D6403A" w:rsidP="003723DF">
            <w:pPr>
              <w:pStyle w:val="Tabletext"/>
              <w:jc w:val="left"/>
            </w:pPr>
            <w:r w:rsidRPr="003723DF">
              <w:t>The number of women giving birth to a liveborn at 37 or more weeks’ gestation attempting to breastfeed at least once (regardless of the success of the attempt)</w:t>
            </w:r>
          </w:p>
        </w:tc>
        <w:tc>
          <w:tcPr>
            <w:cnfStyle w:val="000010000000" w:firstRow="0" w:lastRow="0" w:firstColumn="0" w:lastColumn="0" w:oddVBand="1" w:evenVBand="0" w:oddHBand="0" w:evenHBand="0" w:firstRowFirstColumn="0" w:firstRowLastColumn="0" w:lastRowFirstColumn="0" w:lastRowLastColumn="0"/>
            <w:tcW w:w="3402" w:type="dxa"/>
          </w:tcPr>
          <w:p w14:paraId="7AEE8BBF" w14:textId="77777777" w:rsidR="00D6403A" w:rsidRPr="003723DF" w:rsidRDefault="00D6403A" w:rsidP="003723DF">
            <w:pPr>
              <w:pStyle w:val="Tabletext"/>
              <w:jc w:val="left"/>
            </w:pPr>
            <w:r w:rsidRPr="003723DF">
              <w:t>The number of women giving birth to a liveborn at 37 or more weeks’ gestation</w:t>
            </w:r>
          </w:p>
        </w:tc>
      </w:tr>
      <w:tr w:rsidR="00D6403A" w:rsidRPr="00D6403A" w14:paraId="4BF0050C" w14:textId="77777777" w:rsidTr="003723DF">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7BFD4D16" w14:textId="77777777" w:rsidR="00D6403A" w:rsidRPr="003723DF" w:rsidRDefault="00D6403A" w:rsidP="003723DF">
            <w:pPr>
              <w:pStyle w:val="Tabletext"/>
              <w:jc w:val="left"/>
              <w:rPr>
                <w:rFonts w:cstheme="minorHAnsi"/>
                <w:b/>
              </w:rPr>
            </w:pPr>
            <w:r w:rsidRPr="003723DF">
              <w:rPr>
                <w:rFonts w:cstheme="minorHAnsi"/>
                <w:b/>
              </w:rPr>
              <w:t>Indicator 8b: Rate of use of infant formula in hospital by breastfed babies born at ≥ 37 weeks’ gestation</w:t>
            </w:r>
          </w:p>
        </w:tc>
        <w:tc>
          <w:tcPr>
            <w:cnfStyle w:val="000001000000" w:firstRow="0" w:lastRow="0" w:firstColumn="0" w:lastColumn="0" w:oddVBand="0" w:evenVBand="1" w:oddHBand="0" w:evenHBand="0" w:firstRowFirstColumn="0" w:firstRowLastColumn="0" w:lastRowFirstColumn="0" w:lastRowLastColumn="0"/>
            <w:tcW w:w="3401" w:type="dxa"/>
          </w:tcPr>
          <w:p w14:paraId="3F8347D1" w14:textId="77777777" w:rsidR="00D6403A" w:rsidRPr="003723DF" w:rsidRDefault="00D6403A" w:rsidP="003723DF">
            <w:pPr>
              <w:pStyle w:val="Tabletext"/>
              <w:jc w:val="left"/>
            </w:pPr>
            <w:r w:rsidRPr="003723DF">
              <w:t>The number of liveborn babies born at 37 or more weeks’ gestation whose mother initiated breastfeeding and was given infant formula in hospital</w:t>
            </w:r>
          </w:p>
        </w:tc>
        <w:tc>
          <w:tcPr>
            <w:cnfStyle w:val="000010000000" w:firstRow="0" w:lastRow="0" w:firstColumn="0" w:lastColumn="0" w:oddVBand="1" w:evenVBand="0" w:oddHBand="0" w:evenHBand="0" w:firstRowFirstColumn="0" w:firstRowLastColumn="0" w:lastRowFirstColumn="0" w:lastRowLastColumn="0"/>
            <w:tcW w:w="3402" w:type="dxa"/>
          </w:tcPr>
          <w:p w14:paraId="2A66FC76" w14:textId="77777777" w:rsidR="00D6403A" w:rsidRPr="003723DF" w:rsidRDefault="00D6403A" w:rsidP="003723DF">
            <w:pPr>
              <w:pStyle w:val="Tabletext"/>
              <w:jc w:val="left"/>
            </w:pPr>
            <w:r w:rsidRPr="003723DF">
              <w:t>The number of liveborn babies born at 37 or more weeks’ gestation whose mother initiated breastfeeding</w:t>
            </w:r>
          </w:p>
        </w:tc>
      </w:tr>
      <w:tr w:rsidR="00D6403A" w:rsidRPr="00D6403A" w14:paraId="377A3559" w14:textId="77777777" w:rsidTr="003723DF">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51FE7074" w14:textId="77777777" w:rsidR="00D6403A" w:rsidRPr="003723DF" w:rsidRDefault="00D6403A" w:rsidP="003723DF">
            <w:pPr>
              <w:pStyle w:val="Tabletext"/>
              <w:jc w:val="left"/>
              <w:rPr>
                <w:rFonts w:cstheme="minorHAnsi"/>
                <w:b/>
              </w:rPr>
            </w:pPr>
            <w:r w:rsidRPr="003723DF">
              <w:rPr>
                <w:rFonts w:cstheme="minorHAnsi"/>
                <w:b/>
              </w:rPr>
              <w:t>Indicator 8c: Rate of final feed being taken directly from the breast by breastfed babies born at ≥ 37 weeks’ gestation</w:t>
            </w:r>
          </w:p>
        </w:tc>
        <w:tc>
          <w:tcPr>
            <w:cnfStyle w:val="000001000000" w:firstRow="0" w:lastRow="0" w:firstColumn="0" w:lastColumn="0" w:oddVBand="0" w:evenVBand="1" w:oddHBand="0" w:evenHBand="0" w:firstRowFirstColumn="0" w:firstRowLastColumn="0" w:lastRowFirstColumn="0" w:lastRowLastColumn="0"/>
            <w:tcW w:w="3401" w:type="dxa"/>
          </w:tcPr>
          <w:p w14:paraId="292CFCD7" w14:textId="77777777" w:rsidR="00D6403A" w:rsidRPr="003723DF" w:rsidRDefault="00D6403A" w:rsidP="003723DF">
            <w:pPr>
              <w:pStyle w:val="Tabletext"/>
              <w:jc w:val="left"/>
            </w:pPr>
            <w:r w:rsidRPr="003723DF">
              <w:t>The number of liveborn babies born at 37 or more weeks’ gestation whose mother initiated breastfeeding and who fed directly and entirely from the breast at the last feed before discharge</w:t>
            </w:r>
          </w:p>
        </w:tc>
        <w:tc>
          <w:tcPr>
            <w:cnfStyle w:val="000010000000" w:firstRow="0" w:lastRow="0" w:firstColumn="0" w:lastColumn="0" w:oddVBand="1" w:evenVBand="0" w:oddHBand="0" w:evenHBand="0" w:firstRowFirstColumn="0" w:firstRowLastColumn="0" w:lastRowFirstColumn="0" w:lastRowLastColumn="0"/>
            <w:tcW w:w="3402" w:type="dxa"/>
          </w:tcPr>
          <w:p w14:paraId="3DEC90C2" w14:textId="77777777" w:rsidR="00D6403A" w:rsidRPr="003723DF" w:rsidRDefault="00D6403A" w:rsidP="003723DF">
            <w:pPr>
              <w:pStyle w:val="Tabletext"/>
              <w:jc w:val="left"/>
            </w:pPr>
            <w:r w:rsidRPr="003723DF">
              <w:t>The number of liveborn babies born at 37 or more weeks’ gestation whose mother initiated breastfeeding</w:t>
            </w:r>
          </w:p>
        </w:tc>
      </w:tr>
    </w:tbl>
    <w:p w14:paraId="29303DA4" w14:textId="77777777" w:rsidR="00D6403A" w:rsidRPr="00D6403A" w:rsidRDefault="00D6403A" w:rsidP="00862996">
      <w:pPr>
        <w:rPr>
          <w:lang w:val="en-GB"/>
        </w:rPr>
      </w:pPr>
    </w:p>
    <w:p w14:paraId="5984E621" w14:textId="77777777" w:rsidR="003723DF" w:rsidRDefault="003723DF" w:rsidP="003723DF">
      <w:pPr>
        <w:pStyle w:val="Heading2"/>
        <w:rPr>
          <w:lang w:val="en-GB"/>
        </w:rPr>
        <w:sectPr w:rsidR="003723DF" w:rsidSect="004D6F5F">
          <w:pgSz w:w="11901" w:h="16817" w:code="9"/>
          <w:pgMar w:top="3402" w:right="851" w:bottom="1361" w:left="851" w:header="539" w:footer="624" w:gutter="0"/>
          <w:cols w:space="284"/>
          <w:docGrid w:linePitch="360" w:charSpace="46114"/>
        </w:sectPr>
      </w:pPr>
      <w:bookmarkStart w:id="66" w:name="_Toc159326624"/>
    </w:p>
    <w:p w14:paraId="3AB98E53" w14:textId="6A54FD43" w:rsidR="00D6403A" w:rsidRPr="00D6403A" w:rsidRDefault="00D6403A" w:rsidP="003723DF">
      <w:pPr>
        <w:pStyle w:val="Heading1"/>
        <w:framePr w:wrap="around"/>
        <w:rPr>
          <w:lang w:val="en-GB"/>
        </w:rPr>
      </w:pPr>
      <w:r w:rsidRPr="00D6403A">
        <w:rPr>
          <w:lang w:val="en-GB"/>
        </w:rPr>
        <w:lastRenderedPageBreak/>
        <w:t>9: First antenatal visit</w:t>
      </w:r>
      <w:bookmarkEnd w:id="66"/>
    </w:p>
    <w:p w14:paraId="40B8F9B2" w14:textId="77777777" w:rsidR="00D6403A" w:rsidRPr="00D6403A" w:rsidRDefault="00D6403A" w:rsidP="00D64F24">
      <w:pPr>
        <w:pStyle w:val="IntroductoryText"/>
        <w:rPr>
          <w:lang w:val="en-GB"/>
        </w:rPr>
      </w:pPr>
      <w:r w:rsidRPr="00D64F24">
        <w:t>Antenatal care is a planned visit between a pregnant woman and a maternity healthcare provider to assess and improve the health of the mother and baby during pregnancy. Early antenatal care represents an opportunity to treat and provide advice on existing health conditions and plan ongoing investigations and management. Regular antenatal care, and especially that starting in the first trimester, is associated with fewer pregnancy related complications and with positive maternal and</w:t>
      </w:r>
      <w:r w:rsidRPr="00D6403A">
        <w:rPr>
          <w:rFonts w:ascii="Cambria" w:hAnsi="Cambria" w:cs="Cambria"/>
          <w:lang w:val="en-GB"/>
        </w:rPr>
        <w:t> </w:t>
      </w:r>
      <w:r w:rsidRPr="00D6403A">
        <w:rPr>
          <w:lang w:val="en-GB"/>
        </w:rPr>
        <w:t>child health outcomes.</w:t>
      </w:r>
    </w:p>
    <w:p w14:paraId="134FEDDF" w14:textId="77777777" w:rsidR="00D6403A" w:rsidRPr="00D6403A" w:rsidRDefault="00D6403A" w:rsidP="005939CC">
      <w:pPr>
        <w:pStyle w:val="Heading2"/>
        <w:rPr>
          <w:lang w:val="en-GB"/>
        </w:rPr>
      </w:pPr>
      <w:bookmarkStart w:id="67" w:name="_Toc159326625"/>
      <w:r w:rsidRPr="00D6403A">
        <w:rPr>
          <w:lang w:val="en-GB"/>
        </w:rPr>
        <w:t>About this indicator</w:t>
      </w:r>
      <w:bookmarkEnd w:id="67"/>
    </w:p>
    <w:p w14:paraId="7C652D12" w14:textId="77777777" w:rsidR="00D6403A" w:rsidRPr="00D6403A" w:rsidRDefault="00D6403A" w:rsidP="00005134">
      <w:pPr>
        <w:rPr>
          <w:lang w:val="en-GB"/>
        </w:rPr>
      </w:pPr>
      <w:r w:rsidRPr="00D6403A">
        <w:rPr>
          <w:lang w:val="en-GB"/>
        </w:rPr>
        <w:t>This indicator reports the rate of women who had their first antenatal visit with a maternity care provider prior to 12 weeks’ gestation. The first antenatal visit is defined as the first visit to a midwife or</w:t>
      </w:r>
      <w:r w:rsidRPr="00D6403A">
        <w:rPr>
          <w:rFonts w:ascii="Cambria" w:hAnsi="Cambria" w:cs="Cambria"/>
          <w:color w:val="000000"/>
          <w:lang w:val="en-GB"/>
        </w:rPr>
        <w:t> </w:t>
      </w:r>
      <w:r w:rsidRPr="00D6403A">
        <w:rPr>
          <w:lang w:val="en-GB"/>
        </w:rPr>
        <w:t>doctor arranged specifically for providing pregnancy care.</w:t>
      </w:r>
    </w:p>
    <w:p w14:paraId="507EFA0F" w14:textId="77777777" w:rsidR="00D6403A" w:rsidRPr="00D6403A" w:rsidRDefault="00D6403A" w:rsidP="00862996">
      <w:pPr>
        <w:rPr>
          <w:lang w:val="en-GB"/>
        </w:rPr>
      </w:pPr>
      <w:r w:rsidRPr="00D6403A">
        <w:rPr>
          <w:lang w:val="en-GB"/>
        </w:rPr>
        <w:t>This first antenatal visit may occur in the community or at a hospital and may be facilitated by a range of health professionals (midwives, general practitioners, obstetricians). This diversity is important because it allows different approaches to care and choices for women.</w:t>
      </w:r>
    </w:p>
    <w:p w14:paraId="324BE84B" w14:textId="77777777" w:rsidR="00D6403A" w:rsidRPr="00D6403A" w:rsidRDefault="00D6403A" w:rsidP="00862996">
      <w:pPr>
        <w:rPr>
          <w:lang w:val="en-GB"/>
        </w:rPr>
      </w:pPr>
      <w:r w:rsidRPr="00D6403A">
        <w:rPr>
          <w:lang w:val="en-GB"/>
        </w:rPr>
        <w:t>It is recommended that women attend their first antenatal care visit within the first 12 weeks of pregnancy. Timely access to care allows for early detection of certain conditions and appropriate management of the pregnancy.</w:t>
      </w:r>
    </w:p>
    <w:p w14:paraId="251B4CBB" w14:textId="013F0A4C" w:rsidR="00D6403A" w:rsidRDefault="00D6403A" w:rsidP="00862996">
      <w:pPr>
        <w:rPr>
          <w:lang w:val="en-GB"/>
        </w:rPr>
      </w:pPr>
      <w:r w:rsidRPr="00D6403A">
        <w:rPr>
          <w:lang w:val="en-GB"/>
        </w:rPr>
        <w:t>Late access to antenatal care is associated with less favourable outcomes for women and their babies.</w:t>
      </w:r>
    </w:p>
    <w:p w14:paraId="67B00C46" w14:textId="77777777" w:rsidR="003723DF" w:rsidRPr="003723DF" w:rsidRDefault="003723DF" w:rsidP="003723DF">
      <w:pPr>
        <w:spacing w:before="0" w:after="0" w:line="240" w:lineRule="auto"/>
        <w:rPr>
          <w:rFonts w:ascii="Times New Roman" w:eastAsia="Times New Roman" w:hAnsi="Times New Roman" w:cs="Times New Roman"/>
          <w:sz w:val="24"/>
          <w:szCs w:val="24"/>
          <w:lang w:eastAsia="en-US"/>
        </w:rPr>
      </w:pPr>
      <w:r w:rsidRPr="003723DF">
        <w:rPr>
          <w:rFonts w:ascii="Helvetica" w:eastAsia="Times New Roman" w:hAnsi="Helvetica" w:cs="Times New Roman"/>
          <w:color w:val="000000"/>
          <w:sz w:val="18"/>
          <w:szCs w:val="18"/>
          <w:lang w:eastAsia="en-US"/>
        </w:rPr>
        <w:t>[Break out box text:</w:t>
      </w:r>
    </w:p>
    <w:p w14:paraId="02E5DECF" w14:textId="77777777" w:rsidR="003723DF" w:rsidRPr="00D6403A" w:rsidRDefault="003723DF" w:rsidP="003723DF">
      <w:pPr>
        <w:pStyle w:val="Heading3"/>
        <w:rPr>
          <w:lang w:val="en-GB"/>
        </w:rPr>
      </w:pPr>
      <w:r w:rsidRPr="00D6403A">
        <w:rPr>
          <w:lang w:val="en-GB"/>
        </w:rPr>
        <w:t>What pregnant women and families need to know</w:t>
      </w:r>
    </w:p>
    <w:p w14:paraId="47A16844" w14:textId="77777777" w:rsidR="003723DF" w:rsidRPr="00D6403A" w:rsidRDefault="003723DF" w:rsidP="003723DF">
      <w:pPr>
        <w:rPr>
          <w:lang w:val="en-GB"/>
        </w:rPr>
      </w:pPr>
      <w:r w:rsidRPr="00D6403A">
        <w:rPr>
          <w:lang w:val="en-GB"/>
        </w:rPr>
        <w:t>During pregnancy there are some very specific health issues that can arise, and it is important that women who are pregnant see their midwife or doctor early in the pregnancy.</w:t>
      </w:r>
    </w:p>
    <w:p w14:paraId="1629D3F9" w14:textId="77777777" w:rsidR="003723DF" w:rsidRPr="00D6403A" w:rsidRDefault="003723DF" w:rsidP="00005134">
      <w:pPr>
        <w:rPr>
          <w:lang w:val="en-GB"/>
        </w:rPr>
      </w:pPr>
      <w:r w:rsidRPr="00D6403A">
        <w:rPr>
          <w:lang w:val="en-GB"/>
        </w:rPr>
        <w:t>This indicator measures how many women see their midwife or doctor before the pregnancy is</w:t>
      </w:r>
      <w:r w:rsidRPr="00D6403A">
        <w:rPr>
          <w:rFonts w:ascii="Cambria" w:hAnsi="Cambria" w:cs="Cambria"/>
          <w:lang w:val="en-GB"/>
        </w:rPr>
        <w:t> </w:t>
      </w:r>
      <w:r w:rsidRPr="00D6403A">
        <w:rPr>
          <w:lang w:val="en-GB"/>
        </w:rPr>
        <w:t>12 weeks so that any special needs can be met.</w:t>
      </w:r>
    </w:p>
    <w:p w14:paraId="5DB5A4B6" w14:textId="77777777" w:rsidR="003723DF" w:rsidRPr="00D6403A" w:rsidRDefault="003723DF" w:rsidP="00005134">
      <w:pPr>
        <w:rPr>
          <w:color w:val="000000"/>
          <w:lang w:val="en-GB"/>
        </w:rPr>
      </w:pPr>
      <w:r w:rsidRPr="00D6403A">
        <w:rPr>
          <w:lang w:val="en-GB"/>
        </w:rPr>
        <w:t>We aim for all pregnant women to attend an antenatal visit before the pregnancy is 12 weeks, but the graphs (Figure 58 and Figure 59) on the following pages show that in some areas the</w:t>
      </w:r>
      <w:r w:rsidRPr="00D6403A">
        <w:rPr>
          <w:rFonts w:ascii="Cambria" w:hAnsi="Cambria" w:cs="Cambria"/>
          <w:lang w:val="en-GB"/>
        </w:rPr>
        <w:t> </w:t>
      </w:r>
      <w:r w:rsidRPr="00D6403A">
        <w:rPr>
          <w:lang w:val="en-GB"/>
        </w:rPr>
        <w:t>rate is quite low.</w:t>
      </w:r>
    </w:p>
    <w:p w14:paraId="3AFCA5E4" w14:textId="77777777" w:rsidR="003723DF" w:rsidRPr="003723DF" w:rsidRDefault="003723DF" w:rsidP="003723DF">
      <w:pPr>
        <w:spacing w:before="0" w:after="0" w:line="240" w:lineRule="auto"/>
        <w:rPr>
          <w:rFonts w:ascii="Times New Roman" w:eastAsia="Times New Roman" w:hAnsi="Times New Roman" w:cs="Times New Roman"/>
          <w:sz w:val="24"/>
          <w:szCs w:val="24"/>
          <w:lang w:eastAsia="en-US"/>
        </w:rPr>
      </w:pPr>
      <w:r w:rsidRPr="003723DF">
        <w:rPr>
          <w:rFonts w:ascii="Helvetica" w:eastAsia="Times New Roman" w:hAnsi="Helvetica" w:cs="Times New Roman"/>
          <w:color w:val="000000"/>
          <w:sz w:val="18"/>
          <w:szCs w:val="18"/>
          <w:lang w:eastAsia="en-US"/>
        </w:rPr>
        <w:t>End of break out box text.]</w:t>
      </w:r>
    </w:p>
    <w:p w14:paraId="443A34CB" w14:textId="77777777" w:rsidR="00D6403A" w:rsidRPr="00D6403A" w:rsidRDefault="00D6403A" w:rsidP="005939CC">
      <w:pPr>
        <w:pStyle w:val="Heading2"/>
        <w:rPr>
          <w:lang w:val="en-GB"/>
        </w:rPr>
      </w:pPr>
      <w:bookmarkStart w:id="68" w:name="_Toc159326626"/>
      <w:r w:rsidRPr="00D6403A">
        <w:rPr>
          <w:lang w:val="en-GB"/>
        </w:rPr>
        <w:t>Observations on the data</w:t>
      </w:r>
      <w:bookmarkEnd w:id="68"/>
    </w:p>
    <w:p w14:paraId="080821F2" w14:textId="77777777" w:rsidR="00D6403A" w:rsidRPr="00D6403A" w:rsidRDefault="00D6403A" w:rsidP="00D6403A">
      <w:pPr>
        <w:rPr>
          <w:lang w:val="en-GB"/>
        </w:rPr>
      </w:pPr>
      <w:r w:rsidRPr="00D6403A">
        <w:t>The overall proportion of women who had their first antenatal visit recorded as occurring before 12</w:t>
      </w:r>
      <w:r w:rsidRPr="00D6403A">
        <w:rPr>
          <w:rFonts w:ascii="Cambria" w:hAnsi="Cambria" w:cs="Cambria"/>
          <w:lang w:val="en-GB"/>
        </w:rPr>
        <w:t> </w:t>
      </w:r>
      <w:r w:rsidRPr="00D6403A">
        <w:rPr>
          <w:lang w:val="en-GB"/>
        </w:rPr>
        <w:t>weeks’ gestation increased to 76.5% in 2021 from 73.6% in 2020 (Table 20). The rate varied between public and private hospitals (73.4 and 87.6%, respectively). The overall state rate has increased significantly since 2018 when the rate was reported at 59.5% (Figure 60 and Table 20).</w:t>
      </w:r>
    </w:p>
    <w:p w14:paraId="3B0AFE5B" w14:textId="05EDA654" w:rsidR="00D6403A" w:rsidRPr="00D6403A" w:rsidRDefault="00D6403A" w:rsidP="00D6403A">
      <w:r w:rsidRPr="00D6403A">
        <w:rPr>
          <w:lang w:val="en-GB"/>
        </w:rPr>
        <w:t>The data reported to the VPDC for this measure has limitations. Some health services may not include early antenatal visits to a general practitioner that include referral for antenatal investigations and others do include these visits. Some may include visits for reasons other than pregnancy care. Given</w:t>
      </w:r>
      <w:r w:rsidRPr="00D6403A">
        <w:rPr>
          <w:rFonts w:ascii="Cambria" w:hAnsi="Cambria" w:cs="Cambria"/>
          <w:lang w:val="en-GB"/>
        </w:rPr>
        <w:t> </w:t>
      </w:r>
      <w:r w:rsidRPr="00D6403A">
        <w:t xml:space="preserve">this, hospitals should review their data collection processes to the </w:t>
      </w:r>
      <w:hyperlink r:id="rId111" w:history="1">
        <w:r w:rsidRPr="003723DF">
          <w:rPr>
            <w:rStyle w:val="Hyperlink"/>
          </w:rPr>
          <w:t>VPDC reporting guideline</w:t>
        </w:r>
      </w:hyperlink>
      <w:r w:rsidRPr="00D6403A">
        <w:t xml:space="preserve"> &lt;https://www.health.vic.gov.au/quality-safety-service/victorian-perinatal-data-collection&gt; to ensure an accurate capture of care provided in the community.</w:t>
      </w:r>
    </w:p>
    <w:p w14:paraId="2FCCC0CD" w14:textId="77777777" w:rsidR="00D6403A" w:rsidRPr="00D6403A" w:rsidRDefault="00D6403A" w:rsidP="005939CC">
      <w:pPr>
        <w:pStyle w:val="Heading2"/>
        <w:rPr>
          <w:lang w:val="en-GB"/>
        </w:rPr>
      </w:pPr>
      <w:bookmarkStart w:id="69" w:name="_Toc159326627"/>
      <w:r w:rsidRPr="00D6403A">
        <w:rPr>
          <w:lang w:val="en-GB"/>
        </w:rPr>
        <w:lastRenderedPageBreak/>
        <w:t>Strategies for improvement</w:t>
      </w:r>
      <w:bookmarkEnd w:id="69"/>
    </w:p>
    <w:p w14:paraId="5D0D46D9" w14:textId="77777777" w:rsidR="00D6403A" w:rsidRPr="00D6403A" w:rsidRDefault="00D6403A" w:rsidP="003723DF">
      <w:pPr>
        <w:pStyle w:val="Bullet1"/>
        <w:rPr>
          <w:lang w:val="en-GB"/>
        </w:rPr>
      </w:pPr>
      <w:r w:rsidRPr="00D6403A">
        <w:rPr>
          <w:lang w:val="en-GB"/>
        </w:rPr>
        <w:t>Health services should work with women and their families to understand and develop strategies to</w:t>
      </w:r>
      <w:r w:rsidRPr="00D6403A">
        <w:rPr>
          <w:rFonts w:ascii="Cambria" w:hAnsi="Cambria" w:cs="Cambria"/>
          <w:color w:val="000000"/>
          <w:lang w:val="en-GB"/>
        </w:rPr>
        <w:t> </w:t>
      </w:r>
      <w:r w:rsidRPr="00D6403A">
        <w:rPr>
          <w:lang w:val="en-GB"/>
        </w:rPr>
        <w:t>address barriers to early antenatal care.</w:t>
      </w:r>
    </w:p>
    <w:p w14:paraId="6163CC85" w14:textId="09128DCE" w:rsidR="00D6403A" w:rsidRPr="00D6403A" w:rsidRDefault="00D6403A" w:rsidP="003723DF">
      <w:pPr>
        <w:pStyle w:val="Bullet1"/>
        <w:rPr>
          <w:lang w:val="en-GB"/>
        </w:rPr>
      </w:pPr>
      <w:r w:rsidRPr="00D6403A">
        <w:rPr>
          <w:lang w:val="en-GB"/>
        </w:rPr>
        <w:t>Identify high-risk women who may require a more focused approach to ensure early and ongoing access to antenatal care. Health education campaigns should consider how they target vulnerable groups such as young mothers, Aboriginal and Torres Strait Islander women, culturally and linguistically diverse women and those with socioeconomic challenges.</w:t>
      </w:r>
    </w:p>
    <w:p w14:paraId="4CA9F46A" w14:textId="77777777" w:rsidR="00D6403A" w:rsidRPr="00D6403A" w:rsidRDefault="00D6403A" w:rsidP="003723DF">
      <w:pPr>
        <w:pStyle w:val="Bullet1"/>
        <w:rPr>
          <w:lang w:val="en-GB"/>
        </w:rPr>
      </w:pPr>
      <w:r w:rsidRPr="00D6403A">
        <w:rPr>
          <w:lang w:val="en-GB"/>
        </w:rPr>
        <w:t>Improve the accuracy of data by educating maternity staff to ask about antenatal care provided in</w:t>
      </w:r>
      <w:r w:rsidRPr="00D6403A">
        <w:rPr>
          <w:rFonts w:ascii="Cambria" w:hAnsi="Cambria" w:cs="Cambria"/>
          <w:color w:val="000000"/>
          <w:lang w:val="en-GB"/>
        </w:rPr>
        <w:t> </w:t>
      </w:r>
      <w:r w:rsidRPr="00D6403A">
        <w:rPr>
          <w:lang w:val="en-GB"/>
        </w:rPr>
        <w:t>the community – for example, by a general practitioner. Ensure all staff entering antenatal data are</w:t>
      </w:r>
      <w:r w:rsidRPr="00D6403A">
        <w:rPr>
          <w:rFonts w:ascii="Cambria" w:hAnsi="Cambria" w:cs="Cambria"/>
          <w:color w:val="000000"/>
          <w:lang w:val="en-GB"/>
        </w:rPr>
        <w:t> </w:t>
      </w:r>
      <w:r w:rsidRPr="00D6403A">
        <w:rPr>
          <w:lang w:val="en-GB"/>
        </w:rPr>
        <w:t>familiar with the VPDC reporting rules.</w:t>
      </w:r>
    </w:p>
    <w:p w14:paraId="2F126824" w14:textId="27D6CE89" w:rsidR="00D6403A" w:rsidRPr="00D6403A" w:rsidRDefault="00D6403A" w:rsidP="003723DF">
      <w:pPr>
        <w:pStyle w:val="Bullet1"/>
        <w:rPr>
          <w:lang w:val="en-GB"/>
        </w:rPr>
      </w:pPr>
      <w:r w:rsidRPr="00D6403A">
        <w:rPr>
          <w:lang w:val="en-GB"/>
        </w:rPr>
        <w:t>Agree on local targets to guide incremental improvement and monitor progress.</w:t>
      </w:r>
    </w:p>
    <w:p w14:paraId="4865EC62" w14:textId="77777777" w:rsidR="00D6403A" w:rsidRPr="00D6403A" w:rsidRDefault="00D6403A" w:rsidP="003723DF">
      <w:pPr>
        <w:pStyle w:val="Tablechartdiagramheading"/>
        <w:rPr>
          <w:lang w:val="en-GB"/>
        </w:rPr>
      </w:pPr>
      <w:r w:rsidRPr="00D6403A">
        <w:rPr>
          <w:lang w:val="en-GB"/>
        </w:rPr>
        <w:lastRenderedPageBreak/>
        <w:t>Figure 58. Indicator 9: Rate of women attending their first antenatal visit prior to 12 weeks’ gestation,</w:t>
      </w:r>
      <w:r w:rsidRPr="00D6403A">
        <w:rPr>
          <w:rFonts w:ascii="Cambria" w:hAnsi="Cambria" w:cs="Cambria"/>
          <w:lang w:val="en-GB"/>
        </w:rPr>
        <w:t> </w:t>
      </w:r>
      <w:r w:rsidRPr="00D6403A">
        <w:rPr>
          <w:lang w:val="en-GB"/>
        </w:rPr>
        <w:t>2021</w:t>
      </w:r>
    </w:p>
    <w:p w14:paraId="092A3A81" w14:textId="7152D1C5" w:rsidR="00D6403A" w:rsidRPr="00D6403A" w:rsidRDefault="003723DF" w:rsidP="00862996">
      <w:pPr>
        <w:rPr>
          <w:lang w:val="en-GB"/>
        </w:rPr>
      </w:pPr>
      <w:r>
        <w:rPr>
          <w:noProof/>
          <w:lang w:val="en-GB"/>
        </w:rPr>
        <w:drawing>
          <wp:inline distT="0" distB="0" distL="0" distR="0" wp14:anchorId="11467864" wp14:editId="6C4B4B2D">
            <wp:extent cx="6110344" cy="7122843"/>
            <wp:effectExtent l="0" t="0" r="0" b="1905"/>
            <wp:docPr id="63" name="Picture 63" descr="Bar chart for Indicator 9.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_58.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3863" cy="7138602"/>
                    </a:xfrm>
                    <a:prstGeom prst="rect">
                      <a:avLst/>
                    </a:prstGeom>
                  </pic:spPr>
                </pic:pic>
              </a:graphicData>
            </a:graphic>
          </wp:inline>
        </w:drawing>
      </w:r>
    </w:p>
    <w:p w14:paraId="3413249B" w14:textId="77777777" w:rsidR="00D6403A" w:rsidRPr="00D6403A" w:rsidRDefault="00D6403A" w:rsidP="003723DF">
      <w:pPr>
        <w:pStyle w:val="Tablechartdiagramheading"/>
        <w:rPr>
          <w:lang w:val="en-GB"/>
        </w:rPr>
      </w:pPr>
      <w:r w:rsidRPr="00D6403A">
        <w:rPr>
          <w:lang w:val="en-GB"/>
        </w:rPr>
        <w:lastRenderedPageBreak/>
        <w:t>Figure 59. Funnel plot the rate of women attending their first antenatal visit prior to 12 weeks’ gestation,</w:t>
      </w:r>
      <w:r w:rsidRPr="00D6403A">
        <w:rPr>
          <w:rFonts w:ascii="Cambria" w:hAnsi="Cambria" w:cs="Cambria"/>
          <w:lang w:val="en-GB"/>
        </w:rPr>
        <w:t> </w:t>
      </w:r>
      <w:r w:rsidRPr="00D6403A">
        <w:rPr>
          <w:lang w:val="en-GB"/>
        </w:rPr>
        <w:t>2021</w:t>
      </w:r>
    </w:p>
    <w:p w14:paraId="5D701B8F" w14:textId="5AD4FD92" w:rsidR="00D6403A" w:rsidRPr="00D6403A" w:rsidRDefault="003723DF" w:rsidP="00862996">
      <w:pPr>
        <w:rPr>
          <w:lang w:val="en-GB"/>
        </w:rPr>
      </w:pPr>
      <w:r>
        <w:rPr>
          <w:noProof/>
          <w:lang w:val="en-GB"/>
        </w:rPr>
        <w:drawing>
          <wp:inline distT="0" distB="0" distL="0" distR="0" wp14:anchorId="3810C0CD" wp14:editId="3618B101">
            <wp:extent cx="6057900" cy="3416300"/>
            <wp:effectExtent l="0" t="0" r="0" b="0"/>
            <wp:docPr id="64" name="Picture 64"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_59.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057900" cy="3416300"/>
                    </a:xfrm>
                    <a:prstGeom prst="rect">
                      <a:avLst/>
                    </a:prstGeom>
                  </pic:spPr>
                </pic:pic>
              </a:graphicData>
            </a:graphic>
          </wp:inline>
        </w:drawing>
      </w:r>
    </w:p>
    <w:p w14:paraId="3BCFDBB9"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54ACA314" w14:textId="77777777" w:rsidR="00D6403A" w:rsidRPr="00D6403A" w:rsidRDefault="00D6403A" w:rsidP="00887B5A">
      <w:pPr>
        <w:pStyle w:val="Tablechartdiagramheading"/>
        <w:rPr>
          <w:lang w:val="en-GB"/>
        </w:rPr>
      </w:pPr>
      <w:r w:rsidRPr="00D6403A">
        <w:rPr>
          <w:lang w:val="en-GB"/>
        </w:rPr>
        <w:t xml:space="preserve">Table 20. Rate of women attending their first antenatal visit prior to 12 weeks’ gestation, </w:t>
      </w:r>
      <w:r w:rsidRPr="00D6403A">
        <w:rPr>
          <w:lang w:val="en-GB"/>
        </w:rPr>
        <w:br/>
        <w:t>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303D26BB" w14:textId="77777777" w:rsidTr="003723D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7DF91246" w14:textId="77777777" w:rsidR="00D6403A" w:rsidRPr="003723DF" w:rsidRDefault="00D6403A" w:rsidP="003723DF">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573F09BB" w14:textId="77777777" w:rsidR="00D6403A" w:rsidRPr="003723DF" w:rsidRDefault="00D6403A" w:rsidP="003723DF">
            <w:pPr>
              <w:pStyle w:val="Tableheader"/>
              <w:jc w:val="right"/>
              <w:rPr>
                <w:b/>
                <w:lang w:val="en-GB"/>
              </w:rPr>
            </w:pPr>
            <w:r w:rsidRPr="003723DF">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28651FFB" w14:textId="77777777" w:rsidR="00D6403A" w:rsidRPr="003723DF" w:rsidRDefault="00D6403A" w:rsidP="003723DF">
            <w:pPr>
              <w:pStyle w:val="Tableheader"/>
              <w:jc w:val="right"/>
              <w:rPr>
                <w:b/>
                <w:lang w:val="en-GB"/>
              </w:rPr>
            </w:pPr>
            <w:r w:rsidRPr="003723DF">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4A8899E1" w14:textId="77777777" w:rsidR="00D6403A" w:rsidRPr="003723DF" w:rsidRDefault="00D6403A" w:rsidP="003723DF">
            <w:pPr>
              <w:pStyle w:val="Tableheader"/>
              <w:jc w:val="right"/>
              <w:rPr>
                <w:b/>
                <w:lang w:val="en-GB"/>
              </w:rPr>
            </w:pPr>
            <w:r w:rsidRPr="003723DF">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75842154" w14:textId="77777777" w:rsidR="00D6403A" w:rsidRPr="003723DF" w:rsidRDefault="00D6403A" w:rsidP="003723DF">
            <w:pPr>
              <w:pStyle w:val="Tableheader"/>
              <w:jc w:val="right"/>
              <w:rPr>
                <w:b/>
                <w:lang w:val="en-GB"/>
              </w:rPr>
            </w:pPr>
            <w:r w:rsidRPr="003723DF">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68FF967D" w14:textId="77777777" w:rsidR="00D6403A" w:rsidRPr="003723DF" w:rsidRDefault="00D6403A" w:rsidP="003723DF">
            <w:pPr>
              <w:pStyle w:val="Tableheader"/>
              <w:jc w:val="right"/>
              <w:rPr>
                <w:b/>
                <w:lang w:val="en-GB"/>
              </w:rPr>
            </w:pPr>
            <w:r w:rsidRPr="003723DF">
              <w:rPr>
                <w:b/>
                <w:lang w:val="en-GB"/>
              </w:rPr>
              <w:t>2021</w:t>
            </w:r>
          </w:p>
        </w:tc>
      </w:tr>
      <w:tr w:rsidR="00D6403A" w:rsidRPr="00D6403A" w14:paraId="43CF21AA"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3503AE4C" w14:textId="51727350" w:rsidR="00D6403A" w:rsidRPr="003723DF" w:rsidRDefault="00D6403A" w:rsidP="003723DF">
            <w:pPr>
              <w:pStyle w:val="Tabletext"/>
              <w:jc w:val="left"/>
              <w:rPr>
                <w:b/>
              </w:rPr>
            </w:pPr>
            <w:r w:rsidRPr="003723DF">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694275B2" w14:textId="77777777" w:rsidR="00D6403A" w:rsidRPr="003723DF" w:rsidRDefault="00D6403A" w:rsidP="003723DF">
            <w:pPr>
              <w:pStyle w:val="Tabletext"/>
            </w:pPr>
            <w:r w:rsidRPr="003723DF">
              <w:t>44.5%</w:t>
            </w:r>
          </w:p>
        </w:tc>
        <w:tc>
          <w:tcPr>
            <w:cnfStyle w:val="000010000000" w:firstRow="0" w:lastRow="0" w:firstColumn="0" w:lastColumn="0" w:oddVBand="1" w:evenVBand="0" w:oddHBand="0" w:evenHBand="0" w:firstRowFirstColumn="0" w:firstRowLastColumn="0" w:lastRowFirstColumn="0" w:lastRowLastColumn="0"/>
            <w:tcW w:w="737" w:type="dxa"/>
          </w:tcPr>
          <w:p w14:paraId="35AA1092" w14:textId="77777777" w:rsidR="00D6403A" w:rsidRPr="003723DF" w:rsidRDefault="00D6403A" w:rsidP="003723DF">
            <w:pPr>
              <w:pStyle w:val="Tabletext"/>
            </w:pPr>
            <w:r w:rsidRPr="003723DF">
              <w:t>51.5%</w:t>
            </w:r>
          </w:p>
        </w:tc>
        <w:tc>
          <w:tcPr>
            <w:cnfStyle w:val="000001000000" w:firstRow="0" w:lastRow="0" w:firstColumn="0" w:lastColumn="0" w:oddVBand="0" w:evenVBand="1" w:oddHBand="0" w:evenHBand="0" w:firstRowFirstColumn="0" w:firstRowLastColumn="0" w:lastRowFirstColumn="0" w:lastRowLastColumn="0"/>
            <w:tcW w:w="737" w:type="dxa"/>
          </w:tcPr>
          <w:p w14:paraId="584A81E3" w14:textId="77777777" w:rsidR="00D6403A" w:rsidRPr="003723DF" w:rsidRDefault="00D6403A" w:rsidP="003723DF">
            <w:pPr>
              <w:pStyle w:val="Tabletext"/>
            </w:pPr>
            <w:r w:rsidRPr="003723DF">
              <w:t>59.9%</w:t>
            </w:r>
          </w:p>
        </w:tc>
        <w:tc>
          <w:tcPr>
            <w:cnfStyle w:val="000010000000" w:firstRow="0" w:lastRow="0" w:firstColumn="0" w:lastColumn="0" w:oddVBand="1" w:evenVBand="0" w:oddHBand="0" w:evenHBand="0" w:firstRowFirstColumn="0" w:firstRowLastColumn="0" w:lastRowFirstColumn="0" w:lastRowLastColumn="0"/>
            <w:tcW w:w="737" w:type="dxa"/>
          </w:tcPr>
          <w:p w14:paraId="3D65BAEE" w14:textId="77777777" w:rsidR="00D6403A" w:rsidRPr="003723DF" w:rsidRDefault="00D6403A" w:rsidP="003723DF">
            <w:pPr>
              <w:pStyle w:val="Tabletext"/>
            </w:pPr>
            <w:r w:rsidRPr="003723DF">
              <w:t>70.1%</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02C111A9" w14:textId="77777777" w:rsidR="00D6403A" w:rsidRPr="003723DF" w:rsidRDefault="00D6403A" w:rsidP="003723DF">
            <w:pPr>
              <w:pStyle w:val="Tabletext"/>
            </w:pPr>
            <w:r w:rsidRPr="003723DF">
              <w:t>73.4%</w:t>
            </w:r>
          </w:p>
        </w:tc>
      </w:tr>
      <w:tr w:rsidR="00D6403A" w:rsidRPr="00D6403A" w14:paraId="1E1F7F3C"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7C4B431C" w14:textId="0A99CA98" w:rsidR="00D6403A" w:rsidRPr="003723DF" w:rsidRDefault="00D6403A" w:rsidP="003723DF">
            <w:pPr>
              <w:pStyle w:val="Tabletext"/>
              <w:jc w:val="left"/>
              <w:rPr>
                <w:b/>
              </w:rPr>
            </w:pPr>
            <w:r w:rsidRPr="003723DF">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6E5A7D88" w14:textId="77777777" w:rsidR="00D6403A" w:rsidRPr="003723DF" w:rsidRDefault="00D6403A" w:rsidP="003723DF">
            <w:pPr>
              <w:pStyle w:val="Tabletext"/>
            </w:pPr>
            <w:r w:rsidRPr="003723DF">
              <w:t>86.9%</w:t>
            </w:r>
          </w:p>
        </w:tc>
        <w:tc>
          <w:tcPr>
            <w:cnfStyle w:val="000010000000" w:firstRow="0" w:lastRow="0" w:firstColumn="0" w:lastColumn="0" w:oddVBand="1" w:evenVBand="0" w:oddHBand="0" w:evenHBand="0" w:firstRowFirstColumn="0" w:firstRowLastColumn="0" w:lastRowFirstColumn="0" w:lastRowLastColumn="0"/>
            <w:tcW w:w="737" w:type="dxa"/>
          </w:tcPr>
          <w:p w14:paraId="208ECE0F" w14:textId="77777777" w:rsidR="00D6403A" w:rsidRPr="003723DF" w:rsidRDefault="00D6403A" w:rsidP="003723DF">
            <w:pPr>
              <w:pStyle w:val="Tabletext"/>
            </w:pPr>
            <w:r w:rsidRPr="003723DF">
              <w:t>87.1%</w:t>
            </w:r>
          </w:p>
        </w:tc>
        <w:tc>
          <w:tcPr>
            <w:cnfStyle w:val="000001000000" w:firstRow="0" w:lastRow="0" w:firstColumn="0" w:lastColumn="0" w:oddVBand="0" w:evenVBand="1" w:oddHBand="0" w:evenHBand="0" w:firstRowFirstColumn="0" w:firstRowLastColumn="0" w:lastRowFirstColumn="0" w:lastRowLastColumn="0"/>
            <w:tcW w:w="737" w:type="dxa"/>
          </w:tcPr>
          <w:p w14:paraId="2183CE79" w14:textId="77777777" w:rsidR="00D6403A" w:rsidRPr="003723DF" w:rsidRDefault="00D6403A" w:rsidP="003723DF">
            <w:pPr>
              <w:pStyle w:val="Tabletext"/>
            </w:pPr>
            <w:r w:rsidRPr="003723DF">
              <w:t>86.8%</w:t>
            </w:r>
          </w:p>
        </w:tc>
        <w:tc>
          <w:tcPr>
            <w:cnfStyle w:val="000010000000" w:firstRow="0" w:lastRow="0" w:firstColumn="0" w:lastColumn="0" w:oddVBand="1" w:evenVBand="0" w:oddHBand="0" w:evenHBand="0" w:firstRowFirstColumn="0" w:firstRowLastColumn="0" w:lastRowFirstColumn="0" w:lastRowLastColumn="0"/>
            <w:tcW w:w="737" w:type="dxa"/>
          </w:tcPr>
          <w:p w14:paraId="5894B433" w14:textId="77777777" w:rsidR="00D6403A" w:rsidRPr="003723DF" w:rsidRDefault="00D6403A" w:rsidP="003723DF">
            <w:pPr>
              <w:pStyle w:val="Tabletext"/>
            </w:pPr>
            <w:r w:rsidRPr="003723DF">
              <w:t>86.5%</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5BD1E3DD" w14:textId="77777777" w:rsidR="00D6403A" w:rsidRPr="003723DF" w:rsidRDefault="00D6403A" w:rsidP="003723DF">
            <w:pPr>
              <w:pStyle w:val="Tabletext"/>
            </w:pPr>
            <w:r w:rsidRPr="003723DF">
              <w:t>87.6%</w:t>
            </w:r>
          </w:p>
        </w:tc>
      </w:tr>
      <w:tr w:rsidR="00D6403A" w:rsidRPr="00D6403A" w14:paraId="3FF96580" w14:textId="77777777" w:rsidTr="003723DF">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3960F47E" w14:textId="08A7A556" w:rsidR="00D6403A" w:rsidRPr="003723DF" w:rsidRDefault="00D6403A" w:rsidP="003723DF">
            <w:pPr>
              <w:pStyle w:val="Tabletext"/>
              <w:jc w:val="left"/>
              <w:rPr>
                <w:b/>
              </w:rPr>
            </w:pPr>
            <w:r w:rsidRPr="003723DF">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57905B7E" w14:textId="77777777" w:rsidR="00D6403A" w:rsidRPr="003723DF" w:rsidRDefault="00D6403A" w:rsidP="003723DF">
            <w:pPr>
              <w:pStyle w:val="Tabletext"/>
            </w:pPr>
            <w:r w:rsidRPr="003723DF">
              <w:t>54.1%</w:t>
            </w:r>
          </w:p>
        </w:tc>
        <w:tc>
          <w:tcPr>
            <w:cnfStyle w:val="000010000000" w:firstRow="0" w:lastRow="0" w:firstColumn="0" w:lastColumn="0" w:oddVBand="1" w:evenVBand="0" w:oddHBand="0" w:evenHBand="0" w:firstRowFirstColumn="0" w:firstRowLastColumn="0" w:lastRowFirstColumn="0" w:lastRowLastColumn="0"/>
            <w:tcW w:w="737" w:type="dxa"/>
          </w:tcPr>
          <w:p w14:paraId="5812C2D2" w14:textId="77777777" w:rsidR="00D6403A" w:rsidRPr="003723DF" w:rsidRDefault="00D6403A" w:rsidP="003723DF">
            <w:pPr>
              <w:pStyle w:val="Tabletext"/>
            </w:pPr>
            <w:r w:rsidRPr="003723DF">
              <w:t>59.5%</w:t>
            </w:r>
          </w:p>
        </w:tc>
        <w:tc>
          <w:tcPr>
            <w:cnfStyle w:val="000001000000" w:firstRow="0" w:lastRow="0" w:firstColumn="0" w:lastColumn="0" w:oddVBand="0" w:evenVBand="1" w:oddHBand="0" w:evenHBand="0" w:firstRowFirstColumn="0" w:firstRowLastColumn="0" w:lastRowFirstColumn="0" w:lastRowLastColumn="0"/>
            <w:tcW w:w="737" w:type="dxa"/>
          </w:tcPr>
          <w:p w14:paraId="62C8C828" w14:textId="77777777" w:rsidR="00D6403A" w:rsidRPr="003723DF" w:rsidRDefault="00D6403A" w:rsidP="003723DF">
            <w:pPr>
              <w:pStyle w:val="Tabletext"/>
            </w:pPr>
            <w:r w:rsidRPr="003723DF">
              <w:t>65.9%</w:t>
            </w:r>
          </w:p>
        </w:tc>
        <w:tc>
          <w:tcPr>
            <w:cnfStyle w:val="000010000000" w:firstRow="0" w:lastRow="0" w:firstColumn="0" w:lastColumn="0" w:oddVBand="1" w:evenVBand="0" w:oddHBand="0" w:evenHBand="0" w:firstRowFirstColumn="0" w:firstRowLastColumn="0" w:lastRowFirstColumn="0" w:lastRowLastColumn="0"/>
            <w:tcW w:w="737" w:type="dxa"/>
          </w:tcPr>
          <w:p w14:paraId="4BB38684" w14:textId="77777777" w:rsidR="00D6403A" w:rsidRPr="003723DF" w:rsidRDefault="00D6403A" w:rsidP="003723DF">
            <w:pPr>
              <w:pStyle w:val="Tabletext"/>
            </w:pPr>
            <w:r w:rsidRPr="003723DF">
              <w:t>73.6%</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413C4394" w14:textId="77777777" w:rsidR="00D6403A" w:rsidRPr="003723DF" w:rsidRDefault="00D6403A" w:rsidP="003723DF">
            <w:pPr>
              <w:pStyle w:val="Tabletext"/>
            </w:pPr>
            <w:r w:rsidRPr="003723DF">
              <w:t>76.5%</w:t>
            </w:r>
          </w:p>
        </w:tc>
      </w:tr>
    </w:tbl>
    <w:p w14:paraId="696B5183" w14:textId="77777777" w:rsidR="00D6403A" w:rsidRPr="00D6403A" w:rsidRDefault="00D6403A" w:rsidP="00870C38">
      <w:pPr>
        <w:pStyle w:val="Tablechartdiagramheading"/>
      </w:pPr>
      <w:r w:rsidRPr="00D6403A">
        <w:t>Figure 60. Time trend of Indicator 9, 2017–2021</w:t>
      </w:r>
    </w:p>
    <w:p w14:paraId="5522FF48" w14:textId="05FE7D34" w:rsidR="00D6403A" w:rsidRPr="00D6403A" w:rsidRDefault="003723DF" w:rsidP="00862996">
      <w:pPr>
        <w:rPr>
          <w:lang w:val="en-GB"/>
        </w:rPr>
      </w:pPr>
      <w:r>
        <w:rPr>
          <w:noProof/>
          <w:lang w:val="en-GB"/>
        </w:rPr>
        <w:drawing>
          <wp:inline distT="0" distB="0" distL="0" distR="0" wp14:anchorId="0F15DA1B" wp14:editId="186D59BF">
            <wp:extent cx="3149600" cy="1295400"/>
            <wp:effectExtent l="0" t="0" r="0" b="0"/>
            <wp:docPr id="65" name="Picture 65" descr="Line chart of Table 60 indicator 9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ig_60.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149600" cy="1295400"/>
                    </a:xfrm>
                    <a:prstGeom prst="rect">
                      <a:avLst/>
                    </a:prstGeom>
                  </pic:spPr>
                </pic:pic>
              </a:graphicData>
            </a:graphic>
          </wp:inline>
        </w:drawing>
      </w:r>
    </w:p>
    <w:p w14:paraId="3AA84E30" w14:textId="77777777" w:rsidR="00D6403A" w:rsidRPr="00D6403A" w:rsidRDefault="00D6403A" w:rsidP="00862996">
      <w:pPr>
        <w:rPr>
          <w:lang w:val="en-GB"/>
        </w:rPr>
      </w:pPr>
    </w:p>
    <w:p w14:paraId="65CC69E4" w14:textId="77777777" w:rsidR="00D6403A" w:rsidRPr="00D6403A" w:rsidRDefault="00D6403A" w:rsidP="005939CC">
      <w:pPr>
        <w:pStyle w:val="Heading2"/>
        <w:rPr>
          <w:lang w:val="en-GB"/>
        </w:rPr>
      </w:pPr>
      <w:bookmarkStart w:id="70" w:name="_Toc159326628"/>
      <w:r w:rsidRPr="00D6403A">
        <w:rPr>
          <w:lang w:val="en-GB"/>
        </w:rPr>
        <w:t>Definition and data source</w:t>
      </w:r>
      <w:bookmarkEnd w:id="70"/>
    </w:p>
    <w:p w14:paraId="6E074397" w14:textId="77777777" w:rsidR="00D6403A" w:rsidRPr="00D6403A" w:rsidRDefault="00D6403A" w:rsidP="008340E5">
      <w:pPr>
        <w:pStyle w:val="Heading3"/>
        <w:rPr>
          <w:lang w:val="en-GB"/>
        </w:rPr>
      </w:pPr>
      <w:r w:rsidRPr="00D6403A">
        <w:rPr>
          <w:lang w:val="en-GB"/>
        </w:rPr>
        <w:t>Definition</w:t>
      </w:r>
    </w:p>
    <w:p w14:paraId="27B8EA0C" w14:textId="77777777" w:rsidR="00D6403A" w:rsidRPr="00D6403A" w:rsidRDefault="00D6403A" w:rsidP="00D6403A">
      <w:pPr>
        <w:rPr>
          <w:lang w:val="en-GB"/>
        </w:rPr>
      </w:pPr>
      <w:r w:rsidRPr="00D6403A">
        <w:t>The first antenatal visit is the first visit to a midwife or doctor arranged specifically for the purpose of providing maternity care. It excludes visits for confirmation of pregnancy unless some maternity care is</w:t>
      </w:r>
      <w:r w:rsidRPr="00D6403A">
        <w:rPr>
          <w:rFonts w:ascii="Cambria" w:hAnsi="Cambria" w:cs="Cambria"/>
          <w:lang w:val="en-GB"/>
        </w:rPr>
        <w:t> </w:t>
      </w:r>
      <w:r w:rsidRPr="00D6403A">
        <w:rPr>
          <w:lang w:val="en-GB"/>
        </w:rPr>
        <w:t>provided (for example, referral for first-trimester screening) and medical visits for incidental problems while pregnant.</w:t>
      </w:r>
    </w:p>
    <w:p w14:paraId="7BF7A14D" w14:textId="77777777" w:rsidR="00D6403A" w:rsidRPr="00D6403A" w:rsidRDefault="00D6403A" w:rsidP="00D6403A">
      <w:r w:rsidRPr="00D6403A">
        <w:rPr>
          <w:lang w:val="en-GB"/>
        </w:rPr>
        <w:t>A maternity or antenatal care provider is defined as a clinician who provides care to pregnant women and includes midwives, general practitioners and obstetricians. This includes antenatal visits that may occur in the community (midwives, general practitioners or obstetricians practising privately or at a community health centre) and is not therefore necessarily the date of the first antenatal visit at</w:t>
      </w:r>
      <w:r w:rsidRPr="00D6403A">
        <w:rPr>
          <w:rFonts w:ascii="Cambria" w:hAnsi="Cambria" w:cs="Cambria"/>
          <w:lang w:val="en-GB"/>
        </w:rPr>
        <w:t> </w:t>
      </w:r>
      <w:r w:rsidRPr="00D6403A">
        <w:t>the</w:t>
      </w:r>
      <w:r w:rsidRPr="00D6403A">
        <w:rPr>
          <w:rFonts w:ascii="Cambria" w:hAnsi="Cambria" w:cs="Cambria"/>
          <w:lang w:val="en-GB"/>
        </w:rPr>
        <w:t> </w:t>
      </w:r>
      <w:r w:rsidRPr="00D6403A">
        <w:t>hospital.</w:t>
      </w:r>
    </w:p>
    <w:p w14:paraId="65F40A18" w14:textId="77777777" w:rsidR="00D6403A" w:rsidRPr="00D6403A" w:rsidRDefault="00D6403A" w:rsidP="008340E5">
      <w:pPr>
        <w:pStyle w:val="Heading3"/>
        <w:rPr>
          <w:lang w:val="en-GB"/>
        </w:rPr>
      </w:pPr>
      <w:r w:rsidRPr="00D6403A">
        <w:rPr>
          <w:lang w:val="en-GB"/>
        </w:rPr>
        <w:t>Data source: Victorian Perinatal Data Collection</w:t>
      </w:r>
    </w:p>
    <w:p w14:paraId="5E343620" w14:textId="77777777" w:rsidR="00D6403A" w:rsidRPr="00D6403A" w:rsidRDefault="00D6403A" w:rsidP="00862996">
      <w:pPr>
        <w:rPr>
          <w:lang w:val="en-GB"/>
        </w:rPr>
      </w:pPr>
      <w:r w:rsidRPr="00D6403A">
        <w:rPr>
          <w:lang w:val="en-GB"/>
        </w:rPr>
        <w:t>Data from the VPDC are reported by calendar year from 1 January 2021 to 31 December 2021.</w:t>
      </w:r>
    </w:p>
    <w:p w14:paraId="140D49B0" w14:textId="77777777" w:rsidR="00D6403A" w:rsidRPr="00D6403A" w:rsidRDefault="00D6403A" w:rsidP="00862996">
      <w:pPr>
        <w:rPr>
          <w:lang w:val="en-GB"/>
        </w:rPr>
      </w:pPr>
      <w:r w:rsidRPr="00D6403A">
        <w:rPr>
          <w:lang w:val="en-GB"/>
        </w:rPr>
        <w:t>The indicator is derived using the VPDC variables: ‘Gestational age at first antenatal visit’, ‘Estimated gestational age’, ‘Birthweight’, and ‘Birth order’.</w:t>
      </w:r>
    </w:p>
    <w:p w14:paraId="5CD0932B"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36387F68" w14:textId="77777777" w:rsidTr="003723D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48AAB53B" w14:textId="77777777" w:rsidR="00D6403A" w:rsidRPr="00D6403A" w:rsidRDefault="00D6403A" w:rsidP="003723DF">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57F785C1" w14:textId="77777777" w:rsidR="00D6403A" w:rsidRPr="00D6403A" w:rsidRDefault="00D6403A" w:rsidP="003723DF">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4DD3177A" w14:textId="77777777" w:rsidR="00D6403A" w:rsidRPr="00D6403A" w:rsidRDefault="00D6403A" w:rsidP="003723DF">
            <w:pPr>
              <w:pStyle w:val="Tableheader"/>
              <w:rPr>
                <w:b/>
                <w:lang w:val="en-GB"/>
              </w:rPr>
            </w:pPr>
            <w:r w:rsidRPr="00D6403A">
              <w:rPr>
                <w:b/>
                <w:lang w:val="en-GB"/>
              </w:rPr>
              <w:t>Denominator</w:t>
            </w:r>
          </w:p>
        </w:tc>
      </w:tr>
      <w:tr w:rsidR="00D6403A" w:rsidRPr="00D6403A" w14:paraId="7747393D" w14:textId="77777777" w:rsidTr="003723DF">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307C9BB0" w14:textId="77777777" w:rsidR="00D6403A" w:rsidRPr="003723DF" w:rsidRDefault="00D6403A" w:rsidP="003723DF">
            <w:pPr>
              <w:pStyle w:val="Tabletext"/>
              <w:jc w:val="left"/>
              <w:rPr>
                <w:b/>
                <w:lang w:val="en-GB"/>
              </w:rPr>
            </w:pPr>
            <w:r w:rsidRPr="003723DF">
              <w:rPr>
                <w:b/>
              </w:rPr>
              <w:t>Indicator 9: Rate of women attending their first antenatal visit prior to 12</w:t>
            </w:r>
            <w:r w:rsidRPr="003723DF">
              <w:rPr>
                <w:rFonts w:ascii="Cambria" w:hAnsi="Cambria" w:cs="Cambria"/>
                <w:b/>
                <w:lang w:val="en-GB"/>
              </w:rPr>
              <w:t> </w:t>
            </w:r>
            <w:r w:rsidRPr="003723DF">
              <w:rPr>
                <w:b/>
                <w:lang w:val="en-GB"/>
              </w:rPr>
              <w:t>weeks’ gestation</w:t>
            </w:r>
          </w:p>
        </w:tc>
        <w:tc>
          <w:tcPr>
            <w:cnfStyle w:val="000001000000" w:firstRow="0" w:lastRow="0" w:firstColumn="0" w:lastColumn="0" w:oddVBand="0" w:evenVBand="1" w:oddHBand="0" w:evenHBand="0" w:firstRowFirstColumn="0" w:firstRowLastColumn="0" w:lastRowFirstColumn="0" w:lastRowLastColumn="0"/>
            <w:tcW w:w="3401" w:type="dxa"/>
          </w:tcPr>
          <w:p w14:paraId="376D7FC9" w14:textId="77777777" w:rsidR="00D6403A" w:rsidRPr="00D6403A" w:rsidRDefault="00D6403A" w:rsidP="003723DF">
            <w:pPr>
              <w:pStyle w:val="Tabletext"/>
              <w:jc w:val="left"/>
              <w:rPr>
                <w:lang w:val="en-US"/>
              </w:rPr>
            </w:pPr>
            <w:r w:rsidRPr="00AE4C75">
              <w:t>The number of women who had antenatal care prior to 12 weeks’ gestation with a maternity care provider (including care in the community by general practitioners) and who birthed at</w:t>
            </w:r>
            <w:r w:rsidRPr="00D6403A">
              <w:rPr>
                <w:rFonts w:ascii="Cambria" w:hAnsi="Cambria" w:cs="Cambria"/>
                <w:lang w:val="en-US"/>
              </w:rPr>
              <w:t> </w:t>
            </w:r>
            <w:r w:rsidRPr="00D6403A">
              <w:rPr>
                <w:lang w:val="en-US"/>
              </w:rPr>
              <w:t>the health service</w:t>
            </w:r>
          </w:p>
        </w:tc>
        <w:tc>
          <w:tcPr>
            <w:cnfStyle w:val="000010000000" w:firstRow="0" w:lastRow="0" w:firstColumn="0" w:lastColumn="0" w:oddVBand="1" w:evenVBand="0" w:oddHBand="0" w:evenHBand="0" w:firstRowFirstColumn="0" w:firstRowLastColumn="0" w:lastRowFirstColumn="0" w:lastRowLastColumn="0"/>
            <w:tcW w:w="3402" w:type="dxa"/>
          </w:tcPr>
          <w:p w14:paraId="7ECC1B7B" w14:textId="77777777" w:rsidR="00D6403A" w:rsidRPr="00D6403A" w:rsidRDefault="00D6403A" w:rsidP="003723DF">
            <w:pPr>
              <w:pStyle w:val="Tabletext"/>
              <w:jc w:val="left"/>
              <w:rPr>
                <w:lang w:val="en-US"/>
              </w:rPr>
            </w:pPr>
            <w:r w:rsidRPr="00D6403A">
              <w:rPr>
                <w:lang w:val="en-US"/>
              </w:rPr>
              <w:t>The number of women who gave birth and received antenatal care</w:t>
            </w:r>
          </w:p>
        </w:tc>
      </w:tr>
    </w:tbl>
    <w:p w14:paraId="7BEB1133" w14:textId="77777777" w:rsidR="003723DF" w:rsidRDefault="003723DF" w:rsidP="003723DF">
      <w:pPr>
        <w:pStyle w:val="Heading2"/>
        <w:rPr>
          <w:lang w:val="en-GB"/>
        </w:rPr>
        <w:sectPr w:rsidR="003723DF" w:rsidSect="004D6F5F">
          <w:pgSz w:w="11901" w:h="16817" w:code="9"/>
          <w:pgMar w:top="3402" w:right="851" w:bottom="1361" w:left="851" w:header="539" w:footer="624" w:gutter="0"/>
          <w:cols w:space="284"/>
          <w:docGrid w:linePitch="360" w:charSpace="46114"/>
        </w:sectPr>
      </w:pPr>
      <w:bookmarkStart w:id="71" w:name="_Toc159326629"/>
    </w:p>
    <w:p w14:paraId="77E2D250" w14:textId="31CC0BBD" w:rsidR="00D6403A" w:rsidRPr="00D6403A" w:rsidRDefault="00D6403A" w:rsidP="00D77769">
      <w:pPr>
        <w:pStyle w:val="Heading1"/>
        <w:framePr w:wrap="around"/>
        <w:rPr>
          <w:lang w:val="en-GB"/>
        </w:rPr>
      </w:pPr>
      <w:r w:rsidRPr="00D6403A">
        <w:rPr>
          <w:lang w:val="en-GB"/>
        </w:rPr>
        <w:lastRenderedPageBreak/>
        <w:t>10: Low Apgar score</w:t>
      </w:r>
      <w:bookmarkEnd w:id="71"/>
    </w:p>
    <w:p w14:paraId="6BB77A96" w14:textId="77777777" w:rsidR="00D6403A" w:rsidRPr="00D6403A" w:rsidRDefault="00D6403A" w:rsidP="00D64F24">
      <w:pPr>
        <w:pStyle w:val="IntroductoryText"/>
        <w:rPr>
          <w:lang w:val="en-GB"/>
        </w:rPr>
      </w:pPr>
      <w:r w:rsidRPr="00D64F24">
        <w:t>Apgar scores are clinical indicators of a baby’s condition shortly after birth. We expect babies who are born at 37 or more weeks’ gestation and without congenital anomalies to show a healthy physiological adaption to birth (be born in a healthy state) and not require significant resuscitation or immediate medical care. A low Apgar score at 5 minutes may reflect congenital anomaly, prematurity, perinatal infection, effects of maternal drug administration, ineffective resuscitation or prolonged hypoxia before birth. Maternal factors including increased maternal age, obesity, morbidity, diabetes and smoking in</w:t>
      </w:r>
      <w:r w:rsidRPr="00D6403A">
        <w:rPr>
          <w:rFonts w:ascii="Cambria" w:hAnsi="Cambria" w:cs="Cambria"/>
          <w:lang w:val="en-GB"/>
        </w:rPr>
        <w:t> </w:t>
      </w:r>
      <w:r w:rsidRPr="00D6403A">
        <w:rPr>
          <w:lang w:val="en-GB"/>
        </w:rPr>
        <w:t>pregnancy may contribute to a baby being born with a low Apgar score.</w:t>
      </w:r>
    </w:p>
    <w:p w14:paraId="78E6AE0C" w14:textId="77777777" w:rsidR="00D6403A" w:rsidRPr="00D6403A" w:rsidRDefault="00D6403A" w:rsidP="00862996">
      <w:pPr>
        <w:rPr>
          <w:lang w:val="en-GB"/>
        </w:rPr>
      </w:pPr>
      <w:r w:rsidRPr="00D6403A">
        <w:rPr>
          <w:lang w:val="en-GB"/>
        </w:rPr>
        <w:t>The Apgar score is an assessment of a newborn’s wellbeing at birth based on 5 physiological attributes. This is recorded at one and 5 minutes (and longer if applicable). The 5 attributes are colour (circulation), breathing, heart rate, muscle tone and reflexes.</w:t>
      </w:r>
    </w:p>
    <w:p w14:paraId="44AFEF61" w14:textId="77777777" w:rsidR="00D6403A" w:rsidRPr="00D6403A" w:rsidRDefault="00D6403A" w:rsidP="00005134">
      <w:pPr>
        <w:rPr>
          <w:lang w:val="en-GB"/>
        </w:rPr>
      </w:pPr>
      <w:r w:rsidRPr="00D6403A">
        <w:rPr>
          <w:lang w:val="en-GB"/>
        </w:rPr>
        <w:t>Each attribute is given a score of 0, 1 or 2, with a total minimum score of 0 (indicating no or greatly diminished signs of life) and a maximum score of 10 (indicating optimal outcome). An Apgar score below 7 at 5 minutes indicates a baby who requires ongoing resuscitation measures or additional care. This</w:t>
      </w:r>
      <w:r w:rsidRPr="00D6403A">
        <w:rPr>
          <w:rFonts w:ascii="Cambria" w:hAnsi="Cambria" w:cs="Cambria"/>
          <w:color w:val="000000"/>
          <w:lang w:val="en-GB"/>
        </w:rPr>
        <w:t> </w:t>
      </w:r>
      <w:r w:rsidRPr="00D6403A">
        <w:rPr>
          <w:lang w:val="en-GB"/>
        </w:rPr>
        <w:t>may be due to avoidable factors during labour, birth or resuscitation.</w:t>
      </w:r>
    </w:p>
    <w:p w14:paraId="2C7F412B" w14:textId="77777777" w:rsidR="00D6403A" w:rsidRPr="00D6403A" w:rsidRDefault="00D6403A" w:rsidP="005939CC">
      <w:pPr>
        <w:pStyle w:val="Heading2"/>
        <w:rPr>
          <w:lang w:val="en-GB"/>
        </w:rPr>
      </w:pPr>
      <w:bookmarkStart w:id="72" w:name="_Toc159326630"/>
      <w:r w:rsidRPr="00D6403A">
        <w:rPr>
          <w:lang w:val="en-GB"/>
        </w:rPr>
        <w:t>About this indicator</w:t>
      </w:r>
      <w:bookmarkEnd w:id="72"/>
    </w:p>
    <w:p w14:paraId="28F3DBCD" w14:textId="76BE282C" w:rsidR="00D6403A" w:rsidRPr="00D6403A" w:rsidRDefault="00D6403A" w:rsidP="00D6403A">
      <w:pPr>
        <w:rPr>
          <w:lang w:val="en-GB"/>
        </w:rPr>
      </w:pPr>
      <w:r w:rsidRPr="00D6403A">
        <w:t>This indicator measures the wellbeing of babies who are born in hospital or as planned public home births at 37 or more weeks’ gestation and without congenital anomalies at birth. Private home births are</w:t>
      </w:r>
      <w:r w:rsidRPr="00D6403A">
        <w:rPr>
          <w:rFonts w:ascii="Cambria" w:hAnsi="Cambria" w:cs="Cambria"/>
          <w:lang w:val="en-GB"/>
        </w:rPr>
        <w:t> </w:t>
      </w:r>
      <w:r w:rsidRPr="00D6403A">
        <w:rPr>
          <w:lang w:val="en-GB"/>
        </w:rPr>
        <w:t>not reported separately but are included in the statewide rate.</w:t>
      </w:r>
    </w:p>
    <w:p w14:paraId="2E43FE66" w14:textId="36103DC7" w:rsidR="00D6403A" w:rsidRDefault="00D6403A" w:rsidP="00D6403A">
      <w:r w:rsidRPr="00D6403A">
        <w:rPr>
          <w:lang w:val="en-GB"/>
        </w:rPr>
        <w:t>It is used to give an overall guide for the quality of care during labour and birth and neonatal resuscitation following birth, where necessary, but can’t differentiate where the problem is (if there is a</w:t>
      </w:r>
      <w:r w:rsidRPr="00D6403A">
        <w:rPr>
          <w:rFonts w:ascii="Cambria" w:hAnsi="Cambria" w:cs="Cambria"/>
          <w:lang w:val="en-GB"/>
        </w:rPr>
        <w:t> </w:t>
      </w:r>
      <w:r w:rsidRPr="00D6403A">
        <w:t>problem). The Apgar score is a validated measure of adverse long-term outcomes. This is potentially an important indicator for longer term infant outcomes.</w:t>
      </w:r>
    </w:p>
    <w:p w14:paraId="35C24CC9" w14:textId="77777777" w:rsidR="00DE6DA2" w:rsidRPr="00DE6DA2" w:rsidRDefault="00DE6DA2" w:rsidP="00DE6DA2">
      <w:pPr>
        <w:spacing w:before="0" w:after="0" w:line="240" w:lineRule="auto"/>
        <w:rPr>
          <w:rFonts w:ascii="Helvetica" w:eastAsia="Times New Roman" w:hAnsi="Helvetica" w:cs="Times New Roman"/>
          <w:color w:val="000000"/>
          <w:sz w:val="18"/>
          <w:szCs w:val="18"/>
          <w:lang w:eastAsia="en-US"/>
        </w:rPr>
      </w:pPr>
      <w:r w:rsidRPr="00DE6DA2">
        <w:rPr>
          <w:rFonts w:ascii="Helvetica" w:eastAsia="Times New Roman" w:hAnsi="Helvetica" w:cs="Times New Roman"/>
          <w:color w:val="000000"/>
          <w:sz w:val="18"/>
          <w:szCs w:val="18"/>
          <w:lang w:eastAsia="en-US"/>
        </w:rPr>
        <w:t>[Break out box text:</w:t>
      </w:r>
    </w:p>
    <w:p w14:paraId="4677DD3E" w14:textId="77777777" w:rsidR="00DE6DA2" w:rsidRPr="00D6403A" w:rsidRDefault="00DE6DA2" w:rsidP="00DE6DA2">
      <w:pPr>
        <w:pStyle w:val="Heading3"/>
        <w:rPr>
          <w:lang w:val="en-GB"/>
        </w:rPr>
      </w:pPr>
      <w:r w:rsidRPr="00D6403A">
        <w:rPr>
          <w:lang w:val="en-GB"/>
        </w:rPr>
        <w:t>What pregnant women and families need to know</w:t>
      </w:r>
    </w:p>
    <w:p w14:paraId="7F6F5B9A" w14:textId="77777777" w:rsidR="00DE6DA2" w:rsidRPr="00D6403A" w:rsidRDefault="00DE6DA2" w:rsidP="00005134">
      <w:pPr>
        <w:rPr>
          <w:color w:val="000000"/>
          <w:lang w:val="en-GB"/>
        </w:rPr>
      </w:pPr>
      <w:r w:rsidRPr="00D6403A">
        <w:rPr>
          <w:lang w:val="en-GB"/>
        </w:rPr>
        <w:t>The Apgar score is a score out of 10 used to measure how well a baby is soon after birth. It is usually measured twice – at one minute of age and again at 5 minutes of age. If the score at 5 minutes is less than 7, babies need extra attention. The rate of babies born with a 5-minute Apgar score of less than 7 should be very low. The graphs on the following pages show that there is lots of variation between different hospitals.</w:t>
      </w:r>
    </w:p>
    <w:p w14:paraId="237B437F" w14:textId="77777777" w:rsidR="00DE6DA2" w:rsidRPr="00DE6DA2" w:rsidRDefault="00DE6DA2" w:rsidP="00DE6DA2">
      <w:pPr>
        <w:spacing w:before="0" w:after="0" w:line="240" w:lineRule="auto"/>
        <w:rPr>
          <w:rFonts w:ascii="Times New Roman" w:eastAsia="Times New Roman" w:hAnsi="Times New Roman" w:cs="Times New Roman"/>
          <w:sz w:val="24"/>
          <w:szCs w:val="24"/>
          <w:lang w:eastAsia="en-US"/>
        </w:rPr>
      </w:pPr>
      <w:r w:rsidRPr="00DE6DA2">
        <w:rPr>
          <w:rFonts w:ascii="Helvetica" w:eastAsia="Times New Roman" w:hAnsi="Helvetica" w:cs="Times New Roman"/>
          <w:color w:val="000000"/>
          <w:sz w:val="18"/>
          <w:szCs w:val="18"/>
          <w:lang w:eastAsia="en-US"/>
        </w:rPr>
        <w:t>End of break out box text.]</w:t>
      </w:r>
    </w:p>
    <w:p w14:paraId="2D8DFF4D" w14:textId="77777777" w:rsidR="00D6403A" w:rsidRPr="00D6403A" w:rsidRDefault="00D6403A" w:rsidP="005939CC">
      <w:pPr>
        <w:pStyle w:val="Heading2"/>
        <w:rPr>
          <w:lang w:val="en-GB"/>
        </w:rPr>
      </w:pPr>
      <w:bookmarkStart w:id="73" w:name="_Toc159326631"/>
      <w:r w:rsidRPr="00D6403A">
        <w:rPr>
          <w:lang w:val="en-GB"/>
        </w:rPr>
        <w:t>Observations on the data</w:t>
      </w:r>
      <w:bookmarkEnd w:id="73"/>
    </w:p>
    <w:p w14:paraId="3B87E9F7" w14:textId="77777777" w:rsidR="00D6403A" w:rsidRPr="00D6403A" w:rsidRDefault="00D6403A" w:rsidP="00862996">
      <w:pPr>
        <w:rPr>
          <w:lang w:val="en-GB"/>
        </w:rPr>
      </w:pPr>
      <w:r w:rsidRPr="00D6403A">
        <w:rPr>
          <w:lang w:val="en-GB"/>
        </w:rPr>
        <w:t>In 2021, a 5-minute Apgar score less than 7 was reported for 1.2% of singleton, term babies across public and private hospitals combined. This was the same as the rate reported for 2020. The rate for private hospitals is lower compared with public hospitals (0.9% and 1.3%, respectively).</w:t>
      </w:r>
    </w:p>
    <w:p w14:paraId="68277D06" w14:textId="77777777" w:rsidR="00D6403A" w:rsidRPr="00D6403A" w:rsidRDefault="00D6403A" w:rsidP="00862996">
      <w:pPr>
        <w:rPr>
          <w:lang w:val="en-GB"/>
        </w:rPr>
      </w:pPr>
      <w:r w:rsidRPr="00D6403A">
        <w:rPr>
          <w:lang w:val="en-GB"/>
        </w:rPr>
        <w:t>The rate varied between individual hospitals, from zero to 3.6% (Figure 61 and Figure 62); however, overall state rates continued to remain stable over time (Table 21). Figure 63 shows trends over time.</w:t>
      </w:r>
    </w:p>
    <w:p w14:paraId="4DF43648" w14:textId="77777777" w:rsidR="00D6403A" w:rsidRPr="00D6403A" w:rsidRDefault="00D6403A" w:rsidP="005939CC">
      <w:pPr>
        <w:pStyle w:val="Heading2"/>
        <w:rPr>
          <w:lang w:val="en-GB"/>
        </w:rPr>
      </w:pPr>
      <w:bookmarkStart w:id="74" w:name="_Toc159326632"/>
      <w:r w:rsidRPr="00D6403A">
        <w:rPr>
          <w:lang w:val="en-GB"/>
        </w:rPr>
        <w:lastRenderedPageBreak/>
        <w:t>Strategies for improvement</w:t>
      </w:r>
      <w:bookmarkEnd w:id="74"/>
    </w:p>
    <w:p w14:paraId="2CD33F99" w14:textId="781807FB" w:rsidR="00D6403A" w:rsidRPr="00D6403A" w:rsidRDefault="00D6403A" w:rsidP="00DE6DA2">
      <w:pPr>
        <w:pStyle w:val="Bullet1"/>
        <w:rPr>
          <w:lang w:val="en-GB"/>
        </w:rPr>
      </w:pPr>
      <w:r w:rsidRPr="00D6403A">
        <w:rPr>
          <w:lang w:val="en-GB"/>
        </w:rPr>
        <w:t xml:space="preserve">Health services should facilitate education and multidisciplinary simulation training for all clinicians who may be involved in neonatal resuscitation. This may include midwives, doctors, code blue teams, emergency doctors and nurses. Safer Care Victoria endorses the </w:t>
      </w:r>
      <w:hyperlink r:id="rId115" w:history="1">
        <w:r w:rsidRPr="00DE6DA2">
          <w:rPr>
            <w:rStyle w:val="Hyperlink"/>
            <w:lang w:val="en-GB"/>
          </w:rPr>
          <w:t>Australian Resuscitation Council Neonatal Guidelines (Section 13)</w:t>
        </w:r>
      </w:hyperlink>
      <w:r w:rsidRPr="00D6403A">
        <w:rPr>
          <w:lang w:val="en-GB"/>
        </w:rPr>
        <w:t xml:space="preserve"> &lt;https://www.anzcor.org/&gt; for guidance on the resuscitation of neonates and the </w:t>
      </w:r>
      <w:hyperlink r:id="rId116" w:history="1">
        <w:r w:rsidRPr="00DE6DA2">
          <w:rPr>
            <w:rStyle w:val="Hyperlink"/>
            <w:lang w:val="en-GB"/>
          </w:rPr>
          <w:t>neoResus training program</w:t>
        </w:r>
      </w:hyperlink>
      <w:r w:rsidRPr="00D6403A">
        <w:rPr>
          <w:lang w:val="en-GB"/>
        </w:rPr>
        <w:t xml:space="preserve"> &lt;https://www.neoresus.org.au/&gt;, which standardises the</w:t>
      </w:r>
      <w:r w:rsidRPr="00D6403A">
        <w:rPr>
          <w:rFonts w:ascii="Cambria" w:hAnsi="Cambria" w:cs="Cambria"/>
          <w:color w:val="000000"/>
          <w:lang w:val="en-GB"/>
        </w:rPr>
        <w:t> </w:t>
      </w:r>
      <w:r w:rsidRPr="00D6403A">
        <w:rPr>
          <w:lang w:val="en-GB"/>
        </w:rPr>
        <w:t>way newborn resuscitation is taught.</w:t>
      </w:r>
    </w:p>
    <w:p w14:paraId="3F3BA973" w14:textId="77777777" w:rsidR="00D6403A" w:rsidRPr="00D6403A" w:rsidRDefault="00D6403A" w:rsidP="00005134">
      <w:pPr>
        <w:pStyle w:val="Bullet1"/>
        <w:rPr>
          <w:lang w:val="en-GB"/>
        </w:rPr>
      </w:pPr>
      <w:r w:rsidRPr="00D6403A">
        <w:rPr>
          <w:lang w:val="en-GB"/>
        </w:rPr>
        <w:t>Health services should provide mandatory annual fetal surveillance education and competency.</w:t>
      </w:r>
    </w:p>
    <w:p w14:paraId="6EE06496" w14:textId="0190842A" w:rsidR="00D6403A" w:rsidRPr="00D6403A" w:rsidRDefault="00D6403A" w:rsidP="00005134">
      <w:pPr>
        <w:pStyle w:val="Bullet1"/>
        <w:rPr>
          <w:lang w:val="en-GB"/>
        </w:rPr>
      </w:pPr>
      <w:r w:rsidRPr="00D6403A">
        <w:rPr>
          <w:lang w:val="en-GB"/>
        </w:rPr>
        <w:t xml:space="preserve">Undertake multidisciplinary review of all cases with low Apgar scores at local level, ensuring a review that includes intrapartum care including </w:t>
      </w:r>
      <w:hyperlink w:anchor="_Appendix_5:_Terminology" w:history="1">
        <w:r w:rsidRPr="00DE6DA2">
          <w:rPr>
            <w:rStyle w:val="Hyperlink"/>
            <w:lang w:val="en-GB"/>
          </w:rPr>
          <w:t>cardiotocograph</w:t>
        </w:r>
      </w:hyperlink>
      <w:r w:rsidRPr="00D6403A">
        <w:rPr>
          <w:lang w:val="en-GB"/>
        </w:rPr>
        <w:t xml:space="preserve"> (CTG) interpretation.</w:t>
      </w:r>
    </w:p>
    <w:p w14:paraId="317FB718" w14:textId="4CF72CE2" w:rsidR="00D6403A" w:rsidRPr="00D6403A" w:rsidRDefault="00D6403A" w:rsidP="00005134">
      <w:pPr>
        <w:pStyle w:val="Bullet1"/>
        <w:rPr>
          <w:lang w:val="en-GB"/>
        </w:rPr>
      </w:pPr>
      <w:r w:rsidRPr="00D6403A">
        <w:rPr>
          <w:lang w:val="en-GB"/>
        </w:rPr>
        <w:t>Consider 2 clinicians scoring the Apgar scores independently.</w:t>
      </w:r>
    </w:p>
    <w:p w14:paraId="0B9FDD14" w14:textId="77777777" w:rsidR="00D6403A" w:rsidRPr="00D6403A" w:rsidRDefault="00D6403A" w:rsidP="00005134">
      <w:pPr>
        <w:pStyle w:val="Bullet1"/>
        <w:rPr>
          <w:lang w:val="en-GB"/>
        </w:rPr>
      </w:pPr>
      <w:r w:rsidRPr="00D6403A">
        <w:rPr>
          <w:lang w:val="en-GB"/>
        </w:rPr>
        <w:t>Have clear escalation pathways – for example, fetal compromise in labour and neonatal code blue calls for deteriorating neonates.</w:t>
      </w:r>
    </w:p>
    <w:p w14:paraId="0EF0F513" w14:textId="4181A7F4" w:rsidR="00D6403A" w:rsidRPr="00D6403A" w:rsidRDefault="00D6403A" w:rsidP="00005134">
      <w:pPr>
        <w:pStyle w:val="Bullet1"/>
        <w:rPr>
          <w:lang w:val="en-GB"/>
        </w:rPr>
      </w:pPr>
      <w:r w:rsidRPr="00D6403A">
        <w:rPr>
          <w:lang w:val="en-GB"/>
        </w:rPr>
        <w:t>Encourage regional and/or multiservice reviews of all neonates with an Apgar less than 7 at 5 minutes.</w:t>
      </w:r>
    </w:p>
    <w:p w14:paraId="2D2CAAC9" w14:textId="77777777" w:rsidR="00D6403A" w:rsidRPr="00D6403A" w:rsidRDefault="00D6403A" w:rsidP="00DE6DA2">
      <w:pPr>
        <w:pStyle w:val="Tablechartdiagramheading"/>
        <w:rPr>
          <w:lang w:val="en-GB"/>
        </w:rPr>
      </w:pPr>
      <w:r w:rsidRPr="00D6403A">
        <w:rPr>
          <w:lang w:val="en-GB"/>
        </w:rPr>
        <w:lastRenderedPageBreak/>
        <w:t>Figure 61. Indicator 10: Rate of term inborn babies without congenital anomalies with an Apgar score &lt;</w:t>
      </w:r>
      <w:r w:rsidRPr="00D6403A">
        <w:rPr>
          <w:rFonts w:ascii="Cambria" w:hAnsi="Cambria" w:cs="Cambria"/>
          <w:lang w:val="en-GB"/>
        </w:rPr>
        <w:t> </w:t>
      </w:r>
      <w:r w:rsidRPr="00D6403A">
        <w:rPr>
          <w:lang w:val="en-GB"/>
        </w:rPr>
        <w:t>7</w:t>
      </w:r>
      <w:r w:rsidRPr="00D6403A">
        <w:rPr>
          <w:rFonts w:ascii="Cambria" w:hAnsi="Cambria" w:cs="Cambria"/>
          <w:lang w:val="en-GB"/>
        </w:rPr>
        <w:t> </w:t>
      </w:r>
      <w:r w:rsidRPr="00D6403A">
        <w:rPr>
          <w:lang w:val="en-GB"/>
        </w:rPr>
        <w:t>at 5 minutes, 2021</w:t>
      </w:r>
    </w:p>
    <w:p w14:paraId="25A0B444" w14:textId="2BFC58F8" w:rsidR="00D6403A" w:rsidRPr="00D6403A" w:rsidRDefault="00DE6DA2" w:rsidP="00862996">
      <w:pPr>
        <w:rPr>
          <w:lang w:val="en-GB"/>
        </w:rPr>
      </w:pPr>
      <w:r>
        <w:rPr>
          <w:noProof/>
          <w:lang w:val="en-GB"/>
        </w:rPr>
        <w:drawing>
          <wp:inline distT="0" distB="0" distL="0" distR="0" wp14:anchorId="0AEDF54E" wp14:editId="55A43AB7">
            <wp:extent cx="6271709" cy="7186730"/>
            <wp:effectExtent l="0" t="0" r="2540" b="1905"/>
            <wp:docPr id="66" name="Picture 66" descr="Bar chart for Indicator 10.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g_61.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276315" cy="7192008"/>
                    </a:xfrm>
                    <a:prstGeom prst="rect">
                      <a:avLst/>
                    </a:prstGeom>
                  </pic:spPr>
                </pic:pic>
              </a:graphicData>
            </a:graphic>
          </wp:inline>
        </w:drawing>
      </w:r>
    </w:p>
    <w:p w14:paraId="213066FA" w14:textId="77777777" w:rsidR="00D6403A" w:rsidRPr="00D6403A" w:rsidRDefault="00D6403A" w:rsidP="00870C38">
      <w:pPr>
        <w:pStyle w:val="Tablechartdiagramheading"/>
      </w:pPr>
      <w:r w:rsidRPr="00D6403A">
        <w:lastRenderedPageBreak/>
        <w:t>Figure 62. Funnel plot of the rate of term inborn babies without congenital anomalies with an Apgar score &lt; 7 at 5 minutes, 2021</w:t>
      </w:r>
    </w:p>
    <w:p w14:paraId="58EB493B" w14:textId="78BBE5C7" w:rsidR="00D6403A" w:rsidRPr="00D6403A" w:rsidRDefault="00DE6DA2" w:rsidP="00862996">
      <w:pPr>
        <w:rPr>
          <w:lang w:val="en-GB"/>
        </w:rPr>
      </w:pPr>
      <w:r>
        <w:rPr>
          <w:noProof/>
          <w:lang w:val="en-GB"/>
        </w:rPr>
        <w:drawing>
          <wp:inline distT="0" distB="0" distL="0" distR="0" wp14:anchorId="5B6AEBBE" wp14:editId="1B598DDE">
            <wp:extent cx="6096000" cy="3416300"/>
            <wp:effectExtent l="0" t="0" r="0" b="0"/>
            <wp:docPr id="67" name="Picture 67"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_62.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096000" cy="3416300"/>
                    </a:xfrm>
                    <a:prstGeom prst="rect">
                      <a:avLst/>
                    </a:prstGeom>
                  </pic:spPr>
                </pic:pic>
              </a:graphicData>
            </a:graphic>
          </wp:inline>
        </w:drawing>
      </w:r>
    </w:p>
    <w:p w14:paraId="4FD8E883"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25F157D6" w14:textId="77777777" w:rsidR="00D6403A" w:rsidRPr="00D6403A" w:rsidRDefault="00D6403A" w:rsidP="00DE6DA2">
      <w:pPr>
        <w:pStyle w:val="Tablechartdiagramheading"/>
        <w:rPr>
          <w:lang w:val="en-GB"/>
        </w:rPr>
      </w:pPr>
      <w:r w:rsidRPr="00D6403A">
        <w:rPr>
          <w:lang w:val="en-GB"/>
        </w:rPr>
        <w:t>Table 21. Rate of term inborn babies without congenital anomalies with an Apgar score &lt;</w:t>
      </w:r>
      <w:r w:rsidRPr="00D6403A">
        <w:rPr>
          <w:rFonts w:ascii="Cambria" w:hAnsi="Cambria" w:cs="Cambria"/>
          <w:lang w:val="en-GB"/>
        </w:rPr>
        <w:t> </w:t>
      </w:r>
      <w:r w:rsidRPr="00D6403A">
        <w:rPr>
          <w:lang w:val="en-GB"/>
        </w:rPr>
        <w:t>7</w:t>
      </w:r>
      <w:r w:rsidRPr="00D6403A">
        <w:rPr>
          <w:rFonts w:ascii="Cambria" w:hAnsi="Cambria" w:cs="Cambria"/>
          <w:lang w:val="en-GB"/>
        </w:rPr>
        <w:t> </w:t>
      </w:r>
      <w:r w:rsidRPr="00D6403A">
        <w:rPr>
          <w:lang w:val="en-GB"/>
        </w:rPr>
        <w:t>at</w:t>
      </w:r>
      <w:r w:rsidRPr="00D6403A">
        <w:rPr>
          <w:rFonts w:ascii="Cambria" w:hAnsi="Cambria" w:cs="Cambria"/>
          <w:lang w:val="en-GB"/>
        </w:rPr>
        <w:t> </w:t>
      </w:r>
      <w:r w:rsidRPr="00D6403A">
        <w:rPr>
          <w:lang w:val="en-GB"/>
        </w:rPr>
        <w:t>5</w:t>
      </w:r>
      <w:r w:rsidRPr="00D6403A">
        <w:rPr>
          <w:rFonts w:ascii="Cambria" w:hAnsi="Cambria" w:cs="Cambria"/>
          <w:lang w:val="en-GB"/>
        </w:rPr>
        <w:t> </w:t>
      </w:r>
      <w:r w:rsidRPr="00D6403A">
        <w:rPr>
          <w:lang w:val="en-GB"/>
        </w:rPr>
        <w:t>minutes,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7ABA34F7" w14:textId="77777777" w:rsidTr="00DE6DA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36C382E9" w14:textId="77777777" w:rsidR="00D6403A" w:rsidRPr="00DE6DA2" w:rsidRDefault="00D6403A" w:rsidP="00DE6DA2">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0581FA24" w14:textId="77777777" w:rsidR="00D6403A" w:rsidRPr="00DE6DA2" w:rsidRDefault="00D6403A" w:rsidP="00DE6DA2">
            <w:pPr>
              <w:pStyle w:val="Tableheader"/>
              <w:jc w:val="right"/>
              <w:rPr>
                <w:b/>
                <w:lang w:val="en-GB"/>
              </w:rPr>
            </w:pPr>
            <w:r w:rsidRPr="00DE6DA2">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6665F438" w14:textId="77777777" w:rsidR="00D6403A" w:rsidRPr="00DE6DA2" w:rsidRDefault="00D6403A" w:rsidP="00DE6DA2">
            <w:pPr>
              <w:pStyle w:val="Tableheader"/>
              <w:jc w:val="right"/>
              <w:rPr>
                <w:b/>
                <w:lang w:val="en-GB"/>
              </w:rPr>
            </w:pPr>
            <w:r w:rsidRPr="00DE6DA2">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7056EA92" w14:textId="77777777" w:rsidR="00D6403A" w:rsidRPr="00DE6DA2" w:rsidRDefault="00D6403A" w:rsidP="00DE6DA2">
            <w:pPr>
              <w:pStyle w:val="Tableheader"/>
              <w:jc w:val="right"/>
              <w:rPr>
                <w:b/>
                <w:lang w:val="en-GB"/>
              </w:rPr>
            </w:pPr>
            <w:r w:rsidRPr="00DE6DA2">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5171E843" w14:textId="77777777" w:rsidR="00D6403A" w:rsidRPr="00DE6DA2" w:rsidRDefault="00D6403A" w:rsidP="00DE6DA2">
            <w:pPr>
              <w:pStyle w:val="Tableheader"/>
              <w:jc w:val="right"/>
              <w:rPr>
                <w:b/>
                <w:lang w:val="en-GB"/>
              </w:rPr>
            </w:pPr>
            <w:r w:rsidRPr="00DE6DA2">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19E82AAF" w14:textId="77777777" w:rsidR="00D6403A" w:rsidRPr="00DE6DA2" w:rsidRDefault="00D6403A" w:rsidP="00DE6DA2">
            <w:pPr>
              <w:pStyle w:val="Tableheader"/>
              <w:jc w:val="right"/>
              <w:rPr>
                <w:b/>
                <w:lang w:val="en-GB"/>
              </w:rPr>
            </w:pPr>
            <w:r w:rsidRPr="00DE6DA2">
              <w:rPr>
                <w:b/>
                <w:lang w:val="en-GB"/>
              </w:rPr>
              <w:t>2021</w:t>
            </w:r>
          </w:p>
        </w:tc>
      </w:tr>
      <w:tr w:rsidR="00D6403A" w:rsidRPr="00D6403A" w14:paraId="6D77AC4D" w14:textId="77777777" w:rsidTr="00DE6DA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548EED2D" w14:textId="7B7254D8" w:rsidR="00D6403A" w:rsidRPr="00DE6DA2" w:rsidRDefault="00D6403A" w:rsidP="00DE6DA2">
            <w:pPr>
              <w:pStyle w:val="Tabletext"/>
              <w:jc w:val="left"/>
            </w:pPr>
            <w:r w:rsidRPr="00DE6DA2">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0A2DC486" w14:textId="77777777" w:rsidR="00D6403A" w:rsidRPr="00DE6DA2" w:rsidRDefault="00D6403A" w:rsidP="00DE6DA2">
            <w:pPr>
              <w:pStyle w:val="Tabletext"/>
            </w:pPr>
            <w:r w:rsidRPr="00DE6DA2">
              <w:t xml:space="preserve"> 1.5%</w:t>
            </w:r>
          </w:p>
        </w:tc>
        <w:tc>
          <w:tcPr>
            <w:cnfStyle w:val="000010000000" w:firstRow="0" w:lastRow="0" w:firstColumn="0" w:lastColumn="0" w:oddVBand="1" w:evenVBand="0" w:oddHBand="0" w:evenHBand="0" w:firstRowFirstColumn="0" w:firstRowLastColumn="0" w:lastRowFirstColumn="0" w:lastRowLastColumn="0"/>
            <w:tcW w:w="737" w:type="dxa"/>
          </w:tcPr>
          <w:p w14:paraId="18D8EEBF" w14:textId="77777777" w:rsidR="00D6403A" w:rsidRPr="00DE6DA2" w:rsidRDefault="00D6403A" w:rsidP="00DE6DA2">
            <w:pPr>
              <w:pStyle w:val="Tabletext"/>
            </w:pPr>
            <w:r w:rsidRPr="00DE6DA2">
              <w:t>1.3%</w:t>
            </w:r>
          </w:p>
        </w:tc>
        <w:tc>
          <w:tcPr>
            <w:cnfStyle w:val="000001000000" w:firstRow="0" w:lastRow="0" w:firstColumn="0" w:lastColumn="0" w:oddVBand="0" w:evenVBand="1" w:oddHBand="0" w:evenHBand="0" w:firstRowFirstColumn="0" w:firstRowLastColumn="0" w:lastRowFirstColumn="0" w:lastRowLastColumn="0"/>
            <w:tcW w:w="737" w:type="dxa"/>
          </w:tcPr>
          <w:p w14:paraId="554BD35A" w14:textId="77777777" w:rsidR="00D6403A" w:rsidRPr="00DE6DA2" w:rsidRDefault="00D6403A" w:rsidP="00DE6DA2">
            <w:pPr>
              <w:pStyle w:val="Tabletext"/>
            </w:pPr>
            <w:r w:rsidRPr="00DE6DA2">
              <w:t>1.3%</w:t>
            </w:r>
          </w:p>
        </w:tc>
        <w:tc>
          <w:tcPr>
            <w:cnfStyle w:val="000010000000" w:firstRow="0" w:lastRow="0" w:firstColumn="0" w:lastColumn="0" w:oddVBand="1" w:evenVBand="0" w:oddHBand="0" w:evenHBand="0" w:firstRowFirstColumn="0" w:firstRowLastColumn="0" w:lastRowFirstColumn="0" w:lastRowLastColumn="0"/>
            <w:tcW w:w="737" w:type="dxa"/>
          </w:tcPr>
          <w:p w14:paraId="58F805DA" w14:textId="77777777" w:rsidR="00D6403A" w:rsidRPr="00DE6DA2" w:rsidRDefault="00D6403A" w:rsidP="00DE6DA2">
            <w:pPr>
              <w:pStyle w:val="Tabletext"/>
            </w:pPr>
            <w:r w:rsidRPr="00DE6DA2">
              <w:t>1.3%</w:t>
            </w:r>
          </w:p>
        </w:tc>
        <w:tc>
          <w:tcPr>
            <w:cnfStyle w:val="000001000000" w:firstRow="0" w:lastRow="0" w:firstColumn="0" w:lastColumn="0" w:oddVBand="0" w:evenVBand="1" w:oddHBand="0" w:evenHBand="0" w:firstRowFirstColumn="0" w:firstRowLastColumn="0" w:lastRowFirstColumn="0" w:lastRowLastColumn="0"/>
            <w:tcW w:w="737" w:type="dxa"/>
          </w:tcPr>
          <w:p w14:paraId="3E055416" w14:textId="77777777" w:rsidR="00D6403A" w:rsidRPr="00DE6DA2" w:rsidRDefault="00D6403A" w:rsidP="00DE6DA2">
            <w:pPr>
              <w:pStyle w:val="Tabletext"/>
            </w:pPr>
            <w:r w:rsidRPr="00DE6DA2">
              <w:t>1.3%</w:t>
            </w:r>
          </w:p>
        </w:tc>
      </w:tr>
      <w:tr w:rsidR="00D6403A" w:rsidRPr="00D6403A" w14:paraId="3F156453" w14:textId="77777777" w:rsidTr="00DE6DA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2319FDC9" w14:textId="11C4AFC4" w:rsidR="00D6403A" w:rsidRPr="00DE6DA2" w:rsidRDefault="00D6403A" w:rsidP="00DE6DA2">
            <w:pPr>
              <w:pStyle w:val="Tabletext"/>
              <w:jc w:val="left"/>
              <w:rPr>
                <w:b/>
              </w:rPr>
            </w:pPr>
            <w:r w:rsidRPr="00DE6DA2">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3729CC94" w14:textId="77777777" w:rsidR="00D6403A" w:rsidRPr="00DE6DA2" w:rsidRDefault="00D6403A" w:rsidP="00DE6DA2">
            <w:pPr>
              <w:pStyle w:val="Tabletext"/>
            </w:pPr>
            <w:r w:rsidRPr="00DE6DA2">
              <w:t xml:space="preserve"> 1.0%</w:t>
            </w:r>
          </w:p>
        </w:tc>
        <w:tc>
          <w:tcPr>
            <w:cnfStyle w:val="000010000000" w:firstRow="0" w:lastRow="0" w:firstColumn="0" w:lastColumn="0" w:oddVBand="1" w:evenVBand="0" w:oddHBand="0" w:evenHBand="0" w:firstRowFirstColumn="0" w:firstRowLastColumn="0" w:lastRowFirstColumn="0" w:lastRowLastColumn="0"/>
            <w:tcW w:w="737" w:type="dxa"/>
          </w:tcPr>
          <w:p w14:paraId="599A2B52" w14:textId="77777777" w:rsidR="00D6403A" w:rsidRPr="00DE6DA2" w:rsidRDefault="00D6403A" w:rsidP="00DE6DA2">
            <w:pPr>
              <w:pStyle w:val="Tabletext"/>
            </w:pPr>
            <w:r w:rsidRPr="00DE6DA2">
              <w:t>1.1%</w:t>
            </w:r>
          </w:p>
        </w:tc>
        <w:tc>
          <w:tcPr>
            <w:cnfStyle w:val="000001000000" w:firstRow="0" w:lastRow="0" w:firstColumn="0" w:lastColumn="0" w:oddVBand="0" w:evenVBand="1" w:oddHBand="0" w:evenHBand="0" w:firstRowFirstColumn="0" w:firstRowLastColumn="0" w:lastRowFirstColumn="0" w:lastRowLastColumn="0"/>
            <w:tcW w:w="737" w:type="dxa"/>
          </w:tcPr>
          <w:p w14:paraId="0A7CD5AA" w14:textId="77777777" w:rsidR="00D6403A" w:rsidRPr="00DE6DA2" w:rsidRDefault="00D6403A" w:rsidP="00DE6DA2">
            <w:pPr>
              <w:pStyle w:val="Tabletext"/>
            </w:pPr>
            <w:r w:rsidRPr="00DE6DA2">
              <w:t>1.0%</w:t>
            </w:r>
          </w:p>
        </w:tc>
        <w:tc>
          <w:tcPr>
            <w:cnfStyle w:val="000010000000" w:firstRow="0" w:lastRow="0" w:firstColumn="0" w:lastColumn="0" w:oddVBand="1" w:evenVBand="0" w:oddHBand="0" w:evenHBand="0" w:firstRowFirstColumn="0" w:firstRowLastColumn="0" w:lastRowFirstColumn="0" w:lastRowLastColumn="0"/>
            <w:tcW w:w="737" w:type="dxa"/>
          </w:tcPr>
          <w:p w14:paraId="721D8B4F" w14:textId="77777777" w:rsidR="00D6403A" w:rsidRPr="00DE6DA2" w:rsidRDefault="00D6403A" w:rsidP="00DE6DA2">
            <w:pPr>
              <w:pStyle w:val="Tabletext"/>
            </w:pPr>
            <w:r w:rsidRPr="00DE6DA2">
              <w:t>0.8%</w:t>
            </w:r>
          </w:p>
        </w:tc>
        <w:tc>
          <w:tcPr>
            <w:cnfStyle w:val="000001000000" w:firstRow="0" w:lastRow="0" w:firstColumn="0" w:lastColumn="0" w:oddVBand="0" w:evenVBand="1" w:oddHBand="0" w:evenHBand="0" w:firstRowFirstColumn="0" w:firstRowLastColumn="0" w:lastRowFirstColumn="0" w:lastRowLastColumn="0"/>
            <w:tcW w:w="737" w:type="dxa"/>
          </w:tcPr>
          <w:p w14:paraId="72764A82" w14:textId="77777777" w:rsidR="00D6403A" w:rsidRPr="00DE6DA2" w:rsidRDefault="00D6403A" w:rsidP="00DE6DA2">
            <w:pPr>
              <w:pStyle w:val="Tabletext"/>
            </w:pPr>
            <w:r w:rsidRPr="00DE6DA2">
              <w:t>0.9%</w:t>
            </w:r>
          </w:p>
        </w:tc>
      </w:tr>
      <w:tr w:rsidR="00D6403A" w:rsidRPr="00D6403A" w14:paraId="683CAEA8" w14:textId="77777777" w:rsidTr="00DE6DA2">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32B68AD0" w14:textId="10B305CA" w:rsidR="00D6403A" w:rsidRPr="00DE6DA2" w:rsidRDefault="00D6403A" w:rsidP="00DE6DA2">
            <w:pPr>
              <w:pStyle w:val="Tabletext"/>
              <w:jc w:val="left"/>
              <w:rPr>
                <w:b/>
              </w:rPr>
            </w:pPr>
            <w:r w:rsidRPr="00DE6DA2">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1FF80C0E" w14:textId="77777777" w:rsidR="00D6403A" w:rsidRPr="00DE6DA2" w:rsidRDefault="00D6403A" w:rsidP="00DE6DA2">
            <w:pPr>
              <w:pStyle w:val="Tabletext"/>
            </w:pPr>
            <w:r w:rsidRPr="00DE6DA2">
              <w:t xml:space="preserve"> 1.3%</w:t>
            </w:r>
          </w:p>
        </w:tc>
        <w:tc>
          <w:tcPr>
            <w:cnfStyle w:val="000010000000" w:firstRow="0" w:lastRow="0" w:firstColumn="0" w:lastColumn="0" w:oddVBand="1" w:evenVBand="0" w:oddHBand="0" w:evenHBand="0" w:firstRowFirstColumn="0" w:firstRowLastColumn="0" w:lastRowFirstColumn="0" w:lastRowLastColumn="0"/>
            <w:tcW w:w="737" w:type="dxa"/>
          </w:tcPr>
          <w:p w14:paraId="09F33B4C" w14:textId="77777777" w:rsidR="00D6403A" w:rsidRPr="00DE6DA2" w:rsidRDefault="00D6403A" w:rsidP="00DE6DA2">
            <w:pPr>
              <w:pStyle w:val="Tabletext"/>
            </w:pPr>
            <w:r w:rsidRPr="00DE6DA2">
              <w:t>1.3%</w:t>
            </w:r>
          </w:p>
        </w:tc>
        <w:tc>
          <w:tcPr>
            <w:cnfStyle w:val="000001000000" w:firstRow="0" w:lastRow="0" w:firstColumn="0" w:lastColumn="0" w:oddVBand="0" w:evenVBand="1" w:oddHBand="0" w:evenHBand="0" w:firstRowFirstColumn="0" w:firstRowLastColumn="0" w:lastRowFirstColumn="0" w:lastRowLastColumn="0"/>
            <w:tcW w:w="737" w:type="dxa"/>
          </w:tcPr>
          <w:p w14:paraId="53368DA7" w14:textId="77777777" w:rsidR="00D6403A" w:rsidRPr="00DE6DA2" w:rsidRDefault="00D6403A" w:rsidP="00DE6DA2">
            <w:pPr>
              <w:pStyle w:val="Tabletext"/>
            </w:pPr>
            <w:r w:rsidRPr="00DE6DA2">
              <w:t>1.3%</w:t>
            </w:r>
          </w:p>
        </w:tc>
        <w:tc>
          <w:tcPr>
            <w:cnfStyle w:val="000010000000" w:firstRow="0" w:lastRow="0" w:firstColumn="0" w:lastColumn="0" w:oddVBand="1" w:evenVBand="0" w:oddHBand="0" w:evenHBand="0" w:firstRowFirstColumn="0" w:firstRowLastColumn="0" w:lastRowFirstColumn="0" w:lastRowLastColumn="0"/>
            <w:tcW w:w="737" w:type="dxa"/>
          </w:tcPr>
          <w:p w14:paraId="6EE51E99" w14:textId="77777777" w:rsidR="00D6403A" w:rsidRPr="00DE6DA2" w:rsidRDefault="00D6403A" w:rsidP="00DE6DA2">
            <w:pPr>
              <w:pStyle w:val="Tabletext"/>
            </w:pPr>
            <w:r w:rsidRPr="00DE6DA2">
              <w:t>1.2%</w:t>
            </w:r>
          </w:p>
        </w:tc>
        <w:tc>
          <w:tcPr>
            <w:cnfStyle w:val="000001000000" w:firstRow="0" w:lastRow="0" w:firstColumn="0" w:lastColumn="0" w:oddVBand="0" w:evenVBand="1" w:oddHBand="0" w:evenHBand="0" w:firstRowFirstColumn="0" w:firstRowLastColumn="0" w:lastRowFirstColumn="0" w:lastRowLastColumn="0"/>
            <w:tcW w:w="737" w:type="dxa"/>
          </w:tcPr>
          <w:p w14:paraId="66D3D91A" w14:textId="77777777" w:rsidR="00D6403A" w:rsidRPr="00DE6DA2" w:rsidRDefault="00D6403A" w:rsidP="00DE6DA2">
            <w:pPr>
              <w:pStyle w:val="Tabletext"/>
            </w:pPr>
            <w:r w:rsidRPr="00DE6DA2">
              <w:t>1.2%</w:t>
            </w:r>
          </w:p>
        </w:tc>
      </w:tr>
    </w:tbl>
    <w:p w14:paraId="172778B5" w14:textId="77777777" w:rsidR="00D6403A" w:rsidRPr="00D6403A" w:rsidRDefault="00D6403A" w:rsidP="00887B5A">
      <w:pPr>
        <w:pStyle w:val="Tablechartdiagramheading"/>
        <w:rPr>
          <w:lang w:val="en-GB"/>
        </w:rPr>
      </w:pPr>
      <w:r w:rsidRPr="00D6403A">
        <w:rPr>
          <w:lang w:val="en-GB"/>
        </w:rPr>
        <w:t>Figure 63. Time trend of Indicator 10, 2017–2021</w:t>
      </w:r>
    </w:p>
    <w:p w14:paraId="604E7079" w14:textId="581C3EC5" w:rsidR="00D6403A" w:rsidRPr="00D6403A" w:rsidRDefault="00AA4A85" w:rsidP="00862996">
      <w:pPr>
        <w:rPr>
          <w:lang w:val="en-GB"/>
        </w:rPr>
      </w:pPr>
      <w:r>
        <w:rPr>
          <w:noProof/>
          <w:lang w:val="en-GB"/>
        </w:rPr>
        <w:drawing>
          <wp:inline distT="0" distB="0" distL="0" distR="0" wp14:anchorId="4EA10254" wp14:editId="39EB84FC">
            <wp:extent cx="3124200" cy="1295400"/>
            <wp:effectExtent l="0" t="0" r="0" b="0"/>
            <wp:docPr id="68" name="Picture 68" descr="Line chart of Table 21 indicator 10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_63.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124200" cy="1295400"/>
                    </a:xfrm>
                    <a:prstGeom prst="rect">
                      <a:avLst/>
                    </a:prstGeom>
                  </pic:spPr>
                </pic:pic>
              </a:graphicData>
            </a:graphic>
          </wp:inline>
        </w:drawing>
      </w:r>
    </w:p>
    <w:p w14:paraId="3C3DBF0E" w14:textId="77777777" w:rsidR="00D6403A" w:rsidRPr="00D6403A" w:rsidRDefault="00D6403A" w:rsidP="005939CC">
      <w:pPr>
        <w:pStyle w:val="Heading2"/>
        <w:rPr>
          <w:lang w:val="en-GB"/>
        </w:rPr>
      </w:pPr>
      <w:bookmarkStart w:id="75" w:name="_Toc159326633"/>
      <w:r w:rsidRPr="00D6403A">
        <w:rPr>
          <w:lang w:val="en-GB"/>
        </w:rPr>
        <w:lastRenderedPageBreak/>
        <w:t>Definition and data source</w:t>
      </w:r>
      <w:bookmarkEnd w:id="75"/>
    </w:p>
    <w:p w14:paraId="27D7418C" w14:textId="77777777" w:rsidR="00D6403A" w:rsidRPr="00D6403A" w:rsidRDefault="00D6403A" w:rsidP="008340E5">
      <w:pPr>
        <w:pStyle w:val="Heading3"/>
        <w:rPr>
          <w:lang w:val="en-GB"/>
        </w:rPr>
      </w:pPr>
      <w:r w:rsidRPr="00D6403A">
        <w:rPr>
          <w:lang w:val="en-GB"/>
        </w:rPr>
        <w:t>Definition</w:t>
      </w:r>
    </w:p>
    <w:p w14:paraId="07FA59F3" w14:textId="77777777" w:rsidR="00D6403A" w:rsidRPr="00D6403A" w:rsidRDefault="00D6403A" w:rsidP="00862996">
      <w:pPr>
        <w:rPr>
          <w:lang w:val="en-GB"/>
        </w:rPr>
      </w:pPr>
      <w:r w:rsidRPr="00D6403A">
        <w:rPr>
          <w:lang w:val="en-GB"/>
        </w:rPr>
        <w:t>The rate of term babies without congenital anomalies with an Apgar score of less than 7 at 5 minutes in Victorian hospitals.</w:t>
      </w:r>
    </w:p>
    <w:p w14:paraId="2A597AB2" w14:textId="77777777" w:rsidR="00D6403A" w:rsidRPr="00D6403A" w:rsidRDefault="00D6403A" w:rsidP="00862996">
      <w:pPr>
        <w:rPr>
          <w:lang w:val="en-GB"/>
        </w:rPr>
      </w:pPr>
      <w:r w:rsidRPr="00D6403A">
        <w:rPr>
          <w:lang w:val="en-GB"/>
        </w:rPr>
        <w:t>The score excludes babies born at less than 37 weeks’ gestation, infants born with congenital anomalies, stillbirths and babies born before arrival at hospital.</w:t>
      </w:r>
    </w:p>
    <w:p w14:paraId="45C4DA14" w14:textId="77777777" w:rsidR="00D6403A" w:rsidRPr="00D6403A" w:rsidRDefault="00D6403A" w:rsidP="00862996">
      <w:pPr>
        <w:rPr>
          <w:lang w:val="en-GB"/>
        </w:rPr>
      </w:pPr>
      <w:r w:rsidRPr="00D6403A">
        <w:rPr>
          <w:lang w:val="en-GB"/>
        </w:rPr>
        <w:t>The Apgar score is used to evaluate the fitness of a newborn infant based on heart rate, respiration, muscle tone, reflexes and colour. The maximum or best score is 10. The Apgar score should be determined consistently and reliably according to best practice guidelines. Rates for this indicator should show little variation among peer-group services, and inter-rater reliability should be high within health services. This supports quality reporting of neonatal outcomes for meaningful comparisons.</w:t>
      </w:r>
    </w:p>
    <w:p w14:paraId="2BEEFBD2" w14:textId="77777777" w:rsidR="00D6403A" w:rsidRPr="00D6403A" w:rsidRDefault="00D6403A" w:rsidP="00862996">
      <w:pPr>
        <w:rPr>
          <w:lang w:val="en-GB"/>
        </w:rPr>
      </w:pPr>
      <w:r w:rsidRPr="00D6403A">
        <w:rPr>
          <w:lang w:val="en-GB"/>
        </w:rPr>
        <w:t>Inborn is defined as a baby born at the reporting hospital.</w:t>
      </w:r>
    </w:p>
    <w:p w14:paraId="0A3F76DE" w14:textId="77777777" w:rsidR="00D6403A" w:rsidRPr="00D6403A" w:rsidRDefault="00D6403A" w:rsidP="008340E5">
      <w:pPr>
        <w:pStyle w:val="Heading3"/>
        <w:rPr>
          <w:lang w:val="en-GB"/>
        </w:rPr>
      </w:pPr>
      <w:r w:rsidRPr="00D6403A">
        <w:rPr>
          <w:lang w:val="en-GB"/>
        </w:rPr>
        <w:t>Data source: Victorian Perinatal Data Collection</w:t>
      </w:r>
    </w:p>
    <w:p w14:paraId="3FBFD261" w14:textId="77777777" w:rsidR="00D6403A" w:rsidRPr="00D6403A" w:rsidRDefault="00D6403A" w:rsidP="00005134">
      <w:pPr>
        <w:rPr>
          <w:lang w:val="en-GB"/>
        </w:rPr>
      </w:pPr>
      <w:r w:rsidRPr="00D6403A">
        <w:rPr>
          <w:lang w:val="en-GB"/>
        </w:rPr>
        <w:t>Data for this indicator is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3CF6A1C3" w14:textId="77777777" w:rsidR="00D6403A" w:rsidRPr="00D6403A" w:rsidRDefault="00D6403A" w:rsidP="00862996">
      <w:pPr>
        <w:rPr>
          <w:lang w:val="en-GB"/>
        </w:rPr>
      </w:pPr>
      <w:r w:rsidRPr="00D6403A">
        <w:rPr>
          <w:lang w:val="en-GB"/>
        </w:rPr>
        <w:t>This indicator is derived using the following VPDC variables: ‘Apgar score at 5 minutes’, ‘Estimated gestational age’, ‘Birthweight’, ‘Birth status’, ‘Setting of birth – actual’ and ‘Congenital anomalies – indicator’.</w:t>
      </w:r>
    </w:p>
    <w:p w14:paraId="5CA89D77"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781B69A5" w14:textId="77777777" w:rsidTr="00AA4A85">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4BADC016" w14:textId="77777777" w:rsidR="00D6403A" w:rsidRPr="00D6403A" w:rsidRDefault="00D6403A" w:rsidP="00AA4A85">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63AEEE5F" w14:textId="77777777" w:rsidR="00D6403A" w:rsidRPr="00D6403A" w:rsidRDefault="00D6403A" w:rsidP="00AA4A85">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48FB9F4F" w14:textId="77777777" w:rsidR="00D6403A" w:rsidRPr="00D6403A" w:rsidRDefault="00D6403A" w:rsidP="00AA4A85">
            <w:pPr>
              <w:pStyle w:val="Tableheader"/>
              <w:rPr>
                <w:b/>
                <w:lang w:val="en-GB"/>
              </w:rPr>
            </w:pPr>
            <w:r w:rsidRPr="00D6403A">
              <w:rPr>
                <w:b/>
                <w:lang w:val="en-GB"/>
              </w:rPr>
              <w:t>Denominator</w:t>
            </w:r>
          </w:p>
        </w:tc>
      </w:tr>
      <w:tr w:rsidR="00D6403A" w:rsidRPr="00D6403A" w14:paraId="5217EF96" w14:textId="77777777" w:rsidTr="00AA4A85">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4EB0D7E0" w14:textId="77777777" w:rsidR="00D6403A" w:rsidRPr="00F75072" w:rsidRDefault="00D6403A" w:rsidP="00AA4A85">
            <w:pPr>
              <w:pStyle w:val="Tabletext"/>
              <w:jc w:val="left"/>
              <w:rPr>
                <w:b/>
                <w:lang w:val="en-GB"/>
              </w:rPr>
            </w:pPr>
            <w:r w:rsidRPr="00F75072">
              <w:rPr>
                <w:b/>
                <w:lang w:val="en-GB"/>
              </w:rPr>
              <w:t>Indicator 10: Rate of term babies without congenital anomalies with an Apgar score &lt; 7 at 5 minutes</w:t>
            </w:r>
          </w:p>
        </w:tc>
        <w:tc>
          <w:tcPr>
            <w:cnfStyle w:val="000001000000" w:firstRow="0" w:lastRow="0" w:firstColumn="0" w:lastColumn="0" w:oddVBand="0" w:evenVBand="1" w:oddHBand="0" w:evenHBand="0" w:firstRowFirstColumn="0" w:firstRowLastColumn="0" w:lastRowFirstColumn="0" w:lastRowLastColumn="0"/>
            <w:tcW w:w="3401" w:type="dxa"/>
          </w:tcPr>
          <w:p w14:paraId="71568CCE" w14:textId="77777777" w:rsidR="00D6403A" w:rsidRPr="00D6403A" w:rsidRDefault="00D6403A" w:rsidP="00AA4A85">
            <w:pPr>
              <w:pStyle w:val="Tabletext"/>
              <w:jc w:val="left"/>
              <w:rPr>
                <w:lang w:val="en-US"/>
              </w:rPr>
            </w:pPr>
            <w:r w:rsidRPr="00AE4C75">
              <w:t>The number of inborn, liveborn, 37</w:t>
            </w:r>
            <w:r w:rsidRPr="00D6403A">
              <w:rPr>
                <w:rFonts w:ascii="Cambria" w:hAnsi="Cambria" w:cs="Cambria"/>
                <w:lang w:val="en-US"/>
              </w:rPr>
              <w:t> </w:t>
            </w:r>
            <w:r w:rsidRPr="00AE4C75">
              <w:t>or more weeks’ gestation babies without congenital anomalies with an Apgar score less than 7 at 5</w:t>
            </w:r>
            <w:r w:rsidRPr="00D6403A">
              <w:rPr>
                <w:rFonts w:ascii="Cambria" w:hAnsi="Cambria" w:cs="Cambria"/>
                <w:lang w:val="en-US"/>
              </w:rPr>
              <w:t> </w:t>
            </w:r>
            <w:r w:rsidRPr="00D6403A">
              <w:rPr>
                <w:lang w:val="en-US"/>
              </w:rPr>
              <w:t>minutes</w:t>
            </w:r>
          </w:p>
        </w:tc>
        <w:tc>
          <w:tcPr>
            <w:cnfStyle w:val="000010000000" w:firstRow="0" w:lastRow="0" w:firstColumn="0" w:lastColumn="0" w:oddVBand="1" w:evenVBand="0" w:oddHBand="0" w:evenHBand="0" w:firstRowFirstColumn="0" w:firstRowLastColumn="0" w:lastRowFirstColumn="0" w:lastRowLastColumn="0"/>
            <w:tcW w:w="3402" w:type="dxa"/>
          </w:tcPr>
          <w:p w14:paraId="2064B246" w14:textId="77777777" w:rsidR="00D6403A" w:rsidRPr="00D6403A" w:rsidRDefault="00D6403A" w:rsidP="00AA4A85">
            <w:pPr>
              <w:pStyle w:val="Tabletext"/>
              <w:jc w:val="left"/>
              <w:rPr>
                <w:lang w:val="en-US"/>
              </w:rPr>
            </w:pPr>
            <w:r w:rsidRPr="00AE4C75">
              <w:t>The number of inborn, liveborn, 37</w:t>
            </w:r>
            <w:r w:rsidRPr="00D6403A">
              <w:rPr>
                <w:rFonts w:ascii="Cambria" w:hAnsi="Cambria" w:cs="Cambria"/>
                <w:lang w:val="en-US"/>
              </w:rPr>
              <w:t> </w:t>
            </w:r>
            <w:r w:rsidRPr="00D6403A">
              <w:rPr>
                <w:lang w:val="en-US"/>
              </w:rPr>
              <w:t>or more weeks’ gestation babies without congenital anomalies</w:t>
            </w:r>
          </w:p>
        </w:tc>
      </w:tr>
    </w:tbl>
    <w:p w14:paraId="0F453436" w14:textId="77777777" w:rsidR="00AA4A85" w:rsidRDefault="00AA4A85" w:rsidP="00AA4A85">
      <w:pPr>
        <w:pStyle w:val="Heading2"/>
        <w:rPr>
          <w:lang w:val="en-GB"/>
        </w:rPr>
        <w:sectPr w:rsidR="00AA4A85" w:rsidSect="004D6F5F">
          <w:pgSz w:w="11901" w:h="16817" w:code="9"/>
          <w:pgMar w:top="3402" w:right="851" w:bottom="1361" w:left="851" w:header="539" w:footer="624" w:gutter="0"/>
          <w:cols w:space="284"/>
          <w:docGrid w:linePitch="360" w:charSpace="46114"/>
        </w:sectPr>
      </w:pPr>
      <w:bookmarkStart w:id="76" w:name="_Toc159326634"/>
    </w:p>
    <w:p w14:paraId="754C6FD1" w14:textId="2CFA0958" w:rsidR="00D6403A" w:rsidRPr="00D6403A" w:rsidRDefault="00D6403A" w:rsidP="00AA4A85">
      <w:pPr>
        <w:pStyle w:val="Heading1"/>
        <w:framePr w:wrap="around"/>
        <w:rPr>
          <w:lang w:val="en-GB"/>
        </w:rPr>
      </w:pPr>
      <w:r w:rsidRPr="00D6403A">
        <w:rPr>
          <w:lang w:val="en-GB"/>
        </w:rPr>
        <w:lastRenderedPageBreak/>
        <w:t>11a and 11b: Women’s experiences of care</w:t>
      </w:r>
      <w:bookmarkEnd w:id="76"/>
    </w:p>
    <w:p w14:paraId="623763CF" w14:textId="77777777" w:rsidR="00D6403A" w:rsidRPr="00D6403A" w:rsidRDefault="00D6403A" w:rsidP="00D64F24">
      <w:pPr>
        <w:pStyle w:val="IntroductoryText"/>
        <w:rPr>
          <w:lang w:val="en-GB"/>
        </w:rPr>
      </w:pPr>
      <w:r w:rsidRPr="00D64F24">
        <w:t>Any report on maternity and newborn outcomes cannot be complete without women’s voices being present, guiding plans for future improvement. Women are uniquely positioned to provide insightful comments about their care. Acknowledging that health outcomes and perceptions are not only influenced by the nature and quality of the clinical care provided but how that care is delivered, women’s experience is critical to providing and improving health care. Through monitoring indicators of</w:t>
      </w:r>
      <w:r w:rsidRPr="00D6403A">
        <w:rPr>
          <w:rFonts w:ascii="Cambria" w:hAnsi="Cambria" w:cs="Cambria"/>
          <w:lang w:val="en-GB"/>
        </w:rPr>
        <w:t> </w:t>
      </w:r>
      <w:r w:rsidRPr="00D6403A">
        <w:rPr>
          <w:lang w:val="en-GB"/>
        </w:rPr>
        <w:t>experience, it is possible to improve our understanding of women’s experience of care and identify areas for quality improvements and service redesign.</w:t>
      </w:r>
    </w:p>
    <w:p w14:paraId="01FCE075" w14:textId="77777777" w:rsidR="00D6403A" w:rsidRPr="00D6403A" w:rsidRDefault="00D6403A" w:rsidP="005939CC">
      <w:pPr>
        <w:pStyle w:val="Heading2"/>
        <w:rPr>
          <w:lang w:val="en-GB"/>
        </w:rPr>
      </w:pPr>
      <w:bookmarkStart w:id="77" w:name="_Toc159326635"/>
      <w:r w:rsidRPr="00D6403A">
        <w:rPr>
          <w:lang w:val="en-GB"/>
        </w:rPr>
        <w:t>About these indicators</w:t>
      </w:r>
      <w:bookmarkEnd w:id="77"/>
    </w:p>
    <w:p w14:paraId="5D3B9D54" w14:textId="77777777" w:rsidR="00D6403A" w:rsidRPr="00D6403A" w:rsidRDefault="00D6403A" w:rsidP="00862996">
      <w:pPr>
        <w:rPr>
          <w:lang w:val="en-GB"/>
        </w:rPr>
      </w:pPr>
      <w:r w:rsidRPr="00D6403A">
        <w:rPr>
          <w:lang w:val="en-GB"/>
        </w:rPr>
        <w:t>These indicators assess the experience of women who took part in the Victorian Healthcare Experience Survey (VHES) and who received care from a Victorian public hospital during their labour and birth episode. The indicators are derived from responses of ‘yes, definitely’ to 2 of the questions in the maternity questionnaire of the VHES:</w:t>
      </w:r>
    </w:p>
    <w:p w14:paraId="530F7B87" w14:textId="77777777" w:rsidR="00D6403A" w:rsidRPr="00D6403A" w:rsidRDefault="00D6403A" w:rsidP="00005134">
      <w:pPr>
        <w:pStyle w:val="Bullet1"/>
        <w:rPr>
          <w:lang w:val="en-GB"/>
        </w:rPr>
      </w:pPr>
      <w:r w:rsidRPr="00D6403A">
        <w:rPr>
          <w:lang w:val="en-GB"/>
        </w:rPr>
        <w:t>Indicator 11a: Question 6: Were you involved as much as you wanted to be in making decisions about your care?</w:t>
      </w:r>
    </w:p>
    <w:p w14:paraId="1402DCFC" w14:textId="77777777" w:rsidR="00D6403A" w:rsidRPr="00D6403A" w:rsidRDefault="00D6403A" w:rsidP="00870C38">
      <w:pPr>
        <w:pStyle w:val="Bullet1"/>
        <w:rPr>
          <w:lang w:val="en-GB"/>
        </w:rPr>
      </w:pPr>
      <w:r w:rsidRPr="00D6403A">
        <w:rPr>
          <w:lang w:val="en-GB"/>
        </w:rPr>
        <w:t>Indicator 11b: Question 29: Did staff give you active support and encouragement to feed your baby in</w:t>
      </w:r>
      <w:r w:rsidRPr="00D6403A">
        <w:rPr>
          <w:rFonts w:ascii="Cambria" w:hAnsi="Cambria" w:cs="Cambria"/>
          <w:color w:val="000000"/>
          <w:lang w:val="en-GB"/>
        </w:rPr>
        <w:t> </w:t>
      </w:r>
      <w:r w:rsidRPr="00D6403A">
        <w:rPr>
          <w:lang w:val="en-GB"/>
        </w:rPr>
        <w:t>the way you wanted to?</w:t>
      </w:r>
    </w:p>
    <w:p w14:paraId="4CE47B73" w14:textId="69B75A99" w:rsidR="00D6403A" w:rsidRDefault="00D6403A" w:rsidP="00862996">
      <w:pPr>
        <w:rPr>
          <w:lang w:val="en-GB"/>
        </w:rPr>
      </w:pPr>
      <w:r w:rsidRPr="00D6403A">
        <w:rPr>
          <w:lang w:val="en-GB"/>
        </w:rPr>
        <w:t>In 2021, the VHES program revised several maternity questions and new questions have been included in this report. The data included in these indicators covers the timeframe of 6 months, from July 2021 to December 2021, and cannot be directly compared with data from preceding years. Therefore, this report does not include any information for the previous years.</w:t>
      </w:r>
    </w:p>
    <w:p w14:paraId="3A1B7DD8" w14:textId="43CAA95C" w:rsidR="00F75072" w:rsidRPr="00F75072" w:rsidRDefault="00F75072" w:rsidP="00F75072">
      <w:pPr>
        <w:spacing w:before="0" w:after="0" w:line="240" w:lineRule="auto"/>
        <w:rPr>
          <w:rFonts w:ascii="Helvetica" w:eastAsia="Times New Roman" w:hAnsi="Helvetica" w:cs="Times New Roman"/>
          <w:color w:val="000000"/>
          <w:sz w:val="18"/>
          <w:szCs w:val="18"/>
          <w:lang w:eastAsia="en-US"/>
        </w:rPr>
      </w:pPr>
      <w:r w:rsidRPr="00F75072">
        <w:rPr>
          <w:rFonts w:ascii="Helvetica" w:eastAsia="Times New Roman" w:hAnsi="Helvetica" w:cs="Times New Roman"/>
          <w:color w:val="000000"/>
          <w:sz w:val="18"/>
          <w:szCs w:val="18"/>
          <w:lang w:eastAsia="en-US"/>
        </w:rPr>
        <w:t>[Break out box text:</w:t>
      </w:r>
    </w:p>
    <w:p w14:paraId="186970A0" w14:textId="77777777" w:rsidR="00F75072" w:rsidRPr="00D6403A" w:rsidRDefault="00F75072" w:rsidP="00F75072">
      <w:pPr>
        <w:pStyle w:val="Heading3"/>
        <w:rPr>
          <w:lang w:val="en-GB"/>
        </w:rPr>
      </w:pPr>
      <w:r w:rsidRPr="00D6403A">
        <w:rPr>
          <w:lang w:val="en-GB"/>
        </w:rPr>
        <w:t>What pregnant women and families need to know</w:t>
      </w:r>
    </w:p>
    <w:p w14:paraId="20127295" w14:textId="77777777" w:rsidR="00F75072" w:rsidRPr="00D6403A" w:rsidRDefault="00F75072" w:rsidP="00F75072">
      <w:pPr>
        <w:rPr>
          <w:lang w:val="en-GB"/>
        </w:rPr>
      </w:pPr>
      <w:r w:rsidRPr="00D6403A">
        <w:rPr>
          <w:lang w:val="en-GB"/>
        </w:rPr>
        <w:t>We care what women think about the care they receive during pregnancy and birth. A survey is sent to a small number of women who gave birth at a Victorian public health service (the VHES). Not all women choose to answer this survey.</w:t>
      </w:r>
    </w:p>
    <w:p w14:paraId="7EC28A67" w14:textId="77777777" w:rsidR="00F75072" w:rsidRPr="00D6403A" w:rsidRDefault="00F75072" w:rsidP="00F75072">
      <w:pPr>
        <w:rPr>
          <w:lang w:val="en-GB"/>
        </w:rPr>
      </w:pPr>
      <w:r w:rsidRPr="00D6403A">
        <w:rPr>
          <w:lang w:val="en-GB"/>
        </w:rPr>
        <w:t>We specifically measure what women think about how much their carers listened to their wishes, and the information they received about feeding their babies.</w:t>
      </w:r>
    </w:p>
    <w:p w14:paraId="08448E2D" w14:textId="77777777" w:rsidR="00F75072" w:rsidRPr="00D6403A" w:rsidRDefault="00F75072" w:rsidP="00005134">
      <w:pPr>
        <w:rPr>
          <w:color w:val="000000"/>
          <w:lang w:val="en-GB"/>
        </w:rPr>
      </w:pPr>
      <w:r w:rsidRPr="00D6403A">
        <w:rPr>
          <w:lang w:val="en-GB"/>
        </w:rPr>
        <w:t>Most women who answered the VHES survey are satisfied with the care they received; however, we recognise that the survey is not sent to all women. We hope to see women’s satisfaction with their birthing experience improve further and we encourage all women and their families to</w:t>
      </w:r>
      <w:r w:rsidRPr="00D6403A">
        <w:rPr>
          <w:rFonts w:ascii="Cambria" w:hAnsi="Cambria" w:cs="Cambria"/>
          <w:lang w:val="en-GB"/>
        </w:rPr>
        <w:t> </w:t>
      </w:r>
      <w:r w:rsidRPr="00D6403A">
        <w:rPr>
          <w:lang w:val="en-GB"/>
        </w:rPr>
        <w:t>reach out to their maternity service to provide feedback.</w:t>
      </w:r>
    </w:p>
    <w:p w14:paraId="73030032" w14:textId="4F56E284" w:rsidR="00D6403A" w:rsidRPr="00F75072" w:rsidRDefault="00F75072" w:rsidP="00F75072">
      <w:pPr>
        <w:spacing w:before="0" w:after="0" w:line="240" w:lineRule="auto"/>
        <w:rPr>
          <w:rFonts w:ascii="Times New Roman" w:eastAsia="Times New Roman" w:hAnsi="Times New Roman" w:cs="Times New Roman"/>
          <w:sz w:val="24"/>
          <w:szCs w:val="24"/>
          <w:lang w:eastAsia="en-US"/>
        </w:rPr>
      </w:pPr>
      <w:r w:rsidRPr="00F75072">
        <w:rPr>
          <w:rFonts w:ascii="Helvetica" w:eastAsia="Times New Roman" w:hAnsi="Helvetica" w:cs="Times New Roman"/>
          <w:color w:val="000000"/>
          <w:sz w:val="18"/>
          <w:szCs w:val="18"/>
          <w:lang w:eastAsia="en-US"/>
        </w:rPr>
        <w:t>End of break out box text.]</w:t>
      </w:r>
    </w:p>
    <w:p w14:paraId="552B61BE" w14:textId="77777777" w:rsidR="00D6403A" w:rsidRPr="00D6403A" w:rsidRDefault="00D6403A" w:rsidP="005939CC">
      <w:pPr>
        <w:pStyle w:val="Heading2"/>
        <w:rPr>
          <w:lang w:val="en-GB"/>
        </w:rPr>
      </w:pPr>
      <w:bookmarkStart w:id="78" w:name="_Toc159326636"/>
      <w:r w:rsidRPr="00D6403A">
        <w:rPr>
          <w:lang w:val="en-GB"/>
        </w:rPr>
        <w:t>Observations on the data</w:t>
      </w:r>
      <w:bookmarkEnd w:id="78"/>
    </w:p>
    <w:p w14:paraId="7C519F4B" w14:textId="77777777" w:rsidR="00D6403A" w:rsidRPr="00D6403A" w:rsidRDefault="00D6403A" w:rsidP="00005134">
      <w:pPr>
        <w:rPr>
          <w:lang w:val="en-GB"/>
        </w:rPr>
      </w:pPr>
      <w:r w:rsidRPr="00D6403A">
        <w:rPr>
          <w:lang w:val="en-GB"/>
        </w:rPr>
        <w:t>In 2021, 71.2% of women who completed the survey across public hospitals responded that they felt involved, as much as they wanted to be, in decisions about their care (Figure 64). The funnel plot in</w:t>
      </w:r>
      <w:r w:rsidRPr="00D6403A">
        <w:rPr>
          <w:rFonts w:ascii="Cambria" w:hAnsi="Cambria" w:cs="Cambria"/>
          <w:color w:val="000000"/>
          <w:lang w:val="en-GB"/>
        </w:rPr>
        <w:t> </w:t>
      </w:r>
      <w:r w:rsidRPr="00D6403A">
        <w:rPr>
          <w:lang w:val="en-GB"/>
        </w:rPr>
        <w:t xml:space="preserve">Figure 65 shows variation across hospitals. </w:t>
      </w:r>
    </w:p>
    <w:p w14:paraId="62590850" w14:textId="77777777" w:rsidR="00D6403A" w:rsidRPr="00D6403A" w:rsidRDefault="00D6403A" w:rsidP="00862996">
      <w:pPr>
        <w:rPr>
          <w:lang w:val="en-GB"/>
        </w:rPr>
      </w:pPr>
      <w:r w:rsidRPr="00D6403A">
        <w:rPr>
          <w:lang w:val="en-GB"/>
        </w:rPr>
        <w:lastRenderedPageBreak/>
        <w:t>Greater variation in the observed data for indicators 11a and 11b may be ascribed to (i) a smaller sample size with only 6 months of survey data and (ii) voluntary data collection practices of the VHES, meaning data are not always collected for every Victorian birth.</w:t>
      </w:r>
    </w:p>
    <w:p w14:paraId="0CA0DFE0" w14:textId="77777777" w:rsidR="00D6403A" w:rsidRPr="00D6403A" w:rsidRDefault="00D6403A" w:rsidP="00862996">
      <w:pPr>
        <w:rPr>
          <w:lang w:val="en-GB"/>
        </w:rPr>
      </w:pPr>
      <w:r w:rsidRPr="00D6403A">
        <w:rPr>
          <w:lang w:val="en-GB"/>
        </w:rPr>
        <w:t>The proportion of women who felt they were given active support and encouragement to feed their baby the way they wanted to (Indicator 11b) across public hospitals was 87.2% (Figure 66). The funnel plot shows variation in this indicator (Figure 67).</w:t>
      </w:r>
    </w:p>
    <w:p w14:paraId="12B93CB1" w14:textId="77777777" w:rsidR="00D6403A" w:rsidRPr="00D6403A" w:rsidRDefault="00D6403A" w:rsidP="00862996">
      <w:pPr>
        <w:rPr>
          <w:lang w:val="en-GB"/>
        </w:rPr>
      </w:pPr>
      <w:r w:rsidRPr="00D6403A">
        <w:rPr>
          <w:lang w:val="en-GB"/>
        </w:rPr>
        <w:t>The data for these indicators is limited, as only a small proportion of women who birthed in the public hospital system are sent the survey and the response rate is low. This report includes only those health services with more than 10 responses over the time period. Data should be interpreted cautiously and used in conjunction with additional feedback provided directly to the health service.</w:t>
      </w:r>
    </w:p>
    <w:p w14:paraId="6759FB22" w14:textId="77777777" w:rsidR="00D6403A" w:rsidRPr="00D6403A" w:rsidRDefault="00D6403A" w:rsidP="005939CC">
      <w:pPr>
        <w:pStyle w:val="Heading2"/>
        <w:rPr>
          <w:lang w:val="en-GB"/>
        </w:rPr>
      </w:pPr>
      <w:bookmarkStart w:id="79" w:name="_Toc159326637"/>
      <w:r w:rsidRPr="00D6403A">
        <w:rPr>
          <w:lang w:val="en-GB"/>
        </w:rPr>
        <w:t>Strategies for improvement</w:t>
      </w:r>
      <w:bookmarkEnd w:id="79"/>
    </w:p>
    <w:p w14:paraId="02044755" w14:textId="77777777" w:rsidR="00D6403A" w:rsidRPr="00D6403A" w:rsidRDefault="00D6403A" w:rsidP="00005134">
      <w:pPr>
        <w:pStyle w:val="Bullet1"/>
        <w:rPr>
          <w:lang w:val="en-GB"/>
        </w:rPr>
      </w:pPr>
      <w:r w:rsidRPr="00D6403A">
        <w:rPr>
          <w:lang w:val="en-GB"/>
        </w:rPr>
        <w:t>Work in partnership with women to deliver woman-centred, coordinated care by promoting discussion about plans and expectations of labour and birth.</w:t>
      </w:r>
    </w:p>
    <w:p w14:paraId="793144A5" w14:textId="77777777" w:rsidR="00D6403A" w:rsidRPr="00D6403A" w:rsidRDefault="00D6403A" w:rsidP="00005134">
      <w:pPr>
        <w:pStyle w:val="Bullet1"/>
        <w:rPr>
          <w:lang w:val="en-GB"/>
        </w:rPr>
      </w:pPr>
      <w:r w:rsidRPr="00D6403A">
        <w:rPr>
          <w:lang w:val="en-GB"/>
        </w:rPr>
        <w:t>Ensure there are adequate mechanisms to capture, review, report and act on feedback.</w:t>
      </w:r>
    </w:p>
    <w:p w14:paraId="722353B2" w14:textId="77777777" w:rsidR="00D6403A" w:rsidRPr="00D6403A" w:rsidRDefault="00D6403A" w:rsidP="00005134">
      <w:pPr>
        <w:pStyle w:val="Bullet1"/>
        <w:rPr>
          <w:lang w:val="en-GB"/>
        </w:rPr>
      </w:pPr>
      <w:r w:rsidRPr="00D6403A">
        <w:rPr>
          <w:lang w:val="en-GB"/>
        </w:rPr>
        <w:t>Engage with women, carers and families to hear first-hand about their experiences.</w:t>
      </w:r>
    </w:p>
    <w:p w14:paraId="504EB7D8" w14:textId="26150AEB" w:rsidR="00D6403A" w:rsidRPr="00D6403A" w:rsidRDefault="00D6403A" w:rsidP="00005134">
      <w:pPr>
        <w:pStyle w:val="Bullet1"/>
        <w:rPr>
          <w:lang w:val="en-GB"/>
        </w:rPr>
      </w:pPr>
      <w:r w:rsidRPr="00D6403A">
        <w:rPr>
          <w:lang w:val="en-GB"/>
        </w:rPr>
        <w:t>Ensure there is adequate time during both the antenatal and postnatal period to discuss and express concerns related to the information being provided.</w:t>
      </w:r>
    </w:p>
    <w:p w14:paraId="76EFADC3" w14:textId="77777777" w:rsidR="00D6403A" w:rsidRPr="00D6403A" w:rsidRDefault="00D6403A" w:rsidP="00005134">
      <w:pPr>
        <w:pStyle w:val="Bullet1"/>
        <w:rPr>
          <w:lang w:val="en-GB"/>
        </w:rPr>
      </w:pPr>
      <w:r w:rsidRPr="00D6403A">
        <w:rPr>
          <w:lang w:val="en-GB"/>
        </w:rPr>
        <w:t>Work in partnership with women to support them with feeding their babies the way they want.</w:t>
      </w:r>
    </w:p>
    <w:p w14:paraId="63E9F8F0" w14:textId="77777777" w:rsidR="00D6403A" w:rsidRPr="00D6403A" w:rsidRDefault="00D6403A" w:rsidP="00005134">
      <w:pPr>
        <w:pStyle w:val="Bullet1"/>
        <w:rPr>
          <w:lang w:val="en-GB"/>
        </w:rPr>
      </w:pPr>
      <w:r w:rsidRPr="00D6403A">
        <w:rPr>
          <w:lang w:val="en-GB"/>
        </w:rPr>
        <w:t>Encourage women and their families to provide feedback to the health service in a way that suits them, including the survey or by contacting the health service directly.</w:t>
      </w:r>
    </w:p>
    <w:p w14:paraId="76FF4523" w14:textId="77777777" w:rsidR="00D6403A" w:rsidRPr="00D6403A" w:rsidRDefault="00D6403A" w:rsidP="00870C38">
      <w:pPr>
        <w:pStyle w:val="Tablechartdiagramheading"/>
      </w:pPr>
      <w:r w:rsidRPr="00D6403A">
        <w:lastRenderedPageBreak/>
        <w:t>Figure 64. Indicator 11a: Rate of women who felt involved as much as they wanted to be in making decisions about their care, 2021</w:t>
      </w:r>
    </w:p>
    <w:p w14:paraId="3A0C39E4" w14:textId="5D6A3BFE" w:rsidR="00D6403A" w:rsidRPr="00D6403A" w:rsidRDefault="00F75072" w:rsidP="00862996">
      <w:pPr>
        <w:rPr>
          <w:lang w:val="en-GB"/>
        </w:rPr>
      </w:pPr>
      <w:r>
        <w:rPr>
          <w:noProof/>
          <w:lang w:val="en-GB"/>
        </w:rPr>
        <w:drawing>
          <wp:inline distT="0" distB="0" distL="0" distR="0" wp14:anchorId="4F8C6660" wp14:editId="3386154A">
            <wp:extent cx="6476365" cy="3930650"/>
            <wp:effectExtent l="0" t="0" r="635" b="6350"/>
            <wp:docPr id="69" name="Picture 69" descr="Bar chart for Indicator 11a.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ig_64.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476365" cy="3930650"/>
                    </a:xfrm>
                    <a:prstGeom prst="rect">
                      <a:avLst/>
                    </a:prstGeom>
                  </pic:spPr>
                </pic:pic>
              </a:graphicData>
            </a:graphic>
          </wp:inline>
        </w:drawing>
      </w:r>
      <w:r w:rsidR="00D6403A" w:rsidRPr="00D6403A">
        <w:rPr>
          <w:lang w:val="en-GB"/>
        </w:rPr>
        <w:t xml:space="preserve"> </w:t>
      </w:r>
    </w:p>
    <w:p w14:paraId="0215A225" w14:textId="77777777" w:rsidR="00D6403A" w:rsidRPr="00D6403A" w:rsidRDefault="00D6403A" w:rsidP="00F75072">
      <w:pPr>
        <w:pStyle w:val="FootnoteText"/>
        <w:rPr>
          <w:lang w:val="en-GB"/>
        </w:rPr>
      </w:pPr>
      <w:r w:rsidRPr="00D6403A">
        <w:rPr>
          <w:lang w:val="en-GB"/>
        </w:rPr>
        <w:t>Note: No quartiles are presented for Indicator 11 since the measure is calculated from survey data and a different method of</w:t>
      </w:r>
      <w:r w:rsidRPr="00D6403A">
        <w:rPr>
          <w:rFonts w:ascii="Cambria" w:hAnsi="Cambria" w:cs="Cambria"/>
          <w:lang w:val="en-GB"/>
        </w:rPr>
        <w:t> </w:t>
      </w:r>
      <w:r w:rsidRPr="00D6403A">
        <w:rPr>
          <w:lang w:val="en-GB"/>
        </w:rPr>
        <w:t>determining least and most favourable outcomes was applied (tested for significant difference compared with the rate for</w:t>
      </w:r>
      <w:r w:rsidRPr="00D6403A">
        <w:rPr>
          <w:rFonts w:ascii="Cambria" w:hAnsi="Cambria" w:cs="Cambria"/>
          <w:lang w:val="en-GB"/>
        </w:rPr>
        <w:t> </w:t>
      </w:r>
      <w:r w:rsidRPr="00D6403A">
        <w:rPr>
          <w:lang w:val="en-GB"/>
        </w:rPr>
        <w:t>public hospitals).</w:t>
      </w:r>
    </w:p>
    <w:p w14:paraId="12FA0F68" w14:textId="77777777" w:rsidR="00D6403A" w:rsidRPr="00D6403A" w:rsidRDefault="00D6403A" w:rsidP="00F75072">
      <w:pPr>
        <w:pStyle w:val="FootnoteText"/>
        <w:rPr>
          <w:lang w:val="en-GB"/>
        </w:rPr>
      </w:pPr>
      <w:r w:rsidRPr="00D6403A">
        <w:rPr>
          <w:lang w:val="en-GB"/>
        </w:rPr>
        <w:t>The VHES only collects data from public hospitals and reports only on services with more than 10 responses in a year. As such, this</w:t>
      </w:r>
      <w:r w:rsidRPr="00D6403A">
        <w:rPr>
          <w:rFonts w:ascii="Cambria" w:hAnsi="Cambria" w:cs="Cambria"/>
          <w:lang w:val="en-GB"/>
        </w:rPr>
        <w:t> </w:t>
      </w:r>
      <w:r w:rsidRPr="00D6403A">
        <w:rPr>
          <w:lang w:val="en-GB"/>
        </w:rPr>
        <w:t>indicator is only reported for public health services and not all services meet the criteria for reporting in this indicator.</w:t>
      </w:r>
    </w:p>
    <w:p w14:paraId="59FE2B46" w14:textId="77777777" w:rsidR="00D6403A" w:rsidRPr="00D6403A" w:rsidRDefault="00D6403A" w:rsidP="00870C38">
      <w:pPr>
        <w:pStyle w:val="Tablechartdiagramheading"/>
      </w:pPr>
      <w:r w:rsidRPr="00D6403A">
        <w:lastRenderedPageBreak/>
        <w:t>Figure 65. Funnel plot of the rate of women who felt involved as much as they wanted to be in decisions about their care, 2021</w:t>
      </w:r>
    </w:p>
    <w:p w14:paraId="06CEFEBD" w14:textId="7A59276A" w:rsidR="00D6403A" w:rsidRPr="00D6403A" w:rsidRDefault="00F75072" w:rsidP="00862996">
      <w:pPr>
        <w:rPr>
          <w:lang w:val="en-GB"/>
        </w:rPr>
      </w:pPr>
      <w:r>
        <w:rPr>
          <w:noProof/>
          <w:lang w:val="en-GB"/>
        </w:rPr>
        <w:drawing>
          <wp:inline distT="0" distB="0" distL="0" distR="0" wp14:anchorId="4949FF2C" wp14:editId="3C6CC31D">
            <wp:extent cx="5969000" cy="3403600"/>
            <wp:effectExtent l="0" t="0" r="0" b="0"/>
            <wp:docPr id="70" name="Picture 70"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_65.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69000" cy="3403600"/>
                    </a:xfrm>
                    <a:prstGeom prst="rect">
                      <a:avLst/>
                    </a:prstGeom>
                  </pic:spPr>
                </pic:pic>
              </a:graphicData>
            </a:graphic>
          </wp:inline>
        </w:drawing>
      </w:r>
      <w:r w:rsidR="00D6403A" w:rsidRPr="00D6403A">
        <w:rPr>
          <w:lang w:val="en-GB"/>
        </w:rPr>
        <w:t xml:space="preserve"> </w:t>
      </w:r>
    </w:p>
    <w:p w14:paraId="3551DE2B"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3DB497B2" w14:textId="77777777" w:rsidR="00D6403A" w:rsidRPr="00D6403A" w:rsidRDefault="00D6403A" w:rsidP="00F75072">
      <w:pPr>
        <w:pStyle w:val="Tablechartdiagramheading"/>
        <w:rPr>
          <w:lang w:val="en-GB"/>
        </w:rPr>
      </w:pPr>
      <w:r w:rsidRPr="00D6403A">
        <w:rPr>
          <w:lang w:val="en-GB"/>
        </w:rPr>
        <w:lastRenderedPageBreak/>
        <w:t>Figure 66. Indicator 11b: Rate of women who felt that staff gave them active support and</w:t>
      </w:r>
      <w:r w:rsidRPr="00D6403A">
        <w:rPr>
          <w:rFonts w:ascii="Cambria" w:hAnsi="Cambria" w:cs="Cambria"/>
          <w:lang w:val="en-GB"/>
        </w:rPr>
        <w:t> </w:t>
      </w:r>
      <w:r w:rsidRPr="00D6403A">
        <w:rPr>
          <w:lang w:val="en-GB"/>
        </w:rPr>
        <w:t>encouragement to feed their baby in the way they wanted to, 2021</w:t>
      </w:r>
    </w:p>
    <w:p w14:paraId="542C59DC" w14:textId="6D9951FC" w:rsidR="00D6403A" w:rsidRPr="00D6403A" w:rsidRDefault="00F75072" w:rsidP="00862996">
      <w:pPr>
        <w:rPr>
          <w:lang w:val="en-GB"/>
        </w:rPr>
      </w:pPr>
      <w:r>
        <w:rPr>
          <w:noProof/>
          <w:lang w:val="en-GB"/>
        </w:rPr>
        <w:drawing>
          <wp:inline distT="0" distB="0" distL="0" distR="0" wp14:anchorId="2DEB1CE5" wp14:editId="4599E82C">
            <wp:extent cx="6476365" cy="3930650"/>
            <wp:effectExtent l="0" t="0" r="635" b="6350"/>
            <wp:docPr id="71" name="Picture 71" descr="Bar chart for Indicator 11b.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_66.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476365" cy="3930650"/>
                    </a:xfrm>
                    <a:prstGeom prst="rect">
                      <a:avLst/>
                    </a:prstGeom>
                  </pic:spPr>
                </pic:pic>
              </a:graphicData>
            </a:graphic>
          </wp:inline>
        </w:drawing>
      </w:r>
    </w:p>
    <w:p w14:paraId="448030BA" w14:textId="77777777" w:rsidR="00D6403A" w:rsidRPr="00D6403A" w:rsidRDefault="00D6403A" w:rsidP="00F75072">
      <w:pPr>
        <w:pStyle w:val="FootnoteText"/>
        <w:rPr>
          <w:lang w:val="en-GB"/>
        </w:rPr>
      </w:pPr>
      <w:r w:rsidRPr="00D6403A">
        <w:rPr>
          <w:lang w:val="en-GB"/>
        </w:rPr>
        <w:t>Note: No quartiles are presented for Indicator 11 since the measure is calculated from survey data and a different method of</w:t>
      </w:r>
      <w:r w:rsidRPr="00D6403A">
        <w:rPr>
          <w:rFonts w:ascii="Cambria" w:hAnsi="Cambria" w:cs="Cambria"/>
          <w:lang w:val="en-GB"/>
        </w:rPr>
        <w:t> </w:t>
      </w:r>
      <w:r w:rsidRPr="00D6403A">
        <w:rPr>
          <w:lang w:val="en-GB"/>
        </w:rPr>
        <w:t>determining least and most favourable outcomes was applied (i.e., tested for significant difference compared with the rate for</w:t>
      </w:r>
      <w:r w:rsidRPr="00D6403A">
        <w:rPr>
          <w:rFonts w:ascii="Cambria" w:hAnsi="Cambria" w:cs="Cambria"/>
          <w:lang w:val="en-GB"/>
        </w:rPr>
        <w:t> </w:t>
      </w:r>
      <w:r w:rsidRPr="00D6403A">
        <w:rPr>
          <w:lang w:val="en-GB"/>
        </w:rPr>
        <w:t>public hospitals).</w:t>
      </w:r>
    </w:p>
    <w:p w14:paraId="04DA2751" w14:textId="77777777" w:rsidR="00D6403A" w:rsidRPr="00D6403A" w:rsidRDefault="00D6403A" w:rsidP="00F75072">
      <w:pPr>
        <w:pStyle w:val="FootnoteText"/>
        <w:rPr>
          <w:lang w:val="en-GB"/>
        </w:rPr>
      </w:pPr>
      <w:r w:rsidRPr="00D6403A">
        <w:rPr>
          <w:lang w:val="en-GB"/>
        </w:rPr>
        <w:t>The VHES only collects data from public hospitals and reports only on services with more than 10 responses in a year. As such, this</w:t>
      </w:r>
      <w:r w:rsidRPr="00D6403A">
        <w:rPr>
          <w:rFonts w:ascii="Cambria" w:hAnsi="Cambria" w:cs="Cambria"/>
          <w:lang w:val="en-GB"/>
        </w:rPr>
        <w:t> </w:t>
      </w:r>
      <w:r w:rsidRPr="00D6403A">
        <w:rPr>
          <w:lang w:val="en-GB"/>
        </w:rPr>
        <w:t>indicator is only reported for public health services and not all services meet the criteria for reporting in this indicator.</w:t>
      </w:r>
    </w:p>
    <w:p w14:paraId="18550061" w14:textId="77777777" w:rsidR="00D6403A" w:rsidRPr="00D6403A" w:rsidRDefault="00D6403A" w:rsidP="00F75072">
      <w:pPr>
        <w:pStyle w:val="Tablechartdiagramheading"/>
        <w:rPr>
          <w:lang w:val="en-GB"/>
        </w:rPr>
      </w:pPr>
      <w:r w:rsidRPr="00D6403A">
        <w:rPr>
          <w:lang w:val="en-GB"/>
        </w:rPr>
        <w:lastRenderedPageBreak/>
        <w:t>Figure 67. Funnel plot of the rate of women who felt that staff gave them active support and</w:t>
      </w:r>
      <w:r w:rsidRPr="00D6403A">
        <w:rPr>
          <w:rFonts w:ascii="Cambria" w:hAnsi="Cambria" w:cs="Cambria"/>
          <w:lang w:val="en-GB"/>
        </w:rPr>
        <w:t> </w:t>
      </w:r>
      <w:r w:rsidRPr="00D6403A">
        <w:rPr>
          <w:lang w:val="en-GB"/>
        </w:rPr>
        <w:t>encouragement to feed their baby in the way they wanted to, 2021</w:t>
      </w:r>
    </w:p>
    <w:p w14:paraId="0FFC4CFA" w14:textId="29BED1C5" w:rsidR="00D6403A" w:rsidRPr="00D6403A" w:rsidRDefault="00D6403A" w:rsidP="00862996">
      <w:pPr>
        <w:rPr>
          <w:lang w:val="en-GB"/>
        </w:rPr>
      </w:pPr>
      <w:r w:rsidRPr="00D6403A">
        <w:rPr>
          <w:lang w:val="en-GB"/>
        </w:rPr>
        <w:t xml:space="preserve"> </w:t>
      </w:r>
      <w:r w:rsidR="00F75072">
        <w:rPr>
          <w:noProof/>
          <w:lang w:val="en-GB"/>
        </w:rPr>
        <w:drawing>
          <wp:inline distT="0" distB="0" distL="0" distR="0" wp14:anchorId="18823D0C" wp14:editId="273F61DB">
            <wp:extent cx="5969000" cy="3403600"/>
            <wp:effectExtent l="0" t="0" r="0" b="0"/>
            <wp:docPr id="72" name="Picture 72"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ig_67.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69000" cy="3403600"/>
                    </a:xfrm>
                    <a:prstGeom prst="rect">
                      <a:avLst/>
                    </a:prstGeom>
                  </pic:spPr>
                </pic:pic>
              </a:graphicData>
            </a:graphic>
          </wp:inline>
        </w:drawing>
      </w:r>
    </w:p>
    <w:p w14:paraId="3C3CA6E3" w14:textId="77777777" w:rsidR="00F343F5" w:rsidRPr="00F343F5" w:rsidRDefault="00F343F5" w:rsidP="00F343F5">
      <w:pPr>
        <w:pStyle w:val="FootnoteText"/>
        <w:rPr>
          <w:rFonts w:ascii="Times New Roman" w:hAnsi="Times New Roman"/>
          <w:sz w:val="24"/>
          <w:szCs w:val="24"/>
          <w:lang w:eastAsia="en-US"/>
        </w:rPr>
      </w:pPr>
      <w:bookmarkStart w:id="80" w:name="_Toc159326638"/>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4534F746" w14:textId="77777777" w:rsidR="003547C0" w:rsidRDefault="003547C0">
      <w:pPr>
        <w:rPr>
          <w:rFonts w:asciiTheme="majorHAnsi" w:eastAsiaTheme="majorEastAsia" w:hAnsiTheme="majorHAnsi" w:cs="Times New Roman (Headings CS)"/>
          <w:b/>
          <w:bCs/>
          <w:color w:val="007586" w:themeColor="text2"/>
          <w:sz w:val="28"/>
          <w:szCs w:val="26"/>
          <w:lang w:val="en-GB"/>
        </w:rPr>
      </w:pPr>
      <w:r>
        <w:rPr>
          <w:lang w:val="en-GB"/>
        </w:rPr>
        <w:br w:type="page"/>
      </w:r>
    </w:p>
    <w:p w14:paraId="200E5F2D" w14:textId="0231A288" w:rsidR="00D6403A" w:rsidRPr="00D6403A" w:rsidRDefault="00D6403A" w:rsidP="005939CC">
      <w:pPr>
        <w:pStyle w:val="Heading2"/>
        <w:rPr>
          <w:lang w:val="en-GB"/>
        </w:rPr>
      </w:pPr>
      <w:r w:rsidRPr="00D6403A">
        <w:rPr>
          <w:lang w:val="en-GB"/>
        </w:rPr>
        <w:lastRenderedPageBreak/>
        <w:t>Data source</w:t>
      </w:r>
      <w:bookmarkEnd w:id="80"/>
    </w:p>
    <w:p w14:paraId="6266103F" w14:textId="77777777" w:rsidR="00D6403A" w:rsidRPr="00D6403A" w:rsidRDefault="00D6403A" w:rsidP="008340E5">
      <w:pPr>
        <w:pStyle w:val="Heading3"/>
        <w:rPr>
          <w:lang w:val="en-GB"/>
        </w:rPr>
      </w:pPr>
      <w:r w:rsidRPr="00D6403A">
        <w:rPr>
          <w:lang w:val="en-GB"/>
        </w:rPr>
        <w:t>Data source: IPSOS Social Research Institute analysis of the Victorian Healthcare Experience Survey</w:t>
      </w:r>
    </w:p>
    <w:p w14:paraId="008A24FF" w14:textId="77777777" w:rsidR="00D6403A" w:rsidRPr="00D6403A" w:rsidRDefault="00D6403A" w:rsidP="00862996">
      <w:pPr>
        <w:rPr>
          <w:lang w:val="en-GB"/>
        </w:rPr>
      </w:pPr>
      <w:r w:rsidRPr="00D6403A">
        <w:rPr>
          <w:lang w:val="en-GB"/>
        </w:rPr>
        <w:t>Data for this indicator is sourced from VHES for the period from 1 July 2021 to 31 December 2021.</w:t>
      </w:r>
    </w:p>
    <w:p w14:paraId="4EB9F186" w14:textId="77777777" w:rsidR="00D6403A" w:rsidRPr="00D6403A" w:rsidRDefault="00D6403A" w:rsidP="00862996">
      <w:pPr>
        <w:rPr>
          <w:lang w:val="en-GB"/>
        </w:rPr>
      </w:pPr>
      <w:r w:rsidRPr="00D6403A">
        <w:rPr>
          <w:lang w:val="en-GB"/>
        </w:rPr>
        <w:t>Results are not reported when there are fewer than 10 responses for a health service over the time period, or when data were not provided by the health service.</w:t>
      </w:r>
    </w:p>
    <w:p w14:paraId="4E7385EF" w14:textId="77777777" w:rsidR="00D6403A" w:rsidRPr="00D6403A" w:rsidRDefault="00D6403A" w:rsidP="00005134">
      <w:pPr>
        <w:rPr>
          <w:lang w:val="en-GB"/>
        </w:rPr>
      </w:pPr>
      <w:r w:rsidRPr="00D6403A">
        <w:rPr>
          <w:lang w:val="en-GB"/>
        </w:rPr>
        <w:t>Note: The VHES maternity questionnaire is distributed to a random sample of consumers following a</w:t>
      </w:r>
      <w:r w:rsidRPr="00D6403A">
        <w:rPr>
          <w:rFonts w:ascii="Cambria" w:hAnsi="Cambria" w:cs="Cambria"/>
          <w:color w:val="000000"/>
          <w:lang w:val="en-GB"/>
        </w:rPr>
        <w:t> </w:t>
      </w:r>
      <w:r w:rsidRPr="00D6403A">
        <w:rPr>
          <w:lang w:val="en-GB"/>
        </w:rPr>
        <w:t xml:space="preserve">hospital admission for pregnancy and birth. </w:t>
      </w:r>
    </w:p>
    <w:p w14:paraId="40E6087A"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4C080696" w14:textId="77777777" w:rsidTr="00C362E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53E00450" w14:textId="77777777" w:rsidR="00D6403A" w:rsidRPr="00D6403A" w:rsidRDefault="00D6403A" w:rsidP="00C362E2">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541262A7" w14:textId="77777777" w:rsidR="00D6403A" w:rsidRPr="00D6403A" w:rsidRDefault="00D6403A" w:rsidP="00C362E2">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605F8898" w14:textId="77777777" w:rsidR="00D6403A" w:rsidRPr="00D6403A" w:rsidRDefault="00D6403A" w:rsidP="00C362E2">
            <w:pPr>
              <w:pStyle w:val="Tableheader"/>
              <w:rPr>
                <w:b/>
                <w:lang w:val="en-GB"/>
              </w:rPr>
            </w:pPr>
            <w:r w:rsidRPr="00D6403A">
              <w:rPr>
                <w:b/>
                <w:lang w:val="en-GB"/>
              </w:rPr>
              <w:t>Denominator</w:t>
            </w:r>
          </w:p>
        </w:tc>
      </w:tr>
      <w:tr w:rsidR="00D6403A" w:rsidRPr="00D6403A" w14:paraId="252CF9C5" w14:textId="77777777" w:rsidTr="00C362E2">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6AF17A63" w14:textId="77777777" w:rsidR="00D6403A" w:rsidRPr="00C362E2" w:rsidRDefault="00D6403A" w:rsidP="00C362E2">
            <w:pPr>
              <w:pStyle w:val="Tabletext"/>
              <w:jc w:val="left"/>
              <w:rPr>
                <w:b/>
              </w:rPr>
            </w:pPr>
            <w:r w:rsidRPr="00C362E2">
              <w:rPr>
                <w:b/>
              </w:rPr>
              <w:t>Indicator 11a: Rate of women who reported that they felt involved as much as they wanted to be in making decisions about their care</w:t>
            </w:r>
          </w:p>
        </w:tc>
        <w:tc>
          <w:tcPr>
            <w:cnfStyle w:val="000001000000" w:firstRow="0" w:lastRow="0" w:firstColumn="0" w:lastColumn="0" w:oddVBand="0" w:evenVBand="1" w:oddHBand="0" w:evenHBand="0" w:firstRowFirstColumn="0" w:firstRowLastColumn="0" w:lastRowFirstColumn="0" w:lastRowLastColumn="0"/>
            <w:tcW w:w="3401" w:type="dxa"/>
          </w:tcPr>
          <w:p w14:paraId="4CF11642" w14:textId="77777777" w:rsidR="00D6403A" w:rsidRPr="00C362E2" w:rsidRDefault="00D6403A" w:rsidP="00C362E2">
            <w:pPr>
              <w:pStyle w:val="Tabletext"/>
              <w:jc w:val="left"/>
            </w:pPr>
            <w:r w:rsidRPr="00C362E2">
              <w:t>The number of women who answered ‘yes, definitely’ to question 6 of the VHES maternity questionnaire</w:t>
            </w:r>
          </w:p>
        </w:tc>
        <w:tc>
          <w:tcPr>
            <w:cnfStyle w:val="000010000000" w:firstRow="0" w:lastRow="0" w:firstColumn="0" w:lastColumn="0" w:oddVBand="1" w:evenVBand="0" w:oddHBand="0" w:evenHBand="0" w:firstRowFirstColumn="0" w:firstRowLastColumn="0" w:lastRowFirstColumn="0" w:lastRowLastColumn="0"/>
            <w:tcW w:w="3402" w:type="dxa"/>
          </w:tcPr>
          <w:p w14:paraId="57EFCA33" w14:textId="77777777" w:rsidR="00D6403A" w:rsidRPr="00C362E2" w:rsidRDefault="00D6403A" w:rsidP="00C362E2">
            <w:pPr>
              <w:pStyle w:val="Tabletext"/>
              <w:jc w:val="left"/>
            </w:pPr>
            <w:r w:rsidRPr="00C362E2">
              <w:t>The number of women who answered question 6 of the VHES maternity questionnaire</w:t>
            </w:r>
          </w:p>
        </w:tc>
      </w:tr>
      <w:tr w:rsidR="00D6403A" w:rsidRPr="00D6403A" w14:paraId="59FA7F9A" w14:textId="77777777" w:rsidTr="00C362E2">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4976BBFB" w14:textId="77777777" w:rsidR="00D6403A" w:rsidRPr="00C362E2" w:rsidRDefault="00D6403A" w:rsidP="00C362E2">
            <w:pPr>
              <w:pStyle w:val="Tabletext"/>
              <w:jc w:val="left"/>
              <w:rPr>
                <w:b/>
              </w:rPr>
            </w:pPr>
            <w:r w:rsidRPr="00C362E2">
              <w:rPr>
                <w:b/>
              </w:rPr>
              <w:t>Indicator 11b: Rate of women who felt that staff gave them active support and encouragement to feed their baby in the way they wanted to</w:t>
            </w:r>
          </w:p>
        </w:tc>
        <w:tc>
          <w:tcPr>
            <w:cnfStyle w:val="000001000000" w:firstRow="0" w:lastRow="0" w:firstColumn="0" w:lastColumn="0" w:oddVBand="0" w:evenVBand="1" w:oddHBand="0" w:evenHBand="0" w:firstRowFirstColumn="0" w:firstRowLastColumn="0" w:lastRowFirstColumn="0" w:lastRowLastColumn="0"/>
            <w:tcW w:w="3401" w:type="dxa"/>
          </w:tcPr>
          <w:p w14:paraId="6B16559C" w14:textId="77777777" w:rsidR="00D6403A" w:rsidRPr="00C362E2" w:rsidRDefault="00D6403A" w:rsidP="00C362E2">
            <w:pPr>
              <w:pStyle w:val="Tabletext"/>
              <w:jc w:val="left"/>
            </w:pPr>
            <w:r w:rsidRPr="00C362E2">
              <w:t>The number of women who answered ‘yes, definitely’ to question 29 of the VHES maternity questionnaire</w:t>
            </w:r>
          </w:p>
        </w:tc>
        <w:tc>
          <w:tcPr>
            <w:cnfStyle w:val="000010000000" w:firstRow="0" w:lastRow="0" w:firstColumn="0" w:lastColumn="0" w:oddVBand="1" w:evenVBand="0" w:oddHBand="0" w:evenHBand="0" w:firstRowFirstColumn="0" w:firstRowLastColumn="0" w:lastRowFirstColumn="0" w:lastRowLastColumn="0"/>
            <w:tcW w:w="3402" w:type="dxa"/>
          </w:tcPr>
          <w:p w14:paraId="52DF422C" w14:textId="77777777" w:rsidR="00D6403A" w:rsidRPr="00C362E2" w:rsidRDefault="00D6403A" w:rsidP="00C362E2">
            <w:pPr>
              <w:pStyle w:val="Tabletext"/>
              <w:jc w:val="left"/>
            </w:pPr>
            <w:r w:rsidRPr="00C362E2">
              <w:t>The number of women who answered question 29 of the VHES maternity questionnaire</w:t>
            </w:r>
          </w:p>
        </w:tc>
      </w:tr>
    </w:tbl>
    <w:p w14:paraId="72006F70" w14:textId="77777777" w:rsidR="00FA36FF" w:rsidRDefault="00FA36FF" w:rsidP="00FA36FF">
      <w:pPr>
        <w:pStyle w:val="Heading2"/>
        <w:rPr>
          <w:lang w:val="en-GB"/>
        </w:rPr>
        <w:sectPr w:rsidR="00FA36FF" w:rsidSect="004D6F5F">
          <w:pgSz w:w="11901" w:h="16817" w:code="9"/>
          <w:pgMar w:top="3402" w:right="851" w:bottom="1361" w:left="851" w:header="539" w:footer="624" w:gutter="0"/>
          <w:cols w:space="284"/>
          <w:docGrid w:linePitch="360" w:charSpace="46114"/>
        </w:sectPr>
      </w:pPr>
      <w:bookmarkStart w:id="81" w:name="_Toc159326639"/>
    </w:p>
    <w:p w14:paraId="58E9343E" w14:textId="1ACAD2A9" w:rsidR="00D6403A" w:rsidRPr="00D6403A" w:rsidRDefault="00D6403A" w:rsidP="00FA36FF">
      <w:pPr>
        <w:pStyle w:val="Heading1"/>
        <w:framePr w:wrap="around"/>
        <w:rPr>
          <w:lang w:val="en-GB"/>
        </w:rPr>
      </w:pPr>
      <w:r w:rsidRPr="00D6403A">
        <w:rPr>
          <w:lang w:val="en-GB"/>
        </w:rPr>
        <w:lastRenderedPageBreak/>
        <w:t>12a and 12b: Maternal vaccination</w:t>
      </w:r>
      <w:bookmarkEnd w:id="81"/>
    </w:p>
    <w:p w14:paraId="063478D6" w14:textId="77777777" w:rsidR="00D6403A" w:rsidRPr="00D6403A" w:rsidRDefault="00D6403A" w:rsidP="00D6403A">
      <w:pPr>
        <w:pStyle w:val="IntroductoryText"/>
        <w:rPr>
          <w:lang w:val="en-GB"/>
        </w:rPr>
      </w:pPr>
      <w:r w:rsidRPr="00D6403A">
        <w:rPr>
          <w:lang w:val="en-GB"/>
        </w:rPr>
        <w:t>Pertussis and influenza vaccinations protect pregnant women and babies and are free to all pregnant women in Victoria.</w:t>
      </w:r>
    </w:p>
    <w:p w14:paraId="260C4DC9" w14:textId="77777777" w:rsidR="00D6403A" w:rsidRPr="00D6403A" w:rsidRDefault="00D6403A" w:rsidP="00D64F24">
      <w:pPr>
        <w:pStyle w:val="IntroductoryText"/>
        <w:rPr>
          <w:lang w:val="en-GB"/>
        </w:rPr>
      </w:pPr>
      <w:r w:rsidRPr="00D64F24">
        <w:t>Pertussis can cause serious complications including brain damage, pneumonia and sometimes death. Babies under 6 weeks of age are too young to be vaccinated, so the best way of protecting young babies from pertussis is to vaccinate the mother during pregnancy. Vaccination during pregnancy reduced whooping cough disease in babies under 3 months by over 90%.</w:t>
      </w:r>
      <w:r w:rsidRPr="00D6403A">
        <w:rPr>
          <w:vertAlign w:val="superscript"/>
          <w:lang w:val="en-GB"/>
        </w:rPr>
        <w:footnoteReference w:id="10"/>
      </w:r>
    </w:p>
    <w:p w14:paraId="4110D9A8" w14:textId="77777777" w:rsidR="00D6403A" w:rsidRPr="00D6403A" w:rsidRDefault="00D6403A" w:rsidP="00D64F24">
      <w:pPr>
        <w:pStyle w:val="IntroductoryText"/>
        <w:rPr>
          <w:lang w:val="en-GB"/>
        </w:rPr>
      </w:pPr>
      <w:r w:rsidRPr="00D6403A">
        <w:rPr>
          <w:lang w:val="en-GB"/>
        </w:rPr>
        <w:t>Influenza is a serious disease for pregnant women and the developing and newborn baby. Changes to immune, heart and lung function during pregnancy makes pregnant women more vulnerable to severe disease from influenza and pregnant women are twice as likely to require hospital admission for influenza.</w:t>
      </w:r>
      <w:r w:rsidRPr="00D6403A">
        <w:rPr>
          <w:vertAlign w:val="superscript"/>
          <w:lang w:val="en-GB"/>
        </w:rPr>
        <w:footnoteReference w:id="11"/>
      </w:r>
      <w:r w:rsidRPr="00D6403A">
        <w:rPr>
          <w:lang w:val="en-GB"/>
        </w:rPr>
        <w:t xml:space="preserve"> Influenza vaccine protects pregnant women from influenza and the risk of secondary bacterial infections and other complications while pregnant and reduces the risk of serious complications in their babies.</w:t>
      </w:r>
    </w:p>
    <w:p w14:paraId="3E7AE05E" w14:textId="77777777" w:rsidR="00D6403A" w:rsidRPr="00D6403A" w:rsidRDefault="00D6403A" w:rsidP="00D64F24">
      <w:pPr>
        <w:pStyle w:val="IntroductoryText"/>
        <w:rPr>
          <w:lang w:val="en-GB"/>
        </w:rPr>
      </w:pPr>
      <w:r w:rsidRPr="00D6403A">
        <w:rPr>
          <w:spacing w:val="-2"/>
          <w:lang w:val="en-GB"/>
        </w:rPr>
        <w:t xml:space="preserve">Influenza vaccination is recommended for all pregnant women during any trimester. Pertussis vaccination </w:t>
      </w:r>
      <w:r w:rsidRPr="00D6403A">
        <w:rPr>
          <w:lang w:val="en-GB"/>
        </w:rPr>
        <w:t>is recommended to all pregnant women as a single dose between 20 and 32 weeks’ gestation.</w:t>
      </w:r>
    </w:p>
    <w:p w14:paraId="0AFE43ED" w14:textId="77777777" w:rsidR="00D6403A" w:rsidRPr="00D6403A" w:rsidRDefault="00D6403A" w:rsidP="005939CC">
      <w:pPr>
        <w:pStyle w:val="Heading2"/>
        <w:rPr>
          <w:lang w:val="en-GB"/>
        </w:rPr>
      </w:pPr>
      <w:bookmarkStart w:id="82" w:name="_Toc159326640"/>
      <w:r w:rsidRPr="00D6403A">
        <w:rPr>
          <w:lang w:val="en-GB"/>
        </w:rPr>
        <w:t>About this indicator</w:t>
      </w:r>
      <w:bookmarkEnd w:id="82"/>
    </w:p>
    <w:p w14:paraId="5780A367" w14:textId="77777777" w:rsidR="00D6403A" w:rsidRPr="00D6403A" w:rsidRDefault="00D6403A" w:rsidP="00862996">
      <w:pPr>
        <w:rPr>
          <w:lang w:val="en-GB"/>
        </w:rPr>
      </w:pPr>
      <w:r w:rsidRPr="00D6403A">
        <w:rPr>
          <w:lang w:val="en-GB"/>
        </w:rPr>
        <w:t>These indicators present the proportion of women who were vaccinated against pertussis (whooping cough) and influenza (flu) at any time during their pregnancy. Specifically:</w:t>
      </w:r>
    </w:p>
    <w:p w14:paraId="7D098B1E" w14:textId="77777777" w:rsidR="00D6403A" w:rsidRPr="00D6403A" w:rsidRDefault="00D6403A" w:rsidP="00005134">
      <w:pPr>
        <w:pStyle w:val="Bullet1"/>
        <w:rPr>
          <w:lang w:val="en-GB"/>
        </w:rPr>
      </w:pPr>
      <w:r w:rsidRPr="00D6403A">
        <w:rPr>
          <w:lang w:val="en-GB"/>
        </w:rPr>
        <w:t>Indicator 12a: the rate of women vaccinated for pertussis</w:t>
      </w:r>
    </w:p>
    <w:p w14:paraId="722B02E5" w14:textId="77777777" w:rsidR="00D6403A" w:rsidRPr="00D6403A" w:rsidRDefault="00D6403A" w:rsidP="00005134">
      <w:pPr>
        <w:pStyle w:val="Bullet1"/>
        <w:rPr>
          <w:lang w:val="en-GB"/>
        </w:rPr>
      </w:pPr>
      <w:r w:rsidRPr="00D6403A">
        <w:rPr>
          <w:lang w:val="en-GB"/>
        </w:rPr>
        <w:t>Indicator 12b: the rate of women vaccinated for influenza.</w:t>
      </w:r>
    </w:p>
    <w:p w14:paraId="771AF4EA" w14:textId="049FF105" w:rsidR="00D6403A" w:rsidRDefault="00D6403A" w:rsidP="00862996">
      <w:pPr>
        <w:rPr>
          <w:lang w:val="en-GB"/>
        </w:rPr>
      </w:pPr>
      <w:r w:rsidRPr="00D6403A">
        <w:rPr>
          <w:lang w:val="en-GB"/>
        </w:rPr>
        <w:t>Influenza and pertussis vaccines protect pregnant women and babies from infections. These vaccines are available free to all pregnant women in Victoria. The indicator includes women vaccinated at any point during their pregnancy.</w:t>
      </w:r>
    </w:p>
    <w:p w14:paraId="2ED38690" w14:textId="77777777" w:rsidR="001E41A5" w:rsidRPr="001E41A5" w:rsidRDefault="001E41A5" w:rsidP="001E41A5">
      <w:pPr>
        <w:spacing w:before="0" w:after="0" w:line="240" w:lineRule="auto"/>
        <w:rPr>
          <w:rFonts w:ascii="Times New Roman" w:eastAsia="Times New Roman" w:hAnsi="Times New Roman" w:cs="Times New Roman"/>
          <w:sz w:val="24"/>
          <w:szCs w:val="24"/>
          <w:lang w:eastAsia="en-US"/>
        </w:rPr>
      </w:pPr>
      <w:r w:rsidRPr="001E41A5">
        <w:rPr>
          <w:rFonts w:ascii="Helvetica" w:eastAsia="Times New Roman" w:hAnsi="Helvetica" w:cs="Times New Roman"/>
          <w:color w:val="000000"/>
          <w:sz w:val="18"/>
          <w:szCs w:val="18"/>
          <w:lang w:eastAsia="en-US"/>
        </w:rPr>
        <w:t>[Break out box text:</w:t>
      </w:r>
    </w:p>
    <w:p w14:paraId="4363A008" w14:textId="77777777" w:rsidR="001E41A5" w:rsidRPr="00D6403A" w:rsidRDefault="001E41A5" w:rsidP="001E41A5">
      <w:pPr>
        <w:pStyle w:val="Heading3"/>
        <w:rPr>
          <w:lang w:val="en-GB"/>
        </w:rPr>
      </w:pPr>
      <w:r w:rsidRPr="00D6403A">
        <w:rPr>
          <w:lang w:val="en-GB"/>
        </w:rPr>
        <w:t>What pregnant women and families need to know</w:t>
      </w:r>
    </w:p>
    <w:p w14:paraId="5FFF2D45" w14:textId="5B314523" w:rsidR="001E41A5" w:rsidRPr="00D6403A" w:rsidRDefault="001E41A5" w:rsidP="00005134">
      <w:pPr>
        <w:rPr>
          <w:lang w:val="en-GB"/>
        </w:rPr>
      </w:pPr>
      <w:r w:rsidRPr="00D6403A">
        <w:rPr>
          <w:lang w:val="en-GB"/>
        </w:rPr>
        <w:t>Whooping cough (pertussis) and flu (influenza) are dangerous infections for pregnant women and their newborn babies. Whooping cough and flu vaccines are strongly recommended and</w:t>
      </w:r>
      <w:r w:rsidRPr="00D6403A">
        <w:rPr>
          <w:rFonts w:ascii="Cambria" w:hAnsi="Cambria" w:cs="Cambria"/>
          <w:lang w:val="en-GB"/>
        </w:rPr>
        <w:t> </w:t>
      </w:r>
      <w:r w:rsidRPr="00D6403A">
        <w:rPr>
          <w:lang w:val="en-GB"/>
        </w:rPr>
        <w:t xml:space="preserve">free for all pregnant women in Victoria under the </w:t>
      </w:r>
      <w:hyperlink r:id="rId124" w:history="1">
        <w:r w:rsidRPr="001E41A5">
          <w:rPr>
            <w:rStyle w:val="Hyperlink"/>
            <w:lang w:val="en-GB"/>
          </w:rPr>
          <w:t>National Immunisation Program</w:t>
        </w:r>
      </w:hyperlink>
      <w:r w:rsidRPr="00D6403A">
        <w:rPr>
          <w:lang w:val="en-GB"/>
        </w:rPr>
        <w:t xml:space="preserve"> &lt;https://www.health.gov.au/topics/immunisation&gt;.</w:t>
      </w:r>
    </w:p>
    <w:p w14:paraId="5B788C27" w14:textId="18833888" w:rsidR="001E41A5" w:rsidRPr="00D6403A" w:rsidRDefault="001E41A5" w:rsidP="001E41A5">
      <w:pPr>
        <w:rPr>
          <w:lang w:val="en-GB"/>
        </w:rPr>
      </w:pPr>
      <w:r w:rsidRPr="00D6403A">
        <w:rPr>
          <w:lang w:val="en-GB"/>
        </w:rPr>
        <w:t xml:space="preserve">Getting vaccinated reduces the chance of women or babies suffering any bad effects from these infections. Health services should promote and enable all pregnant women to get vaccinated for whooping cough and flu. This is the best way we currently have to protect mothers and babies from these infections. The rates of vaccination are very </w:t>
      </w:r>
      <w:r w:rsidRPr="00D6403A">
        <w:rPr>
          <w:lang w:val="en-GB"/>
        </w:rPr>
        <w:lastRenderedPageBreak/>
        <w:t>different between hospitals. Vaccination rates for the flu fell in 2021. We hope more hospitals have higher vaccination rates in the future.</w:t>
      </w:r>
    </w:p>
    <w:p w14:paraId="3AA59713" w14:textId="574386B3" w:rsidR="001E41A5" w:rsidRPr="00D6403A" w:rsidRDefault="001E41A5" w:rsidP="00005134">
      <w:pPr>
        <w:rPr>
          <w:color w:val="000000"/>
          <w:lang w:val="en-GB"/>
        </w:rPr>
      </w:pPr>
      <w:r w:rsidRPr="00D6403A">
        <w:rPr>
          <w:lang w:val="en-GB"/>
        </w:rPr>
        <w:t xml:space="preserve">More information can be found on the </w:t>
      </w:r>
      <w:hyperlink r:id="rId125" w:history="1">
        <w:r w:rsidRPr="001E41A5">
          <w:rPr>
            <w:rStyle w:val="Hyperlink"/>
            <w:lang w:val="en-GB"/>
          </w:rPr>
          <w:t xml:space="preserve">Sharing Knowledge About Immunisation website </w:t>
        </w:r>
      </w:hyperlink>
      <w:r>
        <w:rPr>
          <w:lang w:val="en-GB"/>
        </w:rPr>
        <w:t xml:space="preserve"> </w:t>
      </w:r>
      <w:r w:rsidRPr="00D6403A">
        <w:rPr>
          <w:lang w:val="en-GB"/>
        </w:rPr>
        <w:t xml:space="preserve">&lt;https://skai.org.au/pregnancy-and-newborn/resources/factsheets&gt; or the </w:t>
      </w:r>
      <w:hyperlink r:id="rId126" w:history="1">
        <w:r w:rsidRPr="001E41A5">
          <w:rPr>
            <w:rStyle w:val="Hyperlink"/>
            <w:lang w:val="en-GB"/>
          </w:rPr>
          <w:t>Victorian Government Department of Health Immunisation website</w:t>
        </w:r>
      </w:hyperlink>
      <w:r w:rsidRPr="00D6403A">
        <w:rPr>
          <w:lang w:val="en-GB"/>
        </w:rPr>
        <w:t xml:space="preserve"> &lt;https://www.health.vic.gov.au/public-health/immunisation&gt;.</w:t>
      </w:r>
    </w:p>
    <w:p w14:paraId="53B3C616" w14:textId="77777777" w:rsidR="001E41A5" w:rsidRPr="001E41A5" w:rsidRDefault="001E41A5" w:rsidP="001E41A5">
      <w:pPr>
        <w:spacing w:before="0" w:after="0" w:line="240" w:lineRule="auto"/>
        <w:rPr>
          <w:rFonts w:ascii="Times New Roman" w:eastAsia="Times New Roman" w:hAnsi="Times New Roman" w:cs="Times New Roman"/>
          <w:sz w:val="24"/>
          <w:szCs w:val="24"/>
          <w:lang w:eastAsia="en-US"/>
        </w:rPr>
      </w:pPr>
      <w:r w:rsidRPr="001E41A5">
        <w:rPr>
          <w:rFonts w:ascii="Helvetica" w:eastAsia="Times New Roman" w:hAnsi="Helvetica" w:cs="Times New Roman"/>
          <w:color w:val="000000"/>
          <w:sz w:val="18"/>
          <w:szCs w:val="18"/>
          <w:lang w:eastAsia="en-US"/>
        </w:rPr>
        <w:t>End of break out box text.]</w:t>
      </w:r>
    </w:p>
    <w:p w14:paraId="128F26B8" w14:textId="77777777" w:rsidR="00D6403A" w:rsidRPr="00D6403A" w:rsidRDefault="00D6403A" w:rsidP="005939CC">
      <w:pPr>
        <w:pStyle w:val="Heading2"/>
        <w:rPr>
          <w:lang w:val="en-GB"/>
        </w:rPr>
      </w:pPr>
      <w:bookmarkStart w:id="83" w:name="_Toc159326641"/>
      <w:r w:rsidRPr="00D6403A">
        <w:rPr>
          <w:lang w:val="en-GB"/>
        </w:rPr>
        <w:t>Observations on the data</w:t>
      </w:r>
      <w:bookmarkEnd w:id="83"/>
    </w:p>
    <w:p w14:paraId="18CD112D" w14:textId="77777777" w:rsidR="00D6403A" w:rsidRPr="00D6403A" w:rsidRDefault="00D6403A" w:rsidP="00862996">
      <w:pPr>
        <w:rPr>
          <w:lang w:val="en-GB"/>
        </w:rPr>
      </w:pPr>
      <w:r w:rsidRPr="00D6403A">
        <w:rPr>
          <w:lang w:val="en-GB"/>
        </w:rPr>
        <w:t>In 2021, 81.4% of women were vaccinated for pertussis during pregnancy (Indicator 12a). This was a decrease from 2020 where 84.3% of women received vaccination for pertussis. The rate varied between public and private hospitals, with 87.3% and 62.4%, respectively. There was significant variation between individual hospitals, ranging from 5.4 to 100.0% (Figure 68, Figure 69 and Table 22). The wide variation may indicate the data is captured inaccurately in some hospitals, particularly in private hospitals, and doesn’t necessarily indicate that vaccination rates in those hospitals are low. Figure 70 shows trends over time for Indicator 12a.</w:t>
      </w:r>
    </w:p>
    <w:p w14:paraId="0E18A4E5" w14:textId="77777777" w:rsidR="00D6403A" w:rsidRPr="00D6403A" w:rsidRDefault="00D6403A" w:rsidP="00005134">
      <w:pPr>
        <w:rPr>
          <w:lang w:val="en-GB"/>
        </w:rPr>
      </w:pPr>
      <w:r w:rsidRPr="00D6403A">
        <w:rPr>
          <w:lang w:val="en-GB"/>
        </w:rPr>
        <w:t>The rate for influenza was lower in 2021 with only 73.7% of women receiving vaccination for influenza during their pregnancy (Indicator 12b). This was a decline from 2020 where 81.8% of women received vaccination for influenza. The rate was similar between public and private hospitals, at 73.7 and 74.7%, respectively. There was variation between individual hospitals, ranging from 45.6% to 100.0% (Figure 71, Figure 72 and Table 23). It is important to note the context of these rates. The rate of influenza infection was low,</w:t>
      </w:r>
      <w:r w:rsidRPr="00D6403A">
        <w:rPr>
          <w:rFonts w:ascii="VIC" w:hAnsi="VIC" w:cs="VIC"/>
          <w:color w:val="000000"/>
          <w:vertAlign w:val="superscript"/>
          <w:lang w:val="en-GB"/>
        </w:rPr>
        <w:footnoteReference w:id="12"/>
      </w:r>
      <w:r w:rsidRPr="00D6403A">
        <w:rPr>
          <w:lang w:val="en-GB"/>
        </w:rPr>
        <w:t xml:space="preserve"> Victoria was in lockdown for much of 2021, and the public health focus at the time was on COVID-19 vaccination. Figure 73 shows trends over time for Indicator 12b.</w:t>
      </w:r>
    </w:p>
    <w:p w14:paraId="171F88B0" w14:textId="77777777" w:rsidR="00D6403A" w:rsidRPr="00D6403A" w:rsidRDefault="00D6403A" w:rsidP="005939CC">
      <w:pPr>
        <w:pStyle w:val="Heading2"/>
        <w:rPr>
          <w:lang w:val="en-GB"/>
        </w:rPr>
      </w:pPr>
      <w:bookmarkStart w:id="84" w:name="_Toc159326642"/>
      <w:r w:rsidRPr="00D6403A">
        <w:rPr>
          <w:lang w:val="en-GB"/>
        </w:rPr>
        <w:t>Strategies for improvement</w:t>
      </w:r>
      <w:bookmarkEnd w:id="84"/>
    </w:p>
    <w:p w14:paraId="2FCB8E26" w14:textId="77777777" w:rsidR="00D6403A" w:rsidRPr="00D6403A" w:rsidRDefault="00D6403A" w:rsidP="00005134">
      <w:pPr>
        <w:pStyle w:val="Bullet1"/>
        <w:rPr>
          <w:lang w:val="en-GB"/>
        </w:rPr>
      </w:pPr>
      <w:r w:rsidRPr="00D6403A">
        <w:rPr>
          <w:lang w:val="en-GB"/>
        </w:rPr>
        <w:t>Provide women and their families with information about the risks associated with pertussis and influenza during pregnancy and the risks of these infections to their baby after birth.</w:t>
      </w:r>
    </w:p>
    <w:p w14:paraId="2F1902D9" w14:textId="77777777" w:rsidR="00D6403A" w:rsidRPr="00D6403A" w:rsidRDefault="00D6403A" w:rsidP="00005134">
      <w:pPr>
        <w:pStyle w:val="Bullet1"/>
        <w:rPr>
          <w:lang w:val="en-GB"/>
        </w:rPr>
      </w:pPr>
      <w:r w:rsidRPr="00D6403A">
        <w:rPr>
          <w:lang w:val="en-GB"/>
        </w:rPr>
        <w:t>Health services and maternity care providers should promote the importance of pertussis and influenza vaccination during pregnancy and routinely offer all women vaccination at antenatal appointments or refer to them to where they can get vaccinated for free. This can help to minimise potential barriers to accessing immunisations by reducing cost, travel and time.</w:t>
      </w:r>
    </w:p>
    <w:p w14:paraId="6D8F1DC4" w14:textId="77777777" w:rsidR="00D6403A" w:rsidRPr="00D6403A" w:rsidRDefault="00D6403A" w:rsidP="00005134">
      <w:pPr>
        <w:pStyle w:val="Bullet1"/>
        <w:rPr>
          <w:lang w:val="en-GB"/>
        </w:rPr>
      </w:pPr>
      <w:r w:rsidRPr="00D6403A">
        <w:rPr>
          <w:lang w:val="en-GB"/>
        </w:rPr>
        <w:t>All health services should review and monitor their processes for accurate recording of influenza and pertussis vaccinations.</w:t>
      </w:r>
    </w:p>
    <w:p w14:paraId="2675C75D" w14:textId="62CB8E7F" w:rsidR="00D6403A" w:rsidRPr="00D6403A" w:rsidRDefault="00D6403A" w:rsidP="00005134">
      <w:pPr>
        <w:pStyle w:val="Bullet1"/>
        <w:rPr>
          <w:lang w:val="en-GB"/>
        </w:rPr>
      </w:pPr>
      <w:r w:rsidRPr="00D6403A">
        <w:rPr>
          <w:lang w:val="en-GB"/>
        </w:rPr>
        <w:t xml:space="preserve">Health services and maternity care providers should consider referring to the Australian Government Department of Health and Aged Care Immunisations for pregnancy, with translated resources available on </w:t>
      </w:r>
      <w:hyperlink r:id="rId127" w:history="1">
        <w:r w:rsidRPr="001E41A5">
          <w:rPr>
            <w:rStyle w:val="Hyperlink"/>
            <w:lang w:val="en-GB"/>
          </w:rPr>
          <w:t>their website</w:t>
        </w:r>
      </w:hyperlink>
      <w:r w:rsidRPr="00D6403A">
        <w:rPr>
          <w:lang w:val="en-GB"/>
        </w:rPr>
        <w:t xml:space="preserve"> &lt;https://www.health.gov.au/topics/immunisation/when-to-get-vaccinated/immunisation-for-pregnancy&gt;.</w:t>
      </w:r>
    </w:p>
    <w:p w14:paraId="0F6E08A4" w14:textId="7D1C8B00" w:rsidR="00D6403A" w:rsidRPr="00D6403A" w:rsidRDefault="00232C24" w:rsidP="00005134">
      <w:pPr>
        <w:pStyle w:val="Bullet1"/>
        <w:rPr>
          <w:lang w:val="en-GB"/>
        </w:rPr>
      </w:pPr>
      <w:hyperlink r:id="rId128" w:history="1">
        <w:r w:rsidR="00D6403A" w:rsidRPr="001E41A5">
          <w:rPr>
            <w:rStyle w:val="Hyperlink"/>
            <w:lang w:val="en-GB"/>
          </w:rPr>
          <w:t>Sharing Knowledge About Immunisation</w:t>
        </w:r>
      </w:hyperlink>
      <w:r w:rsidR="00D6403A" w:rsidRPr="00D6403A">
        <w:rPr>
          <w:lang w:val="en-GB"/>
        </w:rPr>
        <w:t xml:space="preserve"> &lt;https://skai.org.au/&gt; aims to support conversations that pregnant women and their families have with health professionals about vaccination.</w:t>
      </w:r>
    </w:p>
    <w:p w14:paraId="4FDAAFFE" w14:textId="77777777" w:rsidR="00D6403A" w:rsidRPr="00D6403A" w:rsidRDefault="00D6403A" w:rsidP="00870C38">
      <w:pPr>
        <w:pStyle w:val="Tablechartdiagramheading"/>
      </w:pPr>
      <w:r w:rsidRPr="00D6403A">
        <w:lastRenderedPageBreak/>
        <w:t>Figure 68. Indicator 12a: Rate of women vaccinated for pertussis during pregnancy, 2021</w:t>
      </w:r>
    </w:p>
    <w:p w14:paraId="139E8249" w14:textId="7EC6FD4A" w:rsidR="00D6403A" w:rsidRPr="00D6403A" w:rsidRDefault="001E41A5" w:rsidP="00862996">
      <w:pPr>
        <w:rPr>
          <w:lang w:val="en-GB"/>
        </w:rPr>
      </w:pPr>
      <w:r>
        <w:rPr>
          <w:noProof/>
          <w:lang w:val="en-GB"/>
        </w:rPr>
        <w:drawing>
          <wp:inline distT="0" distB="0" distL="0" distR="0" wp14:anchorId="32F00D20" wp14:editId="32A962C8">
            <wp:extent cx="6476365" cy="7351395"/>
            <wp:effectExtent l="0" t="0" r="635" b="1905"/>
            <wp:docPr id="73" name="Picture 73" descr="Bar chart for Indicator 12a.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ig_68.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476365" cy="7351395"/>
                    </a:xfrm>
                    <a:prstGeom prst="rect">
                      <a:avLst/>
                    </a:prstGeom>
                  </pic:spPr>
                </pic:pic>
              </a:graphicData>
            </a:graphic>
          </wp:inline>
        </w:drawing>
      </w:r>
    </w:p>
    <w:p w14:paraId="42F8EA49" w14:textId="77777777" w:rsidR="00D6403A" w:rsidRPr="00D6403A" w:rsidRDefault="00D6403A" w:rsidP="00870C38">
      <w:pPr>
        <w:pStyle w:val="Tablechartdiagramheading"/>
      </w:pPr>
      <w:r w:rsidRPr="00D6403A">
        <w:lastRenderedPageBreak/>
        <w:t>Figure 69. Funnel plot of the rate of women vaccinated for pertussis during pregnancy, 2021</w:t>
      </w:r>
    </w:p>
    <w:p w14:paraId="6240BC19" w14:textId="178A3212" w:rsidR="00D6403A" w:rsidRPr="00D6403A" w:rsidRDefault="001E41A5" w:rsidP="00862996">
      <w:pPr>
        <w:rPr>
          <w:lang w:val="en-GB"/>
        </w:rPr>
      </w:pPr>
      <w:r>
        <w:rPr>
          <w:noProof/>
          <w:lang w:val="en-GB"/>
        </w:rPr>
        <w:drawing>
          <wp:inline distT="0" distB="0" distL="0" distR="0" wp14:anchorId="2BAF9230" wp14:editId="31700CD7">
            <wp:extent cx="6019800" cy="3416300"/>
            <wp:effectExtent l="0" t="0" r="0" b="0"/>
            <wp:docPr id="74" name="Picture 74"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_69.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6019800" cy="3416300"/>
                    </a:xfrm>
                    <a:prstGeom prst="rect">
                      <a:avLst/>
                    </a:prstGeom>
                  </pic:spPr>
                </pic:pic>
              </a:graphicData>
            </a:graphic>
          </wp:inline>
        </w:drawing>
      </w:r>
      <w:r w:rsidR="00D6403A" w:rsidRPr="00D6403A">
        <w:rPr>
          <w:lang w:val="en-GB"/>
        </w:rPr>
        <w:t xml:space="preserve"> </w:t>
      </w:r>
    </w:p>
    <w:p w14:paraId="5C7EBB29"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1C892AD6" w14:textId="77777777" w:rsidR="00D6403A" w:rsidRPr="00D6403A" w:rsidRDefault="00D6403A" w:rsidP="00887B5A">
      <w:pPr>
        <w:pStyle w:val="Tablechartdiagramheading"/>
        <w:rPr>
          <w:lang w:val="en-GB"/>
        </w:rPr>
      </w:pPr>
      <w:r w:rsidRPr="00D6403A">
        <w:rPr>
          <w:lang w:val="en-GB"/>
        </w:rPr>
        <w:t>Table 22. Rate of women vaccinated for pertussis during pregnancy,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44BC6A6F" w14:textId="77777777" w:rsidTr="001E41A5">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553D1D65" w14:textId="77777777" w:rsidR="00D6403A" w:rsidRPr="001E41A5" w:rsidRDefault="00D6403A" w:rsidP="001E41A5">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249D9ABD" w14:textId="77777777" w:rsidR="00D6403A" w:rsidRPr="001E41A5" w:rsidRDefault="00D6403A" w:rsidP="001E41A5">
            <w:pPr>
              <w:pStyle w:val="Tableheader"/>
              <w:jc w:val="right"/>
              <w:rPr>
                <w:b/>
                <w:lang w:val="en-GB"/>
              </w:rPr>
            </w:pPr>
            <w:r w:rsidRPr="001E41A5">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4D45FF7A" w14:textId="77777777" w:rsidR="00D6403A" w:rsidRPr="001E41A5" w:rsidRDefault="00D6403A" w:rsidP="001E41A5">
            <w:pPr>
              <w:pStyle w:val="Tableheader"/>
              <w:jc w:val="right"/>
              <w:rPr>
                <w:b/>
                <w:lang w:val="en-GB"/>
              </w:rPr>
            </w:pPr>
            <w:r w:rsidRPr="001E41A5">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1166DBB7" w14:textId="77777777" w:rsidR="00D6403A" w:rsidRPr="001E41A5" w:rsidRDefault="00D6403A" w:rsidP="001E41A5">
            <w:pPr>
              <w:pStyle w:val="Tableheader"/>
              <w:jc w:val="right"/>
              <w:rPr>
                <w:b/>
                <w:lang w:val="en-GB"/>
              </w:rPr>
            </w:pPr>
            <w:r w:rsidRPr="001E41A5">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3207C0A4" w14:textId="77777777" w:rsidR="00D6403A" w:rsidRPr="001E41A5" w:rsidRDefault="00D6403A" w:rsidP="001E41A5">
            <w:pPr>
              <w:pStyle w:val="Tableheader"/>
              <w:jc w:val="right"/>
              <w:rPr>
                <w:b/>
                <w:lang w:val="en-GB"/>
              </w:rPr>
            </w:pPr>
            <w:r w:rsidRPr="001E41A5">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6E762027" w14:textId="77777777" w:rsidR="00D6403A" w:rsidRPr="001E41A5" w:rsidRDefault="00D6403A" w:rsidP="001E41A5">
            <w:pPr>
              <w:pStyle w:val="Tableheader"/>
              <w:jc w:val="right"/>
              <w:rPr>
                <w:b/>
                <w:lang w:val="en-GB"/>
              </w:rPr>
            </w:pPr>
            <w:r w:rsidRPr="001E41A5">
              <w:rPr>
                <w:b/>
                <w:lang w:val="en-GB"/>
              </w:rPr>
              <w:t>2021</w:t>
            </w:r>
          </w:p>
        </w:tc>
      </w:tr>
      <w:tr w:rsidR="00D6403A" w:rsidRPr="00D6403A" w14:paraId="0208CADD" w14:textId="77777777" w:rsidTr="001E41A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0B4BFE51" w14:textId="0FB05B99" w:rsidR="00D6403A" w:rsidRPr="001E41A5" w:rsidRDefault="00D6403A" w:rsidP="001E41A5">
            <w:pPr>
              <w:pStyle w:val="Tabletext"/>
              <w:jc w:val="left"/>
              <w:rPr>
                <w:b/>
              </w:rPr>
            </w:pPr>
            <w:r w:rsidRPr="001E41A5">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7D6822AB" w14:textId="77777777" w:rsidR="00D6403A" w:rsidRPr="001E41A5" w:rsidRDefault="00D6403A" w:rsidP="001E41A5">
            <w:pPr>
              <w:pStyle w:val="Tabletext"/>
            </w:pPr>
            <w:r w:rsidRPr="001E41A5">
              <w:t>83.0%</w:t>
            </w:r>
          </w:p>
        </w:tc>
        <w:tc>
          <w:tcPr>
            <w:cnfStyle w:val="000010000000" w:firstRow="0" w:lastRow="0" w:firstColumn="0" w:lastColumn="0" w:oddVBand="1" w:evenVBand="0" w:oddHBand="0" w:evenHBand="0" w:firstRowFirstColumn="0" w:firstRowLastColumn="0" w:lastRowFirstColumn="0" w:lastRowLastColumn="0"/>
            <w:tcW w:w="737" w:type="dxa"/>
          </w:tcPr>
          <w:p w14:paraId="1F06F1A2" w14:textId="77777777" w:rsidR="00D6403A" w:rsidRPr="001E41A5" w:rsidRDefault="00D6403A" w:rsidP="001E41A5">
            <w:pPr>
              <w:pStyle w:val="Tabletext"/>
            </w:pPr>
            <w:r w:rsidRPr="001E41A5">
              <w:t>88.2%</w:t>
            </w:r>
          </w:p>
        </w:tc>
        <w:tc>
          <w:tcPr>
            <w:cnfStyle w:val="000001000000" w:firstRow="0" w:lastRow="0" w:firstColumn="0" w:lastColumn="0" w:oddVBand="0" w:evenVBand="1" w:oddHBand="0" w:evenHBand="0" w:firstRowFirstColumn="0" w:firstRowLastColumn="0" w:lastRowFirstColumn="0" w:lastRowLastColumn="0"/>
            <w:tcW w:w="737" w:type="dxa"/>
          </w:tcPr>
          <w:p w14:paraId="6870A2E6" w14:textId="77777777" w:rsidR="00D6403A" w:rsidRPr="001E41A5" w:rsidRDefault="00D6403A" w:rsidP="001E41A5">
            <w:pPr>
              <w:pStyle w:val="Tabletext"/>
            </w:pPr>
            <w:r w:rsidRPr="001E41A5">
              <w:t>91.5%</w:t>
            </w:r>
          </w:p>
        </w:tc>
        <w:tc>
          <w:tcPr>
            <w:cnfStyle w:val="000010000000" w:firstRow="0" w:lastRow="0" w:firstColumn="0" w:lastColumn="0" w:oddVBand="1" w:evenVBand="0" w:oddHBand="0" w:evenHBand="0" w:firstRowFirstColumn="0" w:firstRowLastColumn="0" w:lastRowFirstColumn="0" w:lastRowLastColumn="0"/>
            <w:tcW w:w="737" w:type="dxa"/>
          </w:tcPr>
          <w:p w14:paraId="44264398" w14:textId="77777777" w:rsidR="00D6403A" w:rsidRPr="001E41A5" w:rsidRDefault="00D6403A" w:rsidP="001E41A5">
            <w:pPr>
              <w:pStyle w:val="Tabletext"/>
            </w:pPr>
            <w:r w:rsidRPr="001E41A5">
              <w:t>91.1%</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0AFC0998" w14:textId="77777777" w:rsidR="00D6403A" w:rsidRPr="001E41A5" w:rsidRDefault="00D6403A" w:rsidP="001E41A5">
            <w:pPr>
              <w:pStyle w:val="Tabletext"/>
            </w:pPr>
            <w:r w:rsidRPr="001E41A5">
              <w:t>87.3%</w:t>
            </w:r>
          </w:p>
        </w:tc>
      </w:tr>
      <w:tr w:rsidR="00D6403A" w:rsidRPr="00D6403A" w14:paraId="24182AB9" w14:textId="77777777" w:rsidTr="001E41A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265B2E11" w14:textId="53058760" w:rsidR="00D6403A" w:rsidRPr="001E41A5" w:rsidRDefault="00D6403A" w:rsidP="001E41A5">
            <w:pPr>
              <w:pStyle w:val="Tabletext"/>
              <w:jc w:val="left"/>
              <w:rPr>
                <w:b/>
              </w:rPr>
            </w:pPr>
            <w:r w:rsidRPr="001E41A5">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13031B59" w14:textId="77777777" w:rsidR="00D6403A" w:rsidRPr="001E41A5" w:rsidRDefault="00D6403A" w:rsidP="001E41A5">
            <w:pPr>
              <w:pStyle w:val="Tabletext"/>
            </w:pPr>
            <w:r w:rsidRPr="001E41A5">
              <w:t>59.9%</w:t>
            </w:r>
          </w:p>
        </w:tc>
        <w:tc>
          <w:tcPr>
            <w:cnfStyle w:val="000010000000" w:firstRow="0" w:lastRow="0" w:firstColumn="0" w:lastColumn="0" w:oddVBand="1" w:evenVBand="0" w:oddHBand="0" w:evenHBand="0" w:firstRowFirstColumn="0" w:firstRowLastColumn="0" w:lastRowFirstColumn="0" w:lastRowLastColumn="0"/>
            <w:tcW w:w="737" w:type="dxa"/>
          </w:tcPr>
          <w:p w14:paraId="793CCF4A" w14:textId="77777777" w:rsidR="00D6403A" w:rsidRPr="001E41A5" w:rsidRDefault="00D6403A" w:rsidP="001E41A5">
            <w:pPr>
              <w:pStyle w:val="Tabletext"/>
            </w:pPr>
            <w:r w:rsidRPr="001E41A5">
              <w:t>60.4%</w:t>
            </w:r>
          </w:p>
        </w:tc>
        <w:tc>
          <w:tcPr>
            <w:cnfStyle w:val="000001000000" w:firstRow="0" w:lastRow="0" w:firstColumn="0" w:lastColumn="0" w:oddVBand="0" w:evenVBand="1" w:oddHBand="0" w:evenHBand="0" w:firstRowFirstColumn="0" w:firstRowLastColumn="0" w:lastRowFirstColumn="0" w:lastRowLastColumn="0"/>
            <w:tcW w:w="737" w:type="dxa"/>
          </w:tcPr>
          <w:p w14:paraId="2CE93F4C" w14:textId="77777777" w:rsidR="00D6403A" w:rsidRPr="001E41A5" w:rsidRDefault="00D6403A" w:rsidP="001E41A5">
            <w:pPr>
              <w:pStyle w:val="Tabletext"/>
            </w:pPr>
            <w:r w:rsidRPr="001E41A5">
              <w:t>57.7%</w:t>
            </w:r>
          </w:p>
        </w:tc>
        <w:tc>
          <w:tcPr>
            <w:cnfStyle w:val="000010000000" w:firstRow="0" w:lastRow="0" w:firstColumn="0" w:lastColumn="0" w:oddVBand="1" w:evenVBand="0" w:oddHBand="0" w:evenHBand="0" w:firstRowFirstColumn="0" w:firstRowLastColumn="0" w:lastRowFirstColumn="0" w:lastRowLastColumn="0"/>
            <w:tcW w:w="737" w:type="dxa"/>
          </w:tcPr>
          <w:p w14:paraId="0B2E125E" w14:textId="77777777" w:rsidR="00D6403A" w:rsidRPr="001E41A5" w:rsidRDefault="00D6403A" w:rsidP="001E41A5">
            <w:pPr>
              <w:pStyle w:val="Tabletext"/>
            </w:pPr>
            <w:r w:rsidRPr="001E41A5">
              <w:t>60.7%</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018345C4" w14:textId="77777777" w:rsidR="00D6403A" w:rsidRPr="001E41A5" w:rsidRDefault="00D6403A" w:rsidP="001E41A5">
            <w:pPr>
              <w:pStyle w:val="Tabletext"/>
            </w:pPr>
            <w:r w:rsidRPr="001E41A5">
              <w:t>62.4%</w:t>
            </w:r>
          </w:p>
        </w:tc>
      </w:tr>
      <w:tr w:rsidR="00D6403A" w:rsidRPr="00D6403A" w14:paraId="32C4B1A8" w14:textId="77777777" w:rsidTr="001E41A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4E2BCFBA" w14:textId="22C44F2C" w:rsidR="00D6403A" w:rsidRPr="001E41A5" w:rsidRDefault="00D6403A" w:rsidP="001E41A5">
            <w:pPr>
              <w:pStyle w:val="Tabletext"/>
              <w:jc w:val="left"/>
              <w:rPr>
                <w:b/>
              </w:rPr>
            </w:pPr>
            <w:r w:rsidRPr="001E41A5">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01CCF3B8" w14:textId="77777777" w:rsidR="00D6403A" w:rsidRPr="001E41A5" w:rsidRDefault="00D6403A" w:rsidP="001E41A5">
            <w:pPr>
              <w:pStyle w:val="Tabletext"/>
            </w:pPr>
            <w:r w:rsidRPr="001E41A5">
              <w:t>77.5%</w:t>
            </w:r>
          </w:p>
        </w:tc>
        <w:tc>
          <w:tcPr>
            <w:cnfStyle w:val="000010000000" w:firstRow="0" w:lastRow="0" w:firstColumn="0" w:lastColumn="0" w:oddVBand="1" w:evenVBand="0" w:oddHBand="0" w:evenHBand="0" w:firstRowFirstColumn="0" w:firstRowLastColumn="0" w:lastRowFirstColumn="0" w:lastRowLastColumn="0"/>
            <w:tcW w:w="737" w:type="dxa"/>
          </w:tcPr>
          <w:p w14:paraId="2EAE8D3F" w14:textId="77777777" w:rsidR="00D6403A" w:rsidRPr="001E41A5" w:rsidRDefault="00D6403A" w:rsidP="001E41A5">
            <w:pPr>
              <w:pStyle w:val="Tabletext"/>
            </w:pPr>
            <w:r w:rsidRPr="001E41A5">
              <w:t>81.8%</w:t>
            </w:r>
          </w:p>
        </w:tc>
        <w:tc>
          <w:tcPr>
            <w:cnfStyle w:val="000001000000" w:firstRow="0" w:lastRow="0" w:firstColumn="0" w:lastColumn="0" w:oddVBand="0" w:evenVBand="1" w:oddHBand="0" w:evenHBand="0" w:firstRowFirstColumn="0" w:firstRowLastColumn="0" w:lastRowFirstColumn="0" w:lastRowLastColumn="0"/>
            <w:tcW w:w="737" w:type="dxa"/>
          </w:tcPr>
          <w:p w14:paraId="796D7497" w14:textId="77777777" w:rsidR="00D6403A" w:rsidRPr="001E41A5" w:rsidRDefault="00D6403A" w:rsidP="001E41A5">
            <w:pPr>
              <w:pStyle w:val="Tabletext"/>
            </w:pPr>
            <w:r w:rsidRPr="001E41A5">
              <w:t>83.8%</w:t>
            </w:r>
          </w:p>
        </w:tc>
        <w:tc>
          <w:tcPr>
            <w:cnfStyle w:val="000010000000" w:firstRow="0" w:lastRow="0" w:firstColumn="0" w:lastColumn="0" w:oddVBand="1" w:evenVBand="0" w:oddHBand="0" w:evenHBand="0" w:firstRowFirstColumn="0" w:firstRowLastColumn="0" w:lastRowFirstColumn="0" w:lastRowLastColumn="0"/>
            <w:tcW w:w="737" w:type="dxa"/>
          </w:tcPr>
          <w:p w14:paraId="771EB95E" w14:textId="77777777" w:rsidR="00D6403A" w:rsidRPr="001E41A5" w:rsidRDefault="00D6403A" w:rsidP="001E41A5">
            <w:pPr>
              <w:pStyle w:val="Tabletext"/>
            </w:pPr>
            <w:r w:rsidRPr="001E41A5">
              <w:t>84.3%</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70BA365E" w14:textId="77777777" w:rsidR="00D6403A" w:rsidRPr="001E41A5" w:rsidRDefault="00D6403A" w:rsidP="001E41A5">
            <w:pPr>
              <w:pStyle w:val="Tabletext"/>
            </w:pPr>
            <w:r w:rsidRPr="001E41A5">
              <w:t>81.4%</w:t>
            </w:r>
          </w:p>
        </w:tc>
      </w:tr>
    </w:tbl>
    <w:p w14:paraId="3AAE9558" w14:textId="77777777" w:rsidR="00D6403A" w:rsidRPr="00D6403A" w:rsidRDefault="00D6403A" w:rsidP="00870C38">
      <w:pPr>
        <w:pStyle w:val="Tablechartdiagramheading"/>
      </w:pPr>
      <w:r w:rsidRPr="00D6403A">
        <w:t>Figure 70. Time trend of Indicator 12a, 2017–2021</w:t>
      </w:r>
    </w:p>
    <w:p w14:paraId="56A433F3" w14:textId="1E8C7E0C" w:rsidR="00D6403A" w:rsidRPr="00D6403A" w:rsidRDefault="001E41A5" w:rsidP="00862996">
      <w:pPr>
        <w:rPr>
          <w:lang w:val="en-GB"/>
        </w:rPr>
      </w:pPr>
      <w:r>
        <w:rPr>
          <w:noProof/>
          <w:lang w:val="en-GB"/>
        </w:rPr>
        <w:drawing>
          <wp:inline distT="0" distB="0" distL="0" distR="0" wp14:anchorId="0ECC6469" wp14:editId="646929A8">
            <wp:extent cx="3149600" cy="1295400"/>
            <wp:effectExtent l="0" t="0" r="0" b="0"/>
            <wp:docPr id="75" name="Picture 75" descr="Line chart of Table 22 indicator 12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_70.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149600" cy="1295400"/>
                    </a:xfrm>
                    <a:prstGeom prst="rect">
                      <a:avLst/>
                    </a:prstGeom>
                  </pic:spPr>
                </pic:pic>
              </a:graphicData>
            </a:graphic>
          </wp:inline>
        </w:drawing>
      </w:r>
    </w:p>
    <w:p w14:paraId="7469C917" w14:textId="77777777" w:rsidR="00D6403A" w:rsidRPr="00D6403A" w:rsidRDefault="00D6403A" w:rsidP="00870C38">
      <w:pPr>
        <w:pStyle w:val="Tablechartdiagramheading"/>
      </w:pPr>
      <w:r w:rsidRPr="00D6403A">
        <w:lastRenderedPageBreak/>
        <w:t>Figure 71. Indicator 12b: Rate of women vaccinated for influenza during pregnancy, 2021</w:t>
      </w:r>
    </w:p>
    <w:p w14:paraId="19547311" w14:textId="2B49AAF6" w:rsidR="00D6403A" w:rsidRPr="00D6403A" w:rsidRDefault="001E41A5" w:rsidP="00862996">
      <w:pPr>
        <w:rPr>
          <w:lang w:val="en-GB"/>
        </w:rPr>
      </w:pPr>
      <w:r>
        <w:rPr>
          <w:noProof/>
          <w:lang w:val="en-GB"/>
        </w:rPr>
        <w:drawing>
          <wp:inline distT="0" distB="0" distL="0" distR="0" wp14:anchorId="443065F3" wp14:editId="728E9EA6">
            <wp:extent cx="6247673" cy="7282927"/>
            <wp:effectExtent l="0" t="0" r="1270" b="0"/>
            <wp:docPr id="76" name="Picture 76" descr="Bar chart for Indicator 12b.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_71.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6254795" cy="7291229"/>
                    </a:xfrm>
                    <a:prstGeom prst="rect">
                      <a:avLst/>
                    </a:prstGeom>
                  </pic:spPr>
                </pic:pic>
              </a:graphicData>
            </a:graphic>
          </wp:inline>
        </w:drawing>
      </w:r>
    </w:p>
    <w:p w14:paraId="57CF0274" w14:textId="77777777" w:rsidR="00D6403A" w:rsidRPr="00D6403A" w:rsidRDefault="00D6403A" w:rsidP="00870C38">
      <w:pPr>
        <w:pStyle w:val="Tablechartdiagramheading"/>
      </w:pPr>
      <w:r w:rsidRPr="00D6403A">
        <w:lastRenderedPageBreak/>
        <w:t>Figure 72. Funnel plot of the rate of women vaccinated for influenza during pregnancy, 2021</w:t>
      </w:r>
    </w:p>
    <w:p w14:paraId="3B9E0D95" w14:textId="5BB23962" w:rsidR="00D6403A" w:rsidRPr="00D6403A" w:rsidRDefault="001E41A5" w:rsidP="00862996">
      <w:pPr>
        <w:rPr>
          <w:lang w:val="en-GB"/>
        </w:rPr>
      </w:pPr>
      <w:r>
        <w:rPr>
          <w:noProof/>
          <w:lang w:val="en-GB"/>
        </w:rPr>
        <w:drawing>
          <wp:inline distT="0" distB="0" distL="0" distR="0" wp14:anchorId="5F503E24" wp14:editId="47B1296A">
            <wp:extent cx="6019800" cy="3416300"/>
            <wp:effectExtent l="0" t="0" r="0" b="0"/>
            <wp:docPr id="77" name="Picture 77"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_72.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6019800" cy="3416300"/>
                    </a:xfrm>
                    <a:prstGeom prst="rect">
                      <a:avLst/>
                    </a:prstGeom>
                  </pic:spPr>
                </pic:pic>
              </a:graphicData>
            </a:graphic>
          </wp:inline>
        </w:drawing>
      </w:r>
    </w:p>
    <w:p w14:paraId="7AEAED95"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615E4981" w14:textId="77777777" w:rsidR="00D6403A" w:rsidRPr="00D6403A" w:rsidRDefault="00D6403A" w:rsidP="00887B5A">
      <w:pPr>
        <w:pStyle w:val="Tablechartdiagramheading"/>
        <w:rPr>
          <w:lang w:val="en-GB"/>
        </w:rPr>
      </w:pPr>
      <w:r w:rsidRPr="00D6403A">
        <w:rPr>
          <w:lang w:val="en-GB"/>
        </w:rPr>
        <w:t>Table 23. Rate of women vaccinated for influenza during pregnancy, 2017–2021</w:t>
      </w:r>
    </w:p>
    <w:tbl>
      <w:tblPr>
        <w:tblStyle w:val="TableGrid"/>
        <w:tblW w:w="0" w:type="auto"/>
        <w:tblLayout w:type="fixed"/>
        <w:tblLook w:val="0020" w:firstRow="1" w:lastRow="0" w:firstColumn="0" w:lastColumn="0" w:noHBand="0" w:noVBand="0"/>
      </w:tblPr>
      <w:tblGrid>
        <w:gridCol w:w="1276"/>
        <w:gridCol w:w="737"/>
        <w:gridCol w:w="737"/>
        <w:gridCol w:w="737"/>
        <w:gridCol w:w="737"/>
        <w:gridCol w:w="737"/>
      </w:tblGrid>
      <w:tr w:rsidR="00D6403A" w:rsidRPr="00D6403A" w14:paraId="320BC0BA" w14:textId="77777777" w:rsidTr="001E41A5">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276" w:type="dxa"/>
          </w:tcPr>
          <w:p w14:paraId="7936D15F" w14:textId="77777777" w:rsidR="00D6403A" w:rsidRPr="001E41A5" w:rsidRDefault="00D6403A" w:rsidP="001E41A5">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470B1ED9" w14:textId="77777777" w:rsidR="00D6403A" w:rsidRPr="001E41A5" w:rsidRDefault="00D6403A" w:rsidP="001E41A5">
            <w:pPr>
              <w:pStyle w:val="Tableheader"/>
              <w:jc w:val="right"/>
              <w:rPr>
                <w:b/>
                <w:lang w:val="en-GB"/>
              </w:rPr>
            </w:pPr>
            <w:r w:rsidRPr="001E41A5">
              <w:rPr>
                <w:b/>
                <w:lang w:val="en-GB"/>
              </w:rPr>
              <w:t>2017</w:t>
            </w:r>
          </w:p>
        </w:tc>
        <w:tc>
          <w:tcPr>
            <w:cnfStyle w:val="000010000000" w:firstRow="0" w:lastRow="0" w:firstColumn="0" w:lastColumn="0" w:oddVBand="1" w:evenVBand="0" w:oddHBand="0" w:evenHBand="0" w:firstRowFirstColumn="0" w:firstRowLastColumn="0" w:lastRowFirstColumn="0" w:lastRowLastColumn="0"/>
            <w:tcW w:w="737" w:type="dxa"/>
          </w:tcPr>
          <w:p w14:paraId="10AB560F" w14:textId="77777777" w:rsidR="00D6403A" w:rsidRPr="001E41A5" w:rsidRDefault="00D6403A" w:rsidP="001E41A5">
            <w:pPr>
              <w:pStyle w:val="Tableheader"/>
              <w:jc w:val="right"/>
              <w:rPr>
                <w:b/>
                <w:lang w:val="en-GB"/>
              </w:rPr>
            </w:pPr>
            <w:r w:rsidRPr="001E41A5">
              <w:rPr>
                <w:b/>
                <w:lang w:val="en-GB"/>
              </w:rPr>
              <w:t>2018</w:t>
            </w:r>
          </w:p>
        </w:tc>
        <w:tc>
          <w:tcPr>
            <w:cnfStyle w:val="000001000000" w:firstRow="0" w:lastRow="0" w:firstColumn="0" w:lastColumn="0" w:oddVBand="0" w:evenVBand="1" w:oddHBand="0" w:evenHBand="0" w:firstRowFirstColumn="0" w:firstRowLastColumn="0" w:lastRowFirstColumn="0" w:lastRowLastColumn="0"/>
            <w:tcW w:w="737" w:type="dxa"/>
          </w:tcPr>
          <w:p w14:paraId="18112E28" w14:textId="77777777" w:rsidR="00D6403A" w:rsidRPr="001E41A5" w:rsidRDefault="00D6403A" w:rsidP="001E41A5">
            <w:pPr>
              <w:pStyle w:val="Tableheader"/>
              <w:jc w:val="right"/>
              <w:rPr>
                <w:b/>
                <w:lang w:val="en-GB"/>
              </w:rPr>
            </w:pPr>
            <w:r w:rsidRPr="001E41A5">
              <w:rPr>
                <w:b/>
                <w:lang w:val="en-GB"/>
              </w:rPr>
              <w:t>2019</w:t>
            </w:r>
          </w:p>
        </w:tc>
        <w:tc>
          <w:tcPr>
            <w:cnfStyle w:val="000010000000" w:firstRow="0" w:lastRow="0" w:firstColumn="0" w:lastColumn="0" w:oddVBand="1" w:evenVBand="0" w:oddHBand="0" w:evenHBand="0" w:firstRowFirstColumn="0" w:firstRowLastColumn="0" w:lastRowFirstColumn="0" w:lastRowLastColumn="0"/>
            <w:tcW w:w="737" w:type="dxa"/>
          </w:tcPr>
          <w:p w14:paraId="66246A8D" w14:textId="77777777" w:rsidR="00D6403A" w:rsidRPr="001E41A5" w:rsidRDefault="00D6403A" w:rsidP="001E41A5">
            <w:pPr>
              <w:pStyle w:val="Tableheader"/>
              <w:jc w:val="right"/>
              <w:rPr>
                <w:b/>
                <w:lang w:val="en-GB"/>
              </w:rPr>
            </w:pPr>
            <w:r w:rsidRPr="001E41A5">
              <w:rPr>
                <w:b/>
                <w:lang w:val="en-GB"/>
              </w:rPr>
              <w:t>2020</w:t>
            </w:r>
          </w:p>
        </w:tc>
        <w:tc>
          <w:tcPr>
            <w:cnfStyle w:val="000001000000" w:firstRow="0" w:lastRow="0" w:firstColumn="0" w:lastColumn="0" w:oddVBand="0" w:evenVBand="1" w:oddHBand="0" w:evenHBand="0" w:firstRowFirstColumn="0" w:firstRowLastColumn="0" w:lastRowFirstColumn="0" w:lastRowLastColumn="0"/>
            <w:tcW w:w="737" w:type="dxa"/>
          </w:tcPr>
          <w:p w14:paraId="1E18A201" w14:textId="77777777" w:rsidR="00D6403A" w:rsidRPr="001E41A5" w:rsidRDefault="00D6403A" w:rsidP="001E41A5">
            <w:pPr>
              <w:pStyle w:val="Tableheader"/>
              <w:jc w:val="right"/>
              <w:rPr>
                <w:b/>
                <w:lang w:val="en-GB"/>
              </w:rPr>
            </w:pPr>
            <w:r w:rsidRPr="001E41A5">
              <w:rPr>
                <w:b/>
                <w:lang w:val="en-GB"/>
              </w:rPr>
              <w:t>2021</w:t>
            </w:r>
          </w:p>
        </w:tc>
      </w:tr>
      <w:tr w:rsidR="00D6403A" w:rsidRPr="00D6403A" w14:paraId="48B3DFB5" w14:textId="77777777" w:rsidTr="001E41A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07ED7A89" w14:textId="7D3B954D" w:rsidR="00D6403A" w:rsidRPr="001E41A5" w:rsidRDefault="00D6403A" w:rsidP="001E41A5">
            <w:pPr>
              <w:pStyle w:val="Tabletext"/>
              <w:jc w:val="left"/>
              <w:rPr>
                <w:b/>
              </w:rPr>
            </w:pPr>
            <w:r w:rsidRPr="001E41A5">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3C82A0E1" w14:textId="77777777" w:rsidR="00D6403A" w:rsidRPr="001E41A5" w:rsidRDefault="00D6403A" w:rsidP="001E41A5">
            <w:pPr>
              <w:pStyle w:val="Tabletext"/>
            </w:pPr>
            <w:r w:rsidRPr="001E41A5">
              <w:t>53.9%</w:t>
            </w:r>
          </w:p>
        </w:tc>
        <w:tc>
          <w:tcPr>
            <w:cnfStyle w:val="000010000000" w:firstRow="0" w:lastRow="0" w:firstColumn="0" w:lastColumn="0" w:oddVBand="1" w:evenVBand="0" w:oddHBand="0" w:evenHBand="0" w:firstRowFirstColumn="0" w:firstRowLastColumn="0" w:lastRowFirstColumn="0" w:lastRowLastColumn="0"/>
            <w:tcW w:w="737" w:type="dxa"/>
          </w:tcPr>
          <w:p w14:paraId="7A6299AC" w14:textId="77777777" w:rsidR="00D6403A" w:rsidRPr="001E41A5" w:rsidRDefault="00D6403A" w:rsidP="001E41A5">
            <w:pPr>
              <w:pStyle w:val="Tabletext"/>
            </w:pPr>
            <w:r w:rsidRPr="001E41A5">
              <w:t>67.8%</w:t>
            </w:r>
          </w:p>
        </w:tc>
        <w:tc>
          <w:tcPr>
            <w:cnfStyle w:val="000001000000" w:firstRow="0" w:lastRow="0" w:firstColumn="0" w:lastColumn="0" w:oddVBand="0" w:evenVBand="1" w:oddHBand="0" w:evenHBand="0" w:firstRowFirstColumn="0" w:firstRowLastColumn="0" w:lastRowFirstColumn="0" w:lastRowLastColumn="0"/>
            <w:tcW w:w="737" w:type="dxa"/>
          </w:tcPr>
          <w:p w14:paraId="33AE55B2" w14:textId="77777777" w:rsidR="00D6403A" w:rsidRPr="001E41A5" w:rsidRDefault="00D6403A" w:rsidP="001E41A5">
            <w:pPr>
              <w:pStyle w:val="Tabletext"/>
            </w:pPr>
            <w:r w:rsidRPr="001E41A5">
              <w:t>75.8%</w:t>
            </w:r>
          </w:p>
        </w:tc>
        <w:tc>
          <w:tcPr>
            <w:cnfStyle w:val="000010000000" w:firstRow="0" w:lastRow="0" w:firstColumn="0" w:lastColumn="0" w:oddVBand="1" w:evenVBand="0" w:oddHBand="0" w:evenHBand="0" w:firstRowFirstColumn="0" w:firstRowLastColumn="0" w:lastRowFirstColumn="0" w:lastRowLastColumn="0"/>
            <w:tcW w:w="737" w:type="dxa"/>
          </w:tcPr>
          <w:p w14:paraId="421A4B08" w14:textId="77777777" w:rsidR="00D6403A" w:rsidRPr="001E41A5" w:rsidRDefault="00D6403A" w:rsidP="001E41A5">
            <w:pPr>
              <w:pStyle w:val="Tabletext"/>
            </w:pPr>
            <w:r w:rsidRPr="001E41A5">
              <w:t>82.3%</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05BD42AF" w14:textId="77777777" w:rsidR="00D6403A" w:rsidRPr="001E41A5" w:rsidRDefault="00D6403A" w:rsidP="001E41A5">
            <w:pPr>
              <w:pStyle w:val="Tabletext"/>
            </w:pPr>
            <w:r w:rsidRPr="001E41A5">
              <w:t>73.7%</w:t>
            </w:r>
          </w:p>
        </w:tc>
      </w:tr>
      <w:tr w:rsidR="00D6403A" w:rsidRPr="00D6403A" w14:paraId="347EF202" w14:textId="77777777" w:rsidTr="001E41A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3799FC12" w14:textId="03C4E0B8" w:rsidR="00D6403A" w:rsidRPr="001E41A5" w:rsidRDefault="00D6403A" w:rsidP="001E41A5">
            <w:pPr>
              <w:pStyle w:val="Tabletext"/>
              <w:jc w:val="left"/>
              <w:rPr>
                <w:b/>
              </w:rPr>
            </w:pPr>
            <w:r w:rsidRPr="001E41A5">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296805CC" w14:textId="77777777" w:rsidR="00D6403A" w:rsidRPr="001E41A5" w:rsidRDefault="00D6403A" w:rsidP="001E41A5">
            <w:pPr>
              <w:pStyle w:val="Tabletext"/>
            </w:pPr>
            <w:r w:rsidRPr="001E41A5">
              <w:t>53.4%</w:t>
            </w:r>
          </w:p>
        </w:tc>
        <w:tc>
          <w:tcPr>
            <w:cnfStyle w:val="000010000000" w:firstRow="0" w:lastRow="0" w:firstColumn="0" w:lastColumn="0" w:oddVBand="1" w:evenVBand="0" w:oddHBand="0" w:evenHBand="0" w:firstRowFirstColumn="0" w:firstRowLastColumn="0" w:lastRowFirstColumn="0" w:lastRowLastColumn="0"/>
            <w:tcW w:w="737" w:type="dxa"/>
          </w:tcPr>
          <w:p w14:paraId="16B332FC" w14:textId="77777777" w:rsidR="00D6403A" w:rsidRPr="001E41A5" w:rsidRDefault="00D6403A" w:rsidP="001E41A5">
            <w:pPr>
              <w:pStyle w:val="Tabletext"/>
            </w:pPr>
            <w:r w:rsidRPr="001E41A5">
              <w:t>65.0%</w:t>
            </w:r>
          </w:p>
        </w:tc>
        <w:tc>
          <w:tcPr>
            <w:cnfStyle w:val="000001000000" w:firstRow="0" w:lastRow="0" w:firstColumn="0" w:lastColumn="0" w:oddVBand="0" w:evenVBand="1" w:oddHBand="0" w:evenHBand="0" w:firstRowFirstColumn="0" w:firstRowLastColumn="0" w:lastRowFirstColumn="0" w:lastRowLastColumn="0"/>
            <w:tcW w:w="737" w:type="dxa"/>
          </w:tcPr>
          <w:p w14:paraId="73B7B926" w14:textId="77777777" w:rsidR="00D6403A" w:rsidRPr="001E41A5" w:rsidRDefault="00D6403A" w:rsidP="001E41A5">
            <w:pPr>
              <w:pStyle w:val="Tabletext"/>
            </w:pPr>
            <w:r w:rsidRPr="001E41A5">
              <w:t>70.9%</w:t>
            </w:r>
          </w:p>
        </w:tc>
        <w:tc>
          <w:tcPr>
            <w:cnfStyle w:val="000010000000" w:firstRow="0" w:lastRow="0" w:firstColumn="0" w:lastColumn="0" w:oddVBand="1" w:evenVBand="0" w:oddHBand="0" w:evenHBand="0" w:firstRowFirstColumn="0" w:firstRowLastColumn="0" w:lastRowFirstColumn="0" w:lastRowLastColumn="0"/>
            <w:tcW w:w="737" w:type="dxa"/>
          </w:tcPr>
          <w:p w14:paraId="6A46CB35" w14:textId="77777777" w:rsidR="00D6403A" w:rsidRPr="001E41A5" w:rsidRDefault="00D6403A" w:rsidP="001E41A5">
            <w:pPr>
              <w:pStyle w:val="Tabletext"/>
            </w:pPr>
            <w:r w:rsidRPr="001E41A5">
              <w:t>80.7%</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38EE9961" w14:textId="77777777" w:rsidR="00D6403A" w:rsidRPr="001E41A5" w:rsidRDefault="00D6403A" w:rsidP="001E41A5">
            <w:pPr>
              <w:pStyle w:val="Tabletext"/>
            </w:pPr>
            <w:r w:rsidRPr="001E41A5">
              <w:t>74.7%</w:t>
            </w:r>
          </w:p>
        </w:tc>
      </w:tr>
      <w:tr w:rsidR="00D6403A" w:rsidRPr="00D6403A" w14:paraId="317FD035" w14:textId="77777777" w:rsidTr="001E41A5">
        <w:trPr>
          <w:trHeight w:val="60"/>
        </w:trPr>
        <w:tc>
          <w:tcPr>
            <w:cnfStyle w:val="000010000000" w:firstRow="0" w:lastRow="0" w:firstColumn="0" w:lastColumn="0" w:oddVBand="1" w:evenVBand="0" w:oddHBand="0" w:evenHBand="0" w:firstRowFirstColumn="0" w:firstRowLastColumn="0" w:lastRowFirstColumn="0" w:lastRowLastColumn="0"/>
            <w:tcW w:w="1276" w:type="dxa"/>
          </w:tcPr>
          <w:p w14:paraId="0517136B" w14:textId="7C3369BE" w:rsidR="00D6403A" w:rsidRPr="001E41A5" w:rsidRDefault="00D6403A" w:rsidP="001E41A5">
            <w:pPr>
              <w:pStyle w:val="Tabletext"/>
              <w:jc w:val="left"/>
              <w:rPr>
                <w:b/>
              </w:rPr>
            </w:pPr>
            <w:r w:rsidRPr="001E41A5">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6150976E" w14:textId="77777777" w:rsidR="00D6403A" w:rsidRPr="001E41A5" w:rsidRDefault="00D6403A" w:rsidP="001E41A5">
            <w:pPr>
              <w:pStyle w:val="Tabletext"/>
            </w:pPr>
            <w:r w:rsidRPr="001E41A5">
              <w:t>53.7%</w:t>
            </w:r>
          </w:p>
        </w:tc>
        <w:tc>
          <w:tcPr>
            <w:cnfStyle w:val="000010000000" w:firstRow="0" w:lastRow="0" w:firstColumn="0" w:lastColumn="0" w:oddVBand="1" w:evenVBand="0" w:oddHBand="0" w:evenHBand="0" w:firstRowFirstColumn="0" w:firstRowLastColumn="0" w:lastRowFirstColumn="0" w:lastRowLastColumn="0"/>
            <w:tcW w:w="737" w:type="dxa"/>
          </w:tcPr>
          <w:p w14:paraId="6BCE5390" w14:textId="77777777" w:rsidR="00D6403A" w:rsidRPr="001E41A5" w:rsidRDefault="00D6403A" w:rsidP="001E41A5">
            <w:pPr>
              <w:pStyle w:val="Tabletext"/>
            </w:pPr>
            <w:r w:rsidRPr="001E41A5">
              <w:t>67.1%</w:t>
            </w:r>
          </w:p>
        </w:tc>
        <w:tc>
          <w:tcPr>
            <w:cnfStyle w:val="000001000000" w:firstRow="0" w:lastRow="0" w:firstColumn="0" w:lastColumn="0" w:oddVBand="0" w:evenVBand="1" w:oddHBand="0" w:evenHBand="0" w:firstRowFirstColumn="0" w:firstRowLastColumn="0" w:lastRowFirstColumn="0" w:lastRowLastColumn="0"/>
            <w:tcW w:w="737" w:type="dxa"/>
          </w:tcPr>
          <w:p w14:paraId="6568BE23" w14:textId="77777777" w:rsidR="00D6403A" w:rsidRPr="001E41A5" w:rsidRDefault="00D6403A" w:rsidP="001E41A5">
            <w:pPr>
              <w:pStyle w:val="Tabletext"/>
            </w:pPr>
            <w:r w:rsidRPr="001E41A5">
              <w:t>74.6%</w:t>
            </w:r>
          </w:p>
        </w:tc>
        <w:tc>
          <w:tcPr>
            <w:cnfStyle w:val="000010000000" w:firstRow="0" w:lastRow="0" w:firstColumn="0" w:lastColumn="0" w:oddVBand="1" w:evenVBand="0" w:oddHBand="0" w:evenHBand="0" w:firstRowFirstColumn="0" w:firstRowLastColumn="0" w:lastRowFirstColumn="0" w:lastRowLastColumn="0"/>
            <w:tcW w:w="737" w:type="dxa"/>
          </w:tcPr>
          <w:p w14:paraId="7E53243F" w14:textId="77777777" w:rsidR="00D6403A" w:rsidRPr="001E41A5" w:rsidRDefault="00D6403A" w:rsidP="001E41A5">
            <w:pPr>
              <w:pStyle w:val="Tabletext"/>
            </w:pPr>
            <w:r w:rsidRPr="001E41A5">
              <w:t>81.8%</w:t>
            </w:r>
          </w:p>
        </w:tc>
        <w:tc>
          <w:tcPr>
            <w:cnfStyle w:val="000001000000" w:firstRow="0" w:lastRow="0" w:firstColumn="0" w:lastColumn="0" w:oddVBand="0" w:evenVBand="1" w:oddHBand="0" w:evenHBand="0" w:firstRowFirstColumn="0" w:firstRowLastColumn="0" w:lastRowFirstColumn="0" w:lastRowLastColumn="0"/>
            <w:tcW w:w="737" w:type="dxa"/>
            <w:shd w:val="clear" w:color="auto" w:fill="F2F2F2" w:themeFill="background1" w:themeFillShade="F2"/>
          </w:tcPr>
          <w:p w14:paraId="56A2756E" w14:textId="77777777" w:rsidR="00D6403A" w:rsidRPr="001E41A5" w:rsidRDefault="00D6403A" w:rsidP="001E41A5">
            <w:pPr>
              <w:pStyle w:val="Tabletext"/>
            </w:pPr>
            <w:r w:rsidRPr="001E41A5">
              <w:t>73.7%</w:t>
            </w:r>
          </w:p>
        </w:tc>
      </w:tr>
    </w:tbl>
    <w:p w14:paraId="70882673" w14:textId="77777777" w:rsidR="00D6403A" w:rsidRPr="00D6403A" w:rsidRDefault="00D6403A" w:rsidP="00870C38">
      <w:pPr>
        <w:pStyle w:val="Tablechartdiagramheading"/>
      </w:pPr>
      <w:r w:rsidRPr="00D6403A">
        <w:t>Figure 73. Time trend of Indicator 12b, 2017–2021</w:t>
      </w:r>
    </w:p>
    <w:p w14:paraId="323803C3" w14:textId="37A7F581" w:rsidR="00D6403A" w:rsidRPr="00D6403A" w:rsidRDefault="001E41A5" w:rsidP="00862996">
      <w:pPr>
        <w:rPr>
          <w:lang w:val="en-GB"/>
        </w:rPr>
      </w:pPr>
      <w:r>
        <w:rPr>
          <w:noProof/>
          <w:lang w:val="en-GB"/>
        </w:rPr>
        <w:drawing>
          <wp:inline distT="0" distB="0" distL="0" distR="0" wp14:anchorId="41823193" wp14:editId="321AC2D5">
            <wp:extent cx="3149600" cy="1295400"/>
            <wp:effectExtent l="0" t="0" r="0" b="0"/>
            <wp:docPr id="78" name="Picture 78" descr="Line chart of Table 23 indicator 12b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ig_73.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149600" cy="1295400"/>
                    </a:xfrm>
                    <a:prstGeom prst="rect">
                      <a:avLst/>
                    </a:prstGeom>
                  </pic:spPr>
                </pic:pic>
              </a:graphicData>
            </a:graphic>
          </wp:inline>
        </w:drawing>
      </w:r>
    </w:p>
    <w:p w14:paraId="3BA35D06" w14:textId="77777777" w:rsidR="00D6403A" w:rsidRPr="00D6403A" w:rsidRDefault="00D6403A" w:rsidP="005939CC">
      <w:pPr>
        <w:pStyle w:val="Heading2"/>
        <w:rPr>
          <w:lang w:val="en-GB"/>
        </w:rPr>
      </w:pPr>
      <w:bookmarkStart w:id="85" w:name="_Toc159326643"/>
      <w:r w:rsidRPr="00D6403A">
        <w:rPr>
          <w:lang w:val="en-GB"/>
        </w:rPr>
        <w:lastRenderedPageBreak/>
        <w:t>Definition and data source</w:t>
      </w:r>
      <w:bookmarkEnd w:id="85"/>
    </w:p>
    <w:p w14:paraId="053484AD" w14:textId="77777777" w:rsidR="00D6403A" w:rsidRPr="00D6403A" w:rsidRDefault="00D6403A" w:rsidP="008340E5">
      <w:pPr>
        <w:pStyle w:val="Heading3"/>
        <w:rPr>
          <w:lang w:val="en-GB"/>
        </w:rPr>
      </w:pPr>
      <w:r w:rsidRPr="00D6403A">
        <w:rPr>
          <w:lang w:val="en-GB"/>
        </w:rPr>
        <w:t>Definition</w:t>
      </w:r>
    </w:p>
    <w:p w14:paraId="4AD29DFD" w14:textId="77777777" w:rsidR="00D6403A" w:rsidRPr="00D6403A" w:rsidRDefault="00D6403A" w:rsidP="00005134">
      <w:pPr>
        <w:rPr>
          <w:lang w:val="en-GB"/>
        </w:rPr>
      </w:pPr>
      <w:r w:rsidRPr="00D6403A">
        <w:rPr>
          <w:lang w:val="en-GB"/>
        </w:rPr>
        <w:t>The proportion of women who were vaccinated for influenza and pertussis at any time during their</w:t>
      </w:r>
      <w:r w:rsidRPr="00D6403A">
        <w:rPr>
          <w:rFonts w:ascii="Cambria" w:hAnsi="Cambria" w:cs="Cambria"/>
          <w:color w:val="000000"/>
          <w:lang w:val="en-GB"/>
        </w:rPr>
        <w:t> </w:t>
      </w:r>
      <w:r w:rsidRPr="00D6403A">
        <w:rPr>
          <w:lang w:val="en-GB"/>
        </w:rPr>
        <w:t>pregnancy.</w:t>
      </w:r>
    </w:p>
    <w:p w14:paraId="0D03D525" w14:textId="77777777" w:rsidR="00D6403A" w:rsidRPr="00D6403A" w:rsidRDefault="00D6403A" w:rsidP="008340E5">
      <w:pPr>
        <w:pStyle w:val="Heading3"/>
        <w:rPr>
          <w:lang w:val="en-GB"/>
        </w:rPr>
      </w:pPr>
      <w:r w:rsidRPr="00D6403A">
        <w:rPr>
          <w:lang w:val="en-GB"/>
        </w:rPr>
        <w:t>Data source: Victorian Perinatal Data Collection</w:t>
      </w:r>
    </w:p>
    <w:p w14:paraId="6714A4EF" w14:textId="77777777" w:rsidR="00D6403A" w:rsidRPr="00D6403A" w:rsidRDefault="00D6403A" w:rsidP="00005134">
      <w:pPr>
        <w:rPr>
          <w:lang w:val="en-GB"/>
        </w:rPr>
      </w:pPr>
      <w:r w:rsidRPr="00D6403A">
        <w:rPr>
          <w:lang w:val="en-GB"/>
        </w:rPr>
        <w:t>Data for this indicator is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1E086361" w14:textId="77777777" w:rsidR="00D6403A" w:rsidRPr="00D6403A" w:rsidRDefault="00D6403A" w:rsidP="00862996">
      <w:pPr>
        <w:rPr>
          <w:lang w:val="en-GB"/>
        </w:rPr>
      </w:pPr>
      <w:r w:rsidRPr="00D6403A">
        <w:rPr>
          <w:lang w:val="en-GB"/>
        </w:rPr>
        <w:t>This indicator is derived using the following VPDC variables: ‘Estimated gestational age’, ‘Birthweight’, ‘Influenza vaccination status’, ‘Pertussis (whooping cough) vaccination status’ and ‘Birth order’.</w:t>
      </w:r>
    </w:p>
    <w:p w14:paraId="42D9520F"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0E4AE08C" w14:textId="77777777" w:rsidTr="00E25A1A">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262DF0C7" w14:textId="77777777" w:rsidR="00D6403A" w:rsidRPr="00D6403A" w:rsidRDefault="00D6403A" w:rsidP="00E25A1A">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4B7AC847" w14:textId="77777777" w:rsidR="00D6403A" w:rsidRPr="00D6403A" w:rsidRDefault="00D6403A" w:rsidP="00E25A1A">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4062184C" w14:textId="77777777" w:rsidR="00D6403A" w:rsidRPr="00D6403A" w:rsidRDefault="00D6403A" w:rsidP="00E25A1A">
            <w:pPr>
              <w:pStyle w:val="Tableheader"/>
              <w:rPr>
                <w:b/>
                <w:lang w:val="en-GB"/>
              </w:rPr>
            </w:pPr>
            <w:r w:rsidRPr="00D6403A">
              <w:rPr>
                <w:b/>
                <w:lang w:val="en-GB"/>
              </w:rPr>
              <w:t>Denominator</w:t>
            </w:r>
          </w:p>
        </w:tc>
      </w:tr>
      <w:tr w:rsidR="00D6403A" w:rsidRPr="00D6403A" w14:paraId="6ADD3EA2" w14:textId="77777777" w:rsidTr="00E25A1A">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69951287" w14:textId="77777777" w:rsidR="00D6403A" w:rsidRPr="00E25A1A" w:rsidRDefault="00D6403A" w:rsidP="00E25A1A">
            <w:pPr>
              <w:pStyle w:val="Tabletext"/>
              <w:jc w:val="left"/>
              <w:rPr>
                <w:b/>
              </w:rPr>
            </w:pPr>
            <w:r w:rsidRPr="00E25A1A">
              <w:rPr>
                <w:b/>
              </w:rPr>
              <w:t>Indicator 12a: The rate of women vaccinated for pertussis during pregnancy</w:t>
            </w:r>
          </w:p>
        </w:tc>
        <w:tc>
          <w:tcPr>
            <w:cnfStyle w:val="000001000000" w:firstRow="0" w:lastRow="0" w:firstColumn="0" w:lastColumn="0" w:oddVBand="0" w:evenVBand="1" w:oddHBand="0" w:evenHBand="0" w:firstRowFirstColumn="0" w:firstRowLastColumn="0" w:lastRowFirstColumn="0" w:lastRowLastColumn="0"/>
            <w:tcW w:w="3401" w:type="dxa"/>
          </w:tcPr>
          <w:p w14:paraId="16F4C3AD" w14:textId="77777777" w:rsidR="00D6403A" w:rsidRPr="00E25A1A" w:rsidRDefault="00D6403A" w:rsidP="00E25A1A">
            <w:pPr>
              <w:pStyle w:val="Tabletext"/>
              <w:jc w:val="left"/>
            </w:pPr>
            <w:r w:rsidRPr="00E25A1A">
              <w:t>The number of women who received a pertussis vaccine at any point during pregnancy</w:t>
            </w:r>
          </w:p>
        </w:tc>
        <w:tc>
          <w:tcPr>
            <w:cnfStyle w:val="000010000000" w:firstRow="0" w:lastRow="0" w:firstColumn="0" w:lastColumn="0" w:oddVBand="1" w:evenVBand="0" w:oddHBand="0" w:evenHBand="0" w:firstRowFirstColumn="0" w:firstRowLastColumn="0" w:lastRowFirstColumn="0" w:lastRowLastColumn="0"/>
            <w:tcW w:w="3402" w:type="dxa"/>
          </w:tcPr>
          <w:p w14:paraId="47037646" w14:textId="77777777" w:rsidR="00D6403A" w:rsidRPr="00E25A1A" w:rsidRDefault="00D6403A" w:rsidP="00E25A1A">
            <w:pPr>
              <w:pStyle w:val="Tabletext"/>
              <w:jc w:val="left"/>
            </w:pPr>
            <w:r w:rsidRPr="00E25A1A">
              <w:t>The number of women who gave birth in Victoria</w:t>
            </w:r>
          </w:p>
        </w:tc>
      </w:tr>
      <w:tr w:rsidR="00D6403A" w:rsidRPr="00D6403A" w14:paraId="4D4B2232" w14:textId="77777777" w:rsidTr="00E25A1A">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44B8B993" w14:textId="77777777" w:rsidR="00D6403A" w:rsidRPr="00E25A1A" w:rsidRDefault="00D6403A" w:rsidP="00E25A1A">
            <w:pPr>
              <w:pStyle w:val="Tabletext"/>
              <w:jc w:val="left"/>
              <w:rPr>
                <w:b/>
              </w:rPr>
            </w:pPr>
            <w:r w:rsidRPr="00E25A1A">
              <w:rPr>
                <w:b/>
              </w:rPr>
              <w:t>Indicator 12b: The rate of women vaccinated for influenza during pregnancy</w:t>
            </w:r>
          </w:p>
        </w:tc>
        <w:tc>
          <w:tcPr>
            <w:cnfStyle w:val="000001000000" w:firstRow="0" w:lastRow="0" w:firstColumn="0" w:lastColumn="0" w:oddVBand="0" w:evenVBand="1" w:oddHBand="0" w:evenHBand="0" w:firstRowFirstColumn="0" w:firstRowLastColumn="0" w:lastRowFirstColumn="0" w:lastRowLastColumn="0"/>
            <w:tcW w:w="3401" w:type="dxa"/>
          </w:tcPr>
          <w:p w14:paraId="7DB40574" w14:textId="77777777" w:rsidR="00D6403A" w:rsidRPr="00E25A1A" w:rsidRDefault="00D6403A" w:rsidP="00E25A1A">
            <w:pPr>
              <w:pStyle w:val="Tabletext"/>
              <w:jc w:val="left"/>
            </w:pPr>
            <w:r w:rsidRPr="00E25A1A">
              <w:t>The number of women who received an influenza vaccine at any point during pregnancy</w:t>
            </w:r>
          </w:p>
        </w:tc>
        <w:tc>
          <w:tcPr>
            <w:cnfStyle w:val="000010000000" w:firstRow="0" w:lastRow="0" w:firstColumn="0" w:lastColumn="0" w:oddVBand="1" w:evenVBand="0" w:oddHBand="0" w:evenHBand="0" w:firstRowFirstColumn="0" w:firstRowLastColumn="0" w:lastRowFirstColumn="0" w:lastRowLastColumn="0"/>
            <w:tcW w:w="3402" w:type="dxa"/>
          </w:tcPr>
          <w:p w14:paraId="7E423729" w14:textId="77777777" w:rsidR="00D6403A" w:rsidRPr="00E25A1A" w:rsidRDefault="00D6403A" w:rsidP="00E25A1A">
            <w:pPr>
              <w:pStyle w:val="Tabletext"/>
              <w:jc w:val="left"/>
            </w:pPr>
            <w:r w:rsidRPr="00E25A1A">
              <w:t>The number of women who gave birth in Victoria</w:t>
            </w:r>
          </w:p>
        </w:tc>
      </w:tr>
    </w:tbl>
    <w:p w14:paraId="74F293A7" w14:textId="77777777" w:rsidR="00D6403A" w:rsidRPr="00D6403A" w:rsidRDefault="00D6403A" w:rsidP="00D6403A">
      <w:pPr>
        <w:pStyle w:val="Heading1"/>
        <w:framePr w:wrap="around"/>
        <w:rPr>
          <w:lang w:val="en-GB"/>
        </w:rPr>
      </w:pPr>
    </w:p>
    <w:p w14:paraId="01071F1B" w14:textId="77777777" w:rsidR="00E25A1A" w:rsidRDefault="00E25A1A" w:rsidP="00D6403A">
      <w:pPr>
        <w:suppressAutoHyphens/>
        <w:autoSpaceDE w:val="0"/>
        <w:autoSpaceDN w:val="0"/>
        <w:adjustRightInd w:val="0"/>
        <w:spacing w:before="0" w:after="227" w:line="520" w:lineRule="atLeast"/>
        <w:textAlignment w:val="center"/>
        <w:rPr>
          <w:rStyle w:val="Heading1Char"/>
        </w:rPr>
        <w:sectPr w:rsidR="00E25A1A" w:rsidSect="004D6F5F">
          <w:pgSz w:w="11901" w:h="16817" w:code="9"/>
          <w:pgMar w:top="3402" w:right="851" w:bottom="1361" w:left="851" w:header="539" w:footer="624" w:gutter="0"/>
          <w:cols w:space="284"/>
          <w:docGrid w:linePitch="360" w:charSpace="46114"/>
        </w:sectPr>
      </w:pPr>
      <w:bookmarkStart w:id="86" w:name="_Toc159326644"/>
    </w:p>
    <w:p w14:paraId="191770B8" w14:textId="75CAD2D5" w:rsidR="00D6403A" w:rsidRPr="00E25A1A" w:rsidRDefault="00D6403A" w:rsidP="00E25A1A">
      <w:pPr>
        <w:pStyle w:val="Heading1"/>
        <w:framePr w:wrap="around"/>
      </w:pPr>
      <w:r w:rsidRPr="00E25A1A">
        <w:lastRenderedPageBreak/>
        <w:t>13: Women who had a severe postpartum haemorrhage within the 24 hours following</w:t>
      </w:r>
      <w:bookmarkEnd w:id="86"/>
      <w:r w:rsidRPr="00E25A1A">
        <w:t> birth</w:t>
      </w:r>
    </w:p>
    <w:p w14:paraId="334C10D8" w14:textId="77777777" w:rsidR="00D6403A" w:rsidRPr="00D6403A" w:rsidRDefault="00D6403A" w:rsidP="00D64F24">
      <w:pPr>
        <w:pStyle w:val="IntroductoryText"/>
        <w:rPr>
          <w:lang w:val="en-GB"/>
        </w:rPr>
      </w:pPr>
      <w:r w:rsidRPr="00D64F24">
        <w:t>Postpartum haemorrhage (PPH) is a common and potentially serious complication of childbirth. Although most PPH cases are minor, severe PPH is a risk factor for maternal mortality and morbidity in</w:t>
      </w:r>
      <w:r w:rsidRPr="00D6403A">
        <w:rPr>
          <w:rFonts w:ascii="Cambria" w:hAnsi="Cambria" w:cs="Cambria"/>
          <w:lang w:val="en-GB"/>
        </w:rPr>
        <w:t> </w:t>
      </w:r>
      <w:r w:rsidRPr="00D6403A">
        <w:rPr>
          <w:lang w:val="en-GB"/>
        </w:rPr>
        <w:t>Australia. It is important that clinicians can prevent, recognise and treat PPH.</w:t>
      </w:r>
    </w:p>
    <w:p w14:paraId="082F0BAF" w14:textId="77777777" w:rsidR="00D6403A" w:rsidRPr="00D6403A" w:rsidRDefault="00D6403A" w:rsidP="005939CC">
      <w:pPr>
        <w:pStyle w:val="Heading2"/>
        <w:rPr>
          <w:lang w:val="en-GB"/>
        </w:rPr>
      </w:pPr>
      <w:bookmarkStart w:id="87" w:name="_Toc159326645"/>
      <w:r w:rsidRPr="00D6403A">
        <w:rPr>
          <w:lang w:val="en-GB"/>
        </w:rPr>
        <w:t>About this indicator</w:t>
      </w:r>
      <w:bookmarkEnd w:id="87"/>
    </w:p>
    <w:p w14:paraId="0FDFEA8E" w14:textId="4B0D77C9" w:rsidR="00D6403A" w:rsidRPr="00D6403A" w:rsidRDefault="00D6403A" w:rsidP="00862996">
      <w:pPr>
        <w:rPr>
          <w:lang w:val="en-GB"/>
        </w:rPr>
      </w:pPr>
      <w:r w:rsidRPr="00D6403A">
        <w:rPr>
          <w:lang w:val="en-GB"/>
        </w:rPr>
        <w:t>PPH is defined as blood loss of 500 mL or more. Severe primary PPH is defined as a blood loss of 1,500 mL or more within the 24 hours following birth.</w:t>
      </w:r>
    </w:p>
    <w:p w14:paraId="1C3602FC" w14:textId="024A862E" w:rsidR="00D6403A" w:rsidRDefault="00D6403A" w:rsidP="000A016E">
      <w:pPr>
        <w:rPr>
          <w:lang w:val="en-GB"/>
        </w:rPr>
      </w:pPr>
      <w:r w:rsidRPr="00D6403A">
        <w:rPr>
          <w:lang w:val="en-GB"/>
        </w:rPr>
        <w:t>This indicator presents the proportion of women who had a severe PPH within the 24 hours following birth.</w:t>
      </w:r>
    </w:p>
    <w:p w14:paraId="000A352F" w14:textId="3A2809A8" w:rsidR="000A016E" w:rsidRPr="00E6458F" w:rsidRDefault="00E6458F" w:rsidP="00E6458F">
      <w:pPr>
        <w:spacing w:before="0" w:after="0" w:line="240" w:lineRule="auto"/>
        <w:rPr>
          <w:rFonts w:ascii="Helvetica" w:eastAsia="Times New Roman" w:hAnsi="Helvetica" w:cs="Times New Roman"/>
          <w:color w:val="000000"/>
          <w:sz w:val="18"/>
          <w:szCs w:val="18"/>
          <w:lang w:eastAsia="en-US"/>
        </w:rPr>
      </w:pPr>
      <w:r w:rsidRPr="00E6458F">
        <w:rPr>
          <w:rFonts w:ascii="Helvetica" w:eastAsia="Times New Roman" w:hAnsi="Helvetica" w:cs="Times New Roman"/>
          <w:color w:val="000000"/>
          <w:sz w:val="18"/>
          <w:szCs w:val="18"/>
          <w:lang w:eastAsia="en-US"/>
        </w:rPr>
        <w:t>[Break out box text:</w:t>
      </w:r>
    </w:p>
    <w:p w14:paraId="4B6EB4AA" w14:textId="77777777" w:rsidR="00E6458F" w:rsidRPr="00D6403A" w:rsidRDefault="00E6458F" w:rsidP="00E6458F">
      <w:pPr>
        <w:pStyle w:val="Heading3"/>
        <w:rPr>
          <w:lang w:val="en-GB"/>
        </w:rPr>
      </w:pPr>
      <w:r w:rsidRPr="00D6403A">
        <w:rPr>
          <w:lang w:val="en-GB"/>
        </w:rPr>
        <w:t>What pregnant women and families need to know</w:t>
      </w:r>
    </w:p>
    <w:p w14:paraId="7115B891" w14:textId="5EB92C5D" w:rsidR="00E6458F" w:rsidRPr="00D6403A" w:rsidRDefault="00E6458F" w:rsidP="00E6458F">
      <w:pPr>
        <w:rPr>
          <w:lang w:val="en-GB"/>
        </w:rPr>
      </w:pPr>
      <w:r w:rsidRPr="00D6403A">
        <w:rPr>
          <w:lang w:val="en-GB"/>
        </w:rPr>
        <w:t>Most women will have some bleeding after the birth of their baby. A small number of women will have excess bleeding. This can be very dangerous for the woman, requiring more treatment by their doctors and midwives and longer time in hospital. Severe excess bleeding can also affect breastfeeding and bonding with their baby.</w:t>
      </w:r>
    </w:p>
    <w:p w14:paraId="69569892" w14:textId="77777777" w:rsidR="00E6458F" w:rsidRPr="00D6403A" w:rsidRDefault="00E6458F" w:rsidP="00005134">
      <w:pPr>
        <w:rPr>
          <w:color w:val="000000"/>
          <w:lang w:val="en-GB"/>
        </w:rPr>
      </w:pPr>
      <w:r w:rsidRPr="00D6403A">
        <w:rPr>
          <w:lang w:val="en-GB"/>
        </w:rPr>
        <w:t>Sometimes bleeding after birth cannot be avoided, but if it does happen, it should be picked up</w:t>
      </w:r>
      <w:r w:rsidRPr="00D6403A">
        <w:rPr>
          <w:rFonts w:ascii="Cambria" w:hAnsi="Cambria" w:cs="Cambria"/>
          <w:lang w:val="en-GB"/>
        </w:rPr>
        <w:t> </w:t>
      </w:r>
      <w:r w:rsidRPr="00D6403A">
        <w:rPr>
          <w:lang w:val="en-GB"/>
        </w:rPr>
        <w:t>and treated quickly. The rate of excess bleeding defined as 1,500 mL (1.5 litres) or more should be low.</w:t>
      </w:r>
    </w:p>
    <w:p w14:paraId="776EA0C2" w14:textId="77777777" w:rsidR="00E6458F" w:rsidRPr="00E6458F" w:rsidRDefault="00E6458F" w:rsidP="00E6458F">
      <w:pPr>
        <w:spacing w:before="0" w:after="0" w:line="240" w:lineRule="auto"/>
        <w:rPr>
          <w:rFonts w:ascii="Times New Roman" w:eastAsia="Times New Roman" w:hAnsi="Times New Roman" w:cs="Times New Roman"/>
          <w:sz w:val="24"/>
          <w:szCs w:val="24"/>
          <w:lang w:eastAsia="en-US"/>
        </w:rPr>
      </w:pPr>
      <w:r w:rsidRPr="00E6458F">
        <w:rPr>
          <w:rFonts w:ascii="Helvetica" w:eastAsia="Times New Roman" w:hAnsi="Helvetica" w:cs="Times New Roman"/>
          <w:color w:val="000000"/>
          <w:sz w:val="18"/>
          <w:szCs w:val="18"/>
          <w:lang w:eastAsia="en-US"/>
        </w:rPr>
        <w:t>End of break out box text.]</w:t>
      </w:r>
    </w:p>
    <w:p w14:paraId="6DB374E6" w14:textId="77777777" w:rsidR="00D6403A" w:rsidRPr="00D6403A" w:rsidRDefault="00D6403A" w:rsidP="005939CC">
      <w:pPr>
        <w:pStyle w:val="Heading2"/>
        <w:rPr>
          <w:lang w:val="en-GB"/>
        </w:rPr>
      </w:pPr>
      <w:bookmarkStart w:id="88" w:name="_Toc159326646"/>
      <w:r w:rsidRPr="00D6403A">
        <w:rPr>
          <w:lang w:val="en-GB"/>
        </w:rPr>
        <w:t>Observations on the data</w:t>
      </w:r>
      <w:bookmarkEnd w:id="88"/>
    </w:p>
    <w:p w14:paraId="2F602CE3" w14:textId="117D2461" w:rsidR="00D6403A" w:rsidRPr="00D6403A" w:rsidRDefault="00D6403A" w:rsidP="00862996">
      <w:pPr>
        <w:rPr>
          <w:lang w:val="en-GB"/>
        </w:rPr>
      </w:pPr>
      <w:r w:rsidRPr="00D6403A">
        <w:rPr>
          <w:lang w:val="en-GB"/>
        </w:rPr>
        <w:t>In 2021, 2.3% of women had a severe primary PPH. This was a slight reduction from the previous year’s rate of 2.6%. The rate for public hospitals was higher compared with private hospitals (2.7% and 1.1%,</w:t>
      </w:r>
      <w:r w:rsidRPr="00D6403A">
        <w:rPr>
          <w:rFonts w:ascii="Cambria" w:hAnsi="Cambria" w:cs="Cambria"/>
          <w:color w:val="000000"/>
          <w:lang w:val="en-GB"/>
        </w:rPr>
        <w:t> </w:t>
      </w:r>
      <w:r w:rsidRPr="00D6403A">
        <w:rPr>
          <w:lang w:val="en-GB"/>
        </w:rPr>
        <w:t>respectively). Figure 74 and Figure 75 show variation between individual hospitals. Some health services look after women with conditions that are at higher risk of bleeding – for example, placenta previa or placenta accreta – and this may account for the higher rate at certain health services. Table</w:t>
      </w:r>
      <w:r w:rsidRPr="00D6403A">
        <w:rPr>
          <w:rFonts w:ascii="Cambria" w:hAnsi="Cambria" w:cs="Cambria"/>
          <w:color w:val="000000"/>
          <w:lang w:val="en-GB"/>
        </w:rPr>
        <w:t> </w:t>
      </w:r>
      <w:r w:rsidRPr="00D6403A">
        <w:rPr>
          <w:lang w:val="en-GB"/>
        </w:rPr>
        <w:t>24 compares rates of women with PPH across private and public hospitals. Figure 76 shows trends</w:t>
      </w:r>
      <w:r w:rsidRPr="00D6403A">
        <w:rPr>
          <w:rFonts w:ascii="Cambria" w:hAnsi="Cambria" w:cs="Cambria"/>
          <w:color w:val="000000"/>
          <w:lang w:val="en-GB"/>
        </w:rPr>
        <w:t> </w:t>
      </w:r>
      <w:r w:rsidRPr="00D6403A">
        <w:rPr>
          <w:lang w:val="en-GB"/>
        </w:rPr>
        <w:t>over</w:t>
      </w:r>
      <w:r w:rsidRPr="00D6403A">
        <w:rPr>
          <w:rFonts w:ascii="Cambria" w:hAnsi="Cambria" w:cs="Cambria"/>
          <w:color w:val="000000"/>
          <w:lang w:val="en-GB"/>
        </w:rPr>
        <w:t> </w:t>
      </w:r>
      <w:r w:rsidRPr="00D6403A">
        <w:rPr>
          <w:lang w:val="en-GB"/>
        </w:rPr>
        <w:t>time.</w:t>
      </w:r>
    </w:p>
    <w:p w14:paraId="17A6C1F4" w14:textId="77777777" w:rsidR="00D6403A" w:rsidRPr="00D6403A" w:rsidRDefault="00D6403A" w:rsidP="005939CC">
      <w:pPr>
        <w:pStyle w:val="Heading2"/>
        <w:rPr>
          <w:lang w:val="en-GB"/>
        </w:rPr>
      </w:pPr>
      <w:bookmarkStart w:id="89" w:name="_Toc159326647"/>
      <w:r w:rsidRPr="00D6403A">
        <w:rPr>
          <w:lang w:val="en-GB"/>
        </w:rPr>
        <w:t>Strategies for improvement</w:t>
      </w:r>
      <w:bookmarkEnd w:id="89"/>
    </w:p>
    <w:p w14:paraId="736B7E09" w14:textId="4AF16F05" w:rsidR="00D6403A" w:rsidRPr="00D6403A" w:rsidRDefault="00D6403A" w:rsidP="00862996">
      <w:pPr>
        <w:rPr>
          <w:lang w:val="en-GB"/>
        </w:rPr>
      </w:pPr>
      <w:r w:rsidRPr="00D6403A">
        <w:rPr>
          <w:lang w:val="en-GB"/>
        </w:rPr>
        <w:t xml:space="preserve">Safer Care Victoria and more than 30 health services began the </w:t>
      </w:r>
      <w:hyperlink r:id="rId135" w:history="1">
        <w:r w:rsidRPr="00E6458F">
          <w:rPr>
            <w:rStyle w:val="Hyperlink"/>
            <w:lang w:val="en-GB"/>
          </w:rPr>
          <w:t>Postpartum Haemorrhage Collaborative</w:t>
        </w:r>
      </w:hyperlink>
      <w:r w:rsidRPr="00D6403A">
        <w:rPr>
          <w:lang w:val="en-GB"/>
        </w:rPr>
        <w:t xml:space="preserve"> &lt;https://www.safercare.vic.gov.au/100000lives/projects/postpartum-haemorrhage-collaborative&gt; in April 2022. We look forward to seeing the impact of this improvement work in the future as variations in clinical practice such as the method used to estimate PPH (visual estimation versus accurate measurement with weighing) may explain some of the variation in rates.</w:t>
      </w:r>
    </w:p>
    <w:p w14:paraId="7DCF1BA6" w14:textId="00E7DD88" w:rsidR="00D6403A" w:rsidRPr="00D6403A" w:rsidRDefault="00D6403A" w:rsidP="00005134">
      <w:pPr>
        <w:pStyle w:val="Bullet1"/>
        <w:rPr>
          <w:lang w:val="en-GB"/>
        </w:rPr>
      </w:pPr>
      <w:r w:rsidRPr="00D6403A">
        <w:rPr>
          <w:lang w:val="en-GB"/>
        </w:rPr>
        <w:t>Health services should have robust processes for recognising and responding to PPH.</w:t>
      </w:r>
    </w:p>
    <w:p w14:paraId="0D649D3A" w14:textId="5A2A538A" w:rsidR="00D6403A" w:rsidRPr="00D6403A" w:rsidRDefault="00D6403A" w:rsidP="00005134">
      <w:pPr>
        <w:pStyle w:val="Bullet1"/>
        <w:rPr>
          <w:lang w:val="en-GB"/>
        </w:rPr>
      </w:pPr>
      <w:r w:rsidRPr="00D6403A">
        <w:rPr>
          <w:lang w:val="en-GB"/>
        </w:rPr>
        <w:t>Health services should review their standard practice in measuring accurate blood loss.</w:t>
      </w:r>
    </w:p>
    <w:p w14:paraId="67F07F87" w14:textId="77777777" w:rsidR="00D6403A" w:rsidRPr="00D6403A" w:rsidRDefault="00D6403A" w:rsidP="00E6458F">
      <w:pPr>
        <w:pStyle w:val="Bullet1"/>
        <w:rPr>
          <w:lang w:val="en-GB"/>
        </w:rPr>
      </w:pPr>
      <w:r w:rsidRPr="00D6403A">
        <w:rPr>
          <w:lang w:val="en-GB"/>
        </w:rPr>
        <w:t>Weighing all blood loss (rather than visual estimate) is recommended as a good practice point when a</w:t>
      </w:r>
      <w:r w:rsidRPr="00D6403A">
        <w:rPr>
          <w:rFonts w:ascii="Cambria" w:hAnsi="Cambria" w:cs="Cambria"/>
          <w:color w:val="000000"/>
          <w:lang w:val="en-GB"/>
        </w:rPr>
        <w:t> </w:t>
      </w:r>
      <w:r w:rsidRPr="00D6403A">
        <w:rPr>
          <w:lang w:val="en-GB"/>
        </w:rPr>
        <w:t>PPH occurs (1 mL of blood equals 1 g).</w:t>
      </w:r>
    </w:p>
    <w:p w14:paraId="1059467F" w14:textId="77777777" w:rsidR="00D6403A" w:rsidRPr="00D6403A" w:rsidRDefault="00D6403A" w:rsidP="00005134">
      <w:pPr>
        <w:pStyle w:val="Bullet1"/>
        <w:rPr>
          <w:lang w:val="en-GB"/>
        </w:rPr>
      </w:pPr>
      <w:r w:rsidRPr="00D6403A">
        <w:rPr>
          <w:lang w:val="en-GB"/>
        </w:rPr>
        <w:lastRenderedPageBreak/>
        <w:t>Include PPH in multidisciplinary obstetric emergency training, including clinicians and staff from teams outside the maternity service who may respond to a PPH.</w:t>
      </w:r>
    </w:p>
    <w:p w14:paraId="4BF2318E" w14:textId="4B3FE802" w:rsidR="00D6403A" w:rsidRPr="00D6403A" w:rsidRDefault="00D6403A" w:rsidP="00005134">
      <w:pPr>
        <w:pStyle w:val="Bullet1"/>
        <w:rPr>
          <w:lang w:val="en-GB"/>
        </w:rPr>
      </w:pPr>
      <w:r w:rsidRPr="00D6403A">
        <w:rPr>
          <w:lang w:val="en-GB"/>
        </w:rPr>
        <w:t xml:space="preserve">Health services should ensure they have a clinical practice guideline for PPH identification and management. Health services can refer to the </w:t>
      </w:r>
      <w:hyperlink r:id="rId136" w:history="1">
        <w:r w:rsidRPr="00E6458F">
          <w:rPr>
            <w:rStyle w:val="Hyperlink"/>
            <w:lang w:val="en-GB"/>
          </w:rPr>
          <w:t>Maternity e-Handbook Postpartum haemorrhage guidance</w:t>
        </w:r>
      </w:hyperlink>
      <w:r w:rsidRPr="00D6403A">
        <w:rPr>
          <w:lang w:val="en-GB"/>
        </w:rPr>
        <w:t xml:space="preserve"> &lt;https://www.safercare.vic.gov.au/clinical-guidance/maternity/postpartum-haemorrhage-pph-prevention-assessment-and-management&gt;.</w:t>
      </w:r>
    </w:p>
    <w:p w14:paraId="2563F000" w14:textId="77777777" w:rsidR="00D6403A" w:rsidRPr="00D6403A" w:rsidRDefault="00D6403A" w:rsidP="00005134">
      <w:pPr>
        <w:pStyle w:val="Bullet1"/>
        <w:rPr>
          <w:lang w:val="en-GB"/>
        </w:rPr>
      </w:pPr>
      <w:r w:rsidRPr="00D6403A">
        <w:rPr>
          <w:lang w:val="en-GB"/>
        </w:rPr>
        <w:t>Health services should monitor their own data for trends and investigate and action accordingly.</w:t>
      </w:r>
    </w:p>
    <w:p w14:paraId="05FAFA8F" w14:textId="77777777" w:rsidR="00D6403A" w:rsidRPr="00D6403A" w:rsidRDefault="00D6403A" w:rsidP="00005134">
      <w:pPr>
        <w:pStyle w:val="Bullet1"/>
        <w:rPr>
          <w:lang w:val="en-GB"/>
        </w:rPr>
      </w:pPr>
      <w:r w:rsidRPr="00D6403A">
        <w:rPr>
          <w:lang w:val="en-GB"/>
        </w:rPr>
        <w:t xml:space="preserve">Health services should conduct case reviews of patients with PPH. Health services should have an agreed trigger for the review, whether this is any PPH </w:t>
      </w:r>
      <w:r w:rsidRPr="00D6403A">
        <w:rPr>
          <w:rFonts w:hint="eastAsia"/>
          <w:lang w:val="en-GB"/>
        </w:rPr>
        <w:t>≥</w:t>
      </w:r>
      <w:r w:rsidRPr="00D6403A">
        <w:rPr>
          <w:lang w:val="en-GB"/>
        </w:rPr>
        <w:t xml:space="preserve"> 1,500 mL or requirement for blood transfusion and should include a review of antenatal care as well as intrapartum care.</w:t>
      </w:r>
    </w:p>
    <w:p w14:paraId="086AE92A" w14:textId="77777777" w:rsidR="00D6403A" w:rsidRPr="00D6403A" w:rsidRDefault="00D6403A" w:rsidP="00005134">
      <w:pPr>
        <w:pStyle w:val="Bullet1"/>
        <w:rPr>
          <w:lang w:val="en-GB"/>
        </w:rPr>
      </w:pPr>
      <w:r w:rsidRPr="00D6403A">
        <w:rPr>
          <w:lang w:val="en-GB"/>
        </w:rPr>
        <w:t>All PPHs greater than or equal to 1,500 mL should be reviewed.</w:t>
      </w:r>
    </w:p>
    <w:p w14:paraId="23297B70" w14:textId="77777777" w:rsidR="00D6403A" w:rsidRPr="00D6403A" w:rsidRDefault="00D6403A" w:rsidP="00870C38">
      <w:pPr>
        <w:pStyle w:val="Tablechartdiagramheading"/>
      </w:pPr>
      <w:r w:rsidRPr="00D6403A">
        <w:lastRenderedPageBreak/>
        <w:t>Figure 74. Indicator 13: Rate of women with severe postpartum haemorrhage, 2021</w:t>
      </w:r>
    </w:p>
    <w:p w14:paraId="097138F4" w14:textId="402A6984" w:rsidR="00D6403A" w:rsidRPr="00D6403A" w:rsidRDefault="00E6458F" w:rsidP="00862996">
      <w:pPr>
        <w:rPr>
          <w:lang w:val="en-GB"/>
        </w:rPr>
      </w:pPr>
      <w:r>
        <w:rPr>
          <w:noProof/>
          <w:lang w:val="en-GB"/>
        </w:rPr>
        <w:drawing>
          <wp:inline distT="0" distB="0" distL="0" distR="0" wp14:anchorId="361ED4E1" wp14:editId="33DFF730">
            <wp:extent cx="6264719" cy="7164593"/>
            <wp:effectExtent l="0" t="0" r="0" b="0"/>
            <wp:docPr id="79" name="Picture 79" descr="Bar chart for Indicator 13. Data can be found in Appendix 3: Overview of results, Table 26. Overview of indicator results,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_74.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267568" cy="7167851"/>
                    </a:xfrm>
                    <a:prstGeom prst="rect">
                      <a:avLst/>
                    </a:prstGeom>
                  </pic:spPr>
                </pic:pic>
              </a:graphicData>
            </a:graphic>
          </wp:inline>
        </w:drawing>
      </w:r>
    </w:p>
    <w:p w14:paraId="57A2A422" w14:textId="77777777" w:rsidR="00D6403A" w:rsidRPr="00D6403A" w:rsidRDefault="00D6403A" w:rsidP="00870C38">
      <w:pPr>
        <w:pStyle w:val="Tablechartdiagramheading"/>
      </w:pPr>
      <w:r w:rsidRPr="00D6403A">
        <w:lastRenderedPageBreak/>
        <w:t>Figure 75. Funnel plot of the rate of women with severe postpartum haemorrhage, 2021</w:t>
      </w:r>
    </w:p>
    <w:p w14:paraId="157F8EBC" w14:textId="509E0C5F" w:rsidR="00D6403A" w:rsidRPr="00D6403A" w:rsidRDefault="00E6458F" w:rsidP="00862996">
      <w:pPr>
        <w:rPr>
          <w:lang w:val="en-GB"/>
        </w:rPr>
      </w:pPr>
      <w:r>
        <w:rPr>
          <w:noProof/>
          <w:lang w:val="en-GB"/>
        </w:rPr>
        <w:drawing>
          <wp:inline distT="0" distB="0" distL="0" distR="0" wp14:anchorId="5A4D77E5" wp14:editId="4FEC35FC">
            <wp:extent cx="6108700" cy="3416300"/>
            <wp:effectExtent l="0" t="0" r="0" b="0"/>
            <wp:docPr id="80" name="Picture 80" descr="Funnel plot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_75.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108700" cy="3416300"/>
                    </a:xfrm>
                    <a:prstGeom prst="rect">
                      <a:avLst/>
                    </a:prstGeom>
                  </pic:spPr>
                </pic:pic>
              </a:graphicData>
            </a:graphic>
          </wp:inline>
        </w:drawing>
      </w:r>
    </w:p>
    <w:p w14:paraId="799B013B" w14:textId="77777777" w:rsidR="00F343F5" w:rsidRPr="00F343F5" w:rsidRDefault="00F343F5" w:rsidP="00F343F5">
      <w:pPr>
        <w:pStyle w:val="FootnoteText"/>
        <w:rPr>
          <w:rFonts w:ascii="Times New Roman" w:hAnsi="Times New Roman"/>
          <w:sz w:val="24"/>
          <w:szCs w:val="24"/>
          <w:lang w:eastAsia="en-US"/>
        </w:rPr>
      </w:pPr>
      <w:r w:rsidRPr="00F343F5">
        <w:rPr>
          <w:lang w:eastAsia="en-US"/>
        </w:rPr>
        <w:t xml:space="preserve">Please refer to the </w:t>
      </w:r>
      <w:hyperlink w:anchor="funnel" w:history="1">
        <w:r w:rsidRPr="00F343F5">
          <w:rPr>
            <w:rStyle w:val="Hyperlink"/>
            <w:lang w:eastAsia="en-US"/>
          </w:rPr>
          <w:t>guide on how to interpret funnel plots</w:t>
        </w:r>
      </w:hyperlink>
      <w:r w:rsidRPr="00F343F5">
        <w:rPr>
          <w:lang w:eastAsia="en-US"/>
        </w:rPr>
        <w:t>.</w:t>
      </w:r>
    </w:p>
    <w:p w14:paraId="0BF13DE3" w14:textId="77777777" w:rsidR="00D6403A" w:rsidRPr="00D6403A" w:rsidRDefault="00D6403A" w:rsidP="00887B5A">
      <w:pPr>
        <w:pStyle w:val="Tablechartdiagramheading"/>
        <w:rPr>
          <w:lang w:val="en-GB"/>
        </w:rPr>
      </w:pPr>
      <w:r w:rsidRPr="00D6403A">
        <w:rPr>
          <w:lang w:val="en-GB"/>
        </w:rPr>
        <w:t>Table 24. Rate of women with severe postpartum haemorrhage, 2018–2021</w:t>
      </w:r>
    </w:p>
    <w:tbl>
      <w:tblPr>
        <w:tblStyle w:val="TableGrid"/>
        <w:tblW w:w="0" w:type="auto"/>
        <w:tblLayout w:type="fixed"/>
        <w:tblLook w:val="0020" w:firstRow="1" w:lastRow="0" w:firstColumn="0" w:lastColumn="0" w:noHBand="0" w:noVBand="0"/>
      </w:tblPr>
      <w:tblGrid>
        <w:gridCol w:w="2013"/>
        <w:gridCol w:w="737"/>
        <w:gridCol w:w="737"/>
        <w:gridCol w:w="737"/>
        <w:gridCol w:w="737"/>
      </w:tblGrid>
      <w:tr w:rsidR="00D6403A" w:rsidRPr="00D6403A" w14:paraId="7BDED657" w14:textId="77777777" w:rsidTr="00E6458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2013" w:type="dxa"/>
          </w:tcPr>
          <w:p w14:paraId="40DFD9AC" w14:textId="77777777" w:rsidR="00D6403A" w:rsidRPr="00E6458F" w:rsidRDefault="00D6403A" w:rsidP="00E6458F">
            <w:pPr>
              <w:pStyle w:val="Tableheader"/>
              <w:jc w:val="right"/>
              <w:rPr>
                <w:b/>
                <w:lang w:val="en-US"/>
              </w:rPr>
            </w:pPr>
          </w:p>
        </w:tc>
        <w:tc>
          <w:tcPr>
            <w:cnfStyle w:val="000001000000" w:firstRow="0" w:lastRow="0" w:firstColumn="0" w:lastColumn="0" w:oddVBand="0" w:evenVBand="1" w:oddHBand="0" w:evenHBand="0" w:firstRowFirstColumn="0" w:firstRowLastColumn="0" w:lastRowFirstColumn="0" w:lastRowLastColumn="0"/>
            <w:tcW w:w="737" w:type="dxa"/>
          </w:tcPr>
          <w:p w14:paraId="66AE7BC4" w14:textId="77777777" w:rsidR="00D6403A" w:rsidRPr="00E6458F" w:rsidRDefault="00D6403A" w:rsidP="00E6458F">
            <w:pPr>
              <w:pStyle w:val="Tableheader"/>
              <w:jc w:val="right"/>
              <w:rPr>
                <w:b/>
                <w:lang w:val="en-GB"/>
              </w:rPr>
            </w:pPr>
            <w:r w:rsidRPr="00E6458F">
              <w:rPr>
                <w:b/>
                <w:lang w:val="en-GB"/>
              </w:rPr>
              <w:t>2018</w:t>
            </w:r>
          </w:p>
        </w:tc>
        <w:tc>
          <w:tcPr>
            <w:cnfStyle w:val="000010000000" w:firstRow="0" w:lastRow="0" w:firstColumn="0" w:lastColumn="0" w:oddVBand="1" w:evenVBand="0" w:oddHBand="0" w:evenHBand="0" w:firstRowFirstColumn="0" w:firstRowLastColumn="0" w:lastRowFirstColumn="0" w:lastRowLastColumn="0"/>
            <w:tcW w:w="737" w:type="dxa"/>
          </w:tcPr>
          <w:p w14:paraId="4ECEF7B4" w14:textId="77777777" w:rsidR="00D6403A" w:rsidRPr="00E6458F" w:rsidRDefault="00D6403A" w:rsidP="00E6458F">
            <w:pPr>
              <w:pStyle w:val="Tableheader"/>
              <w:jc w:val="right"/>
              <w:rPr>
                <w:b/>
                <w:lang w:val="en-GB"/>
              </w:rPr>
            </w:pPr>
            <w:r w:rsidRPr="00E6458F">
              <w:rPr>
                <w:b/>
                <w:lang w:val="en-GB"/>
              </w:rPr>
              <w:t>2019</w:t>
            </w:r>
          </w:p>
        </w:tc>
        <w:tc>
          <w:tcPr>
            <w:cnfStyle w:val="000001000000" w:firstRow="0" w:lastRow="0" w:firstColumn="0" w:lastColumn="0" w:oddVBand="0" w:evenVBand="1" w:oddHBand="0" w:evenHBand="0" w:firstRowFirstColumn="0" w:firstRowLastColumn="0" w:lastRowFirstColumn="0" w:lastRowLastColumn="0"/>
            <w:tcW w:w="737" w:type="dxa"/>
          </w:tcPr>
          <w:p w14:paraId="750184A3" w14:textId="77777777" w:rsidR="00D6403A" w:rsidRPr="00E6458F" w:rsidRDefault="00D6403A" w:rsidP="00E6458F">
            <w:pPr>
              <w:pStyle w:val="Tableheader"/>
              <w:jc w:val="right"/>
              <w:rPr>
                <w:b/>
                <w:lang w:val="en-GB"/>
              </w:rPr>
            </w:pPr>
            <w:r w:rsidRPr="00E6458F">
              <w:rPr>
                <w:b/>
                <w:lang w:val="en-GB"/>
              </w:rPr>
              <w:t>2020</w:t>
            </w:r>
          </w:p>
        </w:tc>
        <w:tc>
          <w:tcPr>
            <w:cnfStyle w:val="000010000000" w:firstRow="0" w:lastRow="0" w:firstColumn="0" w:lastColumn="0" w:oddVBand="1" w:evenVBand="0" w:oddHBand="0" w:evenHBand="0" w:firstRowFirstColumn="0" w:firstRowLastColumn="0" w:lastRowFirstColumn="0" w:lastRowLastColumn="0"/>
            <w:tcW w:w="737" w:type="dxa"/>
          </w:tcPr>
          <w:p w14:paraId="564A4FA8" w14:textId="77777777" w:rsidR="00D6403A" w:rsidRPr="00E6458F" w:rsidRDefault="00D6403A" w:rsidP="00E6458F">
            <w:pPr>
              <w:pStyle w:val="Tableheader"/>
              <w:jc w:val="right"/>
              <w:rPr>
                <w:b/>
                <w:lang w:val="en-GB"/>
              </w:rPr>
            </w:pPr>
            <w:r w:rsidRPr="00E6458F">
              <w:rPr>
                <w:b/>
                <w:lang w:val="en-GB"/>
              </w:rPr>
              <w:t>2021</w:t>
            </w:r>
          </w:p>
        </w:tc>
      </w:tr>
      <w:tr w:rsidR="00D6403A" w:rsidRPr="00D6403A" w14:paraId="40824874" w14:textId="77777777" w:rsidTr="00E6458F">
        <w:trPr>
          <w:trHeight w:val="60"/>
        </w:trPr>
        <w:tc>
          <w:tcPr>
            <w:cnfStyle w:val="000010000000" w:firstRow="0" w:lastRow="0" w:firstColumn="0" w:lastColumn="0" w:oddVBand="1" w:evenVBand="0" w:oddHBand="0" w:evenHBand="0" w:firstRowFirstColumn="0" w:firstRowLastColumn="0" w:lastRowFirstColumn="0" w:lastRowLastColumn="0"/>
            <w:tcW w:w="2013" w:type="dxa"/>
          </w:tcPr>
          <w:p w14:paraId="2ED1C08B" w14:textId="16CFDEB7" w:rsidR="00D6403A" w:rsidRPr="00E6458F" w:rsidRDefault="00D6403A" w:rsidP="00E6458F">
            <w:pPr>
              <w:pStyle w:val="Tabletext"/>
              <w:jc w:val="left"/>
              <w:rPr>
                <w:b/>
              </w:rPr>
            </w:pPr>
            <w:r w:rsidRPr="00E6458F">
              <w:rPr>
                <w:b/>
              </w:rPr>
              <w:t>Public</w:t>
            </w:r>
          </w:p>
        </w:tc>
        <w:tc>
          <w:tcPr>
            <w:cnfStyle w:val="000001000000" w:firstRow="0" w:lastRow="0" w:firstColumn="0" w:lastColumn="0" w:oddVBand="0" w:evenVBand="1" w:oddHBand="0" w:evenHBand="0" w:firstRowFirstColumn="0" w:firstRowLastColumn="0" w:lastRowFirstColumn="0" w:lastRowLastColumn="0"/>
            <w:tcW w:w="737" w:type="dxa"/>
          </w:tcPr>
          <w:p w14:paraId="3FD44E91" w14:textId="77777777" w:rsidR="00D6403A" w:rsidRPr="00E6458F" w:rsidRDefault="00D6403A" w:rsidP="00E6458F">
            <w:pPr>
              <w:pStyle w:val="Tabletext"/>
            </w:pPr>
            <w:r w:rsidRPr="00E6458F">
              <w:t>2.5%</w:t>
            </w:r>
          </w:p>
        </w:tc>
        <w:tc>
          <w:tcPr>
            <w:cnfStyle w:val="000010000000" w:firstRow="0" w:lastRow="0" w:firstColumn="0" w:lastColumn="0" w:oddVBand="1" w:evenVBand="0" w:oddHBand="0" w:evenHBand="0" w:firstRowFirstColumn="0" w:firstRowLastColumn="0" w:lastRowFirstColumn="0" w:lastRowLastColumn="0"/>
            <w:tcW w:w="737" w:type="dxa"/>
          </w:tcPr>
          <w:p w14:paraId="4ED6E1BF" w14:textId="77777777" w:rsidR="00D6403A" w:rsidRPr="00E6458F" w:rsidRDefault="00D6403A" w:rsidP="00E6458F">
            <w:pPr>
              <w:pStyle w:val="Tabletext"/>
            </w:pPr>
            <w:r w:rsidRPr="00E6458F">
              <w:t>2.9%</w:t>
            </w:r>
          </w:p>
        </w:tc>
        <w:tc>
          <w:tcPr>
            <w:cnfStyle w:val="000001000000" w:firstRow="0" w:lastRow="0" w:firstColumn="0" w:lastColumn="0" w:oddVBand="0" w:evenVBand="1" w:oddHBand="0" w:evenHBand="0" w:firstRowFirstColumn="0" w:firstRowLastColumn="0" w:lastRowFirstColumn="0" w:lastRowLastColumn="0"/>
            <w:tcW w:w="737" w:type="dxa"/>
          </w:tcPr>
          <w:p w14:paraId="249F4AC2" w14:textId="77777777" w:rsidR="00D6403A" w:rsidRPr="00E6458F" w:rsidRDefault="00D6403A" w:rsidP="00E6458F">
            <w:pPr>
              <w:pStyle w:val="Tabletext"/>
            </w:pPr>
            <w:r w:rsidRPr="00E6458F">
              <w:t>3.0%</w:t>
            </w:r>
          </w:p>
        </w:tc>
        <w:tc>
          <w:tcPr>
            <w:cnfStyle w:val="000010000000" w:firstRow="0" w:lastRow="0" w:firstColumn="0" w:lastColumn="0" w:oddVBand="1" w:evenVBand="0" w:oddHBand="0" w:evenHBand="0" w:firstRowFirstColumn="0" w:firstRowLastColumn="0" w:lastRowFirstColumn="0" w:lastRowLastColumn="0"/>
            <w:tcW w:w="737" w:type="dxa"/>
          </w:tcPr>
          <w:p w14:paraId="0E03BD4F" w14:textId="77777777" w:rsidR="00D6403A" w:rsidRPr="00E6458F" w:rsidRDefault="00D6403A" w:rsidP="00E6458F">
            <w:pPr>
              <w:pStyle w:val="Tabletext"/>
            </w:pPr>
            <w:r w:rsidRPr="00E6458F">
              <w:t>2.7%</w:t>
            </w:r>
          </w:p>
        </w:tc>
      </w:tr>
      <w:tr w:rsidR="00D6403A" w:rsidRPr="00D6403A" w14:paraId="413C8FB8" w14:textId="77777777" w:rsidTr="00E6458F">
        <w:trPr>
          <w:trHeight w:val="60"/>
        </w:trPr>
        <w:tc>
          <w:tcPr>
            <w:cnfStyle w:val="000010000000" w:firstRow="0" w:lastRow="0" w:firstColumn="0" w:lastColumn="0" w:oddVBand="1" w:evenVBand="0" w:oddHBand="0" w:evenHBand="0" w:firstRowFirstColumn="0" w:firstRowLastColumn="0" w:lastRowFirstColumn="0" w:lastRowLastColumn="0"/>
            <w:tcW w:w="2013" w:type="dxa"/>
          </w:tcPr>
          <w:p w14:paraId="6122724A" w14:textId="5689B6AB" w:rsidR="00D6403A" w:rsidRPr="00E6458F" w:rsidRDefault="00D6403A" w:rsidP="00E6458F">
            <w:pPr>
              <w:pStyle w:val="Tabletext"/>
              <w:jc w:val="left"/>
              <w:rPr>
                <w:b/>
              </w:rPr>
            </w:pPr>
            <w:r w:rsidRPr="00E6458F">
              <w:rPr>
                <w:b/>
              </w:rPr>
              <w:t>Private</w:t>
            </w:r>
          </w:p>
        </w:tc>
        <w:tc>
          <w:tcPr>
            <w:cnfStyle w:val="000001000000" w:firstRow="0" w:lastRow="0" w:firstColumn="0" w:lastColumn="0" w:oddVBand="0" w:evenVBand="1" w:oddHBand="0" w:evenHBand="0" w:firstRowFirstColumn="0" w:firstRowLastColumn="0" w:lastRowFirstColumn="0" w:lastRowLastColumn="0"/>
            <w:tcW w:w="737" w:type="dxa"/>
          </w:tcPr>
          <w:p w14:paraId="01876D29" w14:textId="77777777" w:rsidR="00D6403A" w:rsidRPr="00E6458F" w:rsidRDefault="00D6403A" w:rsidP="00E6458F">
            <w:pPr>
              <w:pStyle w:val="Tabletext"/>
            </w:pPr>
            <w:r w:rsidRPr="00E6458F">
              <w:t>1.0%</w:t>
            </w:r>
          </w:p>
        </w:tc>
        <w:tc>
          <w:tcPr>
            <w:cnfStyle w:val="000010000000" w:firstRow="0" w:lastRow="0" w:firstColumn="0" w:lastColumn="0" w:oddVBand="1" w:evenVBand="0" w:oddHBand="0" w:evenHBand="0" w:firstRowFirstColumn="0" w:firstRowLastColumn="0" w:lastRowFirstColumn="0" w:lastRowLastColumn="0"/>
            <w:tcW w:w="737" w:type="dxa"/>
          </w:tcPr>
          <w:p w14:paraId="43735D11" w14:textId="77777777" w:rsidR="00D6403A" w:rsidRPr="00E6458F" w:rsidRDefault="00D6403A" w:rsidP="00E6458F">
            <w:pPr>
              <w:pStyle w:val="Tabletext"/>
            </w:pPr>
            <w:r w:rsidRPr="00E6458F">
              <w:t>0.9%</w:t>
            </w:r>
          </w:p>
        </w:tc>
        <w:tc>
          <w:tcPr>
            <w:cnfStyle w:val="000001000000" w:firstRow="0" w:lastRow="0" w:firstColumn="0" w:lastColumn="0" w:oddVBand="0" w:evenVBand="1" w:oddHBand="0" w:evenHBand="0" w:firstRowFirstColumn="0" w:firstRowLastColumn="0" w:lastRowFirstColumn="0" w:lastRowLastColumn="0"/>
            <w:tcW w:w="737" w:type="dxa"/>
          </w:tcPr>
          <w:p w14:paraId="3BC61E3C" w14:textId="77777777" w:rsidR="00D6403A" w:rsidRPr="00E6458F" w:rsidRDefault="00D6403A" w:rsidP="00E6458F">
            <w:pPr>
              <w:pStyle w:val="Tabletext"/>
            </w:pPr>
            <w:r w:rsidRPr="00E6458F">
              <w:t>1.1%</w:t>
            </w:r>
          </w:p>
        </w:tc>
        <w:tc>
          <w:tcPr>
            <w:cnfStyle w:val="000010000000" w:firstRow="0" w:lastRow="0" w:firstColumn="0" w:lastColumn="0" w:oddVBand="1" w:evenVBand="0" w:oddHBand="0" w:evenHBand="0" w:firstRowFirstColumn="0" w:firstRowLastColumn="0" w:lastRowFirstColumn="0" w:lastRowLastColumn="0"/>
            <w:tcW w:w="737" w:type="dxa"/>
          </w:tcPr>
          <w:p w14:paraId="3A82A68F" w14:textId="77777777" w:rsidR="00D6403A" w:rsidRPr="00E6458F" w:rsidRDefault="00D6403A" w:rsidP="00E6458F">
            <w:pPr>
              <w:pStyle w:val="Tabletext"/>
            </w:pPr>
            <w:r w:rsidRPr="00E6458F">
              <w:t>1.1%</w:t>
            </w:r>
          </w:p>
        </w:tc>
      </w:tr>
      <w:tr w:rsidR="00D6403A" w:rsidRPr="00D6403A" w14:paraId="1CD2FC77" w14:textId="77777777" w:rsidTr="00E6458F">
        <w:trPr>
          <w:trHeight w:val="60"/>
        </w:trPr>
        <w:tc>
          <w:tcPr>
            <w:cnfStyle w:val="000010000000" w:firstRow="0" w:lastRow="0" w:firstColumn="0" w:lastColumn="0" w:oddVBand="1" w:evenVBand="0" w:oddHBand="0" w:evenHBand="0" w:firstRowFirstColumn="0" w:firstRowLastColumn="0" w:lastRowFirstColumn="0" w:lastRowLastColumn="0"/>
            <w:tcW w:w="2013" w:type="dxa"/>
          </w:tcPr>
          <w:p w14:paraId="4B626288" w14:textId="246C6BBC" w:rsidR="00D6403A" w:rsidRPr="00E6458F" w:rsidRDefault="00D6403A" w:rsidP="00E6458F">
            <w:pPr>
              <w:pStyle w:val="Tabletext"/>
              <w:jc w:val="left"/>
              <w:rPr>
                <w:b/>
              </w:rPr>
            </w:pPr>
            <w:r w:rsidRPr="00E6458F">
              <w:rPr>
                <w:b/>
              </w:rPr>
              <w:t xml:space="preserve">Statewide </w:t>
            </w:r>
          </w:p>
        </w:tc>
        <w:tc>
          <w:tcPr>
            <w:cnfStyle w:val="000001000000" w:firstRow="0" w:lastRow="0" w:firstColumn="0" w:lastColumn="0" w:oddVBand="0" w:evenVBand="1" w:oddHBand="0" w:evenHBand="0" w:firstRowFirstColumn="0" w:firstRowLastColumn="0" w:lastRowFirstColumn="0" w:lastRowLastColumn="0"/>
            <w:tcW w:w="737" w:type="dxa"/>
          </w:tcPr>
          <w:p w14:paraId="186AC956" w14:textId="77777777" w:rsidR="00D6403A" w:rsidRPr="00E6458F" w:rsidRDefault="00D6403A" w:rsidP="00E6458F">
            <w:pPr>
              <w:pStyle w:val="Tabletext"/>
            </w:pPr>
            <w:r w:rsidRPr="00E6458F">
              <w:t>2.2%</w:t>
            </w:r>
          </w:p>
        </w:tc>
        <w:tc>
          <w:tcPr>
            <w:cnfStyle w:val="000010000000" w:firstRow="0" w:lastRow="0" w:firstColumn="0" w:lastColumn="0" w:oddVBand="1" w:evenVBand="0" w:oddHBand="0" w:evenHBand="0" w:firstRowFirstColumn="0" w:firstRowLastColumn="0" w:lastRowFirstColumn="0" w:lastRowLastColumn="0"/>
            <w:tcW w:w="737" w:type="dxa"/>
          </w:tcPr>
          <w:p w14:paraId="53BA981F" w14:textId="77777777" w:rsidR="00D6403A" w:rsidRPr="00E6458F" w:rsidRDefault="00D6403A" w:rsidP="00E6458F">
            <w:pPr>
              <w:pStyle w:val="Tabletext"/>
            </w:pPr>
            <w:r w:rsidRPr="00E6458F">
              <w:t>2.4%</w:t>
            </w:r>
          </w:p>
        </w:tc>
        <w:tc>
          <w:tcPr>
            <w:cnfStyle w:val="000001000000" w:firstRow="0" w:lastRow="0" w:firstColumn="0" w:lastColumn="0" w:oddVBand="0" w:evenVBand="1" w:oddHBand="0" w:evenHBand="0" w:firstRowFirstColumn="0" w:firstRowLastColumn="0" w:lastRowFirstColumn="0" w:lastRowLastColumn="0"/>
            <w:tcW w:w="737" w:type="dxa"/>
          </w:tcPr>
          <w:p w14:paraId="386AB9B9" w14:textId="77777777" w:rsidR="00D6403A" w:rsidRPr="00E6458F" w:rsidRDefault="00D6403A" w:rsidP="00E6458F">
            <w:pPr>
              <w:pStyle w:val="Tabletext"/>
            </w:pPr>
            <w:r w:rsidRPr="00E6458F">
              <w:t>2.6%</w:t>
            </w:r>
          </w:p>
        </w:tc>
        <w:tc>
          <w:tcPr>
            <w:cnfStyle w:val="000010000000" w:firstRow="0" w:lastRow="0" w:firstColumn="0" w:lastColumn="0" w:oddVBand="1" w:evenVBand="0" w:oddHBand="0" w:evenHBand="0" w:firstRowFirstColumn="0" w:firstRowLastColumn="0" w:lastRowFirstColumn="0" w:lastRowLastColumn="0"/>
            <w:tcW w:w="737" w:type="dxa"/>
          </w:tcPr>
          <w:p w14:paraId="7163CD97" w14:textId="77777777" w:rsidR="00D6403A" w:rsidRPr="00E6458F" w:rsidRDefault="00D6403A" w:rsidP="00E6458F">
            <w:pPr>
              <w:pStyle w:val="Tabletext"/>
            </w:pPr>
            <w:r w:rsidRPr="00E6458F">
              <w:t>2.3%</w:t>
            </w:r>
          </w:p>
        </w:tc>
      </w:tr>
    </w:tbl>
    <w:p w14:paraId="675CB2D6" w14:textId="77777777" w:rsidR="00D6403A" w:rsidRPr="00D6403A" w:rsidRDefault="00D6403A" w:rsidP="00870C38">
      <w:pPr>
        <w:pStyle w:val="Tablechartdiagramheading"/>
      </w:pPr>
      <w:r w:rsidRPr="00D6403A">
        <w:t>Figure 76. Time trend of Indicator 13, 2017–2021</w:t>
      </w:r>
    </w:p>
    <w:p w14:paraId="6A45B5CC" w14:textId="18D705D0" w:rsidR="00D6403A" w:rsidRPr="00D6403A" w:rsidRDefault="00E6458F" w:rsidP="00862996">
      <w:pPr>
        <w:rPr>
          <w:lang w:val="en-GB"/>
        </w:rPr>
      </w:pPr>
      <w:r>
        <w:rPr>
          <w:noProof/>
          <w:lang w:val="en-GB"/>
        </w:rPr>
        <w:drawing>
          <wp:inline distT="0" distB="0" distL="0" distR="0" wp14:anchorId="0C06C41F" wp14:editId="57EA3B27">
            <wp:extent cx="3048000" cy="1295400"/>
            <wp:effectExtent l="0" t="0" r="0" b="0"/>
            <wp:docPr id="81" name="Picture 81" descr="Line chart of Table 24 indicator 13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ig_76.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048000" cy="1295400"/>
                    </a:xfrm>
                    <a:prstGeom prst="rect">
                      <a:avLst/>
                    </a:prstGeom>
                  </pic:spPr>
                </pic:pic>
              </a:graphicData>
            </a:graphic>
          </wp:inline>
        </w:drawing>
      </w:r>
    </w:p>
    <w:p w14:paraId="0F5C4F32" w14:textId="77777777" w:rsidR="00D6403A" w:rsidRPr="00D6403A" w:rsidRDefault="00D6403A" w:rsidP="005939CC">
      <w:pPr>
        <w:pStyle w:val="Heading2"/>
        <w:rPr>
          <w:lang w:val="en-GB"/>
        </w:rPr>
      </w:pPr>
      <w:bookmarkStart w:id="90" w:name="_Toc159326648"/>
      <w:r w:rsidRPr="00D6403A">
        <w:rPr>
          <w:lang w:val="en-GB"/>
        </w:rPr>
        <w:lastRenderedPageBreak/>
        <w:t>Definition and data source</w:t>
      </w:r>
      <w:bookmarkEnd w:id="90"/>
    </w:p>
    <w:p w14:paraId="6356DCD8" w14:textId="77777777" w:rsidR="00D6403A" w:rsidRPr="00D6403A" w:rsidRDefault="00D6403A" w:rsidP="008340E5">
      <w:pPr>
        <w:pStyle w:val="Heading3"/>
        <w:rPr>
          <w:lang w:val="en-GB"/>
        </w:rPr>
      </w:pPr>
      <w:r w:rsidRPr="00D6403A">
        <w:rPr>
          <w:lang w:val="en-GB"/>
        </w:rPr>
        <w:t>Definition</w:t>
      </w:r>
    </w:p>
    <w:p w14:paraId="166346B4" w14:textId="77777777" w:rsidR="00D6403A" w:rsidRPr="00D6403A" w:rsidRDefault="00D6403A" w:rsidP="00862996">
      <w:pPr>
        <w:rPr>
          <w:lang w:val="en-GB"/>
        </w:rPr>
      </w:pPr>
      <w:r w:rsidRPr="00D6403A">
        <w:rPr>
          <w:lang w:val="en-GB"/>
        </w:rPr>
        <w:t>The proportion of women who had a severe PPH (blood loss of 1,500 mL or more) within the 24 hours following birth.</w:t>
      </w:r>
    </w:p>
    <w:p w14:paraId="799C2102" w14:textId="77777777" w:rsidR="00D6403A" w:rsidRPr="00D6403A" w:rsidRDefault="00D6403A" w:rsidP="008340E5">
      <w:pPr>
        <w:pStyle w:val="Heading3"/>
        <w:rPr>
          <w:lang w:val="en-GB"/>
        </w:rPr>
      </w:pPr>
      <w:r w:rsidRPr="00D6403A">
        <w:rPr>
          <w:lang w:val="en-GB"/>
        </w:rPr>
        <w:t>Data source: Victorian Perinatal Data Collection</w:t>
      </w:r>
    </w:p>
    <w:p w14:paraId="75AB3DB6" w14:textId="77777777" w:rsidR="00D6403A" w:rsidRPr="00D6403A" w:rsidRDefault="00D6403A" w:rsidP="00005134">
      <w:pPr>
        <w:rPr>
          <w:lang w:val="en-GB"/>
        </w:rPr>
      </w:pPr>
      <w:r w:rsidRPr="00D6403A">
        <w:rPr>
          <w:lang w:val="en-GB"/>
        </w:rPr>
        <w:t>Data for this indicator is sourced from the VPDC for the calendar year from 1 January 2021 to</w:t>
      </w:r>
      <w:r w:rsidRPr="00D6403A">
        <w:rPr>
          <w:rFonts w:ascii="Cambria" w:hAnsi="Cambria" w:cs="Cambria"/>
          <w:color w:val="000000"/>
          <w:lang w:val="en-GB"/>
        </w:rPr>
        <w:t> </w:t>
      </w:r>
      <w:r w:rsidRPr="00D6403A">
        <w:rPr>
          <w:lang w:val="en-GB"/>
        </w:rPr>
        <w:t>31</w:t>
      </w:r>
      <w:r w:rsidRPr="00D6403A">
        <w:rPr>
          <w:rFonts w:ascii="Cambria" w:hAnsi="Cambria" w:cs="Cambria"/>
          <w:color w:val="000000"/>
          <w:lang w:val="en-GB"/>
        </w:rPr>
        <w:t> </w:t>
      </w:r>
      <w:r w:rsidRPr="00D6403A">
        <w:rPr>
          <w:lang w:val="en-GB"/>
        </w:rPr>
        <w:t>December 2021.</w:t>
      </w:r>
    </w:p>
    <w:p w14:paraId="456B7637" w14:textId="77777777" w:rsidR="00D6403A" w:rsidRPr="00D6403A" w:rsidRDefault="00D6403A" w:rsidP="00862996">
      <w:pPr>
        <w:rPr>
          <w:lang w:val="en-GB"/>
        </w:rPr>
      </w:pPr>
      <w:r w:rsidRPr="00D6403A">
        <w:rPr>
          <w:lang w:val="en-GB"/>
        </w:rPr>
        <w:t>The indicator is derived using the following VPDC variables: ‘Estimated gestational age’, ‘Birthweight’, ‘Birth order’ and ‘Blood loss (mL)’.</w:t>
      </w:r>
    </w:p>
    <w:p w14:paraId="46A2E2A3" w14:textId="77777777" w:rsidR="00D6403A" w:rsidRPr="00D6403A" w:rsidRDefault="00D6403A" w:rsidP="00887B5A">
      <w:pPr>
        <w:pStyle w:val="Tablechartdiagramheading"/>
        <w:rPr>
          <w:lang w:val="en-GB"/>
        </w:rPr>
      </w:pPr>
      <w:r w:rsidRPr="00D6403A">
        <w:rPr>
          <w:lang w:val="en-GB"/>
        </w:rPr>
        <w:t>Numerator/denominator</w:t>
      </w:r>
    </w:p>
    <w:tbl>
      <w:tblPr>
        <w:tblStyle w:val="TableGrid"/>
        <w:tblW w:w="0" w:type="auto"/>
        <w:tblLayout w:type="fixed"/>
        <w:tblLook w:val="0020" w:firstRow="1" w:lastRow="0" w:firstColumn="0" w:lastColumn="0" w:noHBand="0" w:noVBand="0"/>
      </w:tblPr>
      <w:tblGrid>
        <w:gridCol w:w="3402"/>
        <w:gridCol w:w="3401"/>
        <w:gridCol w:w="3402"/>
      </w:tblGrid>
      <w:tr w:rsidR="00D6403A" w:rsidRPr="00D6403A" w14:paraId="0EB1FE8E" w14:textId="77777777" w:rsidTr="00E6458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402" w:type="dxa"/>
          </w:tcPr>
          <w:p w14:paraId="71DD6C11" w14:textId="77777777" w:rsidR="00D6403A" w:rsidRPr="00D6403A" w:rsidRDefault="00D6403A" w:rsidP="00E6458F">
            <w:pPr>
              <w:pStyle w:val="Tableheader"/>
              <w:rPr>
                <w:b/>
                <w:lang w:val="en-GB"/>
              </w:rPr>
            </w:pPr>
            <w:r w:rsidRPr="00D6403A">
              <w:rPr>
                <w:b/>
                <w:lang w:val="en-GB"/>
              </w:rPr>
              <w:t>Indicator</w:t>
            </w:r>
          </w:p>
        </w:tc>
        <w:tc>
          <w:tcPr>
            <w:cnfStyle w:val="000001000000" w:firstRow="0" w:lastRow="0" w:firstColumn="0" w:lastColumn="0" w:oddVBand="0" w:evenVBand="1" w:oddHBand="0" w:evenHBand="0" w:firstRowFirstColumn="0" w:firstRowLastColumn="0" w:lastRowFirstColumn="0" w:lastRowLastColumn="0"/>
            <w:tcW w:w="3401" w:type="dxa"/>
          </w:tcPr>
          <w:p w14:paraId="5687B4BF" w14:textId="77777777" w:rsidR="00D6403A" w:rsidRPr="00D6403A" w:rsidRDefault="00D6403A" w:rsidP="00E6458F">
            <w:pPr>
              <w:pStyle w:val="Tableheader"/>
              <w:rPr>
                <w:b/>
                <w:lang w:val="en-GB"/>
              </w:rPr>
            </w:pPr>
            <w:r w:rsidRPr="00D6403A">
              <w:rPr>
                <w:b/>
                <w:lang w:val="en-GB"/>
              </w:rPr>
              <w:t>Numerator</w:t>
            </w:r>
          </w:p>
        </w:tc>
        <w:tc>
          <w:tcPr>
            <w:cnfStyle w:val="000010000000" w:firstRow="0" w:lastRow="0" w:firstColumn="0" w:lastColumn="0" w:oddVBand="1" w:evenVBand="0" w:oddHBand="0" w:evenHBand="0" w:firstRowFirstColumn="0" w:firstRowLastColumn="0" w:lastRowFirstColumn="0" w:lastRowLastColumn="0"/>
            <w:tcW w:w="3402" w:type="dxa"/>
          </w:tcPr>
          <w:p w14:paraId="2F2DE4DF" w14:textId="77777777" w:rsidR="00D6403A" w:rsidRPr="00D6403A" w:rsidRDefault="00D6403A" w:rsidP="00E6458F">
            <w:pPr>
              <w:pStyle w:val="Tableheader"/>
              <w:rPr>
                <w:b/>
                <w:lang w:val="en-GB"/>
              </w:rPr>
            </w:pPr>
            <w:r w:rsidRPr="00D6403A">
              <w:rPr>
                <w:b/>
                <w:lang w:val="en-GB"/>
              </w:rPr>
              <w:t>Denominator</w:t>
            </w:r>
          </w:p>
        </w:tc>
      </w:tr>
      <w:tr w:rsidR="00D6403A" w:rsidRPr="00D6403A" w14:paraId="2973043C"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402" w:type="dxa"/>
          </w:tcPr>
          <w:p w14:paraId="5D7F4242" w14:textId="77777777" w:rsidR="00D6403A" w:rsidRPr="00E6458F" w:rsidRDefault="00D6403A" w:rsidP="00E6458F">
            <w:pPr>
              <w:pStyle w:val="Tabletext"/>
              <w:jc w:val="left"/>
              <w:rPr>
                <w:b/>
                <w:lang w:val="en-GB"/>
              </w:rPr>
            </w:pPr>
            <w:r w:rsidRPr="00E6458F">
              <w:rPr>
                <w:b/>
                <w:lang w:val="en-GB"/>
              </w:rPr>
              <w:t>Indicator 13: The rate of women with severe postpartum haemorrhage</w:t>
            </w:r>
          </w:p>
        </w:tc>
        <w:tc>
          <w:tcPr>
            <w:cnfStyle w:val="000001000000" w:firstRow="0" w:lastRow="0" w:firstColumn="0" w:lastColumn="0" w:oddVBand="0" w:evenVBand="1" w:oddHBand="0" w:evenHBand="0" w:firstRowFirstColumn="0" w:firstRowLastColumn="0" w:lastRowFirstColumn="0" w:lastRowLastColumn="0"/>
            <w:tcW w:w="3401" w:type="dxa"/>
          </w:tcPr>
          <w:p w14:paraId="761DD26A" w14:textId="77777777" w:rsidR="00D6403A" w:rsidRPr="00D6403A" w:rsidRDefault="00D6403A" w:rsidP="00E6458F">
            <w:pPr>
              <w:pStyle w:val="Tabletext"/>
              <w:jc w:val="left"/>
              <w:rPr>
                <w:lang w:val="en-US"/>
              </w:rPr>
            </w:pPr>
            <w:r w:rsidRPr="00D6403A">
              <w:rPr>
                <w:lang w:val="en-US"/>
              </w:rPr>
              <w:t xml:space="preserve">The number of women with blood loss of at least 1,500 mL </w:t>
            </w:r>
          </w:p>
        </w:tc>
        <w:tc>
          <w:tcPr>
            <w:cnfStyle w:val="000010000000" w:firstRow="0" w:lastRow="0" w:firstColumn="0" w:lastColumn="0" w:oddVBand="1" w:evenVBand="0" w:oddHBand="0" w:evenHBand="0" w:firstRowFirstColumn="0" w:firstRowLastColumn="0" w:lastRowFirstColumn="0" w:lastRowLastColumn="0"/>
            <w:tcW w:w="3402" w:type="dxa"/>
          </w:tcPr>
          <w:p w14:paraId="711E10AF" w14:textId="77777777" w:rsidR="00D6403A" w:rsidRPr="00D6403A" w:rsidRDefault="00D6403A" w:rsidP="00E6458F">
            <w:pPr>
              <w:pStyle w:val="Tabletext"/>
              <w:jc w:val="left"/>
              <w:rPr>
                <w:lang w:val="en-US"/>
              </w:rPr>
            </w:pPr>
            <w:r w:rsidRPr="00D6403A">
              <w:rPr>
                <w:lang w:val="en-US"/>
              </w:rPr>
              <w:t>The number of women who gave birth in Victoria</w:t>
            </w:r>
          </w:p>
        </w:tc>
      </w:tr>
    </w:tbl>
    <w:p w14:paraId="6B847755" w14:textId="77777777" w:rsidR="00E6458F" w:rsidRDefault="00E6458F" w:rsidP="00E6458F">
      <w:pPr>
        <w:sectPr w:rsidR="00E6458F" w:rsidSect="004D6F5F">
          <w:pgSz w:w="11901" w:h="16817" w:code="9"/>
          <w:pgMar w:top="3402" w:right="851" w:bottom="1361" w:left="851" w:header="539" w:footer="624" w:gutter="0"/>
          <w:cols w:space="284"/>
          <w:docGrid w:linePitch="360" w:charSpace="46114"/>
        </w:sectPr>
      </w:pPr>
      <w:bookmarkStart w:id="91" w:name="_Toc159326649"/>
    </w:p>
    <w:p w14:paraId="624C1F5F" w14:textId="6901220F" w:rsidR="00D6403A" w:rsidRPr="00E6458F" w:rsidRDefault="00D6403A" w:rsidP="00E6458F">
      <w:pPr>
        <w:pStyle w:val="Heading1"/>
        <w:framePr w:wrap="around"/>
      </w:pPr>
      <w:r w:rsidRPr="00E6458F">
        <w:lastRenderedPageBreak/>
        <w:t>Appendix 1: Data sources and</w:t>
      </w:r>
      <w:bookmarkEnd w:id="91"/>
      <w:r w:rsidRPr="00E6458F">
        <w:t> reporting rules</w:t>
      </w:r>
    </w:p>
    <w:p w14:paraId="1D5C6A10" w14:textId="77777777" w:rsidR="00D6403A" w:rsidRPr="00D6403A" w:rsidRDefault="00D6403A" w:rsidP="00862996">
      <w:pPr>
        <w:rPr>
          <w:lang w:val="en-GB"/>
        </w:rPr>
      </w:pPr>
      <w:r w:rsidRPr="00D6403A">
        <w:rPr>
          <w:lang w:val="en-GB"/>
        </w:rPr>
        <w:t>Safer Care Victoria, the Victorian Agency for Health Information and the Department of Health manage the health data collections used for this report:</w:t>
      </w:r>
    </w:p>
    <w:p w14:paraId="7D5DA686" w14:textId="77777777" w:rsidR="00D6403A" w:rsidRPr="00D6403A" w:rsidRDefault="00D6403A" w:rsidP="00E6458F">
      <w:pPr>
        <w:pStyle w:val="Bullet1"/>
        <w:rPr>
          <w:lang w:val="en-GB"/>
        </w:rPr>
      </w:pPr>
      <w:r w:rsidRPr="0099763F">
        <w:rPr>
          <w:rFonts w:cstheme="minorHAnsi"/>
          <w:b/>
        </w:rPr>
        <w:t>Victorian Perinatal Data Collection:</w:t>
      </w:r>
      <w:r w:rsidRPr="00D6403A">
        <w:rPr>
          <w:lang w:val="en-GB"/>
        </w:rPr>
        <w:t xml:space="preserve"> Victorian public and private health services are required to submit specific data to the Consultative Council on Obstetric and Paediatric Mortality and Morbidity.</w:t>
      </w:r>
    </w:p>
    <w:p w14:paraId="0CCA6429" w14:textId="77777777" w:rsidR="00D6403A" w:rsidRPr="00D6403A" w:rsidRDefault="00D6403A" w:rsidP="00E6458F">
      <w:pPr>
        <w:pStyle w:val="Bullet1"/>
        <w:rPr>
          <w:lang w:val="en-GB"/>
        </w:rPr>
      </w:pPr>
      <w:r w:rsidRPr="0099763F">
        <w:rPr>
          <w:rFonts w:cstheme="minorHAnsi"/>
          <w:b/>
        </w:rPr>
        <w:t>Victorian Healthcare Experience Survey</w:t>
      </w:r>
      <w:r w:rsidRPr="00D6403A">
        <w:rPr>
          <w:lang w:val="en-GB"/>
        </w:rPr>
        <w:t xml:space="preserve"> collects data for public health services only.</w:t>
      </w:r>
    </w:p>
    <w:p w14:paraId="4B712793" w14:textId="77777777" w:rsidR="00D6403A" w:rsidRPr="00D6403A" w:rsidRDefault="00D6403A" w:rsidP="00E6458F">
      <w:pPr>
        <w:pStyle w:val="Bullet1"/>
        <w:rPr>
          <w:lang w:val="en-GB"/>
        </w:rPr>
      </w:pPr>
      <w:r w:rsidRPr="00D6403A">
        <w:rPr>
          <w:rFonts w:ascii="VIC SemiBold" w:hAnsi="VIC SemiBold" w:cs="VIC SemiBold"/>
          <w:b/>
          <w:bCs/>
          <w:lang w:val="en-GB"/>
        </w:rPr>
        <w:t>Victorian Admitted Episodes Dataset:</w:t>
      </w:r>
      <w:r w:rsidRPr="00D6403A">
        <w:t xml:space="preserve"> Victorian public and private health services are required to</w:t>
      </w:r>
      <w:r w:rsidRPr="00D6403A">
        <w:rPr>
          <w:rFonts w:ascii="Cambria" w:hAnsi="Cambria" w:cs="Cambria"/>
          <w:lang w:val="en-GB"/>
        </w:rPr>
        <w:t> </w:t>
      </w:r>
      <w:r w:rsidRPr="00D6403A">
        <w:rPr>
          <w:lang w:val="en-GB"/>
        </w:rPr>
        <w:t>submit specific hospital admissions data.</w:t>
      </w:r>
    </w:p>
    <w:p w14:paraId="4F081276" w14:textId="77777777" w:rsidR="00D6403A" w:rsidRPr="00D6403A" w:rsidRDefault="00D6403A" w:rsidP="00D6403A">
      <w:r w:rsidRPr="00D6403A">
        <w:rPr>
          <w:lang w:val="en-GB"/>
        </w:rPr>
        <w:t>More information on the data sources and the business rules for each indicator can be found under each</w:t>
      </w:r>
      <w:r w:rsidRPr="00D6403A">
        <w:rPr>
          <w:rFonts w:ascii="Cambria" w:hAnsi="Cambria" w:cs="Cambria"/>
          <w:lang w:val="en-GB"/>
        </w:rPr>
        <w:t> </w:t>
      </w:r>
      <w:r w:rsidRPr="00D6403A">
        <w:t>indicator.</w:t>
      </w:r>
    </w:p>
    <w:p w14:paraId="03B90D77" w14:textId="77777777" w:rsidR="00D6403A" w:rsidRPr="00D6403A" w:rsidRDefault="00D6403A" w:rsidP="00862996">
      <w:pPr>
        <w:rPr>
          <w:lang w:val="en-GB"/>
        </w:rPr>
      </w:pPr>
      <w:r w:rsidRPr="00D6403A">
        <w:rPr>
          <w:lang w:val="en-GB"/>
        </w:rPr>
        <w:t>When interpreting the data in this report, it is important to note the following:</w:t>
      </w:r>
    </w:p>
    <w:p w14:paraId="6D46447A" w14:textId="77777777" w:rsidR="00D6403A" w:rsidRPr="00D6403A" w:rsidRDefault="00D6403A" w:rsidP="00E6458F">
      <w:pPr>
        <w:pStyle w:val="Bullet1"/>
        <w:rPr>
          <w:lang w:val="en-GB"/>
        </w:rPr>
      </w:pPr>
      <w:r w:rsidRPr="00D6403A">
        <w:t>Apart from Indicator 5, data is only reported when a health service has had a minimum of 10</w:t>
      </w:r>
      <w:r w:rsidRPr="00D6403A">
        <w:rPr>
          <w:rFonts w:ascii="Cambria" w:hAnsi="Cambria" w:cs="Cambria"/>
          <w:lang w:val="en-GB"/>
        </w:rPr>
        <w:t> </w:t>
      </w:r>
      <w:r w:rsidRPr="00D6403A">
        <w:rPr>
          <w:lang w:val="en-GB"/>
        </w:rPr>
        <w:t>occasions for an event (denominator). For example, a hospital that has had fewer than 10 standard primiparae give birth in 2021 (denominator) will not be included in the results for Indicator 1a.</w:t>
      </w:r>
    </w:p>
    <w:p w14:paraId="3BBDE9A4" w14:textId="77777777" w:rsidR="00D6403A" w:rsidRPr="00D6403A" w:rsidRDefault="00D6403A" w:rsidP="00E6458F">
      <w:pPr>
        <w:pStyle w:val="Bullet1"/>
      </w:pPr>
      <w:r w:rsidRPr="00D6403A">
        <w:rPr>
          <w:lang w:val="en-GB"/>
        </w:rPr>
        <w:t>Due to small numbers, data from smaller health services are subject to wide variation and should be</w:t>
      </w:r>
      <w:r w:rsidRPr="00D6403A">
        <w:rPr>
          <w:rFonts w:ascii="Cambria" w:hAnsi="Cambria" w:cs="Cambria"/>
          <w:lang w:val="en-GB"/>
        </w:rPr>
        <w:t> </w:t>
      </w:r>
      <w:r w:rsidRPr="00D6403A">
        <w:t>interpreted with caution.</w:t>
      </w:r>
    </w:p>
    <w:p w14:paraId="7FB91303" w14:textId="77777777" w:rsidR="00D6403A" w:rsidRPr="00D6403A" w:rsidRDefault="00D6403A" w:rsidP="00005134">
      <w:pPr>
        <w:pStyle w:val="Bullet1"/>
        <w:rPr>
          <w:lang w:val="en-GB"/>
        </w:rPr>
      </w:pPr>
      <w:r w:rsidRPr="00D6403A">
        <w:rPr>
          <w:lang w:val="en-GB"/>
        </w:rPr>
        <w:t>Private patients admitted to a public health service are reported in the results for the relevant public health service.</w:t>
      </w:r>
    </w:p>
    <w:p w14:paraId="7A1B6381" w14:textId="77777777" w:rsidR="00D6403A" w:rsidRPr="00D6403A" w:rsidRDefault="00D6403A" w:rsidP="00005134">
      <w:pPr>
        <w:pStyle w:val="Bullet1"/>
        <w:rPr>
          <w:lang w:val="en-GB"/>
        </w:rPr>
      </w:pPr>
      <w:r w:rsidRPr="00D6403A">
        <w:rPr>
          <w:lang w:val="en-GB"/>
        </w:rPr>
        <w:t>Outcomes for public health services are presented in order of clustered maternity service capability and then by the number of women who gave birth at each health service in 2021 (in descending order so hospitals with more births in each capability level appear first).</w:t>
      </w:r>
    </w:p>
    <w:p w14:paraId="07C5512A" w14:textId="77777777" w:rsidR="00D6403A" w:rsidRPr="00D6403A" w:rsidRDefault="00D6403A" w:rsidP="00D6403A">
      <w:pPr>
        <w:tabs>
          <w:tab w:val="left" w:pos="283"/>
        </w:tabs>
        <w:suppressAutoHyphens/>
        <w:autoSpaceDE w:val="0"/>
        <w:autoSpaceDN w:val="0"/>
        <w:adjustRightInd w:val="0"/>
        <w:spacing w:before="0" w:after="57"/>
        <w:ind w:left="283" w:hanging="283"/>
        <w:textAlignment w:val="center"/>
        <w:rPr>
          <w:lang w:val="en-GB"/>
        </w:rPr>
      </w:pPr>
      <w:r w:rsidRPr="00D6403A">
        <w:rPr>
          <w:lang w:val="en-GB"/>
        </w:rPr>
        <w:t>Outcomes for private health services are presented in descending order according to the number of</w:t>
      </w:r>
      <w:r w:rsidRPr="00D6403A">
        <w:rPr>
          <w:rFonts w:ascii="Cambria" w:hAnsi="Cambria" w:cs="Cambria"/>
          <w:color w:val="000000"/>
          <w:lang w:val="en-GB"/>
        </w:rPr>
        <w:t> </w:t>
      </w:r>
      <w:r w:rsidRPr="00D6403A">
        <w:rPr>
          <w:lang w:val="en-GB"/>
        </w:rPr>
        <w:t>women who gave birth at each health service in 2021.</w:t>
      </w:r>
    </w:p>
    <w:p w14:paraId="37C77121" w14:textId="77777777" w:rsidR="00D6403A" w:rsidRPr="00D6403A" w:rsidRDefault="00D6403A" w:rsidP="00005134">
      <w:pPr>
        <w:pStyle w:val="Bullet1"/>
        <w:rPr>
          <w:lang w:val="en-GB"/>
        </w:rPr>
      </w:pPr>
      <w:r w:rsidRPr="00D6403A">
        <w:rPr>
          <w:lang w:val="en-GB"/>
        </w:rPr>
        <w:t>Although the statewide rates provided for each indicator are a suitable measure for comparing health services, they do not necessarily represent the optimal rate.</w:t>
      </w:r>
    </w:p>
    <w:p w14:paraId="794BD3A7" w14:textId="77777777" w:rsidR="00D6403A" w:rsidRPr="00D6403A" w:rsidRDefault="00D6403A" w:rsidP="00005134">
      <w:pPr>
        <w:pStyle w:val="Bullet1"/>
        <w:rPr>
          <w:lang w:val="en-GB"/>
        </w:rPr>
      </w:pPr>
      <w:r w:rsidRPr="00D6403A">
        <w:rPr>
          <w:lang w:val="en-GB"/>
        </w:rPr>
        <w:t>The indicators in this report do not adjust for maternal characteristics such as obesity, mental health conditions, chronic illnesses, socioeconomic status or IVF pregnancies. Health services should consider individual patient profiles when reviewing their data.</w:t>
      </w:r>
    </w:p>
    <w:p w14:paraId="6D03B79C" w14:textId="77777777" w:rsidR="00D6403A" w:rsidRPr="00D6403A" w:rsidRDefault="00D6403A" w:rsidP="00005134">
      <w:pPr>
        <w:pStyle w:val="Bullet1"/>
        <w:rPr>
          <w:lang w:val="en-GB"/>
        </w:rPr>
      </w:pPr>
      <w:r w:rsidRPr="00D6403A">
        <w:rPr>
          <w:lang w:val="en-GB"/>
        </w:rPr>
        <w:t>Some of the variation between hospitals may reflect incomplete reporting. To ensure the accuracy of indicators, health services should make sure they have accurate capture and reporting of diagnostic and treatment codes.</w:t>
      </w:r>
    </w:p>
    <w:p w14:paraId="42A7C4F2" w14:textId="77777777" w:rsidR="00D6403A" w:rsidRPr="00D6403A" w:rsidRDefault="00D6403A" w:rsidP="00D6403A">
      <w:pPr>
        <w:pStyle w:val="Heading1"/>
        <w:framePr w:wrap="around"/>
        <w:rPr>
          <w:lang w:val="en-GB"/>
        </w:rPr>
      </w:pPr>
    </w:p>
    <w:p w14:paraId="4D32C82C" w14:textId="77777777" w:rsidR="00E6458F" w:rsidRDefault="00E6458F" w:rsidP="00E6458F">
      <w:pPr>
        <w:sectPr w:rsidR="00E6458F" w:rsidSect="004D6F5F">
          <w:pgSz w:w="11901" w:h="16817" w:code="9"/>
          <w:pgMar w:top="3402" w:right="851" w:bottom="1361" w:left="851" w:header="539" w:footer="624" w:gutter="0"/>
          <w:cols w:space="284"/>
          <w:docGrid w:linePitch="360" w:charSpace="46114"/>
        </w:sectPr>
      </w:pPr>
      <w:bookmarkStart w:id="92" w:name="_Toc159326650"/>
    </w:p>
    <w:p w14:paraId="393B59B2" w14:textId="6365A333" w:rsidR="00D6403A" w:rsidRPr="00E6458F" w:rsidRDefault="00D6403A" w:rsidP="00E6458F">
      <w:pPr>
        <w:pStyle w:val="Heading1"/>
        <w:framePr w:wrap="around"/>
      </w:pPr>
      <w:r w:rsidRPr="00E6458F">
        <w:lastRenderedPageBreak/>
        <w:t>Appendix 2: Total women and babies in</w:t>
      </w:r>
      <w:bookmarkEnd w:id="92"/>
      <w:r w:rsidRPr="00E6458F">
        <w:t> Victorian maternity services 2021</w:t>
      </w:r>
    </w:p>
    <w:p w14:paraId="34ECDD14" w14:textId="77777777" w:rsidR="00D6403A" w:rsidRPr="00D6403A" w:rsidRDefault="00D6403A" w:rsidP="00887B5A">
      <w:pPr>
        <w:pStyle w:val="Tablechartdiagramheading"/>
        <w:rPr>
          <w:lang w:val="en-GB"/>
        </w:rPr>
      </w:pPr>
      <w:r w:rsidRPr="00D6403A">
        <w:rPr>
          <w:lang w:val="en-GB"/>
        </w:rPr>
        <w:t>Table 25. Total number of women and babies, by maternity service of birth, 2021</w:t>
      </w:r>
    </w:p>
    <w:tbl>
      <w:tblPr>
        <w:tblStyle w:val="TableGrid"/>
        <w:tblW w:w="0" w:type="auto"/>
        <w:tblLayout w:type="fixed"/>
        <w:tblLook w:val="0020" w:firstRow="1" w:lastRow="0" w:firstColumn="0" w:lastColumn="0" w:noHBand="0" w:noVBand="0"/>
      </w:tblPr>
      <w:tblGrid>
        <w:gridCol w:w="3033"/>
        <w:gridCol w:w="3033"/>
        <w:gridCol w:w="1531"/>
        <w:gridCol w:w="1304"/>
        <w:gridCol w:w="1304"/>
      </w:tblGrid>
      <w:tr w:rsidR="00D6403A" w:rsidRPr="00D6403A" w14:paraId="3E9EAB91" w14:textId="77777777" w:rsidTr="00E6458F">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3033" w:type="dxa"/>
          </w:tcPr>
          <w:p w14:paraId="7DEA12D1" w14:textId="77777777" w:rsidR="00D6403A" w:rsidRPr="00E6458F" w:rsidRDefault="00D6403A" w:rsidP="00E6458F">
            <w:pPr>
              <w:pStyle w:val="Tableheader"/>
              <w:rPr>
                <w:b/>
                <w:lang w:val="en-GB"/>
              </w:rPr>
            </w:pPr>
            <w:r w:rsidRPr="00E6458F">
              <w:rPr>
                <w:b/>
                <w:lang w:val="en-GB"/>
              </w:rPr>
              <w:t>Health service</w:t>
            </w:r>
          </w:p>
        </w:tc>
        <w:tc>
          <w:tcPr>
            <w:cnfStyle w:val="000001000000" w:firstRow="0" w:lastRow="0" w:firstColumn="0" w:lastColumn="0" w:oddVBand="0" w:evenVBand="1" w:oddHBand="0" w:evenHBand="0" w:firstRowFirstColumn="0" w:firstRowLastColumn="0" w:lastRowFirstColumn="0" w:lastRowLastColumn="0"/>
            <w:tcW w:w="3033" w:type="dxa"/>
          </w:tcPr>
          <w:p w14:paraId="17E0D1DE" w14:textId="77777777" w:rsidR="00D6403A" w:rsidRPr="00E6458F" w:rsidRDefault="00D6403A" w:rsidP="00E6458F">
            <w:pPr>
              <w:pStyle w:val="Tableheader"/>
              <w:rPr>
                <w:b/>
                <w:lang w:val="en-GB"/>
              </w:rPr>
            </w:pPr>
            <w:r w:rsidRPr="00E6458F">
              <w:rPr>
                <w:b/>
                <w:lang w:val="en-GB"/>
              </w:rPr>
              <w:t>Hospital campus</w:t>
            </w:r>
          </w:p>
        </w:tc>
        <w:tc>
          <w:tcPr>
            <w:cnfStyle w:val="000010000000" w:firstRow="0" w:lastRow="0" w:firstColumn="0" w:lastColumn="0" w:oddVBand="1" w:evenVBand="0" w:oddHBand="0" w:evenHBand="0" w:firstRowFirstColumn="0" w:firstRowLastColumn="0" w:lastRowFirstColumn="0" w:lastRowLastColumn="0"/>
            <w:tcW w:w="1531" w:type="dxa"/>
          </w:tcPr>
          <w:p w14:paraId="26DFE188" w14:textId="77777777" w:rsidR="00D6403A" w:rsidRPr="00E6458F" w:rsidRDefault="00D6403A" w:rsidP="00E6458F">
            <w:pPr>
              <w:pStyle w:val="Tableheader"/>
              <w:jc w:val="right"/>
              <w:rPr>
                <w:b/>
                <w:lang w:val="en-GB"/>
              </w:rPr>
            </w:pPr>
            <w:r w:rsidRPr="00E6458F">
              <w:rPr>
                <w:b/>
              </w:rPr>
              <w:t>Maternal capability level of</w:t>
            </w:r>
            <w:r w:rsidRPr="00E6458F">
              <w:rPr>
                <w:rFonts w:ascii="Cambria" w:hAnsi="Cambria" w:cs="Cambria"/>
                <w:b/>
                <w:lang w:val="en-GB"/>
              </w:rPr>
              <w:t> </w:t>
            </w:r>
            <w:r w:rsidRPr="00E6458F">
              <w:rPr>
                <w:b/>
                <w:lang w:val="en-GB"/>
              </w:rPr>
              <w:t>service*</w:t>
            </w:r>
          </w:p>
        </w:tc>
        <w:tc>
          <w:tcPr>
            <w:cnfStyle w:val="000001000000" w:firstRow="0" w:lastRow="0" w:firstColumn="0" w:lastColumn="0" w:oddVBand="0" w:evenVBand="1" w:oddHBand="0" w:evenHBand="0" w:firstRowFirstColumn="0" w:firstRowLastColumn="0" w:lastRowFirstColumn="0" w:lastRowLastColumn="0"/>
            <w:tcW w:w="1304" w:type="dxa"/>
          </w:tcPr>
          <w:p w14:paraId="75DBD480" w14:textId="77777777" w:rsidR="00D6403A" w:rsidRPr="00E6458F" w:rsidRDefault="00D6403A" w:rsidP="00E6458F">
            <w:pPr>
              <w:pStyle w:val="Tableheader"/>
              <w:jc w:val="right"/>
              <w:rPr>
                <w:b/>
                <w:lang w:val="en-GB"/>
              </w:rPr>
            </w:pPr>
            <w:r w:rsidRPr="00E6458F">
              <w:rPr>
                <w:b/>
              </w:rPr>
              <w:t>Number of</w:t>
            </w:r>
            <w:r w:rsidRPr="00E6458F">
              <w:rPr>
                <w:rFonts w:ascii="Cambria" w:hAnsi="Cambria" w:cs="Cambria"/>
                <w:b/>
                <w:lang w:val="en-GB"/>
              </w:rPr>
              <w:t> </w:t>
            </w:r>
            <w:r w:rsidRPr="00E6458F">
              <w:rPr>
                <w:b/>
                <w:lang w:val="en-GB"/>
              </w:rPr>
              <w:t>women</w:t>
            </w:r>
          </w:p>
        </w:tc>
        <w:tc>
          <w:tcPr>
            <w:cnfStyle w:val="000010000000" w:firstRow="0" w:lastRow="0" w:firstColumn="0" w:lastColumn="0" w:oddVBand="1" w:evenVBand="0" w:oddHBand="0" w:evenHBand="0" w:firstRowFirstColumn="0" w:firstRowLastColumn="0" w:lastRowFirstColumn="0" w:lastRowLastColumn="0"/>
            <w:tcW w:w="1304" w:type="dxa"/>
          </w:tcPr>
          <w:p w14:paraId="0D743840" w14:textId="77777777" w:rsidR="00D6403A" w:rsidRPr="00E6458F" w:rsidRDefault="00D6403A" w:rsidP="00E6458F">
            <w:pPr>
              <w:pStyle w:val="Tableheader"/>
              <w:jc w:val="right"/>
              <w:rPr>
                <w:b/>
                <w:lang w:val="en-GB"/>
              </w:rPr>
            </w:pPr>
            <w:r w:rsidRPr="00E6458F">
              <w:rPr>
                <w:b/>
              </w:rPr>
              <w:t>Number of</w:t>
            </w:r>
            <w:r w:rsidRPr="00E6458F">
              <w:rPr>
                <w:rFonts w:ascii="Cambria" w:hAnsi="Cambria" w:cs="Cambria"/>
                <w:b/>
                <w:lang w:val="en-GB"/>
              </w:rPr>
              <w:t> </w:t>
            </w:r>
            <w:r w:rsidRPr="00E6458F">
              <w:rPr>
                <w:b/>
                <w:lang w:val="en-GB"/>
              </w:rPr>
              <w:t>babies</w:t>
            </w:r>
          </w:p>
        </w:tc>
      </w:tr>
      <w:tr w:rsidR="00D6403A" w:rsidRPr="00D6403A" w14:paraId="0847726C"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6828BBFB" w14:textId="77777777" w:rsidR="00D6403A" w:rsidRPr="00AE4C75" w:rsidRDefault="00D6403A" w:rsidP="00E6458F">
            <w:pPr>
              <w:pStyle w:val="Tabletext"/>
              <w:jc w:val="left"/>
              <w:rPr>
                <w:rFonts w:ascii="VIC" w:hAnsi="VIC" w:cs="VIC"/>
                <w:b/>
                <w:lang w:val="en-US"/>
              </w:rPr>
            </w:pPr>
            <w:r w:rsidRPr="00AE4C75">
              <w:rPr>
                <w:b/>
                <w:lang w:val="en-US"/>
              </w:rPr>
              <w:t>The Royal Women’s Hospital</w:t>
            </w:r>
          </w:p>
        </w:tc>
        <w:tc>
          <w:tcPr>
            <w:cnfStyle w:val="000001000000" w:firstRow="0" w:lastRow="0" w:firstColumn="0" w:lastColumn="0" w:oddVBand="0" w:evenVBand="1" w:oddHBand="0" w:evenHBand="0" w:firstRowFirstColumn="0" w:firstRowLastColumn="0" w:lastRowFirstColumn="0" w:lastRowLastColumn="0"/>
            <w:tcW w:w="3033" w:type="dxa"/>
          </w:tcPr>
          <w:p w14:paraId="7DC07202" w14:textId="77777777" w:rsidR="00D6403A" w:rsidRPr="00D6403A" w:rsidRDefault="00D6403A" w:rsidP="00E6458F">
            <w:pPr>
              <w:pStyle w:val="Tabletext"/>
              <w:jc w:val="left"/>
              <w:rPr>
                <w:lang w:val="en-US"/>
              </w:rPr>
            </w:pPr>
            <w:r w:rsidRPr="00D6403A">
              <w:rPr>
                <w:lang w:val="en-US"/>
              </w:rPr>
              <w:t>The Royal Women’s Hospital</w:t>
            </w:r>
          </w:p>
        </w:tc>
        <w:tc>
          <w:tcPr>
            <w:cnfStyle w:val="000010000000" w:firstRow="0" w:lastRow="0" w:firstColumn="0" w:lastColumn="0" w:oddVBand="1" w:evenVBand="0" w:oddHBand="0" w:evenHBand="0" w:firstRowFirstColumn="0" w:firstRowLastColumn="0" w:lastRowFirstColumn="0" w:lastRowLastColumn="0"/>
            <w:tcW w:w="1531" w:type="dxa"/>
          </w:tcPr>
          <w:p w14:paraId="5AE2B128" w14:textId="77777777" w:rsidR="00D6403A" w:rsidRPr="00D6403A" w:rsidRDefault="00D6403A" w:rsidP="00AE4C75">
            <w:pPr>
              <w:pStyle w:val="Tabletext"/>
              <w:rPr>
                <w:lang w:val="en-US"/>
              </w:rPr>
            </w:pPr>
            <w:r w:rsidRPr="00D6403A">
              <w:rPr>
                <w:lang w:val="en-US"/>
              </w:rPr>
              <w:t>6</w:t>
            </w:r>
          </w:p>
        </w:tc>
        <w:tc>
          <w:tcPr>
            <w:cnfStyle w:val="000001000000" w:firstRow="0" w:lastRow="0" w:firstColumn="0" w:lastColumn="0" w:oddVBand="0" w:evenVBand="1" w:oddHBand="0" w:evenHBand="0" w:firstRowFirstColumn="0" w:firstRowLastColumn="0" w:lastRowFirstColumn="0" w:lastRowLastColumn="0"/>
            <w:tcW w:w="1304" w:type="dxa"/>
          </w:tcPr>
          <w:p w14:paraId="45B3443E" w14:textId="77777777" w:rsidR="00D6403A" w:rsidRPr="00D6403A" w:rsidRDefault="00D6403A" w:rsidP="00AE4C75">
            <w:pPr>
              <w:pStyle w:val="Tabletext"/>
              <w:rPr>
                <w:lang w:val="en-US"/>
              </w:rPr>
            </w:pPr>
            <w:r w:rsidRPr="00D6403A">
              <w:rPr>
                <w:lang w:val="en-US"/>
              </w:rPr>
              <w:t>7,161</w:t>
            </w:r>
          </w:p>
        </w:tc>
        <w:tc>
          <w:tcPr>
            <w:cnfStyle w:val="000010000000" w:firstRow="0" w:lastRow="0" w:firstColumn="0" w:lastColumn="0" w:oddVBand="1" w:evenVBand="0" w:oddHBand="0" w:evenHBand="0" w:firstRowFirstColumn="0" w:firstRowLastColumn="0" w:lastRowFirstColumn="0" w:lastRowLastColumn="0"/>
            <w:tcW w:w="1304" w:type="dxa"/>
          </w:tcPr>
          <w:p w14:paraId="094DC9E8" w14:textId="77777777" w:rsidR="00D6403A" w:rsidRPr="00D6403A" w:rsidRDefault="00D6403A" w:rsidP="00AE4C75">
            <w:pPr>
              <w:pStyle w:val="Tabletext"/>
              <w:rPr>
                <w:lang w:val="en-US"/>
              </w:rPr>
            </w:pPr>
            <w:r w:rsidRPr="00D6403A">
              <w:rPr>
                <w:lang w:val="en-US"/>
              </w:rPr>
              <w:t>7,353</w:t>
            </w:r>
          </w:p>
        </w:tc>
      </w:tr>
      <w:tr w:rsidR="00D6403A" w:rsidRPr="00D6403A" w14:paraId="1FC921C0"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37FD41FF" w14:textId="77777777" w:rsidR="00D6403A" w:rsidRPr="00AE4C75" w:rsidRDefault="00D6403A" w:rsidP="00E6458F">
            <w:pPr>
              <w:pStyle w:val="Tabletext"/>
              <w:jc w:val="left"/>
              <w:rPr>
                <w:rFonts w:ascii="VIC" w:hAnsi="VIC" w:cs="VIC"/>
                <w:b/>
                <w:lang w:val="en-US"/>
              </w:rPr>
            </w:pPr>
            <w:r w:rsidRPr="00AE4C75">
              <w:rPr>
                <w:b/>
                <w:lang w:val="en-US"/>
              </w:rPr>
              <w:t>Western Health</w:t>
            </w:r>
          </w:p>
        </w:tc>
        <w:tc>
          <w:tcPr>
            <w:cnfStyle w:val="000001000000" w:firstRow="0" w:lastRow="0" w:firstColumn="0" w:lastColumn="0" w:oddVBand="0" w:evenVBand="1" w:oddHBand="0" w:evenHBand="0" w:firstRowFirstColumn="0" w:firstRowLastColumn="0" w:lastRowFirstColumn="0" w:lastRowLastColumn="0"/>
            <w:tcW w:w="3033" w:type="dxa"/>
          </w:tcPr>
          <w:p w14:paraId="09D9A649" w14:textId="77777777" w:rsidR="00D6403A" w:rsidRPr="00D6403A" w:rsidRDefault="00D6403A" w:rsidP="00E6458F">
            <w:pPr>
              <w:pStyle w:val="Tabletext"/>
              <w:jc w:val="left"/>
              <w:rPr>
                <w:lang w:val="en-US"/>
              </w:rPr>
            </w:pPr>
            <w:r w:rsidRPr="00D6403A">
              <w:rPr>
                <w:lang w:val="en-US"/>
              </w:rPr>
              <w:t>Sunshine Hospital</w:t>
            </w:r>
          </w:p>
        </w:tc>
        <w:tc>
          <w:tcPr>
            <w:cnfStyle w:val="000010000000" w:firstRow="0" w:lastRow="0" w:firstColumn="0" w:lastColumn="0" w:oddVBand="1" w:evenVBand="0" w:oddHBand="0" w:evenHBand="0" w:firstRowFirstColumn="0" w:firstRowLastColumn="0" w:lastRowFirstColumn="0" w:lastRowLastColumn="0"/>
            <w:tcW w:w="1531" w:type="dxa"/>
          </w:tcPr>
          <w:p w14:paraId="7DCCFF67" w14:textId="77777777" w:rsidR="00D6403A" w:rsidRPr="00D6403A" w:rsidRDefault="00D6403A" w:rsidP="00AE4C75">
            <w:pPr>
              <w:pStyle w:val="Tabletext"/>
              <w:rPr>
                <w:lang w:val="en-US"/>
              </w:rPr>
            </w:pPr>
            <w:r w:rsidRPr="00D6403A">
              <w:rPr>
                <w:lang w:val="en-US"/>
              </w:rPr>
              <w:t>6</w:t>
            </w:r>
          </w:p>
        </w:tc>
        <w:tc>
          <w:tcPr>
            <w:cnfStyle w:val="000001000000" w:firstRow="0" w:lastRow="0" w:firstColumn="0" w:lastColumn="0" w:oddVBand="0" w:evenVBand="1" w:oddHBand="0" w:evenHBand="0" w:firstRowFirstColumn="0" w:firstRowLastColumn="0" w:lastRowFirstColumn="0" w:lastRowLastColumn="0"/>
            <w:tcW w:w="1304" w:type="dxa"/>
          </w:tcPr>
          <w:p w14:paraId="3C6F1E29" w14:textId="77777777" w:rsidR="00D6403A" w:rsidRPr="00D6403A" w:rsidRDefault="00D6403A" w:rsidP="00AE4C75">
            <w:pPr>
              <w:pStyle w:val="Tabletext"/>
              <w:rPr>
                <w:lang w:val="en-US"/>
              </w:rPr>
            </w:pPr>
            <w:r w:rsidRPr="00D6403A">
              <w:rPr>
                <w:lang w:val="en-US"/>
              </w:rPr>
              <w:t>6,592</w:t>
            </w:r>
          </w:p>
        </w:tc>
        <w:tc>
          <w:tcPr>
            <w:cnfStyle w:val="000010000000" w:firstRow="0" w:lastRow="0" w:firstColumn="0" w:lastColumn="0" w:oddVBand="1" w:evenVBand="0" w:oddHBand="0" w:evenHBand="0" w:firstRowFirstColumn="0" w:firstRowLastColumn="0" w:lastRowFirstColumn="0" w:lastRowLastColumn="0"/>
            <w:tcW w:w="1304" w:type="dxa"/>
          </w:tcPr>
          <w:p w14:paraId="0DE4DB98" w14:textId="77777777" w:rsidR="00D6403A" w:rsidRPr="00D6403A" w:rsidRDefault="00D6403A" w:rsidP="00AE4C75">
            <w:pPr>
              <w:pStyle w:val="Tabletext"/>
              <w:rPr>
                <w:lang w:val="en-US"/>
              </w:rPr>
            </w:pPr>
            <w:r w:rsidRPr="00D6403A">
              <w:rPr>
                <w:lang w:val="en-US"/>
              </w:rPr>
              <w:t>6,676</w:t>
            </w:r>
          </w:p>
        </w:tc>
      </w:tr>
      <w:tr w:rsidR="00D6403A" w:rsidRPr="00D6403A" w14:paraId="13486884"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22079D4" w14:textId="77777777" w:rsidR="00D6403A" w:rsidRPr="00AE4C75" w:rsidRDefault="00D6403A" w:rsidP="00E6458F">
            <w:pPr>
              <w:pStyle w:val="Tabletext"/>
              <w:jc w:val="left"/>
              <w:rPr>
                <w:rFonts w:ascii="VIC" w:hAnsi="VIC" w:cs="VIC"/>
                <w:b/>
                <w:lang w:val="en-US"/>
              </w:rPr>
            </w:pPr>
            <w:r w:rsidRPr="00AE4C75">
              <w:rPr>
                <w:b/>
                <w:lang w:val="en-US"/>
              </w:rPr>
              <w:t>Mercy Hospitals Victoria Ltd</w:t>
            </w:r>
          </w:p>
        </w:tc>
        <w:tc>
          <w:tcPr>
            <w:cnfStyle w:val="000001000000" w:firstRow="0" w:lastRow="0" w:firstColumn="0" w:lastColumn="0" w:oddVBand="0" w:evenVBand="1" w:oddHBand="0" w:evenHBand="0" w:firstRowFirstColumn="0" w:firstRowLastColumn="0" w:lastRowFirstColumn="0" w:lastRowLastColumn="0"/>
            <w:tcW w:w="3033" w:type="dxa"/>
          </w:tcPr>
          <w:p w14:paraId="32EE5A89" w14:textId="77777777" w:rsidR="00D6403A" w:rsidRPr="00D6403A" w:rsidRDefault="00D6403A" w:rsidP="00E6458F">
            <w:pPr>
              <w:pStyle w:val="Tabletext"/>
              <w:jc w:val="left"/>
              <w:rPr>
                <w:lang w:val="en-US"/>
              </w:rPr>
            </w:pPr>
            <w:r w:rsidRPr="00D6403A">
              <w:rPr>
                <w:lang w:val="en-US"/>
              </w:rPr>
              <w:t>Mercy Hospital for Women</w:t>
            </w:r>
          </w:p>
        </w:tc>
        <w:tc>
          <w:tcPr>
            <w:cnfStyle w:val="000010000000" w:firstRow="0" w:lastRow="0" w:firstColumn="0" w:lastColumn="0" w:oddVBand="1" w:evenVBand="0" w:oddHBand="0" w:evenHBand="0" w:firstRowFirstColumn="0" w:firstRowLastColumn="0" w:lastRowFirstColumn="0" w:lastRowLastColumn="0"/>
            <w:tcW w:w="1531" w:type="dxa"/>
          </w:tcPr>
          <w:p w14:paraId="7D140D2A" w14:textId="77777777" w:rsidR="00D6403A" w:rsidRPr="00D6403A" w:rsidRDefault="00D6403A" w:rsidP="00AE4C75">
            <w:pPr>
              <w:pStyle w:val="Tabletext"/>
              <w:rPr>
                <w:lang w:val="en-US"/>
              </w:rPr>
            </w:pPr>
            <w:r w:rsidRPr="00D6403A">
              <w:rPr>
                <w:lang w:val="en-US"/>
              </w:rPr>
              <w:t>6</w:t>
            </w:r>
          </w:p>
        </w:tc>
        <w:tc>
          <w:tcPr>
            <w:cnfStyle w:val="000001000000" w:firstRow="0" w:lastRow="0" w:firstColumn="0" w:lastColumn="0" w:oddVBand="0" w:evenVBand="1" w:oddHBand="0" w:evenHBand="0" w:firstRowFirstColumn="0" w:firstRowLastColumn="0" w:lastRowFirstColumn="0" w:lastRowLastColumn="0"/>
            <w:tcW w:w="1304" w:type="dxa"/>
          </w:tcPr>
          <w:p w14:paraId="0549FB79" w14:textId="77777777" w:rsidR="00D6403A" w:rsidRPr="00D6403A" w:rsidRDefault="00D6403A" w:rsidP="00AE4C75">
            <w:pPr>
              <w:pStyle w:val="Tabletext"/>
              <w:rPr>
                <w:lang w:val="en-US"/>
              </w:rPr>
            </w:pPr>
            <w:r w:rsidRPr="00D6403A">
              <w:rPr>
                <w:lang w:val="en-US"/>
              </w:rPr>
              <w:t>5,796</w:t>
            </w:r>
          </w:p>
        </w:tc>
        <w:tc>
          <w:tcPr>
            <w:cnfStyle w:val="000010000000" w:firstRow="0" w:lastRow="0" w:firstColumn="0" w:lastColumn="0" w:oddVBand="1" w:evenVBand="0" w:oddHBand="0" w:evenHBand="0" w:firstRowFirstColumn="0" w:firstRowLastColumn="0" w:lastRowFirstColumn="0" w:lastRowLastColumn="0"/>
            <w:tcW w:w="1304" w:type="dxa"/>
          </w:tcPr>
          <w:p w14:paraId="02410423" w14:textId="77777777" w:rsidR="00D6403A" w:rsidRPr="00D6403A" w:rsidRDefault="00D6403A" w:rsidP="00AE4C75">
            <w:pPr>
              <w:pStyle w:val="Tabletext"/>
              <w:rPr>
                <w:lang w:val="en-US"/>
              </w:rPr>
            </w:pPr>
            <w:r w:rsidRPr="00D6403A">
              <w:rPr>
                <w:lang w:val="en-US"/>
              </w:rPr>
              <w:t>5,919</w:t>
            </w:r>
          </w:p>
        </w:tc>
      </w:tr>
      <w:tr w:rsidR="00D6403A" w:rsidRPr="00D6403A" w14:paraId="3B5431E3"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5BDE5377" w14:textId="77777777" w:rsidR="00D6403A" w:rsidRPr="00AE4C75" w:rsidRDefault="00D6403A" w:rsidP="00E6458F">
            <w:pPr>
              <w:pStyle w:val="Tabletext"/>
              <w:jc w:val="left"/>
              <w:rPr>
                <w:rFonts w:ascii="VIC" w:hAnsi="VIC" w:cs="VIC"/>
                <w:b/>
                <w:lang w:val="en-US"/>
              </w:rPr>
            </w:pPr>
            <w:r w:rsidRPr="00AE4C75">
              <w:rPr>
                <w:b/>
                <w:lang w:val="en-US"/>
              </w:rPr>
              <w:t>Monash Health</w:t>
            </w:r>
          </w:p>
        </w:tc>
        <w:tc>
          <w:tcPr>
            <w:cnfStyle w:val="000001000000" w:firstRow="0" w:lastRow="0" w:firstColumn="0" w:lastColumn="0" w:oddVBand="0" w:evenVBand="1" w:oddHBand="0" w:evenHBand="0" w:firstRowFirstColumn="0" w:firstRowLastColumn="0" w:lastRowFirstColumn="0" w:lastRowLastColumn="0"/>
            <w:tcW w:w="3033" w:type="dxa"/>
          </w:tcPr>
          <w:p w14:paraId="7B34DFF5" w14:textId="77777777" w:rsidR="00D6403A" w:rsidRPr="00D6403A" w:rsidRDefault="00D6403A" w:rsidP="00E6458F">
            <w:pPr>
              <w:pStyle w:val="Tabletext"/>
              <w:jc w:val="left"/>
              <w:rPr>
                <w:lang w:val="en-US"/>
              </w:rPr>
            </w:pPr>
            <w:r w:rsidRPr="00D6403A">
              <w:rPr>
                <w:lang w:val="en-US"/>
              </w:rPr>
              <w:t>Monash Medical Centre [Clayton]</w:t>
            </w:r>
          </w:p>
        </w:tc>
        <w:tc>
          <w:tcPr>
            <w:cnfStyle w:val="000010000000" w:firstRow="0" w:lastRow="0" w:firstColumn="0" w:lastColumn="0" w:oddVBand="1" w:evenVBand="0" w:oddHBand="0" w:evenHBand="0" w:firstRowFirstColumn="0" w:firstRowLastColumn="0" w:lastRowFirstColumn="0" w:lastRowLastColumn="0"/>
            <w:tcW w:w="1531" w:type="dxa"/>
          </w:tcPr>
          <w:p w14:paraId="3680B124" w14:textId="77777777" w:rsidR="00D6403A" w:rsidRPr="00D6403A" w:rsidRDefault="00D6403A" w:rsidP="00AE4C75">
            <w:pPr>
              <w:pStyle w:val="Tabletext"/>
              <w:rPr>
                <w:lang w:val="en-US"/>
              </w:rPr>
            </w:pPr>
            <w:r w:rsidRPr="00D6403A">
              <w:rPr>
                <w:lang w:val="en-US"/>
              </w:rPr>
              <w:t>6</w:t>
            </w:r>
          </w:p>
        </w:tc>
        <w:tc>
          <w:tcPr>
            <w:cnfStyle w:val="000001000000" w:firstRow="0" w:lastRow="0" w:firstColumn="0" w:lastColumn="0" w:oddVBand="0" w:evenVBand="1" w:oddHBand="0" w:evenHBand="0" w:firstRowFirstColumn="0" w:firstRowLastColumn="0" w:lastRowFirstColumn="0" w:lastRowLastColumn="0"/>
            <w:tcW w:w="1304" w:type="dxa"/>
          </w:tcPr>
          <w:p w14:paraId="021884BA" w14:textId="77777777" w:rsidR="00D6403A" w:rsidRPr="00D6403A" w:rsidRDefault="00D6403A" w:rsidP="00AE4C75">
            <w:pPr>
              <w:pStyle w:val="Tabletext"/>
              <w:rPr>
                <w:lang w:val="en-US"/>
              </w:rPr>
            </w:pPr>
            <w:r w:rsidRPr="00D6403A">
              <w:rPr>
                <w:lang w:val="en-US"/>
              </w:rPr>
              <w:t>3,910</w:t>
            </w:r>
          </w:p>
        </w:tc>
        <w:tc>
          <w:tcPr>
            <w:cnfStyle w:val="000010000000" w:firstRow="0" w:lastRow="0" w:firstColumn="0" w:lastColumn="0" w:oddVBand="1" w:evenVBand="0" w:oddHBand="0" w:evenHBand="0" w:firstRowFirstColumn="0" w:firstRowLastColumn="0" w:lastRowFirstColumn="0" w:lastRowLastColumn="0"/>
            <w:tcW w:w="1304" w:type="dxa"/>
          </w:tcPr>
          <w:p w14:paraId="01A89476" w14:textId="77777777" w:rsidR="00D6403A" w:rsidRPr="00D6403A" w:rsidRDefault="00D6403A" w:rsidP="00AE4C75">
            <w:pPr>
              <w:pStyle w:val="Tabletext"/>
              <w:rPr>
                <w:lang w:val="en-US"/>
              </w:rPr>
            </w:pPr>
            <w:r w:rsidRPr="00D6403A">
              <w:rPr>
                <w:lang w:val="en-US"/>
              </w:rPr>
              <w:t>4,063</w:t>
            </w:r>
          </w:p>
        </w:tc>
      </w:tr>
      <w:tr w:rsidR="00D6403A" w:rsidRPr="00D6403A" w14:paraId="6322D6E2"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280A92B9" w14:textId="77777777" w:rsidR="00D6403A" w:rsidRPr="00AE4C75" w:rsidRDefault="00D6403A" w:rsidP="00E6458F">
            <w:pPr>
              <w:pStyle w:val="Tabletext"/>
              <w:jc w:val="left"/>
              <w:rPr>
                <w:rFonts w:ascii="VIC" w:hAnsi="VIC" w:cs="VIC"/>
                <w:b/>
                <w:lang w:val="en-US"/>
              </w:rPr>
            </w:pPr>
            <w:r w:rsidRPr="00AE4C75">
              <w:rPr>
                <w:b/>
                <w:lang w:val="en-US"/>
              </w:rPr>
              <w:t xml:space="preserve">Northern Health </w:t>
            </w:r>
          </w:p>
        </w:tc>
        <w:tc>
          <w:tcPr>
            <w:cnfStyle w:val="000001000000" w:firstRow="0" w:lastRow="0" w:firstColumn="0" w:lastColumn="0" w:oddVBand="0" w:evenVBand="1" w:oddHBand="0" w:evenHBand="0" w:firstRowFirstColumn="0" w:firstRowLastColumn="0" w:lastRowFirstColumn="0" w:lastRowLastColumn="0"/>
            <w:tcW w:w="3033" w:type="dxa"/>
          </w:tcPr>
          <w:p w14:paraId="38AB91F5" w14:textId="77777777" w:rsidR="00D6403A" w:rsidRPr="00D6403A" w:rsidRDefault="00D6403A" w:rsidP="00E6458F">
            <w:pPr>
              <w:pStyle w:val="Tabletext"/>
              <w:jc w:val="left"/>
              <w:rPr>
                <w:lang w:val="en-US"/>
              </w:rPr>
            </w:pPr>
            <w:r w:rsidRPr="00D6403A">
              <w:rPr>
                <w:lang w:val="en-US"/>
              </w:rPr>
              <w:t>Northern Hospital Epping</w:t>
            </w:r>
          </w:p>
        </w:tc>
        <w:tc>
          <w:tcPr>
            <w:cnfStyle w:val="000010000000" w:firstRow="0" w:lastRow="0" w:firstColumn="0" w:lastColumn="0" w:oddVBand="1" w:evenVBand="0" w:oddHBand="0" w:evenHBand="0" w:firstRowFirstColumn="0" w:firstRowLastColumn="0" w:lastRowFirstColumn="0" w:lastRowLastColumn="0"/>
            <w:tcW w:w="1531" w:type="dxa"/>
          </w:tcPr>
          <w:p w14:paraId="290B3A2C"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2EC37F7B" w14:textId="77777777" w:rsidR="00D6403A" w:rsidRPr="00D6403A" w:rsidRDefault="00D6403A" w:rsidP="00AE4C75">
            <w:pPr>
              <w:pStyle w:val="Tabletext"/>
              <w:rPr>
                <w:lang w:val="en-US"/>
              </w:rPr>
            </w:pPr>
            <w:r w:rsidRPr="00D6403A">
              <w:rPr>
                <w:lang w:val="en-US"/>
              </w:rPr>
              <w:t>3,322</w:t>
            </w:r>
          </w:p>
        </w:tc>
        <w:tc>
          <w:tcPr>
            <w:cnfStyle w:val="000010000000" w:firstRow="0" w:lastRow="0" w:firstColumn="0" w:lastColumn="0" w:oddVBand="1" w:evenVBand="0" w:oddHBand="0" w:evenHBand="0" w:firstRowFirstColumn="0" w:firstRowLastColumn="0" w:lastRowFirstColumn="0" w:lastRowLastColumn="0"/>
            <w:tcW w:w="1304" w:type="dxa"/>
          </w:tcPr>
          <w:p w14:paraId="1CFE4ED4" w14:textId="77777777" w:rsidR="00D6403A" w:rsidRPr="00D6403A" w:rsidRDefault="00D6403A" w:rsidP="00AE4C75">
            <w:pPr>
              <w:pStyle w:val="Tabletext"/>
              <w:rPr>
                <w:lang w:val="en-US"/>
              </w:rPr>
            </w:pPr>
            <w:r w:rsidRPr="00D6403A">
              <w:rPr>
                <w:lang w:val="en-US"/>
              </w:rPr>
              <w:t>3,361</w:t>
            </w:r>
          </w:p>
        </w:tc>
      </w:tr>
      <w:tr w:rsidR="00D6403A" w:rsidRPr="00D6403A" w14:paraId="2A89BAD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A9A7AF6" w14:textId="77777777" w:rsidR="00D6403A" w:rsidRPr="00AE4C75" w:rsidRDefault="00D6403A" w:rsidP="00E6458F">
            <w:pPr>
              <w:pStyle w:val="Tabletext"/>
              <w:jc w:val="left"/>
              <w:rPr>
                <w:rFonts w:ascii="VIC" w:hAnsi="VIC" w:cs="VIC"/>
                <w:b/>
                <w:lang w:val="en-US"/>
              </w:rPr>
            </w:pPr>
            <w:r w:rsidRPr="00AE4C75">
              <w:rPr>
                <w:b/>
                <w:lang w:val="en-US"/>
              </w:rPr>
              <w:t>Peninsula Health</w:t>
            </w:r>
          </w:p>
        </w:tc>
        <w:tc>
          <w:tcPr>
            <w:cnfStyle w:val="000001000000" w:firstRow="0" w:lastRow="0" w:firstColumn="0" w:lastColumn="0" w:oddVBand="0" w:evenVBand="1" w:oddHBand="0" w:evenHBand="0" w:firstRowFirstColumn="0" w:firstRowLastColumn="0" w:lastRowFirstColumn="0" w:lastRowLastColumn="0"/>
            <w:tcW w:w="3033" w:type="dxa"/>
          </w:tcPr>
          <w:p w14:paraId="236C078F" w14:textId="77777777" w:rsidR="00D6403A" w:rsidRPr="00D6403A" w:rsidRDefault="00D6403A" w:rsidP="00E6458F">
            <w:pPr>
              <w:pStyle w:val="Tabletext"/>
              <w:jc w:val="left"/>
              <w:rPr>
                <w:lang w:val="en-US"/>
              </w:rPr>
            </w:pPr>
            <w:r w:rsidRPr="00D6403A">
              <w:rPr>
                <w:lang w:val="en-US"/>
              </w:rPr>
              <w:t>Frankston Hospital</w:t>
            </w:r>
          </w:p>
        </w:tc>
        <w:tc>
          <w:tcPr>
            <w:cnfStyle w:val="000010000000" w:firstRow="0" w:lastRow="0" w:firstColumn="0" w:lastColumn="0" w:oddVBand="1" w:evenVBand="0" w:oddHBand="0" w:evenHBand="0" w:firstRowFirstColumn="0" w:firstRowLastColumn="0" w:lastRowFirstColumn="0" w:lastRowLastColumn="0"/>
            <w:tcW w:w="1531" w:type="dxa"/>
          </w:tcPr>
          <w:p w14:paraId="026ACAC6"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55F1CEE4" w14:textId="77777777" w:rsidR="00D6403A" w:rsidRPr="00D6403A" w:rsidRDefault="00D6403A" w:rsidP="00AE4C75">
            <w:pPr>
              <w:pStyle w:val="Tabletext"/>
              <w:rPr>
                <w:lang w:val="en-US"/>
              </w:rPr>
            </w:pPr>
            <w:r w:rsidRPr="00D6403A">
              <w:rPr>
                <w:lang w:val="en-US"/>
              </w:rPr>
              <w:t>2,973</w:t>
            </w:r>
          </w:p>
        </w:tc>
        <w:tc>
          <w:tcPr>
            <w:cnfStyle w:val="000010000000" w:firstRow="0" w:lastRow="0" w:firstColumn="0" w:lastColumn="0" w:oddVBand="1" w:evenVBand="0" w:oddHBand="0" w:evenHBand="0" w:firstRowFirstColumn="0" w:firstRowLastColumn="0" w:lastRowFirstColumn="0" w:lastRowLastColumn="0"/>
            <w:tcW w:w="1304" w:type="dxa"/>
          </w:tcPr>
          <w:p w14:paraId="389AED2D" w14:textId="77777777" w:rsidR="00D6403A" w:rsidRPr="00D6403A" w:rsidRDefault="00D6403A" w:rsidP="00AE4C75">
            <w:pPr>
              <w:pStyle w:val="Tabletext"/>
              <w:rPr>
                <w:lang w:val="en-US"/>
              </w:rPr>
            </w:pPr>
            <w:r w:rsidRPr="00D6403A">
              <w:rPr>
                <w:lang w:val="en-US"/>
              </w:rPr>
              <w:t>3,017</w:t>
            </w:r>
          </w:p>
        </w:tc>
      </w:tr>
      <w:tr w:rsidR="00D6403A" w:rsidRPr="00D6403A" w14:paraId="25D9A81D"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0D21F6E" w14:textId="77777777" w:rsidR="00D6403A" w:rsidRPr="00AE4C75" w:rsidRDefault="00D6403A" w:rsidP="00E6458F">
            <w:pPr>
              <w:pStyle w:val="Tabletext"/>
              <w:jc w:val="left"/>
              <w:rPr>
                <w:rFonts w:ascii="VIC" w:hAnsi="VIC" w:cs="VIC"/>
                <w:b/>
                <w:lang w:val="en-US"/>
              </w:rPr>
            </w:pPr>
            <w:r w:rsidRPr="00AE4C75">
              <w:rPr>
                <w:b/>
                <w:lang w:val="en-US"/>
              </w:rPr>
              <w:t xml:space="preserve">Barwon Health </w:t>
            </w:r>
          </w:p>
        </w:tc>
        <w:tc>
          <w:tcPr>
            <w:cnfStyle w:val="000001000000" w:firstRow="0" w:lastRow="0" w:firstColumn="0" w:lastColumn="0" w:oddVBand="0" w:evenVBand="1" w:oddHBand="0" w:evenHBand="0" w:firstRowFirstColumn="0" w:firstRowLastColumn="0" w:lastRowFirstColumn="0" w:lastRowLastColumn="0"/>
            <w:tcW w:w="3033" w:type="dxa"/>
          </w:tcPr>
          <w:p w14:paraId="180C7776" w14:textId="77777777" w:rsidR="00D6403A" w:rsidRPr="00D6403A" w:rsidRDefault="00D6403A" w:rsidP="00E6458F">
            <w:pPr>
              <w:pStyle w:val="Tabletext"/>
              <w:jc w:val="left"/>
              <w:rPr>
                <w:lang w:val="en-US"/>
              </w:rPr>
            </w:pPr>
            <w:r w:rsidRPr="00D6403A">
              <w:rPr>
                <w:lang w:val="en-US"/>
              </w:rPr>
              <w:t>University Hospital Geelong</w:t>
            </w:r>
          </w:p>
        </w:tc>
        <w:tc>
          <w:tcPr>
            <w:cnfStyle w:val="000010000000" w:firstRow="0" w:lastRow="0" w:firstColumn="0" w:lastColumn="0" w:oddVBand="1" w:evenVBand="0" w:oddHBand="0" w:evenHBand="0" w:firstRowFirstColumn="0" w:firstRowLastColumn="0" w:lastRowFirstColumn="0" w:lastRowLastColumn="0"/>
            <w:tcW w:w="1531" w:type="dxa"/>
          </w:tcPr>
          <w:p w14:paraId="314F9BB2"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5614D8FC" w14:textId="77777777" w:rsidR="00D6403A" w:rsidRPr="00D6403A" w:rsidRDefault="00D6403A" w:rsidP="00AE4C75">
            <w:pPr>
              <w:pStyle w:val="Tabletext"/>
              <w:rPr>
                <w:lang w:val="en-US"/>
              </w:rPr>
            </w:pPr>
            <w:r w:rsidRPr="00D6403A">
              <w:rPr>
                <w:lang w:val="en-US"/>
              </w:rPr>
              <w:t>2,802</w:t>
            </w:r>
          </w:p>
        </w:tc>
        <w:tc>
          <w:tcPr>
            <w:cnfStyle w:val="000010000000" w:firstRow="0" w:lastRow="0" w:firstColumn="0" w:lastColumn="0" w:oddVBand="1" w:evenVBand="0" w:oddHBand="0" w:evenHBand="0" w:firstRowFirstColumn="0" w:firstRowLastColumn="0" w:lastRowFirstColumn="0" w:lastRowLastColumn="0"/>
            <w:tcW w:w="1304" w:type="dxa"/>
          </w:tcPr>
          <w:p w14:paraId="78D53185" w14:textId="77777777" w:rsidR="00D6403A" w:rsidRPr="00D6403A" w:rsidRDefault="00D6403A" w:rsidP="00AE4C75">
            <w:pPr>
              <w:pStyle w:val="Tabletext"/>
              <w:rPr>
                <w:lang w:val="en-US"/>
              </w:rPr>
            </w:pPr>
            <w:r w:rsidRPr="00D6403A">
              <w:rPr>
                <w:lang w:val="en-US"/>
              </w:rPr>
              <w:t>2,840</w:t>
            </w:r>
          </w:p>
        </w:tc>
      </w:tr>
      <w:tr w:rsidR="00D6403A" w:rsidRPr="00D6403A" w14:paraId="288D003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2A13307C" w14:textId="77777777" w:rsidR="00D6403A" w:rsidRPr="00AE4C75" w:rsidRDefault="00D6403A" w:rsidP="00E6458F">
            <w:pPr>
              <w:pStyle w:val="Tabletext"/>
              <w:jc w:val="left"/>
              <w:rPr>
                <w:rFonts w:ascii="VIC" w:hAnsi="VIC" w:cs="VIC"/>
                <w:b/>
                <w:lang w:val="en-US"/>
              </w:rPr>
            </w:pPr>
            <w:r w:rsidRPr="00AE4C75">
              <w:rPr>
                <w:b/>
                <w:lang w:val="en-US"/>
              </w:rPr>
              <w:t xml:space="preserve">Eastern Health </w:t>
            </w:r>
          </w:p>
        </w:tc>
        <w:tc>
          <w:tcPr>
            <w:cnfStyle w:val="000001000000" w:firstRow="0" w:lastRow="0" w:firstColumn="0" w:lastColumn="0" w:oddVBand="0" w:evenVBand="1" w:oddHBand="0" w:evenHBand="0" w:firstRowFirstColumn="0" w:firstRowLastColumn="0" w:lastRowFirstColumn="0" w:lastRowLastColumn="0"/>
            <w:tcW w:w="3033" w:type="dxa"/>
          </w:tcPr>
          <w:p w14:paraId="3D37D79E" w14:textId="77777777" w:rsidR="00D6403A" w:rsidRPr="00D6403A" w:rsidRDefault="00D6403A" w:rsidP="00E6458F">
            <w:pPr>
              <w:pStyle w:val="Tabletext"/>
              <w:jc w:val="left"/>
              <w:rPr>
                <w:lang w:val="en-US"/>
              </w:rPr>
            </w:pPr>
            <w:r w:rsidRPr="00D6403A">
              <w:rPr>
                <w:lang w:val="en-US"/>
              </w:rPr>
              <w:t>Box Hill Hospital</w:t>
            </w:r>
          </w:p>
        </w:tc>
        <w:tc>
          <w:tcPr>
            <w:cnfStyle w:val="000010000000" w:firstRow="0" w:lastRow="0" w:firstColumn="0" w:lastColumn="0" w:oddVBand="1" w:evenVBand="0" w:oddHBand="0" w:evenHBand="0" w:firstRowFirstColumn="0" w:firstRowLastColumn="0" w:lastRowFirstColumn="0" w:lastRowLastColumn="0"/>
            <w:tcW w:w="1531" w:type="dxa"/>
          </w:tcPr>
          <w:p w14:paraId="2257A8AF"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17EF04B6" w14:textId="77777777" w:rsidR="00D6403A" w:rsidRPr="00D6403A" w:rsidRDefault="00D6403A" w:rsidP="00AE4C75">
            <w:pPr>
              <w:pStyle w:val="Tabletext"/>
              <w:rPr>
                <w:lang w:val="en-US"/>
              </w:rPr>
            </w:pPr>
            <w:r w:rsidRPr="00D6403A">
              <w:rPr>
                <w:lang w:val="en-US"/>
              </w:rPr>
              <w:t>2,568</w:t>
            </w:r>
          </w:p>
        </w:tc>
        <w:tc>
          <w:tcPr>
            <w:cnfStyle w:val="000010000000" w:firstRow="0" w:lastRow="0" w:firstColumn="0" w:lastColumn="0" w:oddVBand="1" w:evenVBand="0" w:oddHBand="0" w:evenHBand="0" w:firstRowFirstColumn="0" w:firstRowLastColumn="0" w:lastRowFirstColumn="0" w:lastRowLastColumn="0"/>
            <w:tcW w:w="1304" w:type="dxa"/>
          </w:tcPr>
          <w:p w14:paraId="47948A5E" w14:textId="77777777" w:rsidR="00D6403A" w:rsidRPr="00D6403A" w:rsidRDefault="00D6403A" w:rsidP="00AE4C75">
            <w:pPr>
              <w:pStyle w:val="Tabletext"/>
              <w:rPr>
                <w:lang w:val="en-US"/>
              </w:rPr>
            </w:pPr>
            <w:r w:rsidRPr="00D6403A">
              <w:rPr>
                <w:lang w:val="en-US"/>
              </w:rPr>
              <w:t>2,595</w:t>
            </w:r>
          </w:p>
        </w:tc>
      </w:tr>
      <w:tr w:rsidR="00D6403A" w:rsidRPr="00D6403A" w14:paraId="42783516"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44EA73B" w14:textId="77777777" w:rsidR="00D6403A" w:rsidRPr="00AE4C75" w:rsidRDefault="00D6403A" w:rsidP="00E6458F">
            <w:pPr>
              <w:pStyle w:val="Tabletext"/>
              <w:jc w:val="left"/>
              <w:rPr>
                <w:rFonts w:ascii="VIC" w:hAnsi="VIC" w:cs="VIC"/>
                <w:b/>
                <w:lang w:val="en-US"/>
              </w:rPr>
            </w:pPr>
            <w:r w:rsidRPr="00AE4C75">
              <w:rPr>
                <w:b/>
                <w:lang w:val="en-US"/>
              </w:rPr>
              <w:t>Bendigo Health Care Group</w:t>
            </w:r>
          </w:p>
        </w:tc>
        <w:tc>
          <w:tcPr>
            <w:cnfStyle w:val="000001000000" w:firstRow="0" w:lastRow="0" w:firstColumn="0" w:lastColumn="0" w:oddVBand="0" w:evenVBand="1" w:oddHBand="0" w:evenHBand="0" w:firstRowFirstColumn="0" w:firstRowLastColumn="0" w:lastRowFirstColumn="0" w:lastRowLastColumn="0"/>
            <w:tcW w:w="3033" w:type="dxa"/>
          </w:tcPr>
          <w:p w14:paraId="18726D6F" w14:textId="77777777" w:rsidR="00D6403A" w:rsidRPr="00D6403A" w:rsidRDefault="00D6403A" w:rsidP="00E6458F">
            <w:pPr>
              <w:pStyle w:val="Tabletext"/>
              <w:jc w:val="left"/>
              <w:rPr>
                <w:lang w:val="en-US"/>
              </w:rPr>
            </w:pPr>
            <w:r w:rsidRPr="00D6403A">
              <w:rPr>
                <w:lang w:val="en-US"/>
              </w:rPr>
              <w:t>Bendigo Hospital</w:t>
            </w:r>
          </w:p>
        </w:tc>
        <w:tc>
          <w:tcPr>
            <w:cnfStyle w:val="000010000000" w:firstRow="0" w:lastRow="0" w:firstColumn="0" w:lastColumn="0" w:oddVBand="1" w:evenVBand="0" w:oddHBand="0" w:evenHBand="0" w:firstRowFirstColumn="0" w:firstRowLastColumn="0" w:lastRowFirstColumn="0" w:lastRowLastColumn="0"/>
            <w:tcW w:w="1531" w:type="dxa"/>
          </w:tcPr>
          <w:p w14:paraId="78DCFD7C"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50F566CC" w14:textId="77777777" w:rsidR="00D6403A" w:rsidRPr="00D6403A" w:rsidRDefault="00D6403A" w:rsidP="00AE4C75">
            <w:pPr>
              <w:pStyle w:val="Tabletext"/>
              <w:rPr>
                <w:lang w:val="en-US"/>
              </w:rPr>
            </w:pPr>
            <w:r w:rsidRPr="00D6403A">
              <w:rPr>
                <w:lang w:val="en-US"/>
              </w:rPr>
              <w:t>1,879</w:t>
            </w:r>
          </w:p>
        </w:tc>
        <w:tc>
          <w:tcPr>
            <w:cnfStyle w:val="000010000000" w:firstRow="0" w:lastRow="0" w:firstColumn="0" w:lastColumn="0" w:oddVBand="1" w:evenVBand="0" w:oddHBand="0" w:evenHBand="0" w:firstRowFirstColumn="0" w:firstRowLastColumn="0" w:lastRowFirstColumn="0" w:lastRowLastColumn="0"/>
            <w:tcW w:w="1304" w:type="dxa"/>
          </w:tcPr>
          <w:p w14:paraId="7175778C" w14:textId="77777777" w:rsidR="00D6403A" w:rsidRPr="00D6403A" w:rsidRDefault="00D6403A" w:rsidP="00AE4C75">
            <w:pPr>
              <w:pStyle w:val="Tabletext"/>
              <w:rPr>
                <w:lang w:val="en-US"/>
              </w:rPr>
            </w:pPr>
            <w:r w:rsidRPr="00D6403A">
              <w:rPr>
                <w:lang w:val="en-US"/>
              </w:rPr>
              <w:t>1,905</w:t>
            </w:r>
          </w:p>
        </w:tc>
      </w:tr>
      <w:tr w:rsidR="00D6403A" w:rsidRPr="00D6403A" w14:paraId="7C8C139C"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8997751" w14:textId="77777777" w:rsidR="00D6403A" w:rsidRPr="00AE4C75" w:rsidRDefault="00D6403A" w:rsidP="00E6458F">
            <w:pPr>
              <w:pStyle w:val="Tabletext"/>
              <w:jc w:val="left"/>
              <w:rPr>
                <w:rFonts w:ascii="VIC" w:hAnsi="VIC" w:cs="VIC"/>
                <w:b/>
                <w:lang w:val="en-US"/>
              </w:rPr>
            </w:pPr>
            <w:r w:rsidRPr="00AE4C75">
              <w:rPr>
                <w:b/>
                <w:lang w:val="en-US"/>
              </w:rPr>
              <w:t>Albury Wodonga Health</w:t>
            </w:r>
          </w:p>
        </w:tc>
        <w:tc>
          <w:tcPr>
            <w:cnfStyle w:val="000001000000" w:firstRow="0" w:lastRow="0" w:firstColumn="0" w:lastColumn="0" w:oddVBand="0" w:evenVBand="1" w:oddHBand="0" w:evenHBand="0" w:firstRowFirstColumn="0" w:firstRowLastColumn="0" w:lastRowFirstColumn="0" w:lastRowLastColumn="0"/>
            <w:tcW w:w="3033" w:type="dxa"/>
          </w:tcPr>
          <w:p w14:paraId="52832E99" w14:textId="77777777" w:rsidR="00D6403A" w:rsidRPr="00E6458F" w:rsidRDefault="00D6403A" w:rsidP="00E6458F">
            <w:pPr>
              <w:pStyle w:val="Tabletext"/>
              <w:jc w:val="left"/>
            </w:pPr>
            <w:r w:rsidRPr="00E6458F">
              <w:t>Albury Wodonga Health [Wodonga]</w:t>
            </w:r>
          </w:p>
        </w:tc>
        <w:tc>
          <w:tcPr>
            <w:cnfStyle w:val="000010000000" w:firstRow="0" w:lastRow="0" w:firstColumn="0" w:lastColumn="0" w:oddVBand="1" w:evenVBand="0" w:oddHBand="0" w:evenHBand="0" w:firstRowFirstColumn="0" w:firstRowLastColumn="0" w:lastRowFirstColumn="0" w:lastRowLastColumn="0"/>
            <w:tcW w:w="1531" w:type="dxa"/>
          </w:tcPr>
          <w:p w14:paraId="0D9F8B10"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3CA6925F" w14:textId="77777777" w:rsidR="00D6403A" w:rsidRPr="00D6403A" w:rsidRDefault="00D6403A" w:rsidP="00AE4C75">
            <w:pPr>
              <w:pStyle w:val="Tabletext"/>
              <w:rPr>
                <w:lang w:val="en-US"/>
              </w:rPr>
            </w:pPr>
            <w:r w:rsidRPr="00D6403A">
              <w:rPr>
                <w:lang w:val="en-US"/>
              </w:rPr>
              <w:t>1,727</w:t>
            </w:r>
          </w:p>
        </w:tc>
        <w:tc>
          <w:tcPr>
            <w:cnfStyle w:val="000010000000" w:firstRow="0" w:lastRow="0" w:firstColumn="0" w:lastColumn="0" w:oddVBand="1" w:evenVBand="0" w:oddHBand="0" w:evenHBand="0" w:firstRowFirstColumn="0" w:firstRowLastColumn="0" w:lastRowFirstColumn="0" w:lastRowLastColumn="0"/>
            <w:tcW w:w="1304" w:type="dxa"/>
          </w:tcPr>
          <w:p w14:paraId="5D4A0AC5" w14:textId="77777777" w:rsidR="00D6403A" w:rsidRPr="00D6403A" w:rsidRDefault="00D6403A" w:rsidP="00AE4C75">
            <w:pPr>
              <w:pStyle w:val="Tabletext"/>
              <w:rPr>
                <w:lang w:val="en-US"/>
              </w:rPr>
            </w:pPr>
            <w:r w:rsidRPr="00D6403A">
              <w:rPr>
                <w:lang w:val="en-US"/>
              </w:rPr>
              <w:t>1,745</w:t>
            </w:r>
          </w:p>
        </w:tc>
      </w:tr>
      <w:tr w:rsidR="00D6403A" w:rsidRPr="00D6403A" w14:paraId="0CFEE875"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24D94507" w14:textId="77777777" w:rsidR="00D6403A" w:rsidRPr="00AE4C75" w:rsidRDefault="00D6403A" w:rsidP="00E6458F">
            <w:pPr>
              <w:pStyle w:val="Tabletext"/>
              <w:jc w:val="left"/>
              <w:rPr>
                <w:rFonts w:ascii="VIC" w:hAnsi="VIC" w:cs="VIC"/>
                <w:b/>
                <w:lang w:val="en-US"/>
              </w:rPr>
            </w:pPr>
            <w:r w:rsidRPr="00AE4C75">
              <w:rPr>
                <w:b/>
                <w:lang w:val="en-US"/>
              </w:rPr>
              <w:t>Grampians Health Ballarat</w:t>
            </w:r>
          </w:p>
        </w:tc>
        <w:tc>
          <w:tcPr>
            <w:cnfStyle w:val="000001000000" w:firstRow="0" w:lastRow="0" w:firstColumn="0" w:lastColumn="0" w:oddVBand="0" w:evenVBand="1" w:oddHBand="0" w:evenHBand="0" w:firstRowFirstColumn="0" w:firstRowLastColumn="0" w:lastRowFirstColumn="0" w:lastRowLastColumn="0"/>
            <w:tcW w:w="3033" w:type="dxa"/>
          </w:tcPr>
          <w:p w14:paraId="3E39F309" w14:textId="77777777" w:rsidR="00D6403A" w:rsidRPr="00D6403A" w:rsidRDefault="00D6403A" w:rsidP="00E6458F">
            <w:pPr>
              <w:pStyle w:val="Tabletext"/>
              <w:jc w:val="left"/>
              <w:rPr>
                <w:lang w:val="en-US"/>
              </w:rPr>
            </w:pPr>
            <w:r w:rsidRPr="00D6403A">
              <w:rPr>
                <w:lang w:val="en-US"/>
              </w:rPr>
              <w:t>Ballarat Base Hospital</w:t>
            </w:r>
          </w:p>
        </w:tc>
        <w:tc>
          <w:tcPr>
            <w:cnfStyle w:val="000010000000" w:firstRow="0" w:lastRow="0" w:firstColumn="0" w:lastColumn="0" w:oddVBand="1" w:evenVBand="0" w:oddHBand="0" w:evenHBand="0" w:firstRowFirstColumn="0" w:firstRowLastColumn="0" w:lastRowFirstColumn="0" w:lastRowLastColumn="0"/>
            <w:tcW w:w="1531" w:type="dxa"/>
          </w:tcPr>
          <w:p w14:paraId="502D83C6"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7D252528" w14:textId="77777777" w:rsidR="00D6403A" w:rsidRPr="00D6403A" w:rsidRDefault="00D6403A" w:rsidP="00AE4C75">
            <w:pPr>
              <w:pStyle w:val="Tabletext"/>
              <w:rPr>
                <w:lang w:val="en-US"/>
              </w:rPr>
            </w:pPr>
            <w:r w:rsidRPr="00D6403A">
              <w:rPr>
                <w:lang w:val="en-US"/>
              </w:rPr>
              <w:t>1,599</w:t>
            </w:r>
          </w:p>
        </w:tc>
        <w:tc>
          <w:tcPr>
            <w:cnfStyle w:val="000010000000" w:firstRow="0" w:lastRow="0" w:firstColumn="0" w:lastColumn="0" w:oddVBand="1" w:evenVBand="0" w:oddHBand="0" w:evenHBand="0" w:firstRowFirstColumn="0" w:firstRowLastColumn="0" w:lastRowFirstColumn="0" w:lastRowLastColumn="0"/>
            <w:tcW w:w="1304" w:type="dxa"/>
          </w:tcPr>
          <w:p w14:paraId="150F74C2" w14:textId="77777777" w:rsidR="00D6403A" w:rsidRPr="00D6403A" w:rsidRDefault="00D6403A" w:rsidP="00AE4C75">
            <w:pPr>
              <w:pStyle w:val="Tabletext"/>
              <w:rPr>
                <w:lang w:val="en-US"/>
              </w:rPr>
            </w:pPr>
            <w:r w:rsidRPr="00D6403A">
              <w:rPr>
                <w:lang w:val="en-US"/>
              </w:rPr>
              <w:t>1,616</w:t>
            </w:r>
          </w:p>
        </w:tc>
      </w:tr>
      <w:tr w:rsidR="00D6403A" w:rsidRPr="00D6403A" w14:paraId="6CF31DF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2A2889E7" w14:textId="77777777" w:rsidR="00D6403A" w:rsidRPr="00AE4C75" w:rsidRDefault="00D6403A" w:rsidP="00E6458F">
            <w:pPr>
              <w:pStyle w:val="Tabletext"/>
              <w:jc w:val="left"/>
              <w:rPr>
                <w:rFonts w:ascii="VIC" w:hAnsi="VIC" w:cs="VIC"/>
                <w:b/>
                <w:lang w:val="en-US"/>
              </w:rPr>
            </w:pPr>
            <w:r w:rsidRPr="00AE4C75">
              <w:rPr>
                <w:b/>
                <w:lang w:val="en-US"/>
              </w:rPr>
              <w:t xml:space="preserve">Goulburn Valley Health </w:t>
            </w:r>
          </w:p>
        </w:tc>
        <w:tc>
          <w:tcPr>
            <w:cnfStyle w:val="000001000000" w:firstRow="0" w:lastRow="0" w:firstColumn="0" w:lastColumn="0" w:oddVBand="0" w:evenVBand="1" w:oddHBand="0" w:evenHBand="0" w:firstRowFirstColumn="0" w:firstRowLastColumn="0" w:lastRowFirstColumn="0" w:lastRowLastColumn="0"/>
            <w:tcW w:w="3033" w:type="dxa"/>
          </w:tcPr>
          <w:p w14:paraId="703F1BA3" w14:textId="77777777" w:rsidR="00D6403A" w:rsidRPr="00D6403A" w:rsidRDefault="00D6403A" w:rsidP="00E6458F">
            <w:pPr>
              <w:pStyle w:val="Tabletext"/>
              <w:jc w:val="left"/>
              <w:rPr>
                <w:lang w:val="en-US"/>
              </w:rPr>
            </w:pPr>
            <w:r w:rsidRPr="00D6403A">
              <w:rPr>
                <w:lang w:val="en-US"/>
              </w:rPr>
              <w:t xml:space="preserve"> Shepparton Hospital</w:t>
            </w:r>
          </w:p>
        </w:tc>
        <w:tc>
          <w:tcPr>
            <w:cnfStyle w:val="000010000000" w:firstRow="0" w:lastRow="0" w:firstColumn="0" w:lastColumn="0" w:oddVBand="1" w:evenVBand="0" w:oddHBand="0" w:evenHBand="0" w:firstRowFirstColumn="0" w:firstRowLastColumn="0" w:lastRowFirstColumn="0" w:lastRowLastColumn="0"/>
            <w:tcW w:w="1531" w:type="dxa"/>
          </w:tcPr>
          <w:p w14:paraId="40142950"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6081A785" w14:textId="77777777" w:rsidR="00D6403A" w:rsidRPr="00D6403A" w:rsidRDefault="00D6403A" w:rsidP="00AE4C75">
            <w:pPr>
              <w:pStyle w:val="Tabletext"/>
              <w:rPr>
                <w:lang w:val="en-US"/>
              </w:rPr>
            </w:pPr>
            <w:r w:rsidRPr="00D6403A">
              <w:rPr>
                <w:lang w:val="en-US"/>
              </w:rPr>
              <w:t>903</w:t>
            </w:r>
          </w:p>
        </w:tc>
        <w:tc>
          <w:tcPr>
            <w:cnfStyle w:val="000010000000" w:firstRow="0" w:lastRow="0" w:firstColumn="0" w:lastColumn="0" w:oddVBand="1" w:evenVBand="0" w:oddHBand="0" w:evenHBand="0" w:firstRowFirstColumn="0" w:firstRowLastColumn="0" w:lastRowFirstColumn="0" w:lastRowLastColumn="0"/>
            <w:tcW w:w="1304" w:type="dxa"/>
          </w:tcPr>
          <w:p w14:paraId="690481C4" w14:textId="77777777" w:rsidR="00D6403A" w:rsidRPr="00D6403A" w:rsidRDefault="00D6403A" w:rsidP="00AE4C75">
            <w:pPr>
              <w:pStyle w:val="Tabletext"/>
              <w:rPr>
                <w:lang w:val="en-US"/>
              </w:rPr>
            </w:pPr>
            <w:r w:rsidRPr="00D6403A">
              <w:rPr>
                <w:lang w:val="en-US"/>
              </w:rPr>
              <w:t>916</w:t>
            </w:r>
          </w:p>
        </w:tc>
      </w:tr>
      <w:tr w:rsidR="00D6403A" w:rsidRPr="00D6403A" w14:paraId="7FCA8FA2"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5D227F6" w14:textId="77777777" w:rsidR="00D6403A" w:rsidRPr="00AE4C75" w:rsidRDefault="00D6403A" w:rsidP="00E6458F">
            <w:pPr>
              <w:pStyle w:val="Tabletext"/>
              <w:jc w:val="left"/>
              <w:rPr>
                <w:rFonts w:ascii="VIC" w:hAnsi="VIC" w:cs="VIC"/>
                <w:b/>
                <w:lang w:val="en-US"/>
              </w:rPr>
            </w:pPr>
            <w:r w:rsidRPr="00AE4C75">
              <w:rPr>
                <w:b/>
                <w:lang w:val="en-US"/>
              </w:rPr>
              <w:t>Latrobe Regional Hospital</w:t>
            </w:r>
          </w:p>
        </w:tc>
        <w:tc>
          <w:tcPr>
            <w:cnfStyle w:val="000001000000" w:firstRow="0" w:lastRow="0" w:firstColumn="0" w:lastColumn="0" w:oddVBand="0" w:evenVBand="1" w:oddHBand="0" w:evenHBand="0" w:firstRowFirstColumn="0" w:firstRowLastColumn="0" w:lastRowFirstColumn="0" w:lastRowLastColumn="0"/>
            <w:tcW w:w="3033" w:type="dxa"/>
          </w:tcPr>
          <w:p w14:paraId="2A53D2EC" w14:textId="77777777" w:rsidR="00D6403A" w:rsidRPr="00D6403A" w:rsidRDefault="00D6403A" w:rsidP="00E6458F">
            <w:pPr>
              <w:pStyle w:val="Tabletext"/>
              <w:jc w:val="left"/>
              <w:rPr>
                <w:lang w:val="en-US"/>
              </w:rPr>
            </w:pPr>
            <w:r w:rsidRPr="00D6403A">
              <w:rPr>
                <w:lang w:val="en-US"/>
              </w:rPr>
              <w:t>Latrobe Regional Hospital</w:t>
            </w:r>
          </w:p>
        </w:tc>
        <w:tc>
          <w:tcPr>
            <w:cnfStyle w:val="000010000000" w:firstRow="0" w:lastRow="0" w:firstColumn="0" w:lastColumn="0" w:oddVBand="1" w:evenVBand="0" w:oddHBand="0" w:evenHBand="0" w:firstRowFirstColumn="0" w:firstRowLastColumn="0" w:lastRowFirstColumn="0" w:lastRowLastColumn="0"/>
            <w:tcW w:w="1531" w:type="dxa"/>
          </w:tcPr>
          <w:p w14:paraId="6CCF774E" w14:textId="77777777" w:rsidR="00D6403A" w:rsidRPr="00D6403A" w:rsidRDefault="00D6403A" w:rsidP="00AE4C75">
            <w:pPr>
              <w:pStyle w:val="Tabletext"/>
              <w:rPr>
                <w:lang w:val="en-US"/>
              </w:rPr>
            </w:pPr>
            <w:r w:rsidRPr="00D6403A">
              <w:rPr>
                <w:lang w:val="en-US"/>
              </w:rPr>
              <w:t>5</w:t>
            </w:r>
          </w:p>
        </w:tc>
        <w:tc>
          <w:tcPr>
            <w:cnfStyle w:val="000001000000" w:firstRow="0" w:lastRow="0" w:firstColumn="0" w:lastColumn="0" w:oddVBand="0" w:evenVBand="1" w:oddHBand="0" w:evenHBand="0" w:firstRowFirstColumn="0" w:firstRowLastColumn="0" w:lastRowFirstColumn="0" w:lastRowLastColumn="0"/>
            <w:tcW w:w="1304" w:type="dxa"/>
          </w:tcPr>
          <w:p w14:paraId="6E20E7CA" w14:textId="77777777" w:rsidR="00D6403A" w:rsidRPr="00D6403A" w:rsidRDefault="00D6403A" w:rsidP="00AE4C75">
            <w:pPr>
              <w:pStyle w:val="Tabletext"/>
              <w:rPr>
                <w:lang w:val="en-US"/>
              </w:rPr>
            </w:pPr>
            <w:r w:rsidRPr="00D6403A">
              <w:rPr>
                <w:lang w:val="en-US"/>
              </w:rPr>
              <w:t>887</w:t>
            </w:r>
          </w:p>
        </w:tc>
        <w:tc>
          <w:tcPr>
            <w:cnfStyle w:val="000010000000" w:firstRow="0" w:lastRow="0" w:firstColumn="0" w:lastColumn="0" w:oddVBand="1" w:evenVBand="0" w:oddHBand="0" w:evenHBand="0" w:firstRowFirstColumn="0" w:firstRowLastColumn="0" w:lastRowFirstColumn="0" w:lastRowLastColumn="0"/>
            <w:tcW w:w="1304" w:type="dxa"/>
          </w:tcPr>
          <w:p w14:paraId="7F692558" w14:textId="77777777" w:rsidR="00D6403A" w:rsidRPr="00D6403A" w:rsidRDefault="00D6403A" w:rsidP="00AE4C75">
            <w:pPr>
              <w:pStyle w:val="Tabletext"/>
              <w:rPr>
                <w:lang w:val="en-US"/>
              </w:rPr>
            </w:pPr>
            <w:r w:rsidRPr="00D6403A">
              <w:rPr>
                <w:lang w:val="en-US"/>
              </w:rPr>
              <w:t>898</w:t>
            </w:r>
          </w:p>
        </w:tc>
      </w:tr>
      <w:tr w:rsidR="00D6403A" w:rsidRPr="00D6403A" w14:paraId="637EDB8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8F544FF" w14:textId="77777777" w:rsidR="00D6403A" w:rsidRPr="00AE4C75" w:rsidRDefault="00D6403A" w:rsidP="00E6458F">
            <w:pPr>
              <w:pStyle w:val="Tabletext"/>
              <w:jc w:val="left"/>
              <w:rPr>
                <w:rFonts w:ascii="VIC" w:hAnsi="VIC" w:cs="VIC"/>
                <w:b/>
                <w:lang w:val="en-US"/>
              </w:rPr>
            </w:pPr>
            <w:r w:rsidRPr="00AE4C75">
              <w:rPr>
                <w:b/>
                <w:lang w:val="en-US"/>
              </w:rPr>
              <w:t xml:space="preserve">Mercy Hospitals Victoria Ltd </w:t>
            </w:r>
          </w:p>
        </w:tc>
        <w:tc>
          <w:tcPr>
            <w:cnfStyle w:val="000001000000" w:firstRow="0" w:lastRow="0" w:firstColumn="0" w:lastColumn="0" w:oddVBand="0" w:evenVBand="1" w:oddHBand="0" w:evenHBand="0" w:firstRowFirstColumn="0" w:firstRowLastColumn="0" w:lastRowFirstColumn="0" w:lastRowLastColumn="0"/>
            <w:tcW w:w="3033" w:type="dxa"/>
          </w:tcPr>
          <w:p w14:paraId="1464A9F4" w14:textId="77777777" w:rsidR="00D6403A" w:rsidRPr="00D6403A" w:rsidRDefault="00D6403A" w:rsidP="00E6458F">
            <w:pPr>
              <w:pStyle w:val="Tabletext"/>
              <w:jc w:val="left"/>
              <w:rPr>
                <w:lang w:val="en-US"/>
              </w:rPr>
            </w:pPr>
            <w:r w:rsidRPr="00D6403A">
              <w:rPr>
                <w:lang w:val="en-US"/>
              </w:rPr>
              <w:t>Werribee Mercy Hospital</w:t>
            </w:r>
          </w:p>
        </w:tc>
        <w:tc>
          <w:tcPr>
            <w:cnfStyle w:val="000010000000" w:firstRow="0" w:lastRow="0" w:firstColumn="0" w:lastColumn="0" w:oddVBand="1" w:evenVBand="0" w:oddHBand="0" w:evenHBand="0" w:firstRowFirstColumn="0" w:firstRowLastColumn="0" w:lastRowFirstColumn="0" w:lastRowLastColumn="0"/>
            <w:tcW w:w="1531" w:type="dxa"/>
          </w:tcPr>
          <w:p w14:paraId="74D8BBC5"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39A8755E" w14:textId="77777777" w:rsidR="00D6403A" w:rsidRPr="00D6403A" w:rsidRDefault="00D6403A" w:rsidP="00AE4C75">
            <w:pPr>
              <w:pStyle w:val="Tabletext"/>
              <w:rPr>
                <w:lang w:val="en-US"/>
              </w:rPr>
            </w:pPr>
            <w:r w:rsidRPr="00D6403A">
              <w:rPr>
                <w:lang w:val="en-US"/>
              </w:rPr>
              <w:t>3,819</w:t>
            </w:r>
          </w:p>
        </w:tc>
        <w:tc>
          <w:tcPr>
            <w:cnfStyle w:val="000010000000" w:firstRow="0" w:lastRow="0" w:firstColumn="0" w:lastColumn="0" w:oddVBand="1" w:evenVBand="0" w:oddHBand="0" w:evenHBand="0" w:firstRowFirstColumn="0" w:firstRowLastColumn="0" w:lastRowFirstColumn="0" w:lastRowLastColumn="0"/>
            <w:tcW w:w="1304" w:type="dxa"/>
          </w:tcPr>
          <w:p w14:paraId="0EAB7A48" w14:textId="77777777" w:rsidR="00D6403A" w:rsidRPr="00D6403A" w:rsidRDefault="00D6403A" w:rsidP="00AE4C75">
            <w:pPr>
              <w:pStyle w:val="Tabletext"/>
              <w:rPr>
                <w:lang w:val="en-US"/>
              </w:rPr>
            </w:pPr>
            <w:r w:rsidRPr="00D6403A">
              <w:rPr>
                <w:lang w:val="en-US"/>
              </w:rPr>
              <w:t>3,836</w:t>
            </w:r>
          </w:p>
        </w:tc>
      </w:tr>
      <w:tr w:rsidR="00D6403A" w:rsidRPr="00D6403A" w14:paraId="54F647B3"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4B956F7" w14:textId="77777777" w:rsidR="00D6403A" w:rsidRPr="00AE4C75" w:rsidRDefault="00D6403A" w:rsidP="00E6458F">
            <w:pPr>
              <w:pStyle w:val="Tabletext"/>
              <w:jc w:val="left"/>
              <w:rPr>
                <w:rFonts w:ascii="VIC" w:hAnsi="VIC" w:cs="VIC"/>
                <w:b/>
                <w:lang w:val="en-US"/>
              </w:rPr>
            </w:pPr>
            <w:r w:rsidRPr="00AE4C75">
              <w:rPr>
                <w:b/>
                <w:lang w:val="en-US"/>
              </w:rPr>
              <w:t xml:space="preserve">Monash Health </w:t>
            </w:r>
          </w:p>
        </w:tc>
        <w:tc>
          <w:tcPr>
            <w:cnfStyle w:val="000001000000" w:firstRow="0" w:lastRow="0" w:firstColumn="0" w:lastColumn="0" w:oddVBand="0" w:evenVBand="1" w:oddHBand="0" w:evenHBand="0" w:firstRowFirstColumn="0" w:firstRowLastColumn="0" w:lastRowFirstColumn="0" w:lastRowLastColumn="0"/>
            <w:tcW w:w="3033" w:type="dxa"/>
          </w:tcPr>
          <w:p w14:paraId="2549F1B0" w14:textId="77777777" w:rsidR="00D6403A" w:rsidRPr="00D6403A" w:rsidRDefault="00D6403A" w:rsidP="00E6458F">
            <w:pPr>
              <w:pStyle w:val="Tabletext"/>
              <w:jc w:val="left"/>
              <w:rPr>
                <w:lang w:val="en-US"/>
              </w:rPr>
            </w:pPr>
            <w:r w:rsidRPr="00D6403A">
              <w:rPr>
                <w:lang w:val="en-US"/>
              </w:rPr>
              <w:t>Casey Hospital</w:t>
            </w:r>
          </w:p>
        </w:tc>
        <w:tc>
          <w:tcPr>
            <w:cnfStyle w:val="000010000000" w:firstRow="0" w:lastRow="0" w:firstColumn="0" w:lastColumn="0" w:oddVBand="1" w:evenVBand="0" w:oddHBand="0" w:evenHBand="0" w:firstRowFirstColumn="0" w:firstRowLastColumn="0" w:lastRowFirstColumn="0" w:lastRowLastColumn="0"/>
            <w:tcW w:w="1531" w:type="dxa"/>
          </w:tcPr>
          <w:p w14:paraId="20C9AA02"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738BC3A0" w14:textId="77777777" w:rsidR="00D6403A" w:rsidRPr="00D6403A" w:rsidRDefault="00D6403A" w:rsidP="00AE4C75">
            <w:pPr>
              <w:pStyle w:val="Tabletext"/>
              <w:rPr>
                <w:lang w:val="en-US"/>
              </w:rPr>
            </w:pPr>
            <w:r w:rsidRPr="00D6403A">
              <w:rPr>
                <w:lang w:val="en-US"/>
              </w:rPr>
              <w:t>2,566</w:t>
            </w:r>
          </w:p>
        </w:tc>
        <w:tc>
          <w:tcPr>
            <w:cnfStyle w:val="000010000000" w:firstRow="0" w:lastRow="0" w:firstColumn="0" w:lastColumn="0" w:oddVBand="1" w:evenVBand="0" w:oddHBand="0" w:evenHBand="0" w:firstRowFirstColumn="0" w:firstRowLastColumn="0" w:lastRowFirstColumn="0" w:lastRowLastColumn="0"/>
            <w:tcW w:w="1304" w:type="dxa"/>
          </w:tcPr>
          <w:p w14:paraId="53DCB41B" w14:textId="77777777" w:rsidR="00D6403A" w:rsidRPr="00D6403A" w:rsidRDefault="00D6403A" w:rsidP="00AE4C75">
            <w:pPr>
              <w:pStyle w:val="Tabletext"/>
              <w:rPr>
                <w:lang w:val="en-US"/>
              </w:rPr>
            </w:pPr>
            <w:r w:rsidRPr="00D6403A">
              <w:rPr>
                <w:lang w:val="en-US"/>
              </w:rPr>
              <w:t>2,566</w:t>
            </w:r>
          </w:p>
        </w:tc>
      </w:tr>
      <w:tr w:rsidR="00D6403A" w:rsidRPr="00D6403A" w14:paraId="1ED99572"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7297A58" w14:textId="77777777" w:rsidR="00D6403A" w:rsidRPr="00AE4C75" w:rsidRDefault="00D6403A" w:rsidP="00E6458F">
            <w:pPr>
              <w:pStyle w:val="Tabletext"/>
              <w:jc w:val="left"/>
              <w:rPr>
                <w:rFonts w:ascii="VIC" w:hAnsi="VIC" w:cs="VIC"/>
                <w:b/>
                <w:lang w:val="en-US"/>
              </w:rPr>
            </w:pPr>
            <w:r w:rsidRPr="00AE4C75">
              <w:rPr>
                <w:b/>
                <w:lang w:val="en-US"/>
              </w:rPr>
              <w:t xml:space="preserve">Monash Health </w:t>
            </w:r>
          </w:p>
        </w:tc>
        <w:tc>
          <w:tcPr>
            <w:cnfStyle w:val="000001000000" w:firstRow="0" w:lastRow="0" w:firstColumn="0" w:lastColumn="0" w:oddVBand="0" w:evenVBand="1" w:oddHBand="0" w:evenHBand="0" w:firstRowFirstColumn="0" w:firstRowLastColumn="0" w:lastRowFirstColumn="0" w:lastRowLastColumn="0"/>
            <w:tcW w:w="3033" w:type="dxa"/>
          </w:tcPr>
          <w:p w14:paraId="5D472D0D" w14:textId="77777777" w:rsidR="00D6403A" w:rsidRPr="00D6403A" w:rsidRDefault="00D6403A" w:rsidP="00E6458F">
            <w:pPr>
              <w:pStyle w:val="Tabletext"/>
              <w:jc w:val="left"/>
              <w:rPr>
                <w:lang w:val="en-US"/>
              </w:rPr>
            </w:pPr>
            <w:r w:rsidRPr="00D6403A">
              <w:rPr>
                <w:lang w:val="en-US"/>
              </w:rPr>
              <w:t>Dandenong Hospital</w:t>
            </w:r>
          </w:p>
        </w:tc>
        <w:tc>
          <w:tcPr>
            <w:cnfStyle w:val="000010000000" w:firstRow="0" w:lastRow="0" w:firstColumn="0" w:lastColumn="0" w:oddVBand="1" w:evenVBand="0" w:oddHBand="0" w:evenHBand="0" w:firstRowFirstColumn="0" w:firstRowLastColumn="0" w:lastRowFirstColumn="0" w:lastRowLastColumn="0"/>
            <w:tcW w:w="1531" w:type="dxa"/>
          </w:tcPr>
          <w:p w14:paraId="0E983693"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007259A2" w14:textId="77777777" w:rsidR="00D6403A" w:rsidRPr="00D6403A" w:rsidRDefault="00D6403A" w:rsidP="00AE4C75">
            <w:pPr>
              <w:pStyle w:val="Tabletext"/>
              <w:rPr>
                <w:lang w:val="en-US"/>
              </w:rPr>
            </w:pPr>
            <w:r w:rsidRPr="00D6403A">
              <w:rPr>
                <w:lang w:val="en-US"/>
              </w:rPr>
              <w:t>2,525</w:t>
            </w:r>
          </w:p>
        </w:tc>
        <w:tc>
          <w:tcPr>
            <w:cnfStyle w:val="000010000000" w:firstRow="0" w:lastRow="0" w:firstColumn="0" w:lastColumn="0" w:oddVBand="1" w:evenVBand="0" w:oddHBand="0" w:evenHBand="0" w:firstRowFirstColumn="0" w:firstRowLastColumn="0" w:lastRowFirstColumn="0" w:lastRowLastColumn="0"/>
            <w:tcW w:w="1304" w:type="dxa"/>
          </w:tcPr>
          <w:p w14:paraId="3DE5401E" w14:textId="77777777" w:rsidR="00D6403A" w:rsidRPr="00D6403A" w:rsidRDefault="00D6403A" w:rsidP="00AE4C75">
            <w:pPr>
              <w:pStyle w:val="Tabletext"/>
              <w:rPr>
                <w:lang w:val="en-US"/>
              </w:rPr>
            </w:pPr>
            <w:r w:rsidRPr="00D6403A">
              <w:rPr>
                <w:lang w:val="en-US"/>
              </w:rPr>
              <w:t>2,525</w:t>
            </w:r>
          </w:p>
        </w:tc>
      </w:tr>
      <w:tr w:rsidR="00D6403A" w:rsidRPr="00D6403A" w14:paraId="0EEA7898"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C46ED7D" w14:textId="77777777" w:rsidR="00D6403A" w:rsidRPr="00AE4C75" w:rsidRDefault="00D6403A" w:rsidP="00E6458F">
            <w:pPr>
              <w:pStyle w:val="Tabletext"/>
              <w:jc w:val="left"/>
              <w:rPr>
                <w:rFonts w:ascii="VIC" w:hAnsi="VIC" w:cs="VIC"/>
                <w:b/>
                <w:lang w:val="en-US"/>
              </w:rPr>
            </w:pPr>
            <w:r w:rsidRPr="00AE4C75">
              <w:rPr>
                <w:b/>
                <w:lang w:val="en-US"/>
              </w:rPr>
              <w:t xml:space="preserve">Eastern Health </w:t>
            </w:r>
          </w:p>
        </w:tc>
        <w:tc>
          <w:tcPr>
            <w:cnfStyle w:val="000001000000" w:firstRow="0" w:lastRow="0" w:firstColumn="0" w:lastColumn="0" w:oddVBand="0" w:evenVBand="1" w:oddHBand="0" w:evenHBand="0" w:firstRowFirstColumn="0" w:firstRowLastColumn="0" w:lastRowFirstColumn="0" w:lastRowLastColumn="0"/>
            <w:tcW w:w="3033" w:type="dxa"/>
          </w:tcPr>
          <w:p w14:paraId="68119B4A" w14:textId="77777777" w:rsidR="00D6403A" w:rsidRPr="00D6403A" w:rsidRDefault="00D6403A" w:rsidP="00E6458F">
            <w:pPr>
              <w:pStyle w:val="Tabletext"/>
              <w:jc w:val="left"/>
              <w:rPr>
                <w:lang w:val="en-US"/>
              </w:rPr>
            </w:pPr>
            <w:r w:rsidRPr="00D6403A">
              <w:rPr>
                <w:lang w:val="en-US"/>
              </w:rPr>
              <w:t>Angliss Hospital</w:t>
            </w:r>
          </w:p>
        </w:tc>
        <w:tc>
          <w:tcPr>
            <w:cnfStyle w:val="000010000000" w:firstRow="0" w:lastRow="0" w:firstColumn="0" w:lastColumn="0" w:oddVBand="1" w:evenVBand="0" w:oddHBand="0" w:evenHBand="0" w:firstRowFirstColumn="0" w:firstRowLastColumn="0" w:lastRowFirstColumn="0" w:lastRowLastColumn="0"/>
            <w:tcW w:w="1531" w:type="dxa"/>
          </w:tcPr>
          <w:p w14:paraId="067F5FA5"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5F84F6C9" w14:textId="77777777" w:rsidR="00D6403A" w:rsidRPr="00D6403A" w:rsidRDefault="00D6403A" w:rsidP="00AE4C75">
            <w:pPr>
              <w:pStyle w:val="Tabletext"/>
              <w:rPr>
                <w:lang w:val="en-US"/>
              </w:rPr>
            </w:pPr>
            <w:r w:rsidRPr="00D6403A">
              <w:rPr>
                <w:lang w:val="en-US"/>
              </w:rPr>
              <w:t>2,281</w:t>
            </w:r>
          </w:p>
        </w:tc>
        <w:tc>
          <w:tcPr>
            <w:cnfStyle w:val="000010000000" w:firstRow="0" w:lastRow="0" w:firstColumn="0" w:lastColumn="0" w:oddVBand="1" w:evenVBand="0" w:oddHBand="0" w:evenHBand="0" w:firstRowFirstColumn="0" w:firstRowLastColumn="0" w:lastRowFirstColumn="0" w:lastRowLastColumn="0"/>
            <w:tcW w:w="1304" w:type="dxa"/>
          </w:tcPr>
          <w:p w14:paraId="0AFC5F8E" w14:textId="77777777" w:rsidR="00D6403A" w:rsidRPr="00D6403A" w:rsidRDefault="00D6403A" w:rsidP="00AE4C75">
            <w:pPr>
              <w:pStyle w:val="Tabletext"/>
              <w:rPr>
                <w:lang w:val="en-US"/>
              </w:rPr>
            </w:pPr>
            <w:r w:rsidRPr="00D6403A">
              <w:rPr>
                <w:lang w:val="en-US"/>
              </w:rPr>
              <w:t>2,295</w:t>
            </w:r>
          </w:p>
        </w:tc>
      </w:tr>
      <w:tr w:rsidR="00D6403A" w:rsidRPr="00D6403A" w14:paraId="4C8B8C88"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542126ED" w14:textId="77777777" w:rsidR="00D6403A" w:rsidRPr="00AE4C75" w:rsidRDefault="00D6403A" w:rsidP="00E6458F">
            <w:pPr>
              <w:pStyle w:val="Tabletext"/>
              <w:jc w:val="left"/>
              <w:rPr>
                <w:rFonts w:ascii="VIC" w:hAnsi="VIC" w:cs="VIC"/>
                <w:b/>
                <w:lang w:val="en-US"/>
              </w:rPr>
            </w:pPr>
            <w:r w:rsidRPr="00AE4C75">
              <w:rPr>
                <w:b/>
                <w:lang w:val="en-US"/>
              </w:rPr>
              <w:t>The Royal Women’s Hospital</w:t>
            </w:r>
          </w:p>
        </w:tc>
        <w:tc>
          <w:tcPr>
            <w:cnfStyle w:val="000001000000" w:firstRow="0" w:lastRow="0" w:firstColumn="0" w:lastColumn="0" w:oddVBand="0" w:evenVBand="1" w:oddHBand="0" w:evenHBand="0" w:firstRowFirstColumn="0" w:firstRowLastColumn="0" w:lastRowFirstColumn="0" w:lastRowLastColumn="0"/>
            <w:tcW w:w="3033" w:type="dxa"/>
          </w:tcPr>
          <w:p w14:paraId="16DF256C" w14:textId="77777777" w:rsidR="00D6403A" w:rsidRPr="00D6403A" w:rsidRDefault="00D6403A" w:rsidP="00E6458F">
            <w:pPr>
              <w:pStyle w:val="Tabletext"/>
              <w:jc w:val="left"/>
              <w:rPr>
                <w:lang w:val="en-US"/>
              </w:rPr>
            </w:pPr>
            <w:r w:rsidRPr="00D6403A">
              <w:rPr>
                <w:lang w:val="en-US"/>
              </w:rPr>
              <w:t>The Women’s at Sandringham</w:t>
            </w:r>
          </w:p>
        </w:tc>
        <w:tc>
          <w:tcPr>
            <w:cnfStyle w:val="000010000000" w:firstRow="0" w:lastRow="0" w:firstColumn="0" w:lastColumn="0" w:oddVBand="1" w:evenVBand="0" w:oddHBand="0" w:evenHBand="0" w:firstRowFirstColumn="0" w:firstRowLastColumn="0" w:lastRowFirstColumn="0" w:lastRowLastColumn="0"/>
            <w:tcW w:w="1531" w:type="dxa"/>
          </w:tcPr>
          <w:p w14:paraId="09AB531D"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0CA03FD4" w14:textId="77777777" w:rsidR="00D6403A" w:rsidRPr="00D6403A" w:rsidRDefault="00D6403A" w:rsidP="00AE4C75">
            <w:pPr>
              <w:pStyle w:val="Tabletext"/>
              <w:rPr>
                <w:lang w:val="en-US"/>
              </w:rPr>
            </w:pPr>
            <w:r w:rsidRPr="00D6403A">
              <w:rPr>
                <w:lang w:val="en-US"/>
              </w:rPr>
              <w:t>1,563</w:t>
            </w:r>
          </w:p>
        </w:tc>
        <w:tc>
          <w:tcPr>
            <w:cnfStyle w:val="000010000000" w:firstRow="0" w:lastRow="0" w:firstColumn="0" w:lastColumn="0" w:oddVBand="1" w:evenVBand="0" w:oddHBand="0" w:evenHBand="0" w:firstRowFirstColumn="0" w:firstRowLastColumn="0" w:lastRowFirstColumn="0" w:lastRowLastColumn="0"/>
            <w:tcW w:w="1304" w:type="dxa"/>
          </w:tcPr>
          <w:p w14:paraId="7ABD55A5" w14:textId="77777777" w:rsidR="00D6403A" w:rsidRPr="00D6403A" w:rsidRDefault="00D6403A" w:rsidP="00AE4C75">
            <w:pPr>
              <w:pStyle w:val="Tabletext"/>
              <w:rPr>
                <w:lang w:val="en-US"/>
              </w:rPr>
            </w:pPr>
            <w:r w:rsidRPr="00D6403A">
              <w:rPr>
                <w:lang w:val="en-US"/>
              </w:rPr>
              <w:t>1,563</w:t>
            </w:r>
          </w:p>
        </w:tc>
      </w:tr>
      <w:tr w:rsidR="00D6403A" w:rsidRPr="00D6403A" w14:paraId="57372A80"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209B2556" w14:textId="77777777" w:rsidR="00D6403A" w:rsidRPr="00AE4C75" w:rsidRDefault="00D6403A" w:rsidP="00E6458F">
            <w:pPr>
              <w:pStyle w:val="Tabletext"/>
              <w:jc w:val="left"/>
              <w:rPr>
                <w:rFonts w:ascii="VIC" w:hAnsi="VIC" w:cs="VIC"/>
                <w:b/>
                <w:lang w:val="en-US"/>
              </w:rPr>
            </w:pPr>
            <w:r w:rsidRPr="00AE4C75">
              <w:rPr>
                <w:b/>
                <w:lang w:val="en-US"/>
              </w:rPr>
              <w:t xml:space="preserve">West Gippsland Healthcare Group </w:t>
            </w:r>
          </w:p>
        </w:tc>
        <w:tc>
          <w:tcPr>
            <w:cnfStyle w:val="000001000000" w:firstRow="0" w:lastRow="0" w:firstColumn="0" w:lastColumn="0" w:oddVBand="0" w:evenVBand="1" w:oddHBand="0" w:evenHBand="0" w:firstRowFirstColumn="0" w:firstRowLastColumn="0" w:lastRowFirstColumn="0" w:lastRowLastColumn="0"/>
            <w:tcW w:w="3033" w:type="dxa"/>
          </w:tcPr>
          <w:p w14:paraId="7AF4053E" w14:textId="77777777" w:rsidR="00D6403A" w:rsidRPr="00D6403A" w:rsidRDefault="00D6403A" w:rsidP="00E6458F">
            <w:pPr>
              <w:pStyle w:val="Tabletext"/>
              <w:jc w:val="left"/>
              <w:rPr>
                <w:lang w:val="en-US"/>
              </w:rPr>
            </w:pPr>
            <w:r w:rsidRPr="00D6403A">
              <w:rPr>
                <w:lang w:val="en-US"/>
              </w:rPr>
              <w:t>West Gippsland Hospital</w:t>
            </w:r>
          </w:p>
        </w:tc>
        <w:tc>
          <w:tcPr>
            <w:cnfStyle w:val="000010000000" w:firstRow="0" w:lastRow="0" w:firstColumn="0" w:lastColumn="0" w:oddVBand="1" w:evenVBand="0" w:oddHBand="0" w:evenHBand="0" w:firstRowFirstColumn="0" w:firstRowLastColumn="0" w:lastRowFirstColumn="0" w:lastRowLastColumn="0"/>
            <w:tcW w:w="1531" w:type="dxa"/>
          </w:tcPr>
          <w:p w14:paraId="7E7A13C8"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2C55CE07" w14:textId="77777777" w:rsidR="00D6403A" w:rsidRPr="00D6403A" w:rsidRDefault="00D6403A" w:rsidP="00AE4C75">
            <w:pPr>
              <w:pStyle w:val="Tabletext"/>
              <w:rPr>
                <w:lang w:val="en-US"/>
              </w:rPr>
            </w:pPr>
            <w:r w:rsidRPr="00D6403A">
              <w:rPr>
                <w:lang w:val="en-US"/>
              </w:rPr>
              <w:t>989</w:t>
            </w:r>
          </w:p>
        </w:tc>
        <w:tc>
          <w:tcPr>
            <w:cnfStyle w:val="000010000000" w:firstRow="0" w:lastRow="0" w:firstColumn="0" w:lastColumn="0" w:oddVBand="1" w:evenVBand="0" w:oddHBand="0" w:evenHBand="0" w:firstRowFirstColumn="0" w:firstRowLastColumn="0" w:lastRowFirstColumn="0" w:lastRowLastColumn="0"/>
            <w:tcW w:w="1304" w:type="dxa"/>
          </w:tcPr>
          <w:p w14:paraId="72CDAB72" w14:textId="77777777" w:rsidR="00D6403A" w:rsidRPr="00D6403A" w:rsidRDefault="00D6403A" w:rsidP="00AE4C75">
            <w:pPr>
              <w:pStyle w:val="Tabletext"/>
              <w:rPr>
                <w:lang w:val="en-US"/>
              </w:rPr>
            </w:pPr>
            <w:r w:rsidRPr="00D6403A">
              <w:rPr>
                <w:lang w:val="en-US"/>
              </w:rPr>
              <w:t>994</w:t>
            </w:r>
          </w:p>
        </w:tc>
      </w:tr>
      <w:tr w:rsidR="00D6403A" w:rsidRPr="00D6403A" w14:paraId="67B4D73A"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7A665487" w14:textId="77777777" w:rsidR="00D6403A" w:rsidRPr="00AE4C75" w:rsidRDefault="00D6403A" w:rsidP="00E6458F">
            <w:pPr>
              <w:pStyle w:val="Tabletext"/>
              <w:jc w:val="left"/>
              <w:rPr>
                <w:rFonts w:ascii="VIC" w:hAnsi="VIC" w:cs="VIC"/>
                <w:b/>
                <w:lang w:val="en-US"/>
              </w:rPr>
            </w:pPr>
            <w:r w:rsidRPr="00AE4C75">
              <w:rPr>
                <w:b/>
                <w:lang w:val="en-US"/>
              </w:rPr>
              <w:t>Mildura Base Hospital</w:t>
            </w:r>
          </w:p>
        </w:tc>
        <w:tc>
          <w:tcPr>
            <w:cnfStyle w:val="000001000000" w:firstRow="0" w:lastRow="0" w:firstColumn="0" w:lastColumn="0" w:oddVBand="0" w:evenVBand="1" w:oddHBand="0" w:evenHBand="0" w:firstRowFirstColumn="0" w:firstRowLastColumn="0" w:lastRowFirstColumn="0" w:lastRowLastColumn="0"/>
            <w:tcW w:w="3033" w:type="dxa"/>
          </w:tcPr>
          <w:p w14:paraId="42C5ABB0" w14:textId="77777777" w:rsidR="00D6403A" w:rsidRPr="00D6403A" w:rsidRDefault="00D6403A" w:rsidP="00E6458F">
            <w:pPr>
              <w:pStyle w:val="Tabletext"/>
              <w:jc w:val="left"/>
              <w:rPr>
                <w:lang w:val="en-US"/>
              </w:rPr>
            </w:pPr>
            <w:r w:rsidRPr="00D6403A">
              <w:rPr>
                <w:lang w:val="en-US"/>
              </w:rPr>
              <w:t>Mildura Base Public Hospital</w:t>
            </w:r>
          </w:p>
        </w:tc>
        <w:tc>
          <w:tcPr>
            <w:cnfStyle w:val="000010000000" w:firstRow="0" w:lastRow="0" w:firstColumn="0" w:lastColumn="0" w:oddVBand="1" w:evenVBand="0" w:oddHBand="0" w:evenHBand="0" w:firstRowFirstColumn="0" w:firstRowLastColumn="0" w:lastRowFirstColumn="0" w:lastRowLastColumn="0"/>
            <w:tcW w:w="1531" w:type="dxa"/>
          </w:tcPr>
          <w:p w14:paraId="34586777"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3E86029E" w14:textId="77777777" w:rsidR="00D6403A" w:rsidRPr="00D6403A" w:rsidRDefault="00D6403A" w:rsidP="00AE4C75">
            <w:pPr>
              <w:pStyle w:val="Tabletext"/>
              <w:rPr>
                <w:lang w:val="en-US"/>
              </w:rPr>
            </w:pPr>
            <w:r w:rsidRPr="00D6403A">
              <w:rPr>
                <w:lang w:val="en-US"/>
              </w:rPr>
              <w:t>843</w:t>
            </w:r>
          </w:p>
        </w:tc>
        <w:tc>
          <w:tcPr>
            <w:cnfStyle w:val="000010000000" w:firstRow="0" w:lastRow="0" w:firstColumn="0" w:lastColumn="0" w:oddVBand="1" w:evenVBand="0" w:oddHBand="0" w:evenHBand="0" w:firstRowFirstColumn="0" w:firstRowLastColumn="0" w:lastRowFirstColumn="0" w:lastRowLastColumn="0"/>
            <w:tcW w:w="1304" w:type="dxa"/>
          </w:tcPr>
          <w:p w14:paraId="361F3EB1" w14:textId="77777777" w:rsidR="00D6403A" w:rsidRPr="00D6403A" w:rsidRDefault="00D6403A" w:rsidP="00AE4C75">
            <w:pPr>
              <w:pStyle w:val="Tabletext"/>
              <w:rPr>
                <w:lang w:val="en-US"/>
              </w:rPr>
            </w:pPr>
            <w:r w:rsidRPr="00D6403A">
              <w:rPr>
                <w:lang w:val="en-US"/>
              </w:rPr>
              <w:t>853</w:t>
            </w:r>
          </w:p>
        </w:tc>
      </w:tr>
      <w:tr w:rsidR="00D6403A" w:rsidRPr="00D6403A" w14:paraId="5CC80F1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FB1BE7D" w14:textId="77777777" w:rsidR="00D6403A" w:rsidRPr="00AE4C75" w:rsidRDefault="00D6403A" w:rsidP="00E6458F">
            <w:pPr>
              <w:pStyle w:val="Tabletext"/>
              <w:jc w:val="left"/>
              <w:rPr>
                <w:rFonts w:ascii="VIC" w:hAnsi="VIC" w:cs="VIC"/>
                <w:b/>
                <w:lang w:val="en-US"/>
              </w:rPr>
            </w:pPr>
            <w:r w:rsidRPr="00AE4C75">
              <w:rPr>
                <w:b/>
                <w:lang w:val="en-US"/>
              </w:rPr>
              <w:t xml:space="preserve">South West Healthcare </w:t>
            </w:r>
          </w:p>
        </w:tc>
        <w:tc>
          <w:tcPr>
            <w:cnfStyle w:val="000001000000" w:firstRow="0" w:lastRow="0" w:firstColumn="0" w:lastColumn="0" w:oddVBand="0" w:evenVBand="1" w:oddHBand="0" w:evenHBand="0" w:firstRowFirstColumn="0" w:firstRowLastColumn="0" w:lastRowFirstColumn="0" w:lastRowLastColumn="0"/>
            <w:tcW w:w="3033" w:type="dxa"/>
          </w:tcPr>
          <w:p w14:paraId="00E582E7" w14:textId="77777777" w:rsidR="00D6403A" w:rsidRPr="00D6403A" w:rsidRDefault="00D6403A" w:rsidP="00E6458F">
            <w:pPr>
              <w:pStyle w:val="Tabletext"/>
              <w:jc w:val="left"/>
              <w:rPr>
                <w:lang w:val="en-US"/>
              </w:rPr>
            </w:pPr>
            <w:r w:rsidRPr="00D6403A">
              <w:rPr>
                <w:lang w:val="en-US"/>
              </w:rPr>
              <w:t>Warrnambool Base Hospital</w:t>
            </w:r>
          </w:p>
        </w:tc>
        <w:tc>
          <w:tcPr>
            <w:cnfStyle w:val="000010000000" w:firstRow="0" w:lastRow="0" w:firstColumn="0" w:lastColumn="0" w:oddVBand="1" w:evenVBand="0" w:oddHBand="0" w:evenHBand="0" w:firstRowFirstColumn="0" w:firstRowLastColumn="0" w:lastRowFirstColumn="0" w:lastRowLastColumn="0"/>
            <w:tcW w:w="1531" w:type="dxa"/>
          </w:tcPr>
          <w:p w14:paraId="7FDB81F3"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231543A9" w14:textId="77777777" w:rsidR="00D6403A" w:rsidRPr="00D6403A" w:rsidRDefault="00D6403A" w:rsidP="00AE4C75">
            <w:pPr>
              <w:pStyle w:val="Tabletext"/>
              <w:rPr>
                <w:lang w:val="en-US"/>
              </w:rPr>
            </w:pPr>
            <w:r w:rsidRPr="00D6403A">
              <w:rPr>
                <w:lang w:val="en-US"/>
              </w:rPr>
              <w:t>744</w:t>
            </w:r>
          </w:p>
        </w:tc>
        <w:tc>
          <w:tcPr>
            <w:cnfStyle w:val="000010000000" w:firstRow="0" w:lastRow="0" w:firstColumn="0" w:lastColumn="0" w:oddVBand="1" w:evenVBand="0" w:oddHBand="0" w:evenHBand="0" w:firstRowFirstColumn="0" w:firstRowLastColumn="0" w:lastRowFirstColumn="0" w:lastRowLastColumn="0"/>
            <w:tcW w:w="1304" w:type="dxa"/>
          </w:tcPr>
          <w:p w14:paraId="01D17D7E" w14:textId="77777777" w:rsidR="00D6403A" w:rsidRPr="00D6403A" w:rsidRDefault="00D6403A" w:rsidP="00AE4C75">
            <w:pPr>
              <w:pStyle w:val="Tabletext"/>
              <w:rPr>
                <w:lang w:val="en-US"/>
              </w:rPr>
            </w:pPr>
            <w:r w:rsidRPr="00D6403A">
              <w:rPr>
                <w:lang w:val="en-US"/>
              </w:rPr>
              <w:t>760</w:t>
            </w:r>
          </w:p>
        </w:tc>
      </w:tr>
      <w:tr w:rsidR="00D6403A" w:rsidRPr="00D6403A" w14:paraId="2FBF01F7"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1F871D4" w14:textId="77777777" w:rsidR="00D6403A" w:rsidRPr="00AE4C75" w:rsidRDefault="00D6403A" w:rsidP="00E6458F">
            <w:pPr>
              <w:pStyle w:val="Tabletext"/>
              <w:jc w:val="left"/>
              <w:rPr>
                <w:rFonts w:ascii="VIC" w:hAnsi="VIC" w:cs="VIC"/>
                <w:b/>
                <w:lang w:val="en-US"/>
              </w:rPr>
            </w:pPr>
            <w:r w:rsidRPr="00AE4C75">
              <w:rPr>
                <w:b/>
                <w:lang w:val="en-US"/>
              </w:rPr>
              <w:t>Northeast Health Wangaratta</w:t>
            </w:r>
          </w:p>
        </w:tc>
        <w:tc>
          <w:tcPr>
            <w:cnfStyle w:val="000001000000" w:firstRow="0" w:lastRow="0" w:firstColumn="0" w:lastColumn="0" w:oddVBand="0" w:evenVBand="1" w:oddHBand="0" w:evenHBand="0" w:firstRowFirstColumn="0" w:firstRowLastColumn="0" w:lastRowFirstColumn="0" w:lastRowLastColumn="0"/>
            <w:tcW w:w="3033" w:type="dxa"/>
          </w:tcPr>
          <w:p w14:paraId="33339587" w14:textId="77777777" w:rsidR="00D6403A" w:rsidRPr="00D6403A" w:rsidRDefault="00D6403A" w:rsidP="00E6458F">
            <w:pPr>
              <w:pStyle w:val="Tabletext"/>
              <w:jc w:val="left"/>
              <w:rPr>
                <w:lang w:val="en-US"/>
              </w:rPr>
            </w:pPr>
            <w:r w:rsidRPr="00D6403A">
              <w:rPr>
                <w:lang w:val="en-US"/>
              </w:rPr>
              <w:t>Northeast Health Wangaratta</w:t>
            </w:r>
          </w:p>
        </w:tc>
        <w:tc>
          <w:tcPr>
            <w:cnfStyle w:val="000010000000" w:firstRow="0" w:lastRow="0" w:firstColumn="0" w:lastColumn="0" w:oddVBand="1" w:evenVBand="0" w:oddHBand="0" w:evenHBand="0" w:firstRowFirstColumn="0" w:firstRowLastColumn="0" w:lastRowFirstColumn="0" w:lastRowLastColumn="0"/>
            <w:tcW w:w="1531" w:type="dxa"/>
          </w:tcPr>
          <w:p w14:paraId="5CFC28C5"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50B4FE68" w14:textId="77777777" w:rsidR="00D6403A" w:rsidRPr="00D6403A" w:rsidRDefault="00D6403A" w:rsidP="00AE4C75">
            <w:pPr>
              <w:pStyle w:val="Tabletext"/>
              <w:rPr>
                <w:lang w:val="en-US"/>
              </w:rPr>
            </w:pPr>
            <w:r w:rsidRPr="00D6403A">
              <w:rPr>
                <w:lang w:val="en-US"/>
              </w:rPr>
              <w:t>741</w:t>
            </w:r>
          </w:p>
        </w:tc>
        <w:tc>
          <w:tcPr>
            <w:cnfStyle w:val="000010000000" w:firstRow="0" w:lastRow="0" w:firstColumn="0" w:lastColumn="0" w:oddVBand="1" w:evenVBand="0" w:oddHBand="0" w:evenHBand="0" w:firstRowFirstColumn="0" w:firstRowLastColumn="0" w:lastRowFirstColumn="0" w:lastRowLastColumn="0"/>
            <w:tcW w:w="1304" w:type="dxa"/>
          </w:tcPr>
          <w:p w14:paraId="4A90CAC0" w14:textId="77777777" w:rsidR="00D6403A" w:rsidRPr="00D6403A" w:rsidRDefault="00D6403A" w:rsidP="00AE4C75">
            <w:pPr>
              <w:pStyle w:val="Tabletext"/>
              <w:rPr>
                <w:lang w:val="en-US"/>
              </w:rPr>
            </w:pPr>
            <w:r w:rsidRPr="00D6403A">
              <w:rPr>
                <w:lang w:val="en-US"/>
              </w:rPr>
              <w:t>748</w:t>
            </w:r>
          </w:p>
        </w:tc>
      </w:tr>
      <w:tr w:rsidR="00D6403A" w:rsidRPr="00D6403A" w14:paraId="159FA0C4"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DBB2EE1" w14:textId="77777777" w:rsidR="00D6403A" w:rsidRPr="00AE4C75" w:rsidRDefault="00D6403A" w:rsidP="00E6458F">
            <w:pPr>
              <w:pStyle w:val="Tabletext"/>
              <w:jc w:val="left"/>
              <w:rPr>
                <w:rFonts w:ascii="VIC" w:hAnsi="VIC" w:cs="VIC"/>
                <w:b/>
                <w:lang w:val="en-US"/>
              </w:rPr>
            </w:pPr>
            <w:r w:rsidRPr="00AE4C75">
              <w:rPr>
                <w:b/>
                <w:lang w:val="en-US"/>
              </w:rPr>
              <w:t xml:space="preserve">Central Gippsland Health Service </w:t>
            </w:r>
          </w:p>
        </w:tc>
        <w:tc>
          <w:tcPr>
            <w:cnfStyle w:val="000001000000" w:firstRow="0" w:lastRow="0" w:firstColumn="0" w:lastColumn="0" w:oddVBand="0" w:evenVBand="1" w:oddHBand="0" w:evenHBand="0" w:firstRowFirstColumn="0" w:firstRowLastColumn="0" w:lastRowFirstColumn="0" w:lastRowLastColumn="0"/>
            <w:tcW w:w="3033" w:type="dxa"/>
          </w:tcPr>
          <w:p w14:paraId="210258E3" w14:textId="77777777" w:rsidR="00D6403A" w:rsidRPr="00D6403A" w:rsidRDefault="00D6403A" w:rsidP="00E6458F">
            <w:pPr>
              <w:pStyle w:val="Tabletext"/>
              <w:jc w:val="left"/>
              <w:rPr>
                <w:lang w:val="en-US"/>
              </w:rPr>
            </w:pPr>
            <w:r w:rsidRPr="00D6403A">
              <w:rPr>
                <w:lang w:val="en-US"/>
              </w:rPr>
              <w:t>Sale Hospital</w:t>
            </w:r>
          </w:p>
        </w:tc>
        <w:tc>
          <w:tcPr>
            <w:cnfStyle w:val="000010000000" w:firstRow="0" w:lastRow="0" w:firstColumn="0" w:lastColumn="0" w:oddVBand="1" w:evenVBand="0" w:oddHBand="0" w:evenHBand="0" w:firstRowFirstColumn="0" w:firstRowLastColumn="0" w:lastRowFirstColumn="0" w:lastRowLastColumn="0"/>
            <w:tcW w:w="1531" w:type="dxa"/>
          </w:tcPr>
          <w:p w14:paraId="7218CC8F"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3C6C90D2" w14:textId="77777777" w:rsidR="00D6403A" w:rsidRPr="00D6403A" w:rsidRDefault="00D6403A" w:rsidP="00AE4C75">
            <w:pPr>
              <w:pStyle w:val="Tabletext"/>
              <w:rPr>
                <w:lang w:val="en-US"/>
              </w:rPr>
            </w:pPr>
            <w:r w:rsidRPr="00D6403A">
              <w:rPr>
                <w:lang w:val="en-US"/>
              </w:rPr>
              <w:t>441</w:t>
            </w:r>
          </w:p>
        </w:tc>
        <w:tc>
          <w:tcPr>
            <w:cnfStyle w:val="000010000000" w:firstRow="0" w:lastRow="0" w:firstColumn="0" w:lastColumn="0" w:oddVBand="1" w:evenVBand="0" w:oddHBand="0" w:evenHBand="0" w:firstRowFirstColumn="0" w:firstRowLastColumn="0" w:lastRowFirstColumn="0" w:lastRowLastColumn="0"/>
            <w:tcW w:w="1304" w:type="dxa"/>
          </w:tcPr>
          <w:p w14:paraId="2BFCA055" w14:textId="77777777" w:rsidR="00D6403A" w:rsidRPr="00D6403A" w:rsidRDefault="00D6403A" w:rsidP="00AE4C75">
            <w:pPr>
              <w:pStyle w:val="Tabletext"/>
              <w:rPr>
                <w:lang w:val="en-US"/>
              </w:rPr>
            </w:pPr>
            <w:r w:rsidRPr="00D6403A">
              <w:rPr>
                <w:lang w:val="en-US"/>
              </w:rPr>
              <w:t>447</w:t>
            </w:r>
          </w:p>
        </w:tc>
      </w:tr>
      <w:tr w:rsidR="00D6403A" w:rsidRPr="00D6403A" w14:paraId="2A02BCB9"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27E74869" w14:textId="77777777" w:rsidR="00D6403A" w:rsidRPr="00AE4C75" w:rsidRDefault="00D6403A" w:rsidP="00E6458F">
            <w:pPr>
              <w:pStyle w:val="Tabletext"/>
              <w:jc w:val="left"/>
              <w:rPr>
                <w:rFonts w:ascii="VIC" w:hAnsi="VIC" w:cs="VIC"/>
                <w:b/>
                <w:lang w:val="en-US"/>
              </w:rPr>
            </w:pPr>
            <w:r w:rsidRPr="00AE4C75">
              <w:rPr>
                <w:b/>
                <w:lang w:val="en-US"/>
              </w:rPr>
              <w:t xml:space="preserve">Grampians Health – Wimmera Health Care Group </w:t>
            </w:r>
          </w:p>
        </w:tc>
        <w:tc>
          <w:tcPr>
            <w:cnfStyle w:val="000001000000" w:firstRow="0" w:lastRow="0" w:firstColumn="0" w:lastColumn="0" w:oddVBand="0" w:evenVBand="1" w:oddHBand="0" w:evenHBand="0" w:firstRowFirstColumn="0" w:firstRowLastColumn="0" w:lastRowFirstColumn="0" w:lastRowLastColumn="0"/>
            <w:tcW w:w="3033" w:type="dxa"/>
          </w:tcPr>
          <w:p w14:paraId="6ED1A960" w14:textId="77777777" w:rsidR="00D6403A" w:rsidRPr="00D6403A" w:rsidRDefault="00D6403A" w:rsidP="00E6458F">
            <w:pPr>
              <w:pStyle w:val="Tabletext"/>
              <w:jc w:val="left"/>
              <w:rPr>
                <w:lang w:val="en-US"/>
              </w:rPr>
            </w:pPr>
            <w:r w:rsidRPr="00D6403A">
              <w:rPr>
                <w:lang w:val="en-US"/>
              </w:rPr>
              <w:t>Wimmera Base Hospital</w:t>
            </w:r>
          </w:p>
        </w:tc>
        <w:tc>
          <w:tcPr>
            <w:cnfStyle w:val="000010000000" w:firstRow="0" w:lastRow="0" w:firstColumn="0" w:lastColumn="0" w:oddVBand="1" w:evenVBand="0" w:oddHBand="0" w:evenHBand="0" w:firstRowFirstColumn="0" w:firstRowLastColumn="0" w:lastRowFirstColumn="0" w:lastRowLastColumn="0"/>
            <w:tcW w:w="1531" w:type="dxa"/>
          </w:tcPr>
          <w:p w14:paraId="7C5BC1C8" w14:textId="77777777" w:rsidR="00D6403A" w:rsidRPr="00D6403A" w:rsidRDefault="00D6403A" w:rsidP="00AE4C75">
            <w:pPr>
              <w:pStyle w:val="Tabletext"/>
              <w:rPr>
                <w:lang w:val="en-US"/>
              </w:rPr>
            </w:pPr>
            <w:r w:rsidRPr="00D6403A">
              <w:rPr>
                <w:lang w:val="en-US"/>
              </w:rPr>
              <w:t>4</w:t>
            </w:r>
          </w:p>
        </w:tc>
        <w:tc>
          <w:tcPr>
            <w:cnfStyle w:val="000001000000" w:firstRow="0" w:lastRow="0" w:firstColumn="0" w:lastColumn="0" w:oddVBand="0" w:evenVBand="1" w:oddHBand="0" w:evenHBand="0" w:firstRowFirstColumn="0" w:firstRowLastColumn="0" w:lastRowFirstColumn="0" w:lastRowLastColumn="0"/>
            <w:tcW w:w="1304" w:type="dxa"/>
          </w:tcPr>
          <w:p w14:paraId="672603E0" w14:textId="77777777" w:rsidR="00D6403A" w:rsidRPr="00D6403A" w:rsidRDefault="00D6403A" w:rsidP="00AE4C75">
            <w:pPr>
              <w:pStyle w:val="Tabletext"/>
              <w:rPr>
                <w:lang w:val="en-US"/>
              </w:rPr>
            </w:pPr>
            <w:r w:rsidRPr="00D6403A">
              <w:rPr>
                <w:lang w:val="en-US"/>
              </w:rPr>
              <w:t>283</w:t>
            </w:r>
          </w:p>
        </w:tc>
        <w:tc>
          <w:tcPr>
            <w:cnfStyle w:val="000010000000" w:firstRow="0" w:lastRow="0" w:firstColumn="0" w:lastColumn="0" w:oddVBand="1" w:evenVBand="0" w:oddHBand="0" w:evenHBand="0" w:firstRowFirstColumn="0" w:firstRowLastColumn="0" w:lastRowFirstColumn="0" w:lastRowLastColumn="0"/>
            <w:tcW w:w="1304" w:type="dxa"/>
          </w:tcPr>
          <w:p w14:paraId="386F89B5" w14:textId="77777777" w:rsidR="00D6403A" w:rsidRPr="00D6403A" w:rsidRDefault="00D6403A" w:rsidP="00AE4C75">
            <w:pPr>
              <w:pStyle w:val="Tabletext"/>
              <w:rPr>
                <w:lang w:val="en-US"/>
              </w:rPr>
            </w:pPr>
            <w:r w:rsidRPr="00D6403A">
              <w:rPr>
                <w:lang w:val="en-US"/>
              </w:rPr>
              <w:t>284</w:t>
            </w:r>
          </w:p>
        </w:tc>
      </w:tr>
      <w:tr w:rsidR="00D6403A" w:rsidRPr="00D6403A" w14:paraId="20E4613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60EC220" w14:textId="77777777" w:rsidR="00D6403A" w:rsidRPr="00AE4C75" w:rsidRDefault="00D6403A" w:rsidP="00E6458F">
            <w:pPr>
              <w:pStyle w:val="Tabletext"/>
              <w:jc w:val="left"/>
              <w:rPr>
                <w:rFonts w:ascii="VIC" w:hAnsi="VIC" w:cs="VIC"/>
                <w:b/>
                <w:lang w:val="en-US"/>
              </w:rPr>
            </w:pPr>
            <w:r w:rsidRPr="00AE4C75">
              <w:rPr>
                <w:b/>
                <w:lang w:val="en-US"/>
              </w:rPr>
              <w:t>Western Health BM&amp;M</w:t>
            </w:r>
          </w:p>
        </w:tc>
        <w:tc>
          <w:tcPr>
            <w:cnfStyle w:val="000001000000" w:firstRow="0" w:lastRow="0" w:firstColumn="0" w:lastColumn="0" w:oddVBand="0" w:evenVBand="1" w:oddHBand="0" w:evenHBand="0" w:firstRowFirstColumn="0" w:firstRowLastColumn="0" w:lastRowFirstColumn="0" w:lastRowLastColumn="0"/>
            <w:tcW w:w="3033" w:type="dxa"/>
          </w:tcPr>
          <w:p w14:paraId="3F3A12F4" w14:textId="77777777" w:rsidR="00D6403A" w:rsidRPr="00D6403A" w:rsidRDefault="00D6403A" w:rsidP="00E6458F">
            <w:pPr>
              <w:pStyle w:val="Tabletext"/>
              <w:jc w:val="left"/>
              <w:rPr>
                <w:lang w:val="en-US"/>
              </w:rPr>
            </w:pPr>
            <w:r w:rsidRPr="00D6403A">
              <w:rPr>
                <w:lang w:val="en-US"/>
              </w:rPr>
              <w:t>Bacchus Marsh and Melton Regional</w:t>
            </w:r>
          </w:p>
        </w:tc>
        <w:tc>
          <w:tcPr>
            <w:cnfStyle w:val="000010000000" w:firstRow="0" w:lastRow="0" w:firstColumn="0" w:lastColumn="0" w:oddVBand="1" w:evenVBand="0" w:oddHBand="0" w:evenHBand="0" w:firstRowFirstColumn="0" w:firstRowLastColumn="0" w:lastRowFirstColumn="0" w:lastRowLastColumn="0"/>
            <w:tcW w:w="1531" w:type="dxa"/>
          </w:tcPr>
          <w:p w14:paraId="31F5DF80"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408C0891" w14:textId="77777777" w:rsidR="00D6403A" w:rsidRPr="00D6403A" w:rsidRDefault="00D6403A" w:rsidP="00AE4C75">
            <w:pPr>
              <w:pStyle w:val="Tabletext"/>
              <w:rPr>
                <w:lang w:val="en-US"/>
              </w:rPr>
            </w:pPr>
            <w:r w:rsidRPr="00D6403A">
              <w:rPr>
                <w:lang w:val="en-US"/>
              </w:rPr>
              <w:t>457</w:t>
            </w:r>
          </w:p>
        </w:tc>
        <w:tc>
          <w:tcPr>
            <w:cnfStyle w:val="000010000000" w:firstRow="0" w:lastRow="0" w:firstColumn="0" w:lastColumn="0" w:oddVBand="1" w:evenVBand="0" w:oddHBand="0" w:evenHBand="0" w:firstRowFirstColumn="0" w:firstRowLastColumn="0" w:lastRowFirstColumn="0" w:lastRowLastColumn="0"/>
            <w:tcW w:w="1304" w:type="dxa"/>
          </w:tcPr>
          <w:p w14:paraId="57317F10" w14:textId="77777777" w:rsidR="00D6403A" w:rsidRPr="00D6403A" w:rsidRDefault="00D6403A" w:rsidP="00AE4C75">
            <w:pPr>
              <w:pStyle w:val="Tabletext"/>
              <w:rPr>
                <w:lang w:val="en-US"/>
              </w:rPr>
            </w:pPr>
            <w:r w:rsidRPr="00D6403A">
              <w:rPr>
                <w:lang w:val="en-US"/>
              </w:rPr>
              <w:t>457</w:t>
            </w:r>
          </w:p>
        </w:tc>
      </w:tr>
      <w:tr w:rsidR="00D6403A" w:rsidRPr="00D6403A" w14:paraId="196021E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7472D4CB" w14:textId="77777777" w:rsidR="00D6403A" w:rsidRPr="00AE4C75" w:rsidRDefault="00D6403A" w:rsidP="00E6458F">
            <w:pPr>
              <w:pStyle w:val="Tabletext"/>
              <w:jc w:val="left"/>
              <w:rPr>
                <w:rFonts w:ascii="VIC" w:hAnsi="VIC" w:cs="VIC"/>
                <w:b/>
                <w:lang w:val="en-US"/>
              </w:rPr>
            </w:pPr>
            <w:r w:rsidRPr="00AE4C75">
              <w:rPr>
                <w:b/>
                <w:lang w:val="en-US"/>
              </w:rPr>
              <w:t xml:space="preserve">Echuca Regional Health </w:t>
            </w:r>
          </w:p>
        </w:tc>
        <w:tc>
          <w:tcPr>
            <w:cnfStyle w:val="000001000000" w:firstRow="0" w:lastRow="0" w:firstColumn="0" w:lastColumn="0" w:oddVBand="0" w:evenVBand="1" w:oddHBand="0" w:evenHBand="0" w:firstRowFirstColumn="0" w:firstRowLastColumn="0" w:lastRowFirstColumn="0" w:lastRowLastColumn="0"/>
            <w:tcW w:w="3033" w:type="dxa"/>
          </w:tcPr>
          <w:p w14:paraId="745A7112" w14:textId="77777777" w:rsidR="00D6403A" w:rsidRPr="00D6403A" w:rsidRDefault="00D6403A" w:rsidP="00E6458F">
            <w:pPr>
              <w:pStyle w:val="Tabletext"/>
              <w:jc w:val="left"/>
              <w:rPr>
                <w:lang w:val="en-US"/>
              </w:rPr>
            </w:pPr>
            <w:r w:rsidRPr="00D6403A">
              <w:rPr>
                <w:lang w:val="en-US"/>
              </w:rPr>
              <w:t>Echuca Regional Health</w:t>
            </w:r>
          </w:p>
        </w:tc>
        <w:tc>
          <w:tcPr>
            <w:cnfStyle w:val="000010000000" w:firstRow="0" w:lastRow="0" w:firstColumn="0" w:lastColumn="0" w:oddVBand="1" w:evenVBand="0" w:oddHBand="0" w:evenHBand="0" w:firstRowFirstColumn="0" w:firstRowLastColumn="0" w:lastRowFirstColumn="0" w:lastRowLastColumn="0"/>
            <w:tcW w:w="1531" w:type="dxa"/>
          </w:tcPr>
          <w:p w14:paraId="4CB0AD29"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30EFCDD8" w14:textId="77777777" w:rsidR="00D6403A" w:rsidRPr="00D6403A" w:rsidRDefault="00D6403A" w:rsidP="00AE4C75">
            <w:pPr>
              <w:pStyle w:val="Tabletext"/>
              <w:rPr>
                <w:lang w:val="en-US"/>
              </w:rPr>
            </w:pPr>
            <w:r w:rsidRPr="00D6403A">
              <w:rPr>
                <w:lang w:val="en-US"/>
              </w:rPr>
              <w:t>457</w:t>
            </w:r>
          </w:p>
        </w:tc>
        <w:tc>
          <w:tcPr>
            <w:cnfStyle w:val="000010000000" w:firstRow="0" w:lastRow="0" w:firstColumn="0" w:lastColumn="0" w:oddVBand="1" w:evenVBand="0" w:oddHBand="0" w:evenHBand="0" w:firstRowFirstColumn="0" w:firstRowLastColumn="0" w:lastRowFirstColumn="0" w:lastRowLastColumn="0"/>
            <w:tcW w:w="1304" w:type="dxa"/>
          </w:tcPr>
          <w:p w14:paraId="7AB8AA09" w14:textId="77777777" w:rsidR="00D6403A" w:rsidRPr="00D6403A" w:rsidRDefault="00D6403A" w:rsidP="00AE4C75">
            <w:pPr>
              <w:pStyle w:val="Tabletext"/>
              <w:rPr>
                <w:lang w:val="en-US"/>
              </w:rPr>
            </w:pPr>
            <w:r w:rsidRPr="00D6403A">
              <w:rPr>
                <w:lang w:val="en-US"/>
              </w:rPr>
              <w:t>457</w:t>
            </w:r>
          </w:p>
        </w:tc>
      </w:tr>
      <w:tr w:rsidR="00D6403A" w:rsidRPr="00D6403A" w14:paraId="0FC3D741"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801F796" w14:textId="77777777" w:rsidR="00D6403A" w:rsidRPr="00AE4C75" w:rsidRDefault="00D6403A" w:rsidP="00E6458F">
            <w:pPr>
              <w:pStyle w:val="Tabletext"/>
              <w:jc w:val="left"/>
              <w:rPr>
                <w:rFonts w:ascii="VIC" w:hAnsi="VIC" w:cs="VIC"/>
                <w:b/>
                <w:lang w:val="en-US"/>
              </w:rPr>
            </w:pPr>
            <w:r w:rsidRPr="00AE4C75">
              <w:rPr>
                <w:b/>
                <w:lang w:val="en-US"/>
              </w:rPr>
              <w:t>Bairnsdale Regional Health Service</w:t>
            </w:r>
          </w:p>
        </w:tc>
        <w:tc>
          <w:tcPr>
            <w:cnfStyle w:val="000001000000" w:firstRow="0" w:lastRow="0" w:firstColumn="0" w:lastColumn="0" w:oddVBand="0" w:evenVBand="1" w:oddHBand="0" w:evenHBand="0" w:firstRowFirstColumn="0" w:firstRowLastColumn="0" w:lastRowFirstColumn="0" w:lastRowLastColumn="0"/>
            <w:tcW w:w="3033" w:type="dxa"/>
          </w:tcPr>
          <w:p w14:paraId="1E83E659" w14:textId="77777777" w:rsidR="00D6403A" w:rsidRPr="00D6403A" w:rsidRDefault="00D6403A" w:rsidP="00E6458F">
            <w:pPr>
              <w:pStyle w:val="Tabletext"/>
              <w:jc w:val="left"/>
              <w:rPr>
                <w:lang w:val="en-US"/>
              </w:rPr>
            </w:pPr>
            <w:r w:rsidRPr="00D6403A">
              <w:rPr>
                <w:lang w:val="en-US"/>
              </w:rPr>
              <w:t>Bairnsdale Regional Health Service</w:t>
            </w:r>
          </w:p>
        </w:tc>
        <w:tc>
          <w:tcPr>
            <w:cnfStyle w:val="000010000000" w:firstRow="0" w:lastRow="0" w:firstColumn="0" w:lastColumn="0" w:oddVBand="1" w:evenVBand="0" w:oddHBand="0" w:evenHBand="0" w:firstRowFirstColumn="0" w:firstRowLastColumn="0" w:lastRowFirstColumn="0" w:lastRowLastColumn="0"/>
            <w:tcW w:w="1531" w:type="dxa"/>
          </w:tcPr>
          <w:p w14:paraId="4528A84B"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43CD156B" w14:textId="77777777" w:rsidR="00D6403A" w:rsidRPr="00D6403A" w:rsidRDefault="00D6403A" w:rsidP="00AE4C75">
            <w:pPr>
              <w:pStyle w:val="Tabletext"/>
              <w:rPr>
                <w:lang w:val="en-US"/>
              </w:rPr>
            </w:pPr>
            <w:r w:rsidRPr="00D6403A">
              <w:rPr>
                <w:lang w:val="en-US"/>
              </w:rPr>
              <w:t>301</w:t>
            </w:r>
          </w:p>
        </w:tc>
        <w:tc>
          <w:tcPr>
            <w:cnfStyle w:val="000010000000" w:firstRow="0" w:lastRow="0" w:firstColumn="0" w:lastColumn="0" w:oddVBand="1" w:evenVBand="0" w:oddHBand="0" w:evenHBand="0" w:firstRowFirstColumn="0" w:firstRowLastColumn="0" w:lastRowFirstColumn="0" w:lastRowLastColumn="0"/>
            <w:tcW w:w="1304" w:type="dxa"/>
          </w:tcPr>
          <w:p w14:paraId="2DBB9159" w14:textId="77777777" w:rsidR="00D6403A" w:rsidRPr="00D6403A" w:rsidRDefault="00D6403A" w:rsidP="00AE4C75">
            <w:pPr>
              <w:pStyle w:val="Tabletext"/>
              <w:rPr>
                <w:lang w:val="en-US"/>
              </w:rPr>
            </w:pPr>
            <w:r w:rsidRPr="00D6403A">
              <w:rPr>
                <w:lang w:val="en-US"/>
              </w:rPr>
              <w:t>302</w:t>
            </w:r>
          </w:p>
        </w:tc>
      </w:tr>
      <w:tr w:rsidR="00D6403A" w:rsidRPr="00D6403A" w14:paraId="561C20D7"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67259CDF" w14:textId="77777777" w:rsidR="00D6403A" w:rsidRPr="00AE4C75" w:rsidRDefault="00D6403A" w:rsidP="00E6458F">
            <w:pPr>
              <w:pStyle w:val="Tabletext"/>
              <w:jc w:val="left"/>
              <w:rPr>
                <w:rFonts w:ascii="VIC" w:hAnsi="VIC" w:cs="VIC"/>
                <w:b/>
                <w:lang w:val="en-US"/>
              </w:rPr>
            </w:pPr>
            <w:r w:rsidRPr="00AE4C75">
              <w:rPr>
                <w:b/>
                <w:lang w:val="en-US"/>
              </w:rPr>
              <w:t>Kilmore District Health</w:t>
            </w:r>
          </w:p>
        </w:tc>
        <w:tc>
          <w:tcPr>
            <w:cnfStyle w:val="000001000000" w:firstRow="0" w:lastRow="0" w:firstColumn="0" w:lastColumn="0" w:oddVBand="0" w:evenVBand="1" w:oddHBand="0" w:evenHBand="0" w:firstRowFirstColumn="0" w:firstRowLastColumn="0" w:lastRowFirstColumn="0" w:lastRowLastColumn="0"/>
            <w:tcW w:w="3033" w:type="dxa"/>
          </w:tcPr>
          <w:p w14:paraId="2900030F" w14:textId="77777777" w:rsidR="00D6403A" w:rsidRPr="00D6403A" w:rsidRDefault="00D6403A" w:rsidP="00E6458F">
            <w:pPr>
              <w:pStyle w:val="Tabletext"/>
              <w:jc w:val="left"/>
              <w:rPr>
                <w:lang w:val="en-US"/>
              </w:rPr>
            </w:pPr>
            <w:r w:rsidRPr="00D6403A">
              <w:rPr>
                <w:lang w:val="en-US"/>
              </w:rPr>
              <w:t>Kilmore District Health</w:t>
            </w:r>
          </w:p>
        </w:tc>
        <w:tc>
          <w:tcPr>
            <w:cnfStyle w:val="000010000000" w:firstRow="0" w:lastRow="0" w:firstColumn="0" w:lastColumn="0" w:oddVBand="1" w:evenVBand="0" w:oddHBand="0" w:evenHBand="0" w:firstRowFirstColumn="0" w:firstRowLastColumn="0" w:lastRowFirstColumn="0" w:lastRowLastColumn="0"/>
            <w:tcW w:w="1531" w:type="dxa"/>
          </w:tcPr>
          <w:p w14:paraId="00822D72"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1D161D79" w14:textId="77777777" w:rsidR="00D6403A" w:rsidRPr="00D6403A" w:rsidRDefault="00D6403A" w:rsidP="00AE4C75">
            <w:pPr>
              <w:pStyle w:val="Tabletext"/>
              <w:rPr>
                <w:lang w:val="en-US"/>
              </w:rPr>
            </w:pPr>
            <w:r w:rsidRPr="00D6403A">
              <w:rPr>
                <w:lang w:val="en-US"/>
              </w:rPr>
              <w:t>239</w:t>
            </w:r>
          </w:p>
        </w:tc>
        <w:tc>
          <w:tcPr>
            <w:cnfStyle w:val="000010000000" w:firstRow="0" w:lastRow="0" w:firstColumn="0" w:lastColumn="0" w:oddVBand="1" w:evenVBand="0" w:oddHBand="0" w:evenHBand="0" w:firstRowFirstColumn="0" w:firstRowLastColumn="0" w:lastRowFirstColumn="0" w:lastRowLastColumn="0"/>
            <w:tcW w:w="1304" w:type="dxa"/>
          </w:tcPr>
          <w:p w14:paraId="74756121" w14:textId="77777777" w:rsidR="00D6403A" w:rsidRPr="00D6403A" w:rsidRDefault="00D6403A" w:rsidP="00AE4C75">
            <w:pPr>
              <w:pStyle w:val="Tabletext"/>
              <w:rPr>
                <w:lang w:val="en-US"/>
              </w:rPr>
            </w:pPr>
            <w:r w:rsidRPr="00D6403A">
              <w:rPr>
                <w:lang w:val="en-US"/>
              </w:rPr>
              <w:t>239</w:t>
            </w:r>
          </w:p>
        </w:tc>
      </w:tr>
      <w:tr w:rsidR="00D6403A" w:rsidRPr="00D6403A" w14:paraId="0BD441CD"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024C547" w14:textId="77777777" w:rsidR="00D6403A" w:rsidRPr="00AE4C75" w:rsidRDefault="00D6403A" w:rsidP="00E6458F">
            <w:pPr>
              <w:pStyle w:val="Tabletext"/>
              <w:jc w:val="left"/>
              <w:rPr>
                <w:rFonts w:ascii="VIC" w:hAnsi="VIC" w:cs="VIC"/>
                <w:b/>
                <w:lang w:val="en-US"/>
              </w:rPr>
            </w:pPr>
            <w:r w:rsidRPr="00AE4C75">
              <w:rPr>
                <w:b/>
                <w:lang w:val="en-US"/>
              </w:rPr>
              <w:t xml:space="preserve">Gippsland Southern Health Service </w:t>
            </w:r>
          </w:p>
        </w:tc>
        <w:tc>
          <w:tcPr>
            <w:cnfStyle w:val="000001000000" w:firstRow="0" w:lastRow="0" w:firstColumn="0" w:lastColumn="0" w:oddVBand="0" w:evenVBand="1" w:oddHBand="0" w:evenHBand="0" w:firstRowFirstColumn="0" w:firstRowLastColumn="0" w:lastRowFirstColumn="0" w:lastRowLastColumn="0"/>
            <w:tcW w:w="3033" w:type="dxa"/>
          </w:tcPr>
          <w:p w14:paraId="6DB10138" w14:textId="77777777" w:rsidR="00D6403A" w:rsidRPr="00D6403A" w:rsidRDefault="00D6403A" w:rsidP="00E6458F">
            <w:pPr>
              <w:pStyle w:val="Tabletext"/>
              <w:jc w:val="left"/>
              <w:rPr>
                <w:lang w:val="en-US"/>
              </w:rPr>
            </w:pPr>
            <w:r w:rsidRPr="00D6403A">
              <w:rPr>
                <w:lang w:val="en-US"/>
              </w:rPr>
              <w:t>Leongatha Hospital</w:t>
            </w:r>
          </w:p>
        </w:tc>
        <w:tc>
          <w:tcPr>
            <w:cnfStyle w:val="000010000000" w:firstRow="0" w:lastRow="0" w:firstColumn="0" w:lastColumn="0" w:oddVBand="1" w:evenVBand="0" w:oddHBand="0" w:evenHBand="0" w:firstRowFirstColumn="0" w:firstRowLastColumn="0" w:lastRowFirstColumn="0" w:lastRowLastColumn="0"/>
            <w:tcW w:w="1531" w:type="dxa"/>
          </w:tcPr>
          <w:p w14:paraId="3A88A5AC"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274899B8" w14:textId="77777777" w:rsidR="00D6403A" w:rsidRPr="00D6403A" w:rsidRDefault="00D6403A" w:rsidP="00AE4C75">
            <w:pPr>
              <w:pStyle w:val="Tabletext"/>
              <w:rPr>
                <w:lang w:val="en-US"/>
              </w:rPr>
            </w:pPr>
            <w:r w:rsidRPr="00D6403A">
              <w:rPr>
                <w:lang w:val="en-US"/>
              </w:rPr>
              <w:t>196</w:t>
            </w:r>
          </w:p>
        </w:tc>
        <w:tc>
          <w:tcPr>
            <w:cnfStyle w:val="000010000000" w:firstRow="0" w:lastRow="0" w:firstColumn="0" w:lastColumn="0" w:oddVBand="1" w:evenVBand="0" w:oddHBand="0" w:evenHBand="0" w:firstRowFirstColumn="0" w:firstRowLastColumn="0" w:lastRowFirstColumn="0" w:lastRowLastColumn="0"/>
            <w:tcW w:w="1304" w:type="dxa"/>
          </w:tcPr>
          <w:p w14:paraId="273DE057" w14:textId="77777777" w:rsidR="00D6403A" w:rsidRPr="00D6403A" w:rsidRDefault="00D6403A" w:rsidP="00AE4C75">
            <w:pPr>
              <w:pStyle w:val="Tabletext"/>
              <w:rPr>
                <w:lang w:val="en-US"/>
              </w:rPr>
            </w:pPr>
            <w:r w:rsidRPr="00D6403A">
              <w:rPr>
                <w:lang w:val="en-US"/>
              </w:rPr>
              <w:t>196</w:t>
            </w:r>
          </w:p>
        </w:tc>
      </w:tr>
      <w:tr w:rsidR="00D6403A" w:rsidRPr="00D6403A" w14:paraId="18CBBAFC"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68ED00EE" w14:textId="77777777" w:rsidR="00D6403A" w:rsidRPr="00AE4C75" w:rsidRDefault="00D6403A" w:rsidP="00E6458F">
            <w:pPr>
              <w:pStyle w:val="Tabletext"/>
              <w:jc w:val="left"/>
              <w:rPr>
                <w:rFonts w:ascii="VIC" w:hAnsi="VIC" w:cs="VIC"/>
                <w:b/>
                <w:lang w:val="en-US"/>
              </w:rPr>
            </w:pPr>
            <w:r w:rsidRPr="00AE4C75">
              <w:rPr>
                <w:b/>
                <w:lang w:val="en-US"/>
              </w:rPr>
              <w:t xml:space="preserve">Western District Health Service </w:t>
            </w:r>
          </w:p>
        </w:tc>
        <w:tc>
          <w:tcPr>
            <w:cnfStyle w:val="000001000000" w:firstRow="0" w:lastRow="0" w:firstColumn="0" w:lastColumn="0" w:oddVBand="0" w:evenVBand="1" w:oddHBand="0" w:evenHBand="0" w:firstRowFirstColumn="0" w:firstRowLastColumn="0" w:lastRowFirstColumn="0" w:lastRowLastColumn="0"/>
            <w:tcW w:w="3033" w:type="dxa"/>
          </w:tcPr>
          <w:p w14:paraId="674991C9" w14:textId="77777777" w:rsidR="00D6403A" w:rsidRPr="00D6403A" w:rsidRDefault="00D6403A" w:rsidP="00E6458F">
            <w:pPr>
              <w:pStyle w:val="Tabletext"/>
              <w:jc w:val="left"/>
              <w:rPr>
                <w:lang w:val="en-US"/>
              </w:rPr>
            </w:pPr>
            <w:r w:rsidRPr="00D6403A">
              <w:rPr>
                <w:lang w:val="en-US"/>
              </w:rPr>
              <w:t>Hamilton Base Hospital</w:t>
            </w:r>
          </w:p>
        </w:tc>
        <w:tc>
          <w:tcPr>
            <w:cnfStyle w:val="000010000000" w:firstRow="0" w:lastRow="0" w:firstColumn="0" w:lastColumn="0" w:oddVBand="1" w:evenVBand="0" w:oddHBand="0" w:evenHBand="0" w:firstRowFirstColumn="0" w:firstRowLastColumn="0" w:lastRowFirstColumn="0" w:lastRowLastColumn="0"/>
            <w:tcW w:w="1531" w:type="dxa"/>
          </w:tcPr>
          <w:p w14:paraId="0C6AB85F"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752FBAA6" w14:textId="77777777" w:rsidR="00D6403A" w:rsidRPr="00D6403A" w:rsidRDefault="00D6403A" w:rsidP="00AE4C75">
            <w:pPr>
              <w:pStyle w:val="Tabletext"/>
              <w:rPr>
                <w:lang w:val="en-US"/>
              </w:rPr>
            </w:pPr>
            <w:r w:rsidRPr="00D6403A">
              <w:rPr>
                <w:lang w:val="en-US"/>
              </w:rPr>
              <w:t>179</w:t>
            </w:r>
          </w:p>
        </w:tc>
        <w:tc>
          <w:tcPr>
            <w:cnfStyle w:val="000010000000" w:firstRow="0" w:lastRow="0" w:firstColumn="0" w:lastColumn="0" w:oddVBand="1" w:evenVBand="0" w:oddHBand="0" w:evenHBand="0" w:firstRowFirstColumn="0" w:firstRowLastColumn="0" w:lastRowFirstColumn="0" w:lastRowLastColumn="0"/>
            <w:tcW w:w="1304" w:type="dxa"/>
          </w:tcPr>
          <w:p w14:paraId="43185D9A" w14:textId="77777777" w:rsidR="00D6403A" w:rsidRPr="00D6403A" w:rsidRDefault="00D6403A" w:rsidP="00AE4C75">
            <w:pPr>
              <w:pStyle w:val="Tabletext"/>
              <w:rPr>
                <w:lang w:val="en-US"/>
              </w:rPr>
            </w:pPr>
            <w:r w:rsidRPr="00D6403A">
              <w:rPr>
                <w:lang w:val="en-US"/>
              </w:rPr>
              <w:t>179</w:t>
            </w:r>
          </w:p>
        </w:tc>
      </w:tr>
      <w:tr w:rsidR="00D6403A" w:rsidRPr="00D6403A" w14:paraId="2B323A87"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5AD10773" w14:textId="77777777" w:rsidR="00D6403A" w:rsidRPr="00AE4C75" w:rsidRDefault="00D6403A" w:rsidP="00E6458F">
            <w:pPr>
              <w:pStyle w:val="Tabletext"/>
              <w:jc w:val="left"/>
              <w:rPr>
                <w:rFonts w:ascii="VIC" w:hAnsi="VIC" w:cs="VIC"/>
                <w:b/>
                <w:lang w:val="en-US"/>
              </w:rPr>
            </w:pPr>
            <w:r w:rsidRPr="00AE4C75">
              <w:rPr>
                <w:b/>
                <w:lang w:val="en-US"/>
              </w:rPr>
              <w:t xml:space="preserve">Bass Coast Health </w:t>
            </w:r>
          </w:p>
        </w:tc>
        <w:tc>
          <w:tcPr>
            <w:cnfStyle w:val="000001000000" w:firstRow="0" w:lastRow="0" w:firstColumn="0" w:lastColumn="0" w:oddVBand="0" w:evenVBand="1" w:oddHBand="0" w:evenHBand="0" w:firstRowFirstColumn="0" w:firstRowLastColumn="0" w:lastRowFirstColumn="0" w:lastRowLastColumn="0"/>
            <w:tcW w:w="3033" w:type="dxa"/>
          </w:tcPr>
          <w:p w14:paraId="20179F92" w14:textId="77777777" w:rsidR="00D6403A" w:rsidRPr="00D6403A" w:rsidRDefault="00D6403A" w:rsidP="00E6458F">
            <w:pPr>
              <w:pStyle w:val="Tabletext"/>
              <w:jc w:val="left"/>
              <w:rPr>
                <w:lang w:val="en-US"/>
              </w:rPr>
            </w:pPr>
            <w:r w:rsidRPr="00D6403A">
              <w:rPr>
                <w:lang w:val="en-US"/>
              </w:rPr>
              <w:t>Bass Coast Health</w:t>
            </w:r>
          </w:p>
        </w:tc>
        <w:tc>
          <w:tcPr>
            <w:cnfStyle w:val="000010000000" w:firstRow="0" w:lastRow="0" w:firstColumn="0" w:lastColumn="0" w:oddVBand="1" w:evenVBand="0" w:oddHBand="0" w:evenHBand="0" w:firstRowFirstColumn="0" w:firstRowLastColumn="0" w:lastRowFirstColumn="0" w:lastRowLastColumn="0"/>
            <w:tcW w:w="1531" w:type="dxa"/>
          </w:tcPr>
          <w:p w14:paraId="455160E1"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5DFE8475" w14:textId="77777777" w:rsidR="00D6403A" w:rsidRPr="00D6403A" w:rsidRDefault="00D6403A" w:rsidP="00AE4C75">
            <w:pPr>
              <w:pStyle w:val="Tabletext"/>
              <w:rPr>
                <w:lang w:val="en-US"/>
              </w:rPr>
            </w:pPr>
            <w:r w:rsidRPr="00D6403A">
              <w:rPr>
                <w:lang w:val="en-US"/>
              </w:rPr>
              <w:t>169</w:t>
            </w:r>
          </w:p>
        </w:tc>
        <w:tc>
          <w:tcPr>
            <w:cnfStyle w:val="000010000000" w:firstRow="0" w:lastRow="0" w:firstColumn="0" w:lastColumn="0" w:oddVBand="1" w:evenVBand="0" w:oddHBand="0" w:evenHBand="0" w:firstRowFirstColumn="0" w:firstRowLastColumn="0" w:lastRowFirstColumn="0" w:lastRowLastColumn="0"/>
            <w:tcW w:w="1304" w:type="dxa"/>
          </w:tcPr>
          <w:p w14:paraId="082C6BDA" w14:textId="77777777" w:rsidR="00D6403A" w:rsidRPr="00D6403A" w:rsidRDefault="00D6403A" w:rsidP="00AE4C75">
            <w:pPr>
              <w:pStyle w:val="Tabletext"/>
              <w:rPr>
                <w:lang w:val="en-US"/>
              </w:rPr>
            </w:pPr>
            <w:r w:rsidRPr="00D6403A">
              <w:rPr>
                <w:lang w:val="en-US"/>
              </w:rPr>
              <w:t>169</w:t>
            </w:r>
          </w:p>
        </w:tc>
      </w:tr>
      <w:tr w:rsidR="00D6403A" w:rsidRPr="00D6403A" w14:paraId="1ECB478F"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0FC0697" w14:textId="77777777" w:rsidR="00D6403A" w:rsidRPr="00AE4C75" w:rsidRDefault="00D6403A" w:rsidP="00E6458F">
            <w:pPr>
              <w:pStyle w:val="Tabletext"/>
              <w:jc w:val="left"/>
              <w:rPr>
                <w:rFonts w:ascii="VIC" w:hAnsi="VIC" w:cs="VIC"/>
                <w:b/>
                <w:lang w:val="en-US"/>
              </w:rPr>
            </w:pPr>
            <w:r w:rsidRPr="00AE4C75">
              <w:rPr>
                <w:b/>
                <w:lang w:val="en-US"/>
              </w:rPr>
              <w:t xml:space="preserve">Swan Hill District Health </w:t>
            </w:r>
          </w:p>
        </w:tc>
        <w:tc>
          <w:tcPr>
            <w:cnfStyle w:val="000001000000" w:firstRow="0" w:lastRow="0" w:firstColumn="0" w:lastColumn="0" w:oddVBand="0" w:evenVBand="1" w:oddHBand="0" w:evenHBand="0" w:firstRowFirstColumn="0" w:firstRowLastColumn="0" w:lastRowFirstColumn="0" w:lastRowLastColumn="0"/>
            <w:tcW w:w="3033" w:type="dxa"/>
          </w:tcPr>
          <w:p w14:paraId="1F959584" w14:textId="77777777" w:rsidR="00D6403A" w:rsidRPr="00D6403A" w:rsidRDefault="00D6403A" w:rsidP="00E6458F">
            <w:pPr>
              <w:pStyle w:val="Tabletext"/>
              <w:jc w:val="left"/>
              <w:rPr>
                <w:lang w:val="en-US"/>
              </w:rPr>
            </w:pPr>
            <w:r w:rsidRPr="00AE4C75">
              <w:t>Swan Hill District Health [Swan</w:t>
            </w:r>
            <w:r w:rsidRPr="00D6403A">
              <w:rPr>
                <w:rFonts w:ascii="Cambria" w:hAnsi="Cambria" w:cs="Cambria"/>
                <w:lang w:val="en-US"/>
              </w:rPr>
              <w:t> </w:t>
            </w:r>
            <w:r w:rsidRPr="00D6403A">
              <w:rPr>
                <w:lang w:val="en-US"/>
              </w:rPr>
              <w:t>Hill]</w:t>
            </w:r>
          </w:p>
        </w:tc>
        <w:tc>
          <w:tcPr>
            <w:cnfStyle w:val="000010000000" w:firstRow="0" w:lastRow="0" w:firstColumn="0" w:lastColumn="0" w:oddVBand="1" w:evenVBand="0" w:oddHBand="0" w:evenHBand="0" w:firstRowFirstColumn="0" w:firstRowLastColumn="0" w:lastRowFirstColumn="0" w:lastRowLastColumn="0"/>
            <w:tcW w:w="1531" w:type="dxa"/>
          </w:tcPr>
          <w:p w14:paraId="4895A771"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304586A0" w14:textId="77777777" w:rsidR="00D6403A" w:rsidRPr="00D6403A" w:rsidRDefault="00D6403A" w:rsidP="00AE4C75">
            <w:pPr>
              <w:pStyle w:val="Tabletext"/>
              <w:rPr>
                <w:lang w:val="en-US"/>
              </w:rPr>
            </w:pPr>
            <w:r w:rsidRPr="00D6403A">
              <w:rPr>
                <w:lang w:val="en-US"/>
              </w:rPr>
              <w:t>163</w:t>
            </w:r>
          </w:p>
        </w:tc>
        <w:tc>
          <w:tcPr>
            <w:cnfStyle w:val="000010000000" w:firstRow="0" w:lastRow="0" w:firstColumn="0" w:lastColumn="0" w:oddVBand="1" w:evenVBand="0" w:oddHBand="0" w:evenHBand="0" w:firstRowFirstColumn="0" w:firstRowLastColumn="0" w:lastRowFirstColumn="0" w:lastRowLastColumn="0"/>
            <w:tcW w:w="1304" w:type="dxa"/>
          </w:tcPr>
          <w:p w14:paraId="764A632A" w14:textId="77777777" w:rsidR="00D6403A" w:rsidRPr="00D6403A" w:rsidRDefault="00D6403A" w:rsidP="00AE4C75">
            <w:pPr>
              <w:pStyle w:val="Tabletext"/>
              <w:rPr>
                <w:lang w:val="en-US"/>
              </w:rPr>
            </w:pPr>
            <w:r w:rsidRPr="00D6403A">
              <w:rPr>
                <w:lang w:val="en-US"/>
              </w:rPr>
              <w:t>163</w:t>
            </w:r>
          </w:p>
        </w:tc>
      </w:tr>
      <w:tr w:rsidR="00D6403A" w:rsidRPr="00D6403A" w14:paraId="637C53A8"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7784F1D1" w14:textId="77777777" w:rsidR="00D6403A" w:rsidRPr="00AE4C75" w:rsidRDefault="00D6403A" w:rsidP="00E6458F">
            <w:pPr>
              <w:pStyle w:val="Tabletext"/>
              <w:jc w:val="left"/>
              <w:rPr>
                <w:rFonts w:ascii="VIC" w:hAnsi="VIC" w:cs="VIC"/>
                <w:b/>
                <w:lang w:val="en-US"/>
              </w:rPr>
            </w:pPr>
            <w:r w:rsidRPr="00AE4C75">
              <w:rPr>
                <w:b/>
                <w:lang w:val="en-US"/>
              </w:rPr>
              <w:t xml:space="preserve">Colac Area Health </w:t>
            </w:r>
          </w:p>
        </w:tc>
        <w:tc>
          <w:tcPr>
            <w:cnfStyle w:val="000001000000" w:firstRow="0" w:lastRow="0" w:firstColumn="0" w:lastColumn="0" w:oddVBand="0" w:evenVBand="1" w:oddHBand="0" w:evenHBand="0" w:firstRowFirstColumn="0" w:firstRowLastColumn="0" w:lastRowFirstColumn="0" w:lastRowLastColumn="0"/>
            <w:tcW w:w="3033" w:type="dxa"/>
          </w:tcPr>
          <w:p w14:paraId="423DD9F5" w14:textId="77777777" w:rsidR="00D6403A" w:rsidRPr="00D6403A" w:rsidRDefault="00D6403A" w:rsidP="00E6458F">
            <w:pPr>
              <w:pStyle w:val="Tabletext"/>
              <w:jc w:val="left"/>
              <w:rPr>
                <w:lang w:val="en-US"/>
              </w:rPr>
            </w:pPr>
            <w:r w:rsidRPr="00D6403A">
              <w:rPr>
                <w:lang w:val="en-US"/>
              </w:rPr>
              <w:t>Colac Area Health</w:t>
            </w:r>
          </w:p>
        </w:tc>
        <w:tc>
          <w:tcPr>
            <w:cnfStyle w:val="000010000000" w:firstRow="0" w:lastRow="0" w:firstColumn="0" w:lastColumn="0" w:oddVBand="1" w:evenVBand="0" w:oddHBand="0" w:evenHBand="0" w:firstRowFirstColumn="0" w:firstRowLastColumn="0" w:lastRowFirstColumn="0" w:lastRowLastColumn="0"/>
            <w:tcW w:w="1531" w:type="dxa"/>
          </w:tcPr>
          <w:p w14:paraId="59DF6FBB"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6BCE5011" w14:textId="77777777" w:rsidR="00D6403A" w:rsidRPr="00D6403A" w:rsidRDefault="00D6403A" w:rsidP="00AE4C75">
            <w:pPr>
              <w:pStyle w:val="Tabletext"/>
              <w:rPr>
                <w:lang w:val="en-US"/>
              </w:rPr>
            </w:pPr>
            <w:r w:rsidRPr="00D6403A">
              <w:rPr>
                <w:lang w:val="en-US"/>
              </w:rPr>
              <w:t>122</w:t>
            </w:r>
          </w:p>
        </w:tc>
        <w:tc>
          <w:tcPr>
            <w:cnfStyle w:val="000010000000" w:firstRow="0" w:lastRow="0" w:firstColumn="0" w:lastColumn="0" w:oddVBand="1" w:evenVBand="0" w:oddHBand="0" w:evenHBand="0" w:firstRowFirstColumn="0" w:firstRowLastColumn="0" w:lastRowFirstColumn="0" w:lastRowLastColumn="0"/>
            <w:tcW w:w="1304" w:type="dxa"/>
          </w:tcPr>
          <w:p w14:paraId="64E29508" w14:textId="77777777" w:rsidR="00D6403A" w:rsidRPr="00D6403A" w:rsidRDefault="00D6403A" w:rsidP="00AE4C75">
            <w:pPr>
              <w:pStyle w:val="Tabletext"/>
              <w:rPr>
                <w:lang w:val="en-US"/>
              </w:rPr>
            </w:pPr>
            <w:r w:rsidRPr="00D6403A">
              <w:rPr>
                <w:lang w:val="en-US"/>
              </w:rPr>
              <w:t>122</w:t>
            </w:r>
          </w:p>
        </w:tc>
      </w:tr>
      <w:tr w:rsidR="00D6403A" w:rsidRPr="00D6403A" w14:paraId="63ED31B4"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33A2489F" w14:textId="77777777" w:rsidR="00D6403A" w:rsidRPr="00AE4C75" w:rsidRDefault="00D6403A" w:rsidP="00E6458F">
            <w:pPr>
              <w:pStyle w:val="Tabletext"/>
              <w:jc w:val="left"/>
              <w:rPr>
                <w:rFonts w:ascii="VIC" w:hAnsi="VIC" w:cs="VIC"/>
                <w:b/>
                <w:lang w:val="en-US"/>
              </w:rPr>
            </w:pPr>
            <w:r w:rsidRPr="00AE4C75">
              <w:rPr>
                <w:b/>
                <w:lang w:val="en-US"/>
              </w:rPr>
              <w:lastRenderedPageBreak/>
              <w:t>East Grampians Health Service</w:t>
            </w:r>
          </w:p>
        </w:tc>
        <w:tc>
          <w:tcPr>
            <w:cnfStyle w:val="000001000000" w:firstRow="0" w:lastRow="0" w:firstColumn="0" w:lastColumn="0" w:oddVBand="0" w:evenVBand="1" w:oddHBand="0" w:evenHBand="0" w:firstRowFirstColumn="0" w:firstRowLastColumn="0" w:lastRowFirstColumn="0" w:lastRowLastColumn="0"/>
            <w:tcW w:w="3033" w:type="dxa"/>
          </w:tcPr>
          <w:p w14:paraId="73C8C783" w14:textId="77777777" w:rsidR="00D6403A" w:rsidRPr="00D6403A" w:rsidRDefault="00D6403A" w:rsidP="00E6458F">
            <w:pPr>
              <w:pStyle w:val="Tabletext"/>
              <w:jc w:val="left"/>
              <w:rPr>
                <w:lang w:val="en-US"/>
              </w:rPr>
            </w:pPr>
            <w:r w:rsidRPr="00D6403A">
              <w:rPr>
                <w:lang w:val="en-US"/>
              </w:rPr>
              <w:t>East Grampians Health Service [Ararat]</w:t>
            </w:r>
          </w:p>
        </w:tc>
        <w:tc>
          <w:tcPr>
            <w:cnfStyle w:val="000010000000" w:firstRow="0" w:lastRow="0" w:firstColumn="0" w:lastColumn="0" w:oddVBand="1" w:evenVBand="0" w:oddHBand="0" w:evenHBand="0" w:firstRowFirstColumn="0" w:firstRowLastColumn="0" w:lastRowFirstColumn="0" w:lastRowLastColumn="0"/>
            <w:tcW w:w="1531" w:type="dxa"/>
          </w:tcPr>
          <w:p w14:paraId="789ADEED"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6867317E" w14:textId="77777777" w:rsidR="00D6403A" w:rsidRPr="00D6403A" w:rsidRDefault="00D6403A" w:rsidP="00AE4C75">
            <w:pPr>
              <w:pStyle w:val="Tabletext"/>
              <w:rPr>
                <w:lang w:val="en-US"/>
              </w:rPr>
            </w:pPr>
            <w:r w:rsidRPr="00D6403A">
              <w:rPr>
                <w:lang w:val="en-US"/>
              </w:rPr>
              <w:t>104</w:t>
            </w:r>
          </w:p>
        </w:tc>
        <w:tc>
          <w:tcPr>
            <w:cnfStyle w:val="000010000000" w:firstRow="0" w:lastRow="0" w:firstColumn="0" w:lastColumn="0" w:oddVBand="1" w:evenVBand="0" w:oddHBand="0" w:evenHBand="0" w:firstRowFirstColumn="0" w:firstRowLastColumn="0" w:lastRowFirstColumn="0" w:lastRowLastColumn="0"/>
            <w:tcW w:w="1304" w:type="dxa"/>
          </w:tcPr>
          <w:p w14:paraId="59E2914E" w14:textId="77777777" w:rsidR="00D6403A" w:rsidRPr="00D6403A" w:rsidRDefault="00D6403A" w:rsidP="00AE4C75">
            <w:pPr>
              <w:pStyle w:val="Tabletext"/>
              <w:rPr>
                <w:lang w:val="en-US"/>
              </w:rPr>
            </w:pPr>
            <w:r w:rsidRPr="00D6403A">
              <w:rPr>
                <w:lang w:val="en-US"/>
              </w:rPr>
              <w:t>104</w:t>
            </w:r>
          </w:p>
        </w:tc>
      </w:tr>
      <w:tr w:rsidR="00D6403A" w:rsidRPr="00D6403A" w14:paraId="18483071"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D98B476" w14:textId="77777777" w:rsidR="00D6403A" w:rsidRPr="00AE4C75" w:rsidRDefault="00D6403A" w:rsidP="00E6458F">
            <w:pPr>
              <w:pStyle w:val="Tabletext"/>
              <w:jc w:val="left"/>
              <w:rPr>
                <w:rFonts w:ascii="VIC" w:hAnsi="VIC" w:cs="VIC"/>
                <w:b/>
                <w:lang w:val="en-US"/>
              </w:rPr>
            </w:pPr>
            <w:r w:rsidRPr="00AE4C75">
              <w:rPr>
                <w:b/>
                <w:lang w:val="en-US"/>
              </w:rPr>
              <w:t>Benalla Health</w:t>
            </w:r>
          </w:p>
        </w:tc>
        <w:tc>
          <w:tcPr>
            <w:cnfStyle w:val="000001000000" w:firstRow="0" w:lastRow="0" w:firstColumn="0" w:lastColumn="0" w:oddVBand="0" w:evenVBand="1" w:oddHBand="0" w:evenHBand="0" w:firstRowFirstColumn="0" w:firstRowLastColumn="0" w:lastRowFirstColumn="0" w:lastRowLastColumn="0"/>
            <w:tcW w:w="3033" w:type="dxa"/>
          </w:tcPr>
          <w:p w14:paraId="064FE631" w14:textId="77777777" w:rsidR="00D6403A" w:rsidRPr="00D6403A" w:rsidRDefault="00D6403A" w:rsidP="00E6458F">
            <w:pPr>
              <w:pStyle w:val="Tabletext"/>
              <w:jc w:val="left"/>
              <w:rPr>
                <w:lang w:val="en-US"/>
              </w:rPr>
            </w:pPr>
            <w:r w:rsidRPr="00D6403A">
              <w:rPr>
                <w:lang w:val="en-US"/>
              </w:rPr>
              <w:t>Benalla Health</w:t>
            </w:r>
          </w:p>
        </w:tc>
        <w:tc>
          <w:tcPr>
            <w:cnfStyle w:val="000010000000" w:firstRow="0" w:lastRow="0" w:firstColumn="0" w:lastColumn="0" w:oddVBand="1" w:evenVBand="0" w:oddHBand="0" w:evenHBand="0" w:firstRowFirstColumn="0" w:firstRowLastColumn="0" w:lastRowFirstColumn="0" w:lastRowLastColumn="0"/>
            <w:tcW w:w="1531" w:type="dxa"/>
          </w:tcPr>
          <w:p w14:paraId="423E98AD"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76740B7F" w14:textId="77777777" w:rsidR="00D6403A" w:rsidRPr="00D6403A" w:rsidRDefault="00D6403A" w:rsidP="00AE4C75">
            <w:pPr>
              <w:pStyle w:val="Tabletext"/>
              <w:rPr>
                <w:lang w:val="en-US"/>
              </w:rPr>
            </w:pPr>
            <w:r w:rsidRPr="00D6403A">
              <w:rPr>
                <w:lang w:val="en-US"/>
              </w:rPr>
              <w:t>86</w:t>
            </w:r>
          </w:p>
        </w:tc>
        <w:tc>
          <w:tcPr>
            <w:cnfStyle w:val="000010000000" w:firstRow="0" w:lastRow="0" w:firstColumn="0" w:lastColumn="0" w:oddVBand="1" w:evenVBand="0" w:oddHBand="0" w:evenHBand="0" w:firstRowFirstColumn="0" w:firstRowLastColumn="0" w:lastRowFirstColumn="0" w:lastRowLastColumn="0"/>
            <w:tcW w:w="1304" w:type="dxa"/>
          </w:tcPr>
          <w:p w14:paraId="5CEA017E" w14:textId="77777777" w:rsidR="00D6403A" w:rsidRPr="00D6403A" w:rsidRDefault="00D6403A" w:rsidP="00AE4C75">
            <w:pPr>
              <w:pStyle w:val="Tabletext"/>
              <w:rPr>
                <w:lang w:val="en-US"/>
              </w:rPr>
            </w:pPr>
            <w:r w:rsidRPr="00D6403A">
              <w:rPr>
                <w:lang w:val="en-US"/>
              </w:rPr>
              <w:t>86</w:t>
            </w:r>
          </w:p>
        </w:tc>
      </w:tr>
      <w:tr w:rsidR="00D6403A" w:rsidRPr="00D6403A" w14:paraId="6834B0B1"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24772795" w14:textId="77777777" w:rsidR="00D6403A" w:rsidRPr="00AE4C75" w:rsidRDefault="00D6403A" w:rsidP="00E6458F">
            <w:pPr>
              <w:pStyle w:val="Tabletext"/>
              <w:jc w:val="left"/>
              <w:rPr>
                <w:rFonts w:ascii="VIC" w:hAnsi="VIC" w:cs="VIC"/>
                <w:b/>
                <w:lang w:val="en-US"/>
              </w:rPr>
            </w:pPr>
            <w:r w:rsidRPr="00AE4C75">
              <w:rPr>
                <w:b/>
                <w:lang w:val="en-US"/>
              </w:rPr>
              <w:t>Mansfield District Hospital</w:t>
            </w:r>
          </w:p>
        </w:tc>
        <w:tc>
          <w:tcPr>
            <w:cnfStyle w:val="000001000000" w:firstRow="0" w:lastRow="0" w:firstColumn="0" w:lastColumn="0" w:oddVBand="0" w:evenVBand="1" w:oddHBand="0" w:evenHBand="0" w:firstRowFirstColumn="0" w:firstRowLastColumn="0" w:lastRowFirstColumn="0" w:lastRowLastColumn="0"/>
            <w:tcW w:w="3033" w:type="dxa"/>
          </w:tcPr>
          <w:p w14:paraId="0A365261" w14:textId="77777777" w:rsidR="00D6403A" w:rsidRPr="00D6403A" w:rsidRDefault="00D6403A" w:rsidP="00E6458F">
            <w:pPr>
              <w:pStyle w:val="Tabletext"/>
              <w:jc w:val="left"/>
              <w:rPr>
                <w:lang w:val="en-US"/>
              </w:rPr>
            </w:pPr>
            <w:r w:rsidRPr="00D6403A">
              <w:rPr>
                <w:lang w:val="en-US"/>
              </w:rPr>
              <w:t>Mansfield District Hospital</w:t>
            </w:r>
          </w:p>
        </w:tc>
        <w:tc>
          <w:tcPr>
            <w:cnfStyle w:val="000010000000" w:firstRow="0" w:lastRow="0" w:firstColumn="0" w:lastColumn="0" w:oddVBand="1" w:evenVBand="0" w:oddHBand="0" w:evenHBand="0" w:firstRowFirstColumn="0" w:firstRowLastColumn="0" w:lastRowFirstColumn="0" w:lastRowLastColumn="0"/>
            <w:tcW w:w="1531" w:type="dxa"/>
          </w:tcPr>
          <w:p w14:paraId="6102FF25"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4B031937" w14:textId="77777777" w:rsidR="00D6403A" w:rsidRPr="00D6403A" w:rsidRDefault="00D6403A" w:rsidP="00AE4C75">
            <w:pPr>
              <w:pStyle w:val="Tabletext"/>
              <w:rPr>
                <w:lang w:val="en-US"/>
              </w:rPr>
            </w:pPr>
            <w:r w:rsidRPr="00D6403A">
              <w:rPr>
                <w:lang w:val="en-US"/>
              </w:rPr>
              <w:t>64</w:t>
            </w:r>
          </w:p>
        </w:tc>
        <w:tc>
          <w:tcPr>
            <w:cnfStyle w:val="000010000000" w:firstRow="0" w:lastRow="0" w:firstColumn="0" w:lastColumn="0" w:oddVBand="1" w:evenVBand="0" w:oddHBand="0" w:evenHBand="0" w:firstRowFirstColumn="0" w:firstRowLastColumn="0" w:lastRowFirstColumn="0" w:lastRowLastColumn="0"/>
            <w:tcW w:w="1304" w:type="dxa"/>
          </w:tcPr>
          <w:p w14:paraId="50EB269A" w14:textId="77777777" w:rsidR="00D6403A" w:rsidRPr="00D6403A" w:rsidRDefault="00D6403A" w:rsidP="00AE4C75">
            <w:pPr>
              <w:pStyle w:val="Tabletext"/>
              <w:rPr>
                <w:lang w:val="en-US"/>
              </w:rPr>
            </w:pPr>
            <w:r w:rsidRPr="00D6403A">
              <w:rPr>
                <w:lang w:val="en-US"/>
              </w:rPr>
              <w:t>64</w:t>
            </w:r>
          </w:p>
        </w:tc>
      </w:tr>
      <w:tr w:rsidR="00D6403A" w:rsidRPr="00D6403A" w14:paraId="44FA9804"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86B72D5" w14:textId="77777777" w:rsidR="00D6403A" w:rsidRPr="00AE4C75" w:rsidRDefault="00D6403A" w:rsidP="00E6458F">
            <w:pPr>
              <w:pStyle w:val="Tabletext"/>
              <w:jc w:val="left"/>
              <w:rPr>
                <w:rFonts w:ascii="VIC" w:hAnsi="VIC" w:cs="VIC"/>
                <w:b/>
                <w:lang w:val="en-US"/>
              </w:rPr>
            </w:pPr>
            <w:r w:rsidRPr="00AE4C75">
              <w:rPr>
                <w:b/>
                <w:lang w:val="en-US"/>
              </w:rPr>
              <w:t>South Gippsland Hospital</w:t>
            </w:r>
          </w:p>
        </w:tc>
        <w:tc>
          <w:tcPr>
            <w:cnfStyle w:val="000001000000" w:firstRow="0" w:lastRow="0" w:firstColumn="0" w:lastColumn="0" w:oddVBand="0" w:evenVBand="1" w:oddHBand="0" w:evenHBand="0" w:firstRowFirstColumn="0" w:firstRowLastColumn="0" w:lastRowFirstColumn="0" w:lastRowLastColumn="0"/>
            <w:tcW w:w="3033" w:type="dxa"/>
          </w:tcPr>
          <w:p w14:paraId="5D212ADF" w14:textId="77777777" w:rsidR="00D6403A" w:rsidRPr="00D6403A" w:rsidRDefault="00D6403A" w:rsidP="00E6458F">
            <w:pPr>
              <w:pStyle w:val="Tabletext"/>
              <w:jc w:val="left"/>
              <w:rPr>
                <w:lang w:val="en-US"/>
              </w:rPr>
            </w:pPr>
            <w:r w:rsidRPr="00D6403A">
              <w:rPr>
                <w:lang w:val="en-US"/>
              </w:rPr>
              <w:t>South Gippsland Hospital</w:t>
            </w:r>
          </w:p>
        </w:tc>
        <w:tc>
          <w:tcPr>
            <w:cnfStyle w:val="000010000000" w:firstRow="0" w:lastRow="0" w:firstColumn="0" w:lastColumn="0" w:oddVBand="1" w:evenVBand="0" w:oddHBand="0" w:evenHBand="0" w:firstRowFirstColumn="0" w:firstRowLastColumn="0" w:lastRowFirstColumn="0" w:lastRowLastColumn="0"/>
            <w:tcW w:w="1531" w:type="dxa"/>
          </w:tcPr>
          <w:p w14:paraId="5C769084"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4B92FA2F" w14:textId="77777777" w:rsidR="00D6403A" w:rsidRPr="00D6403A" w:rsidRDefault="00D6403A" w:rsidP="00AE4C75">
            <w:pPr>
              <w:pStyle w:val="Tabletext"/>
              <w:rPr>
                <w:lang w:val="en-US"/>
              </w:rPr>
            </w:pPr>
            <w:r w:rsidRPr="00D6403A">
              <w:rPr>
                <w:lang w:val="en-US"/>
              </w:rPr>
              <w:t>63</w:t>
            </w:r>
          </w:p>
        </w:tc>
        <w:tc>
          <w:tcPr>
            <w:cnfStyle w:val="000010000000" w:firstRow="0" w:lastRow="0" w:firstColumn="0" w:lastColumn="0" w:oddVBand="1" w:evenVBand="0" w:oddHBand="0" w:evenHBand="0" w:firstRowFirstColumn="0" w:firstRowLastColumn="0" w:lastRowFirstColumn="0" w:lastRowLastColumn="0"/>
            <w:tcW w:w="1304" w:type="dxa"/>
          </w:tcPr>
          <w:p w14:paraId="6094BBEF" w14:textId="77777777" w:rsidR="00D6403A" w:rsidRPr="00D6403A" w:rsidRDefault="00D6403A" w:rsidP="00AE4C75">
            <w:pPr>
              <w:pStyle w:val="Tabletext"/>
              <w:rPr>
                <w:lang w:val="en-US"/>
              </w:rPr>
            </w:pPr>
            <w:r w:rsidRPr="00D6403A">
              <w:rPr>
                <w:lang w:val="en-US"/>
              </w:rPr>
              <w:t>63</w:t>
            </w:r>
          </w:p>
        </w:tc>
      </w:tr>
      <w:tr w:rsidR="00D6403A" w:rsidRPr="00D6403A" w14:paraId="1B3C7A3C"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5CA6A346" w14:textId="77777777" w:rsidR="00D6403A" w:rsidRPr="00AE4C75" w:rsidRDefault="00D6403A" w:rsidP="00E6458F">
            <w:pPr>
              <w:pStyle w:val="Tabletext"/>
              <w:jc w:val="left"/>
              <w:rPr>
                <w:rFonts w:ascii="VIC" w:hAnsi="VIC" w:cs="VIC"/>
                <w:b/>
                <w:lang w:val="en-US"/>
              </w:rPr>
            </w:pPr>
            <w:r w:rsidRPr="00AE4C75">
              <w:rPr>
                <w:b/>
                <w:lang w:val="en-US"/>
              </w:rPr>
              <w:t>South West Healthcare</w:t>
            </w:r>
          </w:p>
        </w:tc>
        <w:tc>
          <w:tcPr>
            <w:cnfStyle w:val="000001000000" w:firstRow="0" w:lastRow="0" w:firstColumn="0" w:lastColumn="0" w:oddVBand="0" w:evenVBand="1" w:oddHBand="0" w:evenHBand="0" w:firstRowFirstColumn="0" w:firstRowLastColumn="0" w:lastRowFirstColumn="0" w:lastRowLastColumn="0"/>
            <w:tcW w:w="3033" w:type="dxa"/>
          </w:tcPr>
          <w:p w14:paraId="7FD29BC1" w14:textId="77777777" w:rsidR="00D6403A" w:rsidRPr="00D6403A" w:rsidRDefault="00D6403A" w:rsidP="00E6458F">
            <w:pPr>
              <w:pStyle w:val="Tabletext"/>
              <w:jc w:val="left"/>
              <w:rPr>
                <w:lang w:val="en-US"/>
              </w:rPr>
            </w:pPr>
            <w:r w:rsidRPr="00D6403A">
              <w:rPr>
                <w:lang w:val="en-US"/>
              </w:rPr>
              <w:t>Camperdown Hospital</w:t>
            </w:r>
          </w:p>
        </w:tc>
        <w:tc>
          <w:tcPr>
            <w:cnfStyle w:val="000010000000" w:firstRow="0" w:lastRow="0" w:firstColumn="0" w:lastColumn="0" w:oddVBand="1" w:evenVBand="0" w:oddHBand="0" w:evenHBand="0" w:firstRowFirstColumn="0" w:firstRowLastColumn="0" w:lastRowFirstColumn="0" w:lastRowLastColumn="0"/>
            <w:tcW w:w="1531" w:type="dxa"/>
          </w:tcPr>
          <w:p w14:paraId="4DAE2776" w14:textId="77777777" w:rsidR="00D6403A" w:rsidRPr="00D6403A" w:rsidRDefault="00D6403A" w:rsidP="00AE4C75">
            <w:pPr>
              <w:pStyle w:val="Tabletext"/>
              <w:rPr>
                <w:lang w:val="en-US"/>
              </w:rPr>
            </w:pPr>
            <w:r w:rsidRPr="00D6403A">
              <w:rPr>
                <w:lang w:val="en-US"/>
              </w:rPr>
              <w:t>3</w:t>
            </w:r>
          </w:p>
        </w:tc>
        <w:tc>
          <w:tcPr>
            <w:cnfStyle w:val="000001000000" w:firstRow="0" w:lastRow="0" w:firstColumn="0" w:lastColumn="0" w:oddVBand="0" w:evenVBand="1" w:oddHBand="0" w:evenHBand="0" w:firstRowFirstColumn="0" w:firstRowLastColumn="0" w:lastRowFirstColumn="0" w:lastRowLastColumn="0"/>
            <w:tcW w:w="1304" w:type="dxa"/>
          </w:tcPr>
          <w:p w14:paraId="2D2CA685" w14:textId="77777777" w:rsidR="00D6403A" w:rsidRPr="00D6403A" w:rsidRDefault="00D6403A" w:rsidP="00AE4C75">
            <w:pPr>
              <w:pStyle w:val="Tabletext"/>
              <w:rPr>
                <w:lang w:val="en-US"/>
              </w:rPr>
            </w:pPr>
            <w:r w:rsidRPr="00D6403A">
              <w:rPr>
                <w:lang w:val="en-US"/>
              </w:rPr>
              <w:t>33</w:t>
            </w:r>
          </w:p>
        </w:tc>
        <w:tc>
          <w:tcPr>
            <w:cnfStyle w:val="000010000000" w:firstRow="0" w:lastRow="0" w:firstColumn="0" w:lastColumn="0" w:oddVBand="1" w:evenVBand="0" w:oddHBand="0" w:evenHBand="0" w:firstRowFirstColumn="0" w:firstRowLastColumn="0" w:lastRowFirstColumn="0" w:lastRowLastColumn="0"/>
            <w:tcW w:w="1304" w:type="dxa"/>
          </w:tcPr>
          <w:p w14:paraId="24FD0F30" w14:textId="77777777" w:rsidR="00D6403A" w:rsidRPr="00D6403A" w:rsidRDefault="00D6403A" w:rsidP="00AE4C75">
            <w:pPr>
              <w:pStyle w:val="Tabletext"/>
              <w:rPr>
                <w:lang w:val="en-US"/>
              </w:rPr>
            </w:pPr>
            <w:r w:rsidRPr="00D6403A">
              <w:rPr>
                <w:lang w:val="en-US"/>
              </w:rPr>
              <w:t>33</w:t>
            </w:r>
          </w:p>
        </w:tc>
      </w:tr>
      <w:tr w:rsidR="00D6403A" w:rsidRPr="00D6403A" w14:paraId="3723D50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7A2A0272" w14:textId="77777777" w:rsidR="00D6403A" w:rsidRPr="00AE4C75" w:rsidRDefault="00D6403A" w:rsidP="00E6458F">
            <w:pPr>
              <w:pStyle w:val="Tabletext"/>
              <w:jc w:val="left"/>
              <w:rPr>
                <w:rFonts w:ascii="VIC" w:hAnsi="VIC" w:cs="VIC"/>
                <w:b/>
                <w:lang w:val="en-US"/>
              </w:rPr>
            </w:pPr>
            <w:r w:rsidRPr="00AE4C75">
              <w:rPr>
                <w:b/>
                <w:lang w:val="en-US"/>
              </w:rPr>
              <w:t>Portland District Health</w:t>
            </w:r>
          </w:p>
        </w:tc>
        <w:tc>
          <w:tcPr>
            <w:cnfStyle w:val="000001000000" w:firstRow="0" w:lastRow="0" w:firstColumn="0" w:lastColumn="0" w:oddVBand="0" w:evenVBand="1" w:oddHBand="0" w:evenHBand="0" w:firstRowFirstColumn="0" w:firstRowLastColumn="0" w:lastRowFirstColumn="0" w:lastRowLastColumn="0"/>
            <w:tcW w:w="3033" w:type="dxa"/>
          </w:tcPr>
          <w:p w14:paraId="38ACC786" w14:textId="77777777" w:rsidR="00D6403A" w:rsidRPr="00D6403A" w:rsidRDefault="00D6403A" w:rsidP="00E6458F">
            <w:pPr>
              <w:pStyle w:val="Tabletext"/>
              <w:jc w:val="left"/>
              <w:rPr>
                <w:lang w:val="en-US"/>
              </w:rPr>
            </w:pPr>
            <w:r w:rsidRPr="00D6403A">
              <w:rPr>
                <w:lang w:val="en-US"/>
              </w:rPr>
              <w:t>Portland District Health</w:t>
            </w:r>
          </w:p>
        </w:tc>
        <w:tc>
          <w:tcPr>
            <w:cnfStyle w:val="000010000000" w:firstRow="0" w:lastRow="0" w:firstColumn="0" w:lastColumn="0" w:oddVBand="1" w:evenVBand="0" w:oddHBand="0" w:evenHBand="0" w:firstRowFirstColumn="0" w:firstRowLastColumn="0" w:lastRowFirstColumn="0" w:lastRowLastColumn="0"/>
            <w:tcW w:w="1531" w:type="dxa"/>
          </w:tcPr>
          <w:p w14:paraId="576F401C" w14:textId="77777777" w:rsidR="00D6403A" w:rsidRPr="00D6403A" w:rsidRDefault="00D6403A" w:rsidP="00AE4C75">
            <w:pPr>
              <w:pStyle w:val="Tabletext"/>
              <w:rPr>
                <w:lang w:val="en-US"/>
              </w:rPr>
            </w:pPr>
            <w:r w:rsidRPr="00D6403A">
              <w:rPr>
                <w:lang w:val="en-US"/>
              </w:rPr>
              <w:t>2</w:t>
            </w:r>
          </w:p>
        </w:tc>
        <w:tc>
          <w:tcPr>
            <w:cnfStyle w:val="000001000000" w:firstRow="0" w:lastRow="0" w:firstColumn="0" w:lastColumn="0" w:oddVBand="0" w:evenVBand="1" w:oddHBand="0" w:evenHBand="0" w:firstRowFirstColumn="0" w:firstRowLastColumn="0" w:lastRowFirstColumn="0" w:lastRowLastColumn="0"/>
            <w:tcW w:w="1304" w:type="dxa"/>
          </w:tcPr>
          <w:p w14:paraId="61FB699B" w14:textId="77777777" w:rsidR="00D6403A" w:rsidRPr="00D6403A" w:rsidRDefault="00D6403A" w:rsidP="00AE4C75">
            <w:pPr>
              <w:pStyle w:val="Tabletext"/>
              <w:rPr>
                <w:lang w:val="en-US"/>
              </w:rPr>
            </w:pPr>
            <w:r w:rsidRPr="00D6403A">
              <w:rPr>
                <w:lang w:val="en-US"/>
              </w:rPr>
              <w:t>80</w:t>
            </w:r>
          </w:p>
        </w:tc>
        <w:tc>
          <w:tcPr>
            <w:cnfStyle w:val="000010000000" w:firstRow="0" w:lastRow="0" w:firstColumn="0" w:lastColumn="0" w:oddVBand="1" w:evenVBand="0" w:oddHBand="0" w:evenHBand="0" w:firstRowFirstColumn="0" w:firstRowLastColumn="0" w:lastRowFirstColumn="0" w:lastRowLastColumn="0"/>
            <w:tcW w:w="1304" w:type="dxa"/>
          </w:tcPr>
          <w:p w14:paraId="050F4DAF" w14:textId="77777777" w:rsidR="00D6403A" w:rsidRPr="00D6403A" w:rsidRDefault="00D6403A" w:rsidP="00AE4C75">
            <w:pPr>
              <w:pStyle w:val="Tabletext"/>
              <w:rPr>
                <w:lang w:val="en-US"/>
              </w:rPr>
            </w:pPr>
            <w:r w:rsidRPr="00D6403A">
              <w:rPr>
                <w:lang w:val="en-US"/>
              </w:rPr>
              <w:t>80</w:t>
            </w:r>
          </w:p>
        </w:tc>
      </w:tr>
      <w:tr w:rsidR="00D6403A" w:rsidRPr="00D6403A" w14:paraId="7D324CD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74B0CFC0" w14:textId="77777777" w:rsidR="00D6403A" w:rsidRPr="00AE4C75" w:rsidRDefault="00D6403A" w:rsidP="00E6458F">
            <w:pPr>
              <w:pStyle w:val="Tabletext"/>
              <w:jc w:val="left"/>
              <w:rPr>
                <w:rFonts w:ascii="VIC" w:hAnsi="VIC" w:cs="VIC"/>
                <w:b/>
                <w:lang w:val="en-US"/>
              </w:rPr>
            </w:pPr>
            <w:r w:rsidRPr="00AE4C75">
              <w:rPr>
                <w:b/>
                <w:lang w:val="en-US"/>
              </w:rPr>
              <w:t xml:space="preserve">Dhelkaya Health – Castlemaine </w:t>
            </w:r>
          </w:p>
        </w:tc>
        <w:tc>
          <w:tcPr>
            <w:cnfStyle w:val="000001000000" w:firstRow="0" w:lastRow="0" w:firstColumn="0" w:lastColumn="0" w:oddVBand="0" w:evenVBand="1" w:oddHBand="0" w:evenHBand="0" w:firstRowFirstColumn="0" w:firstRowLastColumn="0" w:lastRowFirstColumn="0" w:lastRowLastColumn="0"/>
            <w:tcW w:w="3033" w:type="dxa"/>
          </w:tcPr>
          <w:p w14:paraId="3E1EE0E7" w14:textId="77777777" w:rsidR="00D6403A" w:rsidRPr="00D6403A" w:rsidRDefault="00D6403A" w:rsidP="00E6458F">
            <w:pPr>
              <w:pStyle w:val="Tabletext"/>
              <w:jc w:val="left"/>
              <w:rPr>
                <w:lang w:val="en-US"/>
              </w:rPr>
            </w:pPr>
            <w:r w:rsidRPr="00D6403A">
              <w:rPr>
                <w:lang w:val="en-US"/>
              </w:rPr>
              <w:t>Castlemaine Health</w:t>
            </w:r>
          </w:p>
        </w:tc>
        <w:tc>
          <w:tcPr>
            <w:cnfStyle w:val="000010000000" w:firstRow="0" w:lastRow="0" w:firstColumn="0" w:lastColumn="0" w:oddVBand="1" w:evenVBand="0" w:oddHBand="0" w:evenHBand="0" w:firstRowFirstColumn="0" w:firstRowLastColumn="0" w:lastRowFirstColumn="0" w:lastRowLastColumn="0"/>
            <w:tcW w:w="1531" w:type="dxa"/>
          </w:tcPr>
          <w:p w14:paraId="41A6C3FA" w14:textId="77777777" w:rsidR="00D6403A" w:rsidRPr="00D6403A" w:rsidRDefault="00D6403A" w:rsidP="00AE4C75">
            <w:pPr>
              <w:pStyle w:val="Tabletext"/>
              <w:rPr>
                <w:lang w:val="en-US"/>
              </w:rPr>
            </w:pPr>
            <w:r w:rsidRPr="00D6403A">
              <w:rPr>
                <w:lang w:val="en-US"/>
              </w:rPr>
              <w:t>2</w:t>
            </w:r>
          </w:p>
        </w:tc>
        <w:tc>
          <w:tcPr>
            <w:cnfStyle w:val="000001000000" w:firstRow="0" w:lastRow="0" w:firstColumn="0" w:lastColumn="0" w:oddVBand="0" w:evenVBand="1" w:oddHBand="0" w:evenHBand="0" w:firstRowFirstColumn="0" w:firstRowLastColumn="0" w:lastRowFirstColumn="0" w:lastRowLastColumn="0"/>
            <w:tcW w:w="1304" w:type="dxa"/>
          </w:tcPr>
          <w:p w14:paraId="35B9214B" w14:textId="77777777" w:rsidR="00D6403A" w:rsidRPr="00D6403A" w:rsidRDefault="00D6403A" w:rsidP="00AE4C75">
            <w:pPr>
              <w:pStyle w:val="Tabletext"/>
              <w:rPr>
                <w:lang w:val="en-US"/>
              </w:rPr>
            </w:pPr>
            <w:r w:rsidRPr="00D6403A">
              <w:rPr>
                <w:lang w:val="en-US"/>
              </w:rPr>
              <w:t>23</w:t>
            </w:r>
          </w:p>
        </w:tc>
        <w:tc>
          <w:tcPr>
            <w:cnfStyle w:val="000010000000" w:firstRow="0" w:lastRow="0" w:firstColumn="0" w:lastColumn="0" w:oddVBand="1" w:evenVBand="0" w:oddHBand="0" w:evenHBand="0" w:firstRowFirstColumn="0" w:firstRowLastColumn="0" w:lastRowFirstColumn="0" w:lastRowLastColumn="0"/>
            <w:tcW w:w="1304" w:type="dxa"/>
          </w:tcPr>
          <w:p w14:paraId="1A3EFB10" w14:textId="77777777" w:rsidR="00D6403A" w:rsidRPr="00D6403A" w:rsidRDefault="00D6403A" w:rsidP="00AE4C75">
            <w:pPr>
              <w:pStyle w:val="Tabletext"/>
              <w:rPr>
                <w:lang w:val="en-US"/>
              </w:rPr>
            </w:pPr>
            <w:r w:rsidRPr="00D6403A">
              <w:rPr>
                <w:lang w:val="en-US"/>
              </w:rPr>
              <w:t>23</w:t>
            </w:r>
          </w:p>
        </w:tc>
      </w:tr>
      <w:tr w:rsidR="00D6403A" w:rsidRPr="00D6403A" w14:paraId="217CD844"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DBB68AB" w14:textId="77777777" w:rsidR="00D6403A" w:rsidRPr="00D6403A" w:rsidRDefault="00D6403A" w:rsidP="00E6458F">
            <w:pPr>
              <w:pStyle w:val="Tabletext"/>
              <w:jc w:val="left"/>
              <w:rPr>
                <w:rFonts w:ascii="VIC" w:hAnsi="VIC" w:cs="VIC"/>
                <w:lang w:val="en-US"/>
              </w:rPr>
            </w:pPr>
            <w:r w:rsidRPr="00AE4C75">
              <w:rPr>
                <w:b/>
              </w:rPr>
              <w:t>Maryborough District Health</w:t>
            </w:r>
            <w:r w:rsidRPr="00D6403A">
              <w:rPr>
                <w:rFonts w:ascii="Cambria" w:hAnsi="Cambria" w:cs="Cambria"/>
                <w:lang w:val="en-US"/>
              </w:rPr>
              <w:t> </w:t>
            </w:r>
            <w:r w:rsidRPr="00AE4C75">
              <w:rPr>
                <w:b/>
                <w:lang w:val="en-US"/>
              </w:rPr>
              <w:t>Service</w:t>
            </w:r>
          </w:p>
        </w:tc>
        <w:tc>
          <w:tcPr>
            <w:cnfStyle w:val="000001000000" w:firstRow="0" w:lastRow="0" w:firstColumn="0" w:lastColumn="0" w:oddVBand="0" w:evenVBand="1" w:oddHBand="0" w:evenHBand="0" w:firstRowFirstColumn="0" w:firstRowLastColumn="0" w:lastRowFirstColumn="0" w:lastRowLastColumn="0"/>
            <w:tcW w:w="3033" w:type="dxa"/>
          </w:tcPr>
          <w:p w14:paraId="69AB2C61" w14:textId="77777777" w:rsidR="00D6403A" w:rsidRPr="00D6403A" w:rsidRDefault="00D6403A" w:rsidP="00E6458F">
            <w:pPr>
              <w:pStyle w:val="Tabletext"/>
              <w:jc w:val="left"/>
              <w:rPr>
                <w:lang w:val="en-US"/>
              </w:rPr>
            </w:pPr>
            <w:r w:rsidRPr="00D6403A">
              <w:rPr>
                <w:lang w:val="en-US"/>
              </w:rPr>
              <w:t>Maryborough District Health Service [Maryborough]</w:t>
            </w:r>
          </w:p>
        </w:tc>
        <w:tc>
          <w:tcPr>
            <w:cnfStyle w:val="000010000000" w:firstRow="0" w:lastRow="0" w:firstColumn="0" w:lastColumn="0" w:oddVBand="1" w:evenVBand="0" w:oddHBand="0" w:evenHBand="0" w:firstRowFirstColumn="0" w:firstRowLastColumn="0" w:lastRowFirstColumn="0" w:lastRowLastColumn="0"/>
            <w:tcW w:w="1531" w:type="dxa"/>
          </w:tcPr>
          <w:p w14:paraId="66D27148" w14:textId="77777777" w:rsidR="00D6403A" w:rsidRPr="00D6403A" w:rsidRDefault="00D6403A" w:rsidP="00AE4C75">
            <w:pPr>
              <w:pStyle w:val="Tabletext"/>
              <w:rPr>
                <w:lang w:val="en-US"/>
              </w:rPr>
            </w:pPr>
            <w:r w:rsidRPr="00D6403A">
              <w:rPr>
                <w:lang w:val="en-US"/>
              </w:rPr>
              <w:t>2</w:t>
            </w:r>
          </w:p>
        </w:tc>
        <w:tc>
          <w:tcPr>
            <w:cnfStyle w:val="000001000000" w:firstRow="0" w:lastRow="0" w:firstColumn="0" w:lastColumn="0" w:oddVBand="0" w:evenVBand="1" w:oddHBand="0" w:evenHBand="0" w:firstRowFirstColumn="0" w:firstRowLastColumn="0" w:lastRowFirstColumn="0" w:lastRowLastColumn="0"/>
            <w:tcW w:w="1304" w:type="dxa"/>
          </w:tcPr>
          <w:p w14:paraId="3250D483" w14:textId="77777777" w:rsidR="00D6403A" w:rsidRPr="00D6403A" w:rsidRDefault="00D6403A" w:rsidP="00AE4C75">
            <w:pPr>
              <w:pStyle w:val="Tabletext"/>
              <w:rPr>
                <w:lang w:val="en-US"/>
              </w:rPr>
            </w:pPr>
            <w:r w:rsidRPr="00D6403A">
              <w:rPr>
                <w:lang w:val="en-US"/>
              </w:rPr>
              <w:t>21</w:t>
            </w:r>
          </w:p>
        </w:tc>
        <w:tc>
          <w:tcPr>
            <w:cnfStyle w:val="000010000000" w:firstRow="0" w:lastRow="0" w:firstColumn="0" w:lastColumn="0" w:oddVBand="1" w:evenVBand="0" w:oddHBand="0" w:evenHBand="0" w:firstRowFirstColumn="0" w:firstRowLastColumn="0" w:lastRowFirstColumn="0" w:lastRowLastColumn="0"/>
            <w:tcW w:w="1304" w:type="dxa"/>
          </w:tcPr>
          <w:p w14:paraId="61F57B02" w14:textId="77777777" w:rsidR="00D6403A" w:rsidRPr="00D6403A" w:rsidRDefault="00D6403A" w:rsidP="00AE4C75">
            <w:pPr>
              <w:pStyle w:val="Tabletext"/>
              <w:rPr>
                <w:lang w:val="en-US"/>
              </w:rPr>
            </w:pPr>
            <w:r w:rsidRPr="00D6403A">
              <w:rPr>
                <w:lang w:val="en-US"/>
              </w:rPr>
              <w:t>21</w:t>
            </w:r>
          </w:p>
        </w:tc>
      </w:tr>
      <w:tr w:rsidR="00D6403A" w:rsidRPr="00D6403A" w14:paraId="2DC9B8F8"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D8168B1" w14:textId="77777777" w:rsidR="00D6403A" w:rsidRPr="00AE4C75" w:rsidRDefault="00D6403A" w:rsidP="00E6458F">
            <w:pPr>
              <w:pStyle w:val="Tabletext"/>
              <w:jc w:val="left"/>
              <w:rPr>
                <w:rFonts w:ascii="VIC" w:hAnsi="VIC" w:cs="VIC"/>
                <w:b/>
                <w:lang w:val="en-US"/>
              </w:rPr>
            </w:pPr>
            <w:r w:rsidRPr="00AE4C75">
              <w:rPr>
                <w:b/>
                <w:lang w:val="en-US"/>
              </w:rPr>
              <w:t>Cohuna District Hospital</w:t>
            </w:r>
          </w:p>
        </w:tc>
        <w:tc>
          <w:tcPr>
            <w:cnfStyle w:val="000001000000" w:firstRow="0" w:lastRow="0" w:firstColumn="0" w:lastColumn="0" w:oddVBand="0" w:evenVBand="1" w:oddHBand="0" w:evenHBand="0" w:firstRowFirstColumn="0" w:firstRowLastColumn="0" w:lastRowFirstColumn="0" w:lastRowLastColumn="0"/>
            <w:tcW w:w="3033" w:type="dxa"/>
          </w:tcPr>
          <w:p w14:paraId="789A2CC8" w14:textId="77777777" w:rsidR="00D6403A" w:rsidRPr="00D6403A" w:rsidRDefault="00D6403A" w:rsidP="00E6458F">
            <w:pPr>
              <w:pStyle w:val="Tabletext"/>
              <w:jc w:val="left"/>
              <w:rPr>
                <w:lang w:val="en-US"/>
              </w:rPr>
            </w:pPr>
            <w:r w:rsidRPr="00D6403A">
              <w:rPr>
                <w:lang w:val="en-US"/>
              </w:rPr>
              <w:t>Cohuna District Hospital</w:t>
            </w:r>
          </w:p>
        </w:tc>
        <w:tc>
          <w:tcPr>
            <w:cnfStyle w:val="000010000000" w:firstRow="0" w:lastRow="0" w:firstColumn="0" w:lastColumn="0" w:oddVBand="1" w:evenVBand="0" w:oddHBand="0" w:evenHBand="0" w:firstRowFirstColumn="0" w:firstRowLastColumn="0" w:lastRowFirstColumn="0" w:lastRowLastColumn="0"/>
            <w:tcW w:w="1531" w:type="dxa"/>
          </w:tcPr>
          <w:p w14:paraId="4DB4F6BB" w14:textId="77777777" w:rsidR="00D6403A" w:rsidRPr="00D6403A" w:rsidRDefault="00D6403A" w:rsidP="00AE4C75">
            <w:pPr>
              <w:pStyle w:val="Tabletext"/>
              <w:rPr>
                <w:lang w:val="en-US"/>
              </w:rPr>
            </w:pPr>
            <w:r w:rsidRPr="00D6403A">
              <w:rPr>
                <w:lang w:val="en-US"/>
              </w:rPr>
              <w:t>1</w:t>
            </w:r>
          </w:p>
        </w:tc>
        <w:tc>
          <w:tcPr>
            <w:cnfStyle w:val="000001000000" w:firstRow="0" w:lastRow="0" w:firstColumn="0" w:lastColumn="0" w:oddVBand="0" w:evenVBand="1" w:oddHBand="0" w:evenHBand="0" w:firstRowFirstColumn="0" w:firstRowLastColumn="0" w:lastRowFirstColumn="0" w:lastRowLastColumn="0"/>
            <w:tcW w:w="1304" w:type="dxa"/>
          </w:tcPr>
          <w:p w14:paraId="326A4A5D" w14:textId="77777777" w:rsidR="00D6403A" w:rsidRPr="00D6403A" w:rsidRDefault="00D6403A" w:rsidP="00AE4C75">
            <w:pPr>
              <w:pStyle w:val="Tabletext"/>
              <w:rPr>
                <w:lang w:val="en-US"/>
              </w:rPr>
            </w:pPr>
            <w:r w:rsidRPr="00D6403A">
              <w:rPr>
                <w:lang w:val="en-US"/>
              </w:rPr>
              <w:t>10</w:t>
            </w:r>
          </w:p>
        </w:tc>
        <w:tc>
          <w:tcPr>
            <w:cnfStyle w:val="000010000000" w:firstRow="0" w:lastRow="0" w:firstColumn="0" w:lastColumn="0" w:oddVBand="1" w:evenVBand="0" w:oddHBand="0" w:evenHBand="0" w:firstRowFirstColumn="0" w:firstRowLastColumn="0" w:lastRowFirstColumn="0" w:lastRowLastColumn="0"/>
            <w:tcW w:w="1304" w:type="dxa"/>
          </w:tcPr>
          <w:p w14:paraId="32B390E0" w14:textId="77777777" w:rsidR="00D6403A" w:rsidRPr="00D6403A" w:rsidRDefault="00D6403A" w:rsidP="00AE4C75">
            <w:pPr>
              <w:pStyle w:val="Tabletext"/>
              <w:rPr>
                <w:lang w:val="en-US"/>
              </w:rPr>
            </w:pPr>
            <w:r w:rsidRPr="00D6403A">
              <w:rPr>
                <w:lang w:val="en-US"/>
              </w:rPr>
              <w:t>10</w:t>
            </w:r>
          </w:p>
        </w:tc>
      </w:tr>
      <w:tr w:rsidR="00D6403A" w:rsidRPr="00D6403A" w14:paraId="37C77BFC"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2EC9C289" w14:textId="77777777" w:rsidR="00D6403A" w:rsidRPr="00D6403A" w:rsidRDefault="00D6403A" w:rsidP="00E6458F">
            <w:pPr>
              <w:pStyle w:val="Tabletext"/>
              <w:jc w:val="left"/>
              <w:rPr>
                <w:rFonts w:ascii="VIC" w:hAnsi="VIC" w:cs="VIC"/>
                <w:lang w:val="en-US"/>
              </w:rPr>
            </w:pPr>
            <w:r w:rsidRPr="00AE4C75">
              <w:rPr>
                <w:b/>
                <w:lang w:val="en-US"/>
              </w:rPr>
              <w:t>Non-maternity public hospitals</w:t>
            </w:r>
            <w:r w:rsidRPr="00D6403A">
              <w:rPr>
                <w:vertAlign w:val="superscript"/>
                <w:lang w:val="en-US"/>
              </w:rPr>
              <w:t>a</w:t>
            </w:r>
          </w:p>
        </w:tc>
        <w:tc>
          <w:tcPr>
            <w:cnfStyle w:val="000001000000" w:firstRow="0" w:lastRow="0" w:firstColumn="0" w:lastColumn="0" w:oddVBand="0" w:evenVBand="1" w:oddHBand="0" w:evenHBand="0" w:firstRowFirstColumn="0" w:firstRowLastColumn="0" w:lastRowFirstColumn="0" w:lastRowLastColumn="0"/>
            <w:tcW w:w="3033" w:type="dxa"/>
          </w:tcPr>
          <w:p w14:paraId="0D38BD57" w14:textId="77777777" w:rsidR="00D6403A" w:rsidRPr="00D6403A" w:rsidRDefault="00D6403A" w:rsidP="00E6458F">
            <w:pPr>
              <w:autoSpaceDE w:val="0"/>
              <w:autoSpaceDN w:val="0"/>
              <w:adjustRightInd w:val="0"/>
              <w:spacing w:before="0" w:after="0" w:line="240" w:lineRule="auto"/>
              <w:jc w:val="left"/>
              <w:rPr>
                <w:rFonts w:ascii="VIC" w:hAnsi="VIC"/>
                <w:sz w:val="24"/>
                <w:szCs w:val="24"/>
                <w:lang w:val="en-US"/>
              </w:rPr>
            </w:pPr>
          </w:p>
        </w:tc>
        <w:tc>
          <w:tcPr>
            <w:cnfStyle w:val="000010000000" w:firstRow="0" w:lastRow="0" w:firstColumn="0" w:lastColumn="0" w:oddVBand="1" w:evenVBand="0" w:oddHBand="0" w:evenHBand="0" w:firstRowFirstColumn="0" w:firstRowLastColumn="0" w:lastRowFirstColumn="0" w:lastRowLastColumn="0"/>
            <w:tcW w:w="1531" w:type="dxa"/>
          </w:tcPr>
          <w:p w14:paraId="54C47597" w14:textId="77777777" w:rsidR="00D6403A" w:rsidRPr="00D6403A" w:rsidRDefault="00D6403A"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304" w:type="dxa"/>
          </w:tcPr>
          <w:p w14:paraId="0FE00A89" w14:textId="77777777" w:rsidR="00D6403A" w:rsidRPr="00D6403A" w:rsidRDefault="00D6403A" w:rsidP="00AE4C75">
            <w:pPr>
              <w:pStyle w:val="Tabletext"/>
              <w:rPr>
                <w:lang w:val="en-US"/>
              </w:rPr>
            </w:pPr>
            <w:r w:rsidRPr="00D6403A">
              <w:rPr>
                <w:lang w:val="en-US"/>
              </w:rPr>
              <w:t>7</w:t>
            </w:r>
          </w:p>
        </w:tc>
        <w:tc>
          <w:tcPr>
            <w:cnfStyle w:val="000010000000" w:firstRow="0" w:lastRow="0" w:firstColumn="0" w:lastColumn="0" w:oddVBand="1" w:evenVBand="0" w:oddHBand="0" w:evenHBand="0" w:firstRowFirstColumn="0" w:firstRowLastColumn="0" w:lastRowFirstColumn="0" w:lastRowLastColumn="0"/>
            <w:tcW w:w="1304" w:type="dxa"/>
          </w:tcPr>
          <w:p w14:paraId="2100D3BB" w14:textId="77777777" w:rsidR="00D6403A" w:rsidRPr="00D6403A" w:rsidRDefault="00D6403A" w:rsidP="00AE4C75">
            <w:pPr>
              <w:pStyle w:val="Tabletext"/>
              <w:rPr>
                <w:lang w:val="en-US"/>
              </w:rPr>
            </w:pPr>
            <w:r w:rsidRPr="00D6403A">
              <w:rPr>
                <w:lang w:val="en-US"/>
              </w:rPr>
              <w:t>7</w:t>
            </w:r>
          </w:p>
        </w:tc>
      </w:tr>
      <w:tr w:rsidR="00D6403A" w:rsidRPr="00D6403A" w14:paraId="504E4B8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7AEC3E39" w14:textId="77777777" w:rsidR="00D6403A" w:rsidRPr="00AE4C75" w:rsidRDefault="00D6403A" w:rsidP="00E6458F">
            <w:pPr>
              <w:pStyle w:val="Tabletext"/>
              <w:jc w:val="left"/>
              <w:rPr>
                <w:rFonts w:ascii="VIC" w:hAnsi="VIC" w:cs="VIC"/>
                <w:b/>
                <w:lang w:val="en-US"/>
              </w:rPr>
            </w:pPr>
            <w:r w:rsidRPr="00AE4C75">
              <w:rPr>
                <w:b/>
                <w:lang w:val="en-US"/>
              </w:rPr>
              <w:t>Ramsay Health Care</w:t>
            </w:r>
          </w:p>
        </w:tc>
        <w:tc>
          <w:tcPr>
            <w:cnfStyle w:val="000001000000" w:firstRow="0" w:lastRow="0" w:firstColumn="0" w:lastColumn="0" w:oddVBand="0" w:evenVBand="1" w:oddHBand="0" w:evenHBand="0" w:firstRowFirstColumn="0" w:firstRowLastColumn="0" w:lastRowFirstColumn="0" w:lastRowLastColumn="0"/>
            <w:tcW w:w="3033" w:type="dxa"/>
          </w:tcPr>
          <w:p w14:paraId="541BFC14" w14:textId="77777777" w:rsidR="00D6403A" w:rsidRPr="00D6403A" w:rsidRDefault="00D6403A" w:rsidP="00E6458F">
            <w:pPr>
              <w:pStyle w:val="Tabletext"/>
              <w:jc w:val="left"/>
              <w:rPr>
                <w:lang w:val="en-US"/>
              </w:rPr>
            </w:pPr>
            <w:r w:rsidRPr="00D6403A">
              <w:rPr>
                <w:lang w:val="en-US"/>
              </w:rPr>
              <w:t>Frances Perry House</w:t>
            </w:r>
          </w:p>
        </w:tc>
        <w:tc>
          <w:tcPr>
            <w:cnfStyle w:val="000010000000" w:firstRow="0" w:lastRow="0" w:firstColumn="0" w:lastColumn="0" w:oddVBand="1" w:evenVBand="0" w:oddHBand="0" w:evenHBand="0" w:firstRowFirstColumn="0" w:firstRowLastColumn="0" w:lastRowFirstColumn="0" w:lastRowLastColumn="0"/>
            <w:tcW w:w="1531" w:type="dxa"/>
          </w:tcPr>
          <w:p w14:paraId="50A27058"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02BCBB16" w14:textId="77777777" w:rsidR="00D6403A" w:rsidRPr="00D6403A" w:rsidRDefault="00D6403A" w:rsidP="00AE4C75">
            <w:pPr>
              <w:pStyle w:val="Tabletext"/>
              <w:rPr>
                <w:lang w:val="en-US"/>
              </w:rPr>
            </w:pPr>
            <w:r w:rsidRPr="00D6403A">
              <w:rPr>
                <w:lang w:val="en-US"/>
              </w:rPr>
              <w:t>3,401</w:t>
            </w:r>
          </w:p>
        </w:tc>
        <w:tc>
          <w:tcPr>
            <w:cnfStyle w:val="000010000000" w:firstRow="0" w:lastRow="0" w:firstColumn="0" w:lastColumn="0" w:oddVBand="1" w:evenVBand="0" w:oddHBand="0" w:evenHBand="0" w:firstRowFirstColumn="0" w:firstRowLastColumn="0" w:lastRowFirstColumn="0" w:lastRowLastColumn="0"/>
            <w:tcW w:w="1304" w:type="dxa"/>
          </w:tcPr>
          <w:p w14:paraId="1D61E9AD" w14:textId="77777777" w:rsidR="00D6403A" w:rsidRPr="00D6403A" w:rsidRDefault="00D6403A" w:rsidP="00AE4C75">
            <w:pPr>
              <w:pStyle w:val="Tabletext"/>
              <w:rPr>
                <w:lang w:val="en-US"/>
              </w:rPr>
            </w:pPr>
            <w:r w:rsidRPr="00D6403A">
              <w:rPr>
                <w:lang w:val="en-US"/>
              </w:rPr>
              <w:t>3,472</w:t>
            </w:r>
          </w:p>
        </w:tc>
      </w:tr>
      <w:tr w:rsidR="00D6403A" w:rsidRPr="00D6403A" w14:paraId="7E46C672"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66B4FF17" w14:textId="77777777" w:rsidR="00D6403A" w:rsidRPr="00AE4C75" w:rsidRDefault="00D6403A" w:rsidP="00E6458F">
            <w:pPr>
              <w:pStyle w:val="Tabletext"/>
              <w:jc w:val="left"/>
              <w:rPr>
                <w:rFonts w:ascii="VIC" w:hAnsi="VIC" w:cs="VIC"/>
                <w:b/>
                <w:lang w:val="en-US"/>
              </w:rPr>
            </w:pPr>
            <w:r w:rsidRPr="00AE4C75">
              <w:rPr>
                <w:b/>
                <w:lang w:val="en-US"/>
              </w:rPr>
              <w:t>Epworth HealthCare</w:t>
            </w:r>
          </w:p>
        </w:tc>
        <w:tc>
          <w:tcPr>
            <w:cnfStyle w:val="000001000000" w:firstRow="0" w:lastRow="0" w:firstColumn="0" w:lastColumn="0" w:oddVBand="0" w:evenVBand="1" w:oddHBand="0" w:evenHBand="0" w:firstRowFirstColumn="0" w:firstRowLastColumn="0" w:lastRowFirstColumn="0" w:lastRowLastColumn="0"/>
            <w:tcW w:w="3033" w:type="dxa"/>
          </w:tcPr>
          <w:p w14:paraId="48AB0F43" w14:textId="77777777" w:rsidR="00D6403A" w:rsidRPr="00D6403A" w:rsidRDefault="00D6403A" w:rsidP="00E6458F">
            <w:pPr>
              <w:pStyle w:val="Tabletext"/>
              <w:jc w:val="left"/>
              <w:rPr>
                <w:lang w:val="en-US"/>
              </w:rPr>
            </w:pPr>
            <w:r w:rsidRPr="00D6403A">
              <w:rPr>
                <w:lang w:val="en-US"/>
              </w:rPr>
              <w:t>Epworth Freemasons</w:t>
            </w:r>
          </w:p>
        </w:tc>
        <w:tc>
          <w:tcPr>
            <w:cnfStyle w:val="000010000000" w:firstRow="0" w:lastRow="0" w:firstColumn="0" w:lastColumn="0" w:oddVBand="1" w:evenVBand="0" w:oddHBand="0" w:evenHBand="0" w:firstRowFirstColumn="0" w:firstRowLastColumn="0" w:lastRowFirstColumn="0" w:lastRowLastColumn="0"/>
            <w:tcW w:w="1531" w:type="dxa"/>
          </w:tcPr>
          <w:p w14:paraId="65756B7C"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64A94E55" w14:textId="77777777" w:rsidR="00D6403A" w:rsidRPr="00D6403A" w:rsidRDefault="00D6403A" w:rsidP="00AE4C75">
            <w:pPr>
              <w:pStyle w:val="Tabletext"/>
              <w:rPr>
                <w:lang w:val="en-US"/>
              </w:rPr>
            </w:pPr>
            <w:r w:rsidRPr="00D6403A">
              <w:rPr>
                <w:lang w:val="en-US"/>
              </w:rPr>
              <w:t>2,876</w:t>
            </w:r>
          </w:p>
        </w:tc>
        <w:tc>
          <w:tcPr>
            <w:cnfStyle w:val="000010000000" w:firstRow="0" w:lastRow="0" w:firstColumn="0" w:lastColumn="0" w:oddVBand="1" w:evenVBand="0" w:oddHBand="0" w:evenHBand="0" w:firstRowFirstColumn="0" w:firstRowLastColumn="0" w:lastRowFirstColumn="0" w:lastRowLastColumn="0"/>
            <w:tcW w:w="1304" w:type="dxa"/>
          </w:tcPr>
          <w:p w14:paraId="4E2F0E5C" w14:textId="77777777" w:rsidR="00D6403A" w:rsidRPr="00D6403A" w:rsidRDefault="00D6403A" w:rsidP="00AE4C75">
            <w:pPr>
              <w:pStyle w:val="Tabletext"/>
              <w:rPr>
                <w:lang w:val="en-US"/>
              </w:rPr>
            </w:pPr>
            <w:r w:rsidRPr="00D6403A">
              <w:rPr>
                <w:lang w:val="en-US"/>
              </w:rPr>
              <w:t>2,904</w:t>
            </w:r>
          </w:p>
        </w:tc>
      </w:tr>
      <w:tr w:rsidR="00D6403A" w:rsidRPr="00D6403A" w14:paraId="49E2A9EA"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7C37FA3F" w14:textId="77777777" w:rsidR="00D6403A" w:rsidRPr="00AE4C75" w:rsidRDefault="00D6403A" w:rsidP="00E6458F">
            <w:pPr>
              <w:pStyle w:val="Tabletext"/>
              <w:jc w:val="left"/>
              <w:rPr>
                <w:rFonts w:ascii="VIC" w:hAnsi="VIC" w:cs="VIC"/>
                <w:b/>
                <w:lang w:val="en-US"/>
              </w:rPr>
            </w:pPr>
            <w:r w:rsidRPr="00AE4C75">
              <w:rPr>
                <w:b/>
                <w:lang w:val="en-US"/>
              </w:rPr>
              <w:t>St Vincent’s Private Hospital Melbourne Limited</w:t>
            </w:r>
          </w:p>
        </w:tc>
        <w:tc>
          <w:tcPr>
            <w:cnfStyle w:val="000001000000" w:firstRow="0" w:lastRow="0" w:firstColumn="0" w:lastColumn="0" w:oddVBand="0" w:evenVBand="1" w:oddHBand="0" w:evenHBand="0" w:firstRowFirstColumn="0" w:firstRowLastColumn="0" w:lastRowFirstColumn="0" w:lastRowLastColumn="0"/>
            <w:tcW w:w="3033" w:type="dxa"/>
          </w:tcPr>
          <w:p w14:paraId="0A884664" w14:textId="77777777" w:rsidR="00D6403A" w:rsidRPr="00D6403A" w:rsidRDefault="00D6403A" w:rsidP="00E6458F">
            <w:pPr>
              <w:pStyle w:val="Tabletext"/>
              <w:jc w:val="left"/>
              <w:rPr>
                <w:lang w:val="en-US"/>
              </w:rPr>
            </w:pPr>
            <w:r w:rsidRPr="00D6403A">
              <w:rPr>
                <w:lang w:val="en-US"/>
              </w:rPr>
              <w:t>St Vincent’s Private Hospital Fitzroy</w:t>
            </w:r>
          </w:p>
        </w:tc>
        <w:tc>
          <w:tcPr>
            <w:cnfStyle w:val="000010000000" w:firstRow="0" w:lastRow="0" w:firstColumn="0" w:lastColumn="0" w:oddVBand="1" w:evenVBand="0" w:oddHBand="0" w:evenHBand="0" w:firstRowFirstColumn="0" w:firstRowLastColumn="0" w:lastRowFirstColumn="0" w:lastRowLastColumn="0"/>
            <w:tcW w:w="1531" w:type="dxa"/>
          </w:tcPr>
          <w:p w14:paraId="2901156A"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299F47FE" w14:textId="77777777" w:rsidR="00D6403A" w:rsidRPr="00D6403A" w:rsidRDefault="00D6403A" w:rsidP="00AE4C75">
            <w:pPr>
              <w:pStyle w:val="Tabletext"/>
              <w:rPr>
                <w:lang w:val="en-US"/>
              </w:rPr>
            </w:pPr>
            <w:r w:rsidRPr="00D6403A">
              <w:rPr>
                <w:lang w:val="en-US"/>
              </w:rPr>
              <w:t>2,251</w:t>
            </w:r>
          </w:p>
        </w:tc>
        <w:tc>
          <w:tcPr>
            <w:cnfStyle w:val="000010000000" w:firstRow="0" w:lastRow="0" w:firstColumn="0" w:lastColumn="0" w:oddVBand="1" w:evenVBand="0" w:oddHBand="0" w:evenHBand="0" w:firstRowFirstColumn="0" w:firstRowLastColumn="0" w:lastRowFirstColumn="0" w:lastRowLastColumn="0"/>
            <w:tcW w:w="1304" w:type="dxa"/>
          </w:tcPr>
          <w:p w14:paraId="5E99B5DC" w14:textId="77777777" w:rsidR="00D6403A" w:rsidRPr="00D6403A" w:rsidRDefault="00D6403A" w:rsidP="00AE4C75">
            <w:pPr>
              <w:pStyle w:val="Tabletext"/>
              <w:rPr>
                <w:lang w:val="en-US"/>
              </w:rPr>
            </w:pPr>
            <w:r w:rsidRPr="00D6403A">
              <w:rPr>
                <w:lang w:val="en-US"/>
              </w:rPr>
              <w:t>2,275</w:t>
            </w:r>
          </w:p>
        </w:tc>
      </w:tr>
      <w:tr w:rsidR="00D6403A" w:rsidRPr="00D6403A" w14:paraId="2D8CBD04"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79D4C8E" w14:textId="77777777" w:rsidR="00D6403A" w:rsidRPr="00AE4C75" w:rsidRDefault="00D6403A" w:rsidP="00E6458F">
            <w:pPr>
              <w:pStyle w:val="Tabletext"/>
              <w:jc w:val="left"/>
              <w:rPr>
                <w:rFonts w:ascii="VIC" w:hAnsi="VIC" w:cs="VIC"/>
                <w:b/>
                <w:lang w:val="en-US"/>
              </w:rPr>
            </w:pPr>
            <w:r w:rsidRPr="00AE4C75">
              <w:rPr>
                <w:b/>
                <w:lang w:val="en-US"/>
              </w:rPr>
              <w:t>Cabrini Health Limited</w:t>
            </w:r>
          </w:p>
        </w:tc>
        <w:tc>
          <w:tcPr>
            <w:cnfStyle w:val="000001000000" w:firstRow="0" w:lastRow="0" w:firstColumn="0" w:lastColumn="0" w:oddVBand="0" w:evenVBand="1" w:oddHBand="0" w:evenHBand="0" w:firstRowFirstColumn="0" w:firstRowLastColumn="0" w:lastRowFirstColumn="0" w:lastRowLastColumn="0"/>
            <w:tcW w:w="3033" w:type="dxa"/>
          </w:tcPr>
          <w:p w14:paraId="088E8F33" w14:textId="77777777" w:rsidR="00D6403A" w:rsidRPr="00D6403A" w:rsidRDefault="00D6403A" w:rsidP="00E6458F">
            <w:pPr>
              <w:pStyle w:val="Tabletext"/>
              <w:jc w:val="left"/>
              <w:rPr>
                <w:lang w:val="en-US"/>
              </w:rPr>
            </w:pPr>
            <w:r w:rsidRPr="00D6403A">
              <w:rPr>
                <w:lang w:val="en-US"/>
              </w:rPr>
              <w:t>Cabrini Malvern</w:t>
            </w:r>
          </w:p>
        </w:tc>
        <w:tc>
          <w:tcPr>
            <w:cnfStyle w:val="000010000000" w:firstRow="0" w:lastRow="0" w:firstColumn="0" w:lastColumn="0" w:oddVBand="1" w:evenVBand="0" w:oddHBand="0" w:evenHBand="0" w:firstRowFirstColumn="0" w:firstRowLastColumn="0" w:lastRowFirstColumn="0" w:lastRowLastColumn="0"/>
            <w:tcW w:w="1531" w:type="dxa"/>
          </w:tcPr>
          <w:p w14:paraId="60184010"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1D5E89EB" w14:textId="77777777" w:rsidR="00D6403A" w:rsidRPr="00D6403A" w:rsidRDefault="00D6403A" w:rsidP="00AE4C75">
            <w:pPr>
              <w:pStyle w:val="Tabletext"/>
              <w:rPr>
                <w:lang w:val="en-US"/>
              </w:rPr>
            </w:pPr>
            <w:r w:rsidRPr="00D6403A">
              <w:rPr>
                <w:lang w:val="en-US"/>
              </w:rPr>
              <w:t>2,018</w:t>
            </w:r>
          </w:p>
        </w:tc>
        <w:tc>
          <w:tcPr>
            <w:cnfStyle w:val="000010000000" w:firstRow="0" w:lastRow="0" w:firstColumn="0" w:lastColumn="0" w:oddVBand="1" w:evenVBand="0" w:oddHBand="0" w:evenHBand="0" w:firstRowFirstColumn="0" w:firstRowLastColumn="0" w:lastRowFirstColumn="0" w:lastRowLastColumn="0"/>
            <w:tcW w:w="1304" w:type="dxa"/>
          </w:tcPr>
          <w:p w14:paraId="4EDDC99F" w14:textId="77777777" w:rsidR="00D6403A" w:rsidRPr="00D6403A" w:rsidRDefault="00D6403A" w:rsidP="00AE4C75">
            <w:pPr>
              <w:pStyle w:val="Tabletext"/>
              <w:rPr>
                <w:lang w:val="en-US"/>
              </w:rPr>
            </w:pPr>
            <w:r w:rsidRPr="00D6403A">
              <w:rPr>
                <w:lang w:val="en-US"/>
              </w:rPr>
              <w:t>2,039</w:t>
            </w:r>
          </w:p>
        </w:tc>
      </w:tr>
      <w:tr w:rsidR="00D6403A" w:rsidRPr="00D6403A" w14:paraId="45F3EEC1"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B3C1DA5" w14:textId="77777777" w:rsidR="00D6403A" w:rsidRPr="00AE4C75" w:rsidRDefault="00D6403A" w:rsidP="00E6458F">
            <w:pPr>
              <w:pStyle w:val="Tabletext"/>
              <w:jc w:val="left"/>
              <w:rPr>
                <w:rFonts w:ascii="VIC" w:hAnsi="VIC" w:cs="VIC"/>
                <w:b/>
                <w:lang w:val="en-US"/>
              </w:rPr>
            </w:pPr>
            <w:r w:rsidRPr="00AE4C75">
              <w:rPr>
                <w:b/>
                <w:lang w:val="en-US"/>
              </w:rPr>
              <w:t>Ramsay Health Care</w:t>
            </w:r>
          </w:p>
        </w:tc>
        <w:tc>
          <w:tcPr>
            <w:cnfStyle w:val="000001000000" w:firstRow="0" w:lastRow="0" w:firstColumn="0" w:lastColumn="0" w:oddVBand="0" w:evenVBand="1" w:oddHBand="0" w:evenHBand="0" w:firstRowFirstColumn="0" w:firstRowLastColumn="0" w:lastRowFirstColumn="0" w:lastRowLastColumn="0"/>
            <w:tcW w:w="3033" w:type="dxa"/>
          </w:tcPr>
          <w:p w14:paraId="1C49F898" w14:textId="77777777" w:rsidR="00D6403A" w:rsidRPr="00D6403A" w:rsidRDefault="00D6403A" w:rsidP="00E6458F">
            <w:pPr>
              <w:pStyle w:val="Tabletext"/>
              <w:jc w:val="left"/>
              <w:rPr>
                <w:lang w:val="en-US"/>
              </w:rPr>
            </w:pPr>
            <w:r w:rsidRPr="00D6403A">
              <w:rPr>
                <w:lang w:val="en-US"/>
              </w:rPr>
              <w:t>Mitcham Private Hospital</w:t>
            </w:r>
          </w:p>
        </w:tc>
        <w:tc>
          <w:tcPr>
            <w:cnfStyle w:val="000010000000" w:firstRow="0" w:lastRow="0" w:firstColumn="0" w:lastColumn="0" w:oddVBand="1" w:evenVBand="0" w:oddHBand="0" w:evenHBand="0" w:firstRowFirstColumn="0" w:firstRowLastColumn="0" w:lastRowFirstColumn="0" w:lastRowLastColumn="0"/>
            <w:tcW w:w="1531" w:type="dxa"/>
          </w:tcPr>
          <w:p w14:paraId="5CD294CB"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15A304B8" w14:textId="77777777" w:rsidR="00D6403A" w:rsidRPr="00D6403A" w:rsidRDefault="00D6403A" w:rsidP="00AE4C75">
            <w:pPr>
              <w:pStyle w:val="Tabletext"/>
              <w:rPr>
                <w:lang w:val="en-US"/>
              </w:rPr>
            </w:pPr>
            <w:r w:rsidRPr="00D6403A">
              <w:rPr>
                <w:lang w:val="en-US"/>
              </w:rPr>
              <w:t>1,056</w:t>
            </w:r>
          </w:p>
        </w:tc>
        <w:tc>
          <w:tcPr>
            <w:cnfStyle w:val="000010000000" w:firstRow="0" w:lastRow="0" w:firstColumn="0" w:lastColumn="0" w:oddVBand="1" w:evenVBand="0" w:oddHBand="0" w:evenHBand="0" w:firstRowFirstColumn="0" w:firstRowLastColumn="0" w:lastRowFirstColumn="0" w:lastRowLastColumn="0"/>
            <w:tcW w:w="1304" w:type="dxa"/>
          </w:tcPr>
          <w:p w14:paraId="29F8B992" w14:textId="77777777" w:rsidR="00D6403A" w:rsidRPr="00D6403A" w:rsidRDefault="00D6403A" w:rsidP="00AE4C75">
            <w:pPr>
              <w:pStyle w:val="Tabletext"/>
              <w:rPr>
                <w:lang w:val="en-US"/>
              </w:rPr>
            </w:pPr>
            <w:r w:rsidRPr="00D6403A">
              <w:rPr>
                <w:lang w:val="en-US"/>
              </w:rPr>
              <w:t>1,064</w:t>
            </w:r>
          </w:p>
        </w:tc>
      </w:tr>
      <w:tr w:rsidR="00D6403A" w:rsidRPr="00D6403A" w14:paraId="693A02E7"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3A1B3E5A" w14:textId="77777777" w:rsidR="00D6403A" w:rsidRPr="00AE4C75" w:rsidRDefault="00D6403A" w:rsidP="00E6458F">
            <w:pPr>
              <w:pStyle w:val="Tabletext"/>
              <w:jc w:val="left"/>
              <w:rPr>
                <w:rFonts w:ascii="VIC" w:hAnsi="VIC" w:cs="VIC"/>
                <w:b/>
                <w:lang w:val="en-US"/>
              </w:rPr>
            </w:pPr>
            <w:r w:rsidRPr="00AE4C75">
              <w:rPr>
                <w:b/>
                <w:lang w:val="en-US"/>
              </w:rPr>
              <w:t>St John of God Health Care Inc.</w:t>
            </w:r>
          </w:p>
        </w:tc>
        <w:tc>
          <w:tcPr>
            <w:cnfStyle w:val="000001000000" w:firstRow="0" w:lastRow="0" w:firstColumn="0" w:lastColumn="0" w:oddVBand="0" w:evenVBand="1" w:oddHBand="0" w:evenHBand="0" w:firstRowFirstColumn="0" w:firstRowLastColumn="0" w:lastRowFirstColumn="0" w:lastRowLastColumn="0"/>
            <w:tcW w:w="3033" w:type="dxa"/>
          </w:tcPr>
          <w:p w14:paraId="4233CD2D" w14:textId="77777777" w:rsidR="00D6403A" w:rsidRPr="00D6403A" w:rsidRDefault="00D6403A" w:rsidP="00E6458F">
            <w:pPr>
              <w:pStyle w:val="Tabletext"/>
              <w:jc w:val="left"/>
              <w:rPr>
                <w:lang w:val="en-US"/>
              </w:rPr>
            </w:pPr>
            <w:r w:rsidRPr="00D6403A">
              <w:rPr>
                <w:lang w:val="en-US"/>
              </w:rPr>
              <w:t>St John of God Berwick Hospital</w:t>
            </w:r>
          </w:p>
        </w:tc>
        <w:tc>
          <w:tcPr>
            <w:cnfStyle w:val="000010000000" w:firstRow="0" w:lastRow="0" w:firstColumn="0" w:lastColumn="0" w:oddVBand="1" w:evenVBand="0" w:oddHBand="0" w:evenHBand="0" w:firstRowFirstColumn="0" w:firstRowLastColumn="0" w:lastRowFirstColumn="0" w:lastRowLastColumn="0"/>
            <w:tcW w:w="1531" w:type="dxa"/>
          </w:tcPr>
          <w:p w14:paraId="5852FFF4"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03320DDC" w14:textId="77777777" w:rsidR="00D6403A" w:rsidRPr="00D6403A" w:rsidRDefault="00D6403A" w:rsidP="00AE4C75">
            <w:pPr>
              <w:pStyle w:val="Tabletext"/>
              <w:rPr>
                <w:lang w:val="en-US"/>
              </w:rPr>
            </w:pPr>
            <w:r w:rsidRPr="00D6403A">
              <w:rPr>
                <w:lang w:val="en-US"/>
              </w:rPr>
              <w:t>1,006</w:t>
            </w:r>
          </w:p>
        </w:tc>
        <w:tc>
          <w:tcPr>
            <w:cnfStyle w:val="000010000000" w:firstRow="0" w:lastRow="0" w:firstColumn="0" w:lastColumn="0" w:oddVBand="1" w:evenVBand="0" w:oddHBand="0" w:evenHBand="0" w:firstRowFirstColumn="0" w:firstRowLastColumn="0" w:lastRowFirstColumn="0" w:lastRowLastColumn="0"/>
            <w:tcW w:w="1304" w:type="dxa"/>
          </w:tcPr>
          <w:p w14:paraId="324A58B6" w14:textId="77777777" w:rsidR="00D6403A" w:rsidRPr="00D6403A" w:rsidRDefault="00D6403A" w:rsidP="00AE4C75">
            <w:pPr>
              <w:pStyle w:val="Tabletext"/>
              <w:rPr>
                <w:lang w:val="en-US"/>
              </w:rPr>
            </w:pPr>
            <w:r w:rsidRPr="00D6403A">
              <w:rPr>
                <w:lang w:val="en-US"/>
              </w:rPr>
              <w:t>1,018</w:t>
            </w:r>
          </w:p>
        </w:tc>
      </w:tr>
      <w:tr w:rsidR="00D6403A" w:rsidRPr="00D6403A" w14:paraId="7EAD7A23"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718E3F04" w14:textId="77777777" w:rsidR="00D6403A" w:rsidRPr="00AE4C75" w:rsidRDefault="00D6403A" w:rsidP="00E6458F">
            <w:pPr>
              <w:pStyle w:val="Tabletext"/>
              <w:jc w:val="left"/>
              <w:rPr>
                <w:rFonts w:ascii="VIC" w:hAnsi="VIC" w:cs="VIC"/>
                <w:b/>
                <w:lang w:val="en-US"/>
              </w:rPr>
            </w:pPr>
            <w:r w:rsidRPr="00AE4C75">
              <w:rPr>
                <w:b/>
                <w:lang w:val="en-US"/>
              </w:rPr>
              <w:t>Jessie McPherson Private Hospital</w:t>
            </w:r>
          </w:p>
        </w:tc>
        <w:tc>
          <w:tcPr>
            <w:cnfStyle w:val="000001000000" w:firstRow="0" w:lastRow="0" w:firstColumn="0" w:lastColumn="0" w:oddVBand="0" w:evenVBand="1" w:oddHBand="0" w:evenHBand="0" w:firstRowFirstColumn="0" w:firstRowLastColumn="0" w:lastRowFirstColumn="0" w:lastRowLastColumn="0"/>
            <w:tcW w:w="3033" w:type="dxa"/>
          </w:tcPr>
          <w:p w14:paraId="79147A41" w14:textId="77777777" w:rsidR="00D6403A" w:rsidRPr="00D6403A" w:rsidRDefault="00D6403A" w:rsidP="00E6458F">
            <w:pPr>
              <w:pStyle w:val="Tabletext"/>
              <w:jc w:val="left"/>
              <w:rPr>
                <w:lang w:val="en-US"/>
              </w:rPr>
            </w:pPr>
            <w:r w:rsidRPr="00D6403A">
              <w:rPr>
                <w:lang w:val="en-US"/>
              </w:rPr>
              <w:t>Jessie McPherson Private Hospital</w:t>
            </w:r>
          </w:p>
        </w:tc>
        <w:tc>
          <w:tcPr>
            <w:cnfStyle w:val="000010000000" w:firstRow="0" w:lastRow="0" w:firstColumn="0" w:lastColumn="0" w:oddVBand="1" w:evenVBand="0" w:oddHBand="0" w:evenHBand="0" w:firstRowFirstColumn="0" w:firstRowLastColumn="0" w:lastRowFirstColumn="0" w:lastRowLastColumn="0"/>
            <w:tcW w:w="1531" w:type="dxa"/>
          </w:tcPr>
          <w:p w14:paraId="21A30EEB"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0780183A" w14:textId="77777777" w:rsidR="00D6403A" w:rsidRPr="00D6403A" w:rsidRDefault="00D6403A" w:rsidP="00AE4C75">
            <w:pPr>
              <w:pStyle w:val="Tabletext"/>
              <w:rPr>
                <w:lang w:val="en-US"/>
              </w:rPr>
            </w:pPr>
            <w:r w:rsidRPr="00D6403A">
              <w:rPr>
                <w:lang w:val="en-US"/>
              </w:rPr>
              <w:t>960</w:t>
            </w:r>
          </w:p>
        </w:tc>
        <w:tc>
          <w:tcPr>
            <w:cnfStyle w:val="000010000000" w:firstRow="0" w:lastRow="0" w:firstColumn="0" w:lastColumn="0" w:oddVBand="1" w:evenVBand="0" w:oddHBand="0" w:evenHBand="0" w:firstRowFirstColumn="0" w:firstRowLastColumn="0" w:lastRowFirstColumn="0" w:lastRowLastColumn="0"/>
            <w:tcW w:w="1304" w:type="dxa"/>
          </w:tcPr>
          <w:p w14:paraId="582E2E27" w14:textId="77777777" w:rsidR="00D6403A" w:rsidRPr="00D6403A" w:rsidRDefault="00D6403A" w:rsidP="00AE4C75">
            <w:pPr>
              <w:pStyle w:val="Tabletext"/>
              <w:rPr>
                <w:lang w:val="en-US"/>
              </w:rPr>
            </w:pPr>
            <w:r w:rsidRPr="00D6403A">
              <w:rPr>
                <w:lang w:val="en-US"/>
              </w:rPr>
              <w:t>1,002</w:t>
            </w:r>
          </w:p>
        </w:tc>
      </w:tr>
      <w:tr w:rsidR="00D6403A" w:rsidRPr="00D6403A" w14:paraId="69EB75D1"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6033871A" w14:textId="77777777" w:rsidR="00D6403A" w:rsidRPr="00AE4C75" w:rsidRDefault="00D6403A" w:rsidP="00E6458F">
            <w:pPr>
              <w:pStyle w:val="Tabletext"/>
              <w:jc w:val="left"/>
              <w:rPr>
                <w:rFonts w:ascii="VIC" w:hAnsi="VIC" w:cs="VIC"/>
                <w:b/>
                <w:lang w:val="en-US"/>
              </w:rPr>
            </w:pPr>
            <w:r w:rsidRPr="00AE4C75">
              <w:rPr>
                <w:b/>
                <w:lang w:val="en-US"/>
              </w:rPr>
              <w:t>Healthscope</w:t>
            </w:r>
          </w:p>
        </w:tc>
        <w:tc>
          <w:tcPr>
            <w:cnfStyle w:val="000001000000" w:firstRow="0" w:lastRow="0" w:firstColumn="0" w:lastColumn="0" w:oddVBand="0" w:evenVBand="1" w:oddHBand="0" w:evenHBand="0" w:firstRowFirstColumn="0" w:firstRowLastColumn="0" w:lastRowFirstColumn="0" w:lastRowLastColumn="0"/>
            <w:tcW w:w="3033" w:type="dxa"/>
          </w:tcPr>
          <w:p w14:paraId="33D2C9FC" w14:textId="77777777" w:rsidR="00D6403A" w:rsidRPr="00D6403A" w:rsidRDefault="00D6403A" w:rsidP="00E6458F">
            <w:pPr>
              <w:pStyle w:val="Tabletext"/>
              <w:jc w:val="left"/>
              <w:rPr>
                <w:lang w:val="en-US"/>
              </w:rPr>
            </w:pPr>
            <w:r w:rsidRPr="00D6403A">
              <w:rPr>
                <w:lang w:val="en-US"/>
              </w:rPr>
              <w:t>Northpark Private Hospital</w:t>
            </w:r>
          </w:p>
        </w:tc>
        <w:tc>
          <w:tcPr>
            <w:cnfStyle w:val="000010000000" w:firstRow="0" w:lastRow="0" w:firstColumn="0" w:lastColumn="0" w:oddVBand="1" w:evenVBand="0" w:oddHBand="0" w:evenHBand="0" w:firstRowFirstColumn="0" w:firstRowLastColumn="0" w:lastRowFirstColumn="0" w:lastRowLastColumn="0"/>
            <w:tcW w:w="1531" w:type="dxa"/>
          </w:tcPr>
          <w:p w14:paraId="389BA4B6"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460A9DA1" w14:textId="77777777" w:rsidR="00D6403A" w:rsidRPr="00D6403A" w:rsidRDefault="00D6403A" w:rsidP="00AE4C75">
            <w:pPr>
              <w:pStyle w:val="Tabletext"/>
              <w:rPr>
                <w:lang w:val="en-US"/>
              </w:rPr>
            </w:pPr>
            <w:r w:rsidRPr="00D6403A">
              <w:rPr>
                <w:lang w:val="en-US"/>
              </w:rPr>
              <w:t>867</w:t>
            </w:r>
          </w:p>
        </w:tc>
        <w:tc>
          <w:tcPr>
            <w:cnfStyle w:val="000010000000" w:firstRow="0" w:lastRow="0" w:firstColumn="0" w:lastColumn="0" w:oddVBand="1" w:evenVBand="0" w:oddHBand="0" w:evenHBand="0" w:firstRowFirstColumn="0" w:firstRowLastColumn="0" w:lastRowFirstColumn="0" w:lastRowLastColumn="0"/>
            <w:tcW w:w="1304" w:type="dxa"/>
          </w:tcPr>
          <w:p w14:paraId="204DF638" w14:textId="77777777" w:rsidR="00D6403A" w:rsidRPr="00D6403A" w:rsidRDefault="00D6403A" w:rsidP="00AE4C75">
            <w:pPr>
              <w:pStyle w:val="Tabletext"/>
              <w:rPr>
                <w:lang w:val="en-US"/>
              </w:rPr>
            </w:pPr>
            <w:r w:rsidRPr="00D6403A">
              <w:rPr>
                <w:lang w:val="en-US"/>
              </w:rPr>
              <w:t>878</w:t>
            </w:r>
          </w:p>
        </w:tc>
      </w:tr>
      <w:tr w:rsidR="00D6403A" w:rsidRPr="00D6403A" w14:paraId="61A629C0"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913CAF7" w14:textId="77777777" w:rsidR="00D6403A" w:rsidRPr="00AE4C75" w:rsidRDefault="00D6403A" w:rsidP="00E6458F">
            <w:pPr>
              <w:pStyle w:val="Tabletext"/>
              <w:jc w:val="left"/>
              <w:rPr>
                <w:rFonts w:ascii="VIC" w:hAnsi="VIC" w:cs="VIC"/>
                <w:b/>
                <w:lang w:val="en-US"/>
              </w:rPr>
            </w:pPr>
            <w:r w:rsidRPr="00AE4C75">
              <w:rPr>
                <w:b/>
                <w:lang w:val="en-US"/>
              </w:rPr>
              <w:t>Ramsay Health Care</w:t>
            </w:r>
          </w:p>
        </w:tc>
        <w:tc>
          <w:tcPr>
            <w:cnfStyle w:val="000001000000" w:firstRow="0" w:lastRow="0" w:firstColumn="0" w:lastColumn="0" w:oddVBand="0" w:evenVBand="1" w:oddHBand="0" w:evenHBand="0" w:firstRowFirstColumn="0" w:firstRowLastColumn="0" w:lastRowFirstColumn="0" w:lastRowLastColumn="0"/>
            <w:tcW w:w="3033" w:type="dxa"/>
          </w:tcPr>
          <w:p w14:paraId="575E18C1" w14:textId="77777777" w:rsidR="00D6403A" w:rsidRPr="00D6403A" w:rsidRDefault="00D6403A" w:rsidP="00E6458F">
            <w:pPr>
              <w:pStyle w:val="Tabletext"/>
              <w:jc w:val="left"/>
              <w:rPr>
                <w:lang w:val="en-US"/>
              </w:rPr>
            </w:pPr>
            <w:r w:rsidRPr="00D6403A">
              <w:rPr>
                <w:lang w:val="en-US"/>
              </w:rPr>
              <w:t>Waverley Private Hospital</w:t>
            </w:r>
          </w:p>
        </w:tc>
        <w:tc>
          <w:tcPr>
            <w:cnfStyle w:val="000010000000" w:firstRow="0" w:lastRow="0" w:firstColumn="0" w:lastColumn="0" w:oddVBand="1" w:evenVBand="0" w:oddHBand="0" w:evenHBand="0" w:firstRowFirstColumn="0" w:firstRowLastColumn="0" w:lastRowFirstColumn="0" w:lastRowLastColumn="0"/>
            <w:tcW w:w="1531" w:type="dxa"/>
          </w:tcPr>
          <w:p w14:paraId="4FE898B3"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2936FD25" w14:textId="77777777" w:rsidR="00D6403A" w:rsidRPr="00D6403A" w:rsidRDefault="00D6403A" w:rsidP="00AE4C75">
            <w:pPr>
              <w:pStyle w:val="Tabletext"/>
              <w:rPr>
                <w:lang w:val="en-US"/>
              </w:rPr>
            </w:pPr>
            <w:r w:rsidRPr="00D6403A">
              <w:rPr>
                <w:lang w:val="en-US"/>
              </w:rPr>
              <w:t>865</w:t>
            </w:r>
          </w:p>
        </w:tc>
        <w:tc>
          <w:tcPr>
            <w:cnfStyle w:val="000010000000" w:firstRow="0" w:lastRow="0" w:firstColumn="0" w:lastColumn="0" w:oddVBand="1" w:evenVBand="0" w:oddHBand="0" w:evenHBand="0" w:firstRowFirstColumn="0" w:firstRowLastColumn="0" w:lastRowFirstColumn="0" w:lastRowLastColumn="0"/>
            <w:tcW w:w="1304" w:type="dxa"/>
          </w:tcPr>
          <w:p w14:paraId="3D9A406B" w14:textId="77777777" w:rsidR="00D6403A" w:rsidRPr="00D6403A" w:rsidRDefault="00D6403A" w:rsidP="00AE4C75">
            <w:pPr>
              <w:pStyle w:val="Tabletext"/>
              <w:rPr>
                <w:lang w:val="en-US"/>
              </w:rPr>
            </w:pPr>
            <w:r w:rsidRPr="00D6403A">
              <w:rPr>
                <w:lang w:val="en-US"/>
              </w:rPr>
              <w:t>870</w:t>
            </w:r>
          </w:p>
        </w:tc>
      </w:tr>
      <w:tr w:rsidR="00D6403A" w:rsidRPr="00D6403A" w14:paraId="736CDA89"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3E9CA5A2" w14:textId="77777777" w:rsidR="00D6403A" w:rsidRPr="00AE4C75" w:rsidRDefault="00D6403A" w:rsidP="00E6458F">
            <w:pPr>
              <w:pStyle w:val="Tabletext"/>
              <w:jc w:val="left"/>
              <w:rPr>
                <w:rFonts w:ascii="VIC" w:hAnsi="VIC" w:cs="VIC"/>
                <w:b/>
                <w:lang w:val="en-US"/>
              </w:rPr>
            </w:pPr>
            <w:r w:rsidRPr="00AE4C75">
              <w:rPr>
                <w:b/>
                <w:lang w:val="en-US"/>
              </w:rPr>
              <w:t>St John of God Health Care Inc.</w:t>
            </w:r>
          </w:p>
        </w:tc>
        <w:tc>
          <w:tcPr>
            <w:cnfStyle w:val="000001000000" w:firstRow="0" w:lastRow="0" w:firstColumn="0" w:lastColumn="0" w:oddVBand="0" w:evenVBand="1" w:oddHBand="0" w:evenHBand="0" w:firstRowFirstColumn="0" w:firstRowLastColumn="0" w:lastRowFirstColumn="0" w:lastRowLastColumn="0"/>
            <w:tcW w:w="3033" w:type="dxa"/>
          </w:tcPr>
          <w:p w14:paraId="1A8B0D7F" w14:textId="77777777" w:rsidR="00D6403A" w:rsidRPr="00D6403A" w:rsidRDefault="00D6403A" w:rsidP="00E6458F">
            <w:pPr>
              <w:pStyle w:val="Tabletext"/>
              <w:jc w:val="left"/>
              <w:rPr>
                <w:lang w:val="en-US"/>
              </w:rPr>
            </w:pPr>
            <w:r w:rsidRPr="00D6403A">
              <w:rPr>
                <w:lang w:val="en-US"/>
              </w:rPr>
              <w:t>St John of God Geelong Hospital</w:t>
            </w:r>
          </w:p>
        </w:tc>
        <w:tc>
          <w:tcPr>
            <w:cnfStyle w:val="000010000000" w:firstRow="0" w:lastRow="0" w:firstColumn="0" w:lastColumn="0" w:oddVBand="1" w:evenVBand="0" w:oddHBand="0" w:evenHBand="0" w:firstRowFirstColumn="0" w:firstRowLastColumn="0" w:lastRowFirstColumn="0" w:lastRowLastColumn="0"/>
            <w:tcW w:w="1531" w:type="dxa"/>
          </w:tcPr>
          <w:p w14:paraId="63918C37"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61BCF3F8" w14:textId="77777777" w:rsidR="00D6403A" w:rsidRPr="00D6403A" w:rsidRDefault="00D6403A" w:rsidP="00AE4C75">
            <w:pPr>
              <w:pStyle w:val="Tabletext"/>
              <w:rPr>
                <w:lang w:val="en-US"/>
              </w:rPr>
            </w:pPr>
            <w:r w:rsidRPr="00D6403A">
              <w:rPr>
                <w:lang w:val="en-US"/>
              </w:rPr>
              <w:t>653</w:t>
            </w:r>
          </w:p>
        </w:tc>
        <w:tc>
          <w:tcPr>
            <w:cnfStyle w:val="000010000000" w:firstRow="0" w:lastRow="0" w:firstColumn="0" w:lastColumn="0" w:oddVBand="1" w:evenVBand="0" w:oddHBand="0" w:evenHBand="0" w:firstRowFirstColumn="0" w:firstRowLastColumn="0" w:lastRowFirstColumn="0" w:lastRowLastColumn="0"/>
            <w:tcW w:w="1304" w:type="dxa"/>
          </w:tcPr>
          <w:p w14:paraId="28E850B4" w14:textId="77777777" w:rsidR="00D6403A" w:rsidRPr="00D6403A" w:rsidRDefault="00D6403A" w:rsidP="00AE4C75">
            <w:pPr>
              <w:pStyle w:val="Tabletext"/>
              <w:rPr>
                <w:lang w:val="en-US"/>
              </w:rPr>
            </w:pPr>
            <w:r w:rsidRPr="00D6403A">
              <w:rPr>
                <w:lang w:val="en-US"/>
              </w:rPr>
              <w:t>662</w:t>
            </w:r>
          </w:p>
        </w:tc>
      </w:tr>
      <w:tr w:rsidR="00D6403A" w:rsidRPr="00D6403A" w14:paraId="4396C5D4"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3208AF1C" w14:textId="77777777" w:rsidR="00D6403A" w:rsidRPr="00AE4C75" w:rsidRDefault="00D6403A" w:rsidP="00E6458F">
            <w:pPr>
              <w:pStyle w:val="Tabletext"/>
              <w:jc w:val="left"/>
              <w:rPr>
                <w:rFonts w:ascii="VIC" w:hAnsi="VIC" w:cs="VIC"/>
                <w:b/>
                <w:lang w:val="en-US"/>
              </w:rPr>
            </w:pPr>
            <w:r w:rsidRPr="00AE4C75">
              <w:rPr>
                <w:b/>
                <w:lang w:val="en-US"/>
              </w:rPr>
              <w:t>The Bays Hospital Group Inc.</w:t>
            </w:r>
          </w:p>
        </w:tc>
        <w:tc>
          <w:tcPr>
            <w:cnfStyle w:val="000001000000" w:firstRow="0" w:lastRow="0" w:firstColumn="0" w:lastColumn="0" w:oddVBand="0" w:evenVBand="1" w:oddHBand="0" w:evenHBand="0" w:firstRowFirstColumn="0" w:firstRowLastColumn="0" w:lastRowFirstColumn="0" w:lastRowLastColumn="0"/>
            <w:tcW w:w="3033" w:type="dxa"/>
          </w:tcPr>
          <w:p w14:paraId="12328A09" w14:textId="77777777" w:rsidR="00D6403A" w:rsidRPr="00D6403A" w:rsidRDefault="00D6403A" w:rsidP="00E6458F">
            <w:pPr>
              <w:pStyle w:val="Tabletext"/>
              <w:jc w:val="left"/>
              <w:rPr>
                <w:lang w:val="en-US"/>
              </w:rPr>
            </w:pPr>
            <w:r w:rsidRPr="00D6403A">
              <w:rPr>
                <w:lang w:val="en-US"/>
              </w:rPr>
              <w:t>Bays Hospital, The [Mornington]</w:t>
            </w:r>
          </w:p>
        </w:tc>
        <w:tc>
          <w:tcPr>
            <w:cnfStyle w:val="000010000000" w:firstRow="0" w:lastRow="0" w:firstColumn="0" w:lastColumn="0" w:oddVBand="1" w:evenVBand="0" w:oddHBand="0" w:evenHBand="0" w:firstRowFirstColumn="0" w:firstRowLastColumn="0" w:lastRowFirstColumn="0" w:lastRowLastColumn="0"/>
            <w:tcW w:w="1531" w:type="dxa"/>
          </w:tcPr>
          <w:p w14:paraId="37E62BF9"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1431CBD9" w14:textId="77777777" w:rsidR="00D6403A" w:rsidRPr="00D6403A" w:rsidRDefault="00D6403A" w:rsidP="00AE4C75">
            <w:pPr>
              <w:pStyle w:val="Tabletext"/>
              <w:rPr>
                <w:lang w:val="en-US"/>
              </w:rPr>
            </w:pPr>
            <w:r w:rsidRPr="00D6403A">
              <w:rPr>
                <w:lang w:val="en-US"/>
              </w:rPr>
              <w:t>576</w:t>
            </w:r>
          </w:p>
        </w:tc>
        <w:tc>
          <w:tcPr>
            <w:cnfStyle w:val="000010000000" w:firstRow="0" w:lastRow="0" w:firstColumn="0" w:lastColumn="0" w:oddVBand="1" w:evenVBand="0" w:oddHBand="0" w:evenHBand="0" w:firstRowFirstColumn="0" w:firstRowLastColumn="0" w:lastRowFirstColumn="0" w:lastRowLastColumn="0"/>
            <w:tcW w:w="1304" w:type="dxa"/>
          </w:tcPr>
          <w:p w14:paraId="5565F5E2" w14:textId="77777777" w:rsidR="00D6403A" w:rsidRPr="00D6403A" w:rsidRDefault="00D6403A" w:rsidP="00AE4C75">
            <w:pPr>
              <w:pStyle w:val="Tabletext"/>
              <w:rPr>
                <w:lang w:val="en-US"/>
              </w:rPr>
            </w:pPr>
            <w:r w:rsidRPr="00D6403A">
              <w:rPr>
                <w:lang w:val="en-US"/>
              </w:rPr>
              <w:t>579</w:t>
            </w:r>
          </w:p>
        </w:tc>
      </w:tr>
      <w:tr w:rsidR="00D6403A" w:rsidRPr="00D6403A" w14:paraId="0EF5025A"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A3030FB" w14:textId="77777777" w:rsidR="00D6403A" w:rsidRPr="00AE4C75" w:rsidRDefault="00D6403A" w:rsidP="00E6458F">
            <w:pPr>
              <w:pStyle w:val="Tabletext"/>
              <w:jc w:val="left"/>
              <w:rPr>
                <w:rFonts w:ascii="VIC" w:hAnsi="VIC" w:cs="VIC"/>
                <w:b/>
                <w:lang w:val="en-US"/>
              </w:rPr>
            </w:pPr>
            <w:r w:rsidRPr="00AE4C75">
              <w:rPr>
                <w:b/>
                <w:lang w:val="en-US"/>
              </w:rPr>
              <w:t>St John of God Health Care Inc.</w:t>
            </w:r>
          </w:p>
        </w:tc>
        <w:tc>
          <w:tcPr>
            <w:cnfStyle w:val="000001000000" w:firstRow="0" w:lastRow="0" w:firstColumn="0" w:lastColumn="0" w:oddVBand="0" w:evenVBand="1" w:oddHBand="0" w:evenHBand="0" w:firstRowFirstColumn="0" w:firstRowLastColumn="0" w:lastRowFirstColumn="0" w:lastRowLastColumn="0"/>
            <w:tcW w:w="3033" w:type="dxa"/>
          </w:tcPr>
          <w:p w14:paraId="75D3D44A" w14:textId="77777777" w:rsidR="00D6403A" w:rsidRPr="00D6403A" w:rsidRDefault="00D6403A" w:rsidP="00E6458F">
            <w:pPr>
              <w:pStyle w:val="Tabletext"/>
              <w:jc w:val="left"/>
              <w:rPr>
                <w:lang w:val="en-US"/>
              </w:rPr>
            </w:pPr>
            <w:r w:rsidRPr="00D6403A">
              <w:rPr>
                <w:lang w:val="en-US"/>
              </w:rPr>
              <w:t>St John of God Ballarat Hospital</w:t>
            </w:r>
          </w:p>
        </w:tc>
        <w:tc>
          <w:tcPr>
            <w:cnfStyle w:val="000010000000" w:firstRow="0" w:lastRow="0" w:firstColumn="0" w:lastColumn="0" w:oddVBand="1" w:evenVBand="0" w:oddHBand="0" w:evenHBand="0" w:firstRowFirstColumn="0" w:firstRowLastColumn="0" w:lastRowFirstColumn="0" w:lastRowLastColumn="0"/>
            <w:tcW w:w="1531" w:type="dxa"/>
          </w:tcPr>
          <w:p w14:paraId="5A84032F"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157AF5EC" w14:textId="77777777" w:rsidR="00D6403A" w:rsidRPr="00D6403A" w:rsidRDefault="00D6403A" w:rsidP="00AE4C75">
            <w:pPr>
              <w:pStyle w:val="Tabletext"/>
              <w:rPr>
                <w:lang w:val="en-US"/>
              </w:rPr>
            </w:pPr>
            <w:r w:rsidRPr="00D6403A">
              <w:rPr>
                <w:lang w:val="en-US"/>
              </w:rPr>
              <w:t>511</w:t>
            </w:r>
          </w:p>
        </w:tc>
        <w:tc>
          <w:tcPr>
            <w:cnfStyle w:val="000010000000" w:firstRow="0" w:lastRow="0" w:firstColumn="0" w:lastColumn="0" w:oddVBand="1" w:evenVBand="0" w:oddHBand="0" w:evenHBand="0" w:firstRowFirstColumn="0" w:firstRowLastColumn="0" w:lastRowFirstColumn="0" w:lastRowLastColumn="0"/>
            <w:tcW w:w="1304" w:type="dxa"/>
          </w:tcPr>
          <w:p w14:paraId="29391C07" w14:textId="77777777" w:rsidR="00D6403A" w:rsidRPr="00D6403A" w:rsidRDefault="00D6403A" w:rsidP="00AE4C75">
            <w:pPr>
              <w:pStyle w:val="Tabletext"/>
              <w:rPr>
                <w:lang w:val="en-US"/>
              </w:rPr>
            </w:pPr>
            <w:r w:rsidRPr="00D6403A">
              <w:rPr>
                <w:lang w:val="en-US"/>
              </w:rPr>
              <w:t>518</w:t>
            </w:r>
          </w:p>
        </w:tc>
      </w:tr>
      <w:tr w:rsidR="00D6403A" w:rsidRPr="00D6403A" w14:paraId="5ECFA68B"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6867E6F2" w14:textId="77777777" w:rsidR="00D6403A" w:rsidRPr="00AE4C75" w:rsidRDefault="00D6403A" w:rsidP="00E6458F">
            <w:pPr>
              <w:pStyle w:val="Tabletext"/>
              <w:jc w:val="left"/>
              <w:rPr>
                <w:rFonts w:ascii="VIC" w:hAnsi="VIC" w:cs="VIC"/>
                <w:b/>
                <w:lang w:val="en-US"/>
              </w:rPr>
            </w:pPr>
            <w:r w:rsidRPr="00AE4C75">
              <w:rPr>
                <w:b/>
                <w:lang w:val="en-US"/>
              </w:rPr>
              <w:t>Epworth HealthCare</w:t>
            </w:r>
          </w:p>
        </w:tc>
        <w:tc>
          <w:tcPr>
            <w:cnfStyle w:val="000001000000" w:firstRow="0" w:lastRow="0" w:firstColumn="0" w:lastColumn="0" w:oddVBand="0" w:evenVBand="1" w:oddHBand="0" w:evenHBand="0" w:firstRowFirstColumn="0" w:firstRowLastColumn="0" w:lastRowFirstColumn="0" w:lastRowLastColumn="0"/>
            <w:tcW w:w="3033" w:type="dxa"/>
          </w:tcPr>
          <w:p w14:paraId="7513D137" w14:textId="77777777" w:rsidR="00D6403A" w:rsidRPr="00D6403A" w:rsidRDefault="00D6403A" w:rsidP="00E6458F">
            <w:pPr>
              <w:pStyle w:val="Tabletext"/>
              <w:jc w:val="left"/>
              <w:rPr>
                <w:lang w:val="en-US"/>
              </w:rPr>
            </w:pPr>
            <w:r w:rsidRPr="00D6403A">
              <w:rPr>
                <w:lang w:val="en-US"/>
              </w:rPr>
              <w:t>Epworth Geelong</w:t>
            </w:r>
          </w:p>
        </w:tc>
        <w:tc>
          <w:tcPr>
            <w:cnfStyle w:val="000010000000" w:firstRow="0" w:lastRow="0" w:firstColumn="0" w:lastColumn="0" w:oddVBand="1" w:evenVBand="0" w:oddHBand="0" w:evenHBand="0" w:firstRowFirstColumn="0" w:firstRowLastColumn="0" w:lastRowFirstColumn="0" w:lastRowLastColumn="0"/>
            <w:tcW w:w="1531" w:type="dxa"/>
          </w:tcPr>
          <w:p w14:paraId="144E1C20"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1399B5E5" w14:textId="77777777" w:rsidR="00D6403A" w:rsidRPr="00D6403A" w:rsidRDefault="00D6403A" w:rsidP="00AE4C75">
            <w:pPr>
              <w:pStyle w:val="Tabletext"/>
              <w:rPr>
                <w:lang w:val="en-US"/>
              </w:rPr>
            </w:pPr>
            <w:r w:rsidRPr="00D6403A">
              <w:rPr>
                <w:lang w:val="en-US"/>
              </w:rPr>
              <w:t>486</w:t>
            </w:r>
          </w:p>
        </w:tc>
        <w:tc>
          <w:tcPr>
            <w:cnfStyle w:val="000010000000" w:firstRow="0" w:lastRow="0" w:firstColumn="0" w:lastColumn="0" w:oddVBand="1" w:evenVBand="0" w:oddHBand="0" w:evenHBand="0" w:firstRowFirstColumn="0" w:firstRowLastColumn="0" w:lastRowFirstColumn="0" w:lastRowLastColumn="0"/>
            <w:tcW w:w="1304" w:type="dxa"/>
          </w:tcPr>
          <w:p w14:paraId="0AE3C37F" w14:textId="77777777" w:rsidR="00D6403A" w:rsidRPr="00D6403A" w:rsidRDefault="00D6403A" w:rsidP="00AE4C75">
            <w:pPr>
              <w:pStyle w:val="Tabletext"/>
              <w:rPr>
                <w:lang w:val="en-US"/>
              </w:rPr>
            </w:pPr>
            <w:r w:rsidRPr="00D6403A">
              <w:rPr>
                <w:lang w:val="en-US"/>
              </w:rPr>
              <w:t>490</w:t>
            </w:r>
          </w:p>
        </w:tc>
      </w:tr>
      <w:tr w:rsidR="00D6403A" w:rsidRPr="00D6403A" w14:paraId="405B7289"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5F35004E" w14:textId="77777777" w:rsidR="00D6403A" w:rsidRPr="00AE4C75" w:rsidRDefault="00D6403A" w:rsidP="00E6458F">
            <w:pPr>
              <w:pStyle w:val="Tabletext"/>
              <w:jc w:val="left"/>
              <w:rPr>
                <w:rFonts w:ascii="VIC" w:hAnsi="VIC" w:cs="VIC"/>
                <w:b/>
                <w:lang w:val="en-US"/>
              </w:rPr>
            </w:pPr>
            <w:r w:rsidRPr="00AE4C75">
              <w:rPr>
                <w:b/>
                <w:lang w:val="en-US"/>
              </w:rPr>
              <w:t>Ramsay Health Care</w:t>
            </w:r>
          </w:p>
        </w:tc>
        <w:tc>
          <w:tcPr>
            <w:cnfStyle w:val="000001000000" w:firstRow="0" w:lastRow="0" w:firstColumn="0" w:lastColumn="0" w:oddVBand="0" w:evenVBand="1" w:oddHBand="0" w:evenHBand="0" w:firstRowFirstColumn="0" w:firstRowLastColumn="0" w:lastRowFirstColumn="0" w:lastRowLastColumn="0"/>
            <w:tcW w:w="3033" w:type="dxa"/>
          </w:tcPr>
          <w:p w14:paraId="0F599A10" w14:textId="77777777" w:rsidR="00D6403A" w:rsidRPr="00D6403A" w:rsidRDefault="00D6403A" w:rsidP="00E6458F">
            <w:pPr>
              <w:pStyle w:val="Tabletext"/>
              <w:jc w:val="left"/>
              <w:rPr>
                <w:lang w:val="en-US"/>
              </w:rPr>
            </w:pPr>
            <w:r w:rsidRPr="00D6403A">
              <w:rPr>
                <w:lang w:val="en-US"/>
              </w:rPr>
              <w:t>Peninsula Private Hospital</w:t>
            </w:r>
          </w:p>
        </w:tc>
        <w:tc>
          <w:tcPr>
            <w:cnfStyle w:val="000010000000" w:firstRow="0" w:lastRow="0" w:firstColumn="0" w:lastColumn="0" w:oddVBand="1" w:evenVBand="0" w:oddHBand="0" w:evenHBand="0" w:firstRowFirstColumn="0" w:firstRowLastColumn="0" w:lastRowFirstColumn="0" w:lastRowLastColumn="0"/>
            <w:tcW w:w="1531" w:type="dxa"/>
          </w:tcPr>
          <w:p w14:paraId="7B781699"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4907F407" w14:textId="77777777" w:rsidR="00D6403A" w:rsidRPr="00D6403A" w:rsidRDefault="00D6403A" w:rsidP="00AE4C75">
            <w:pPr>
              <w:pStyle w:val="Tabletext"/>
              <w:rPr>
                <w:lang w:val="en-US"/>
              </w:rPr>
            </w:pPr>
            <w:r w:rsidRPr="00D6403A">
              <w:rPr>
                <w:lang w:val="en-US"/>
              </w:rPr>
              <w:t>399</w:t>
            </w:r>
          </w:p>
        </w:tc>
        <w:tc>
          <w:tcPr>
            <w:cnfStyle w:val="000010000000" w:firstRow="0" w:lastRow="0" w:firstColumn="0" w:lastColumn="0" w:oddVBand="1" w:evenVBand="0" w:oddHBand="0" w:evenHBand="0" w:firstRowFirstColumn="0" w:firstRowLastColumn="0" w:lastRowFirstColumn="0" w:lastRowLastColumn="0"/>
            <w:tcW w:w="1304" w:type="dxa"/>
          </w:tcPr>
          <w:p w14:paraId="5129818A" w14:textId="77777777" w:rsidR="00D6403A" w:rsidRPr="00D6403A" w:rsidRDefault="00D6403A" w:rsidP="00AE4C75">
            <w:pPr>
              <w:pStyle w:val="Tabletext"/>
              <w:rPr>
                <w:lang w:val="en-US"/>
              </w:rPr>
            </w:pPr>
            <w:r w:rsidRPr="00D6403A">
              <w:rPr>
                <w:lang w:val="en-US"/>
              </w:rPr>
              <w:t>401</w:t>
            </w:r>
          </w:p>
        </w:tc>
      </w:tr>
      <w:tr w:rsidR="00D6403A" w:rsidRPr="00D6403A" w14:paraId="214588D1"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F45BEB9" w14:textId="77777777" w:rsidR="00D6403A" w:rsidRPr="00AE4C75" w:rsidRDefault="00D6403A" w:rsidP="00E6458F">
            <w:pPr>
              <w:pStyle w:val="Tabletext"/>
              <w:jc w:val="left"/>
              <w:rPr>
                <w:rFonts w:ascii="VIC" w:hAnsi="VIC" w:cs="VIC"/>
                <w:b/>
                <w:lang w:val="en-US"/>
              </w:rPr>
            </w:pPr>
            <w:r w:rsidRPr="00AE4C75">
              <w:rPr>
                <w:b/>
                <w:lang w:val="en-US"/>
              </w:rPr>
              <w:t>St John of God Health Care Inc.</w:t>
            </w:r>
          </w:p>
        </w:tc>
        <w:tc>
          <w:tcPr>
            <w:cnfStyle w:val="000001000000" w:firstRow="0" w:lastRow="0" w:firstColumn="0" w:lastColumn="0" w:oddVBand="0" w:evenVBand="1" w:oddHBand="0" w:evenHBand="0" w:firstRowFirstColumn="0" w:firstRowLastColumn="0" w:lastRowFirstColumn="0" w:lastRowLastColumn="0"/>
            <w:tcW w:w="3033" w:type="dxa"/>
          </w:tcPr>
          <w:p w14:paraId="01B28798" w14:textId="77777777" w:rsidR="00D6403A" w:rsidRPr="00D6403A" w:rsidRDefault="00D6403A" w:rsidP="00E6458F">
            <w:pPr>
              <w:pStyle w:val="Tabletext"/>
              <w:jc w:val="left"/>
              <w:rPr>
                <w:lang w:val="en-US"/>
              </w:rPr>
            </w:pPr>
            <w:r w:rsidRPr="00D6403A">
              <w:rPr>
                <w:lang w:val="en-US"/>
              </w:rPr>
              <w:t>St John of God Bendigo Hospital</w:t>
            </w:r>
          </w:p>
        </w:tc>
        <w:tc>
          <w:tcPr>
            <w:cnfStyle w:val="000010000000" w:firstRow="0" w:lastRow="0" w:firstColumn="0" w:lastColumn="0" w:oddVBand="1" w:evenVBand="0" w:oddHBand="0" w:evenHBand="0" w:firstRowFirstColumn="0" w:firstRowLastColumn="0" w:lastRowFirstColumn="0" w:lastRowLastColumn="0"/>
            <w:tcW w:w="1531" w:type="dxa"/>
          </w:tcPr>
          <w:p w14:paraId="3908712A" w14:textId="77777777" w:rsidR="00D6403A" w:rsidRPr="00D6403A" w:rsidRDefault="00D6403A" w:rsidP="00AE4C75">
            <w:pPr>
              <w:pStyle w:val="Tabletext"/>
              <w:rPr>
                <w:lang w:val="en-US"/>
              </w:rPr>
            </w:pPr>
            <w:r w:rsidRPr="00D6403A">
              <w:rPr>
                <w:lang w:val="en-US"/>
              </w:rPr>
              <w:t>Private</w:t>
            </w:r>
          </w:p>
        </w:tc>
        <w:tc>
          <w:tcPr>
            <w:cnfStyle w:val="000001000000" w:firstRow="0" w:lastRow="0" w:firstColumn="0" w:lastColumn="0" w:oddVBand="0" w:evenVBand="1" w:oddHBand="0" w:evenHBand="0" w:firstRowFirstColumn="0" w:firstRowLastColumn="0" w:lastRowFirstColumn="0" w:lastRowLastColumn="0"/>
            <w:tcW w:w="1304" w:type="dxa"/>
          </w:tcPr>
          <w:p w14:paraId="13EA32C7" w14:textId="77777777" w:rsidR="00D6403A" w:rsidRPr="00D6403A" w:rsidRDefault="00D6403A" w:rsidP="00AE4C75">
            <w:pPr>
              <w:pStyle w:val="Tabletext"/>
              <w:rPr>
                <w:lang w:val="en-US"/>
              </w:rPr>
            </w:pPr>
            <w:r w:rsidRPr="00D6403A">
              <w:rPr>
                <w:lang w:val="en-US"/>
              </w:rPr>
              <w:t>320</w:t>
            </w:r>
          </w:p>
        </w:tc>
        <w:tc>
          <w:tcPr>
            <w:cnfStyle w:val="000010000000" w:firstRow="0" w:lastRow="0" w:firstColumn="0" w:lastColumn="0" w:oddVBand="1" w:evenVBand="0" w:oddHBand="0" w:evenHBand="0" w:firstRowFirstColumn="0" w:firstRowLastColumn="0" w:lastRowFirstColumn="0" w:lastRowLastColumn="0"/>
            <w:tcW w:w="1304" w:type="dxa"/>
          </w:tcPr>
          <w:p w14:paraId="1AAAB098" w14:textId="77777777" w:rsidR="00D6403A" w:rsidRPr="00D6403A" w:rsidRDefault="00D6403A" w:rsidP="00AE4C75">
            <w:pPr>
              <w:pStyle w:val="Tabletext"/>
              <w:rPr>
                <w:lang w:val="en-US"/>
              </w:rPr>
            </w:pPr>
            <w:r w:rsidRPr="00D6403A">
              <w:rPr>
                <w:lang w:val="en-US"/>
              </w:rPr>
              <w:t>323</w:t>
            </w:r>
          </w:p>
        </w:tc>
      </w:tr>
      <w:tr w:rsidR="00D6403A" w:rsidRPr="00D6403A" w14:paraId="3BE7A5A7"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039E8C5A" w14:textId="77777777" w:rsidR="00D6403A" w:rsidRPr="00AE4C75" w:rsidRDefault="00D6403A" w:rsidP="00E6458F">
            <w:pPr>
              <w:pStyle w:val="Tabletext"/>
              <w:jc w:val="left"/>
              <w:rPr>
                <w:rFonts w:ascii="VIC" w:hAnsi="VIC" w:cs="VIC"/>
                <w:b/>
                <w:lang w:val="en-US"/>
              </w:rPr>
            </w:pPr>
            <w:r w:rsidRPr="00AE4C75">
              <w:rPr>
                <w:b/>
                <w:lang w:val="en-US"/>
              </w:rPr>
              <w:t>Total public</w:t>
            </w:r>
          </w:p>
        </w:tc>
        <w:tc>
          <w:tcPr>
            <w:cnfStyle w:val="000001000000" w:firstRow="0" w:lastRow="0" w:firstColumn="0" w:lastColumn="0" w:oddVBand="0" w:evenVBand="1" w:oddHBand="0" w:evenHBand="0" w:firstRowFirstColumn="0" w:firstRowLastColumn="0" w:lastRowFirstColumn="0" w:lastRowLastColumn="0"/>
            <w:tcW w:w="3033" w:type="dxa"/>
          </w:tcPr>
          <w:p w14:paraId="747B04AD" w14:textId="77777777" w:rsidR="00D6403A" w:rsidRPr="00D6403A" w:rsidRDefault="00D6403A" w:rsidP="00E6458F">
            <w:pPr>
              <w:autoSpaceDE w:val="0"/>
              <w:autoSpaceDN w:val="0"/>
              <w:adjustRightInd w:val="0"/>
              <w:spacing w:before="0" w:after="0" w:line="240" w:lineRule="auto"/>
              <w:jc w:val="left"/>
              <w:rPr>
                <w:rFonts w:ascii="VIC" w:hAnsi="VIC"/>
                <w:sz w:val="24"/>
                <w:szCs w:val="24"/>
                <w:lang w:val="en-US"/>
              </w:rPr>
            </w:pPr>
          </w:p>
        </w:tc>
        <w:tc>
          <w:tcPr>
            <w:cnfStyle w:val="000010000000" w:firstRow="0" w:lastRow="0" w:firstColumn="0" w:lastColumn="0" w:oddVBand="1" w:evenVBand="0" w:oddHBand="0" w:evenHBand="0" w:firstRowFirstColumn="0" w:firstRowLastColumn="0" w:lastRowFirstColumn="0" w:lastRowLastColumn="0"/>
            <w:tcW w:w="1531" w:type="dxa"/>
          </w:tcPr>
          <w:p w14:paraId="2E6F5297" w14:textId="77777777" w:rsidR="00D6403A" w:rsidRPr="00D6403A" w:rsidRDefault="00D6403A"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304" w:type="dxa"/>
          </w:tcPr>
          <w:p w14:paraId="7FC03A80" w14:textId="77777777" w:rsidR="00D6403A" w:rsidRPr="00D6403A" w:rsidRDefault="00D6403A" w:rsidP="00AE4C75">
            <w:pPr>
              <w:pStyle w:val="Tabletext"/>
              <w:rPr>
                <w:lang w:val="en-US"/>
              </w:rPr>
            </w:pPr>
            <w:r w:rsidRPr="00D6403A">
              <w:rPr>
                <w:lang w:val="en-US"/>
              </w:rPr>
              <w:t>61,688</w:t>
            </w:r>
          </w:p>
        </w:tc>
        <w:tc>
          <w:tcPr>
            <w:cnfStyle w:val="000010000000" w:firstRow="0" w:lastRow="0" w:firstColumn="0" w:lastColumn="0" w:oddVBand="1" w:evenVBand="0" w:oddHBand="0" w:evenHBand="0" w:firstRowFirstColumn="0" w:firstRowLastColumn="0" w:lastRowFirstColumn="0" w:lastRowLastColumn="0"/>
            <w:tcW w:w="1304" w:type="dxa"/>
          </w:tcPr>
          <w:p w14:paraId="0C9143ED" w14:textId="77777777" w:rsidR="00D6403A" w:rsidRPr="00D6403A" w:rsidRDefault="00D6403A" w:rsidP="00AE4C75">
            <w:pPr>
              <w:pStyle w:val="Tabletext"/>
              <w:rPr>
                <w:lang w:val="en-US"/>
              </w:rPr>
            </w:pPr>
            <w:r w:rsidRPr="00D6403A">
              <w:rPr>
                <w:lang w:val="en-US"/>
              </w:rPr>
              <w:t>62,550</w:t>
            </w:r>
          </w:p>
        </w:tc>
      </w:tr>
      <w:tr w:rsidR="00D6403A" w:rsidRPr="00D6403A" w14:paraId="749D942C"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40CAC73E" w14:textId="77777777" w:rsidR="00D6403A" w:rsidRPr="00AE4C75" w:rsidRDefault="00D6403A" w:rsidP="00E6458F">
            <w:pPr>
              <w:pStyle w:val="Tabletext"/>
              <w:jc w:val="left"/>
              <w:rPr>
                <w:rFonts w:ascii="VIC" w:hAnsi="VIC" w:cs="VIC"/>
                <w:b/>
                <w:lang w:val="en-US"/>
              </w:rPr>
            </w:pPr>
            <w:r w:rsidRPr="00AE4C75">
              <w:rPr>
                <w:b/>
                <w:lang w:val="en-US"/>
              </w:rPr>
              <w:t>Total private</w:t>
            </w:r>
          </w:p>
        </w:tc>
        <w:tc>
          <w:tcPr>
            <w:cnfStyle w:val="000001000000" w:firstRow="0" w:lastRow="0" w:firstColumn="0" w:lastColumn="0" w:oddVBand="0" w:evenVBand="1" w:oddHBand="0" w:evenHBand="0" w:firstRowFirstColumn="0" w:firstRowLastColumn="0" w:lastRowFirstColumn="0" w:lastRowLastColumn="0"/>
            <w:tcW w:w="3033" w:type="dxa"/>
          </w:tcPr>
          <w:p w14:paraId="3E4A6B9E" w14:textId="77777777" w:rsidR="00D6403A" w:rsidRPr="00D6403A" w:rsidRDefault="00D6403A" w:rsidP="00E6458F">
            <w:pPr>
              <w:autoSpaceDE w:val="0"/>
              <w:autoSpaceDN w:val="0"/>
              <w:adjustRightInd w:val="0"/>
              <w:spacing w:before="0" w:after="0" w:line="240" w:lineRule="auto"/>
              <w:jc w:val="left"/>
              <w:rPr>
                <w:rFonts w:ascii="VIC" w:hAnsi="VIC"/>
                <w:sz w:val="24"/>
                <w:szCs w:val="24"/>
                <w:lang w:val="en-US"/>
              </w:rPr>
            </w:pPr>
          </w:p>
        </w:tc>
        <w:tc>
          <w:tcPr>
            <w:cnfStyle w:val="000010000000" w:firstRow="0" w:lastRow="0" w:firstColumn="0" w:lastColumn="0" w:oddVBand="1" w:evenVBand="0" w:oddHBand="0" w:evenHBand="0" w:firstRowFirstColumn="0" w:firstRowLastColumn="0" w:lastRowFirstColumn="0" w:lastRowLastColumn="0"/>
            <w:tcW w:w="1531" w:type="dxa"/>
          </w:tcPr>
          <w:p w14:paraId="480F5AEC" w14:textId="77777777" w:rsidR="00D6403A" w:rsidRPr="00D6403A" w:rsidRDefault="00D6403A"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304" w:type="dxa"/>
          </w:tcPr>
          <w:p w14:paraId="101FF75D" w14:textId="77777777" w:rsidR="00D6403A" w:rsidRPr="00D6403A" w:rsidRDefault="00D6403A" w:rsidP="00AE4C75">
            <w:pPr>
              <w:pStyle w:val="Tabletext"/>
              <w:rPr>
                <w:lang w:val="en-US"/>
              </w:rPr>
            </w:pPr>
            <w:r w:rsidRPr="00D6403A">
              <w:rPr>
                <w:lang w:val="en-US"/>
              </w:rPr>
              <w:t>18,245</w:t>
            </w:r>
          </w:p>
        </w:tc>
        <w:tc>
          <w:tcPr>
            <w:cnfStyle w:val="000010000000" w:firstRow="0" w:lastRow="0" w:firstColumn="0" w:lastColumn="0" w:oddVBand="1" w:evenVBand="0" w:oddHBand="0" w:evenHBand="0" w:firstRowFirstColumn="0" w:firstRowLastColumn="0" w:lastRowFirstColumn="0" w:lastRowLastColumn="0"/>
            <w:tcW w:w="1304" w:type="dxa"/>
          </w:tcPr>
          <w:p w14:paraId="35616647" w14:textId="77777777" w:rsidR="00D6403A" w:rsidRPr="00D6403A" w:rsidRDefault="00D6403A" w:rsidP="00AE4C75">
            <w:pPr>
              <w:pStyle w:val="Tabletext"/>
              <w:rPr>
                <w:lang w:val="en-US"/>
              </w:rPr>
            </w:pPr>
            <w:r w:rsidRPr="00D6403A">
              <w:rPr>
                <w:lang w:val="en-US"/>
              </w:rPr>
              <w:t>18,495</w:t>
            </w:r>
          </w:p>
        </w:tc>
      </w:tr>
      <w:tr w:rsidR="00D6403A" w:rsidRPr="00D6403A" w14:paraId="0310DCAE"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5C4A48C7" w14:textId="77777777" w:rsidR="00D6403A" w:rsidRPr="00AE4C75" w:rsidRDefault="00D6403A" w:rsidP="00E6458F">
            <w:pPr>
              <w:pStyle w:val="Tabletext"/>
              <w:jc w:val="left"/>
              <w:rPr>
                <w:rFonts w:ascii="VIC" w:hAnsi="VIC" w:cs="VIC"/>
                <w:b/>
                <w:lang w:val="en-US"/>
              </w:rPr>
            </w:pPr>
            <w:r w:rsidRPr="00AE4C75">
              <w:rPr>
                <w:b/>
                <w:lang w:val="en-US"/>
              </w:rPr>
              <w:t>Private home births</w:t>
            </w:r>
          </w:p>
        </w:tc>
        <w:tc>
          <w:tcPr>
            <w:cnfStyle w:val="000001000000" w:firstRow="0" w:lastRow="0" w:firstColumn="0" w:lastColumn="0" w:oddVBand="0" w:evenVBand="1" w:oddHBand="0" w:evenHBand="0" w:firstRowFirstColumn="0" w:firstRowLastColumn="0" w:lastRowFirstColumn="0" w:lastRowLastColumn="0"/>
            <w:tcW w:w="3033" w:type="dxa"/>
          </w:tcPr>
          <w:p w14:paraId="28D6F09B" w14:textId="77777777" w:rsidR="00D6403A" w:rsidRPr="00D6403A" w:rsidRDefault="00D6403A" w:rsidP="00E6458F">
            <w:pPr>
              <w:autoSpaceDE w:val="0"/>
              <w:autoSpaceDN w:val="0"/>
              <w:adjustRightInd w:val="0"/>
              <w:spacing w:before="0" w:after="0" w:line="240" w:lineRule="auto"/>
              <w:jc w:val="left"/>
              <w:rPr>
                <w:rFonts w:ascii="VIC" w:hAnsi="VIC"/>
                <w:sz w:val="24"/>
                <w:szCs w:val="24"/>
                <w:lang w:val="en-US"/>
              </w:rPr>
            </w:pPr>
          </w:p>
        </w:tc>
        <w:tc>
          <w:tcPr>
            <w:cnfStyle w:val="000010000000" w:firstRow="0" w:lastRow="0" w:firstColumn="0" w:lastColumn="0" w:oddVBand="1" w:evenVBand="0" w:oddHBand="0" w:evenHBand="0" w:firstRowFirstColumn="0" w:firstRowLastColumn="0" w:lastRowFirstColumn="0" w:lastRowLastColumn="0"/>
            <w:tcW w:w="1531" w:type="dxa"/>
          </w:tcPr>
          <w:p w14:paraId="58D93CE1" w14:textId="77777777" w:rsidR="00D6403A" w:rsidRPr="00D6403A" w:rsidRDefault="00D6403A"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304" w:type="dxa"/>
          </w:tcPr>
          <w:p w14:paraId="21016406" w14:textId="77777777" w:rsidR="00D6403A" w:rsidRPr="00D6403A" w:rsidRDefault="00D6403A" w:rsidP="00AE4C75">
            <w:pPr>
              <w:pStyle w:val="Tabletext"/>
              <w:rPr>
                <w:lang w:val="en-US"/>
              </w:rPr>
            </w:pPr>
            <w:r w:rsidRPr="00D6403A">
              <w:rPr>
                <w:lang w:val="en-US"/>
              </w:rPr>
              <w:t>386</w:t>
            </w:r>
          </w:p>
        </w:tc>
        <w:tc>
          <w:tcPr>
            <w:cnfStyle w:val="000010000000" w:firstRow="0" w:lastRow="0" w:firstColumn="0" w:lastColumn="0" w:oddVBand="1" w:evenVBand="0" w:oddHBand="0" w:evenHBand="0" w:firstRowFirstColumn="0" w:firstRowLastColumn="0" w:lastRowFirstColumn="0" w:lastRowLastColumn="0"/>
            <w:tcW w:w="1304" w:type="dxa"/>
          </w:tcPr>
          <w:p w14:paraId="4D66FD51" w14:textId="77777777" w:rsidR="00D6403A" w:rsidRPr="00D6403A" w:rsidRDefault="00D6403A" w:rsidP="00AE4C75">
            <w:pPr>
              <w:pStyle w:val="Tabletext"/>
              <w:rPr>
                <w:lang w:val="en-US"/>
              </w:rPr>
            </w:pPr>
            <w:r w:rsidRPr="00D6403A">
              <w:rPr>
                <w:lang w:val="en-US"/>
              </w:rPr>
              <w:t>386</w:t>
            </w:r>
          </w:p>
        </w:tc>
      </w:tr>
      <w:tr w:rsidR="00D6403A" w:rsidRPr="00D6403A" w14:paraId="6F0E9F2E"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38EEA0EE" w14:textId="77777777" w:rsidR="00D6403A" w:rsidRPr="00D6403A" w:rsidRDefault="00D6403A" w:rsidP="00E6458F">
            <w:pPr>
              <w:pStyle w:val="Tabletext"/>
              <w:jc w:val="left"/>
              <w:rPr>
                <w:rFonts w:ascii="VIC" w:hAnsi="VIC" w:cs="VIC"/>
                <w:lang w:val="en-US"/>
              </w:rPr>
            </w:pPr>
            <w:r w:rsidRPr="00AE4C75">
              <w:rPr>
                <w:b/>
                <w:lang w:val="en-US"/>
              </w:rPr>
              <w:t>Free births</w:t>
            </w:r>
            <w:r w:rsidRPr="00D6403A">
              <w:rPr>
                <w:vertAlign w:val="superscript"/>
                <w:lang w:val="en-US"/>
              </w:rPr>
              <w:t>b</w:t>
            </w:r>
          </w:p>
        </w:tc>
        <w:tc>
          <w:tcPr>
            <w:cnfStyle w:val="000001000000" w:firstRow="0" w:lastRow="0" w:firstColumn="0" w:lastColumn="0" w:oddVBand="0" w:evenVBand="1" w:oddHBand="0" w:evenHBand="0" w:firstRowFirstColumn="0" w:firstRowLastColumn="0" w:lastRowFirstColumn="0" w:lastRowLastColumn="0"/>
            <w:tcW w:w="3033" w:type="dxa"/>
          </w:tcPr>
          <w:p w14:paraId="35A09A43" w14:textId="77777777" w:rsidR="00D6403A" w:rsidRPr="00D6403A" w:rsidRDefault="00D6403A" w:rsidP="00E6458F">
            <w:pPr>
              <w:autoSpaceDE w:val="0"/>
              <w:autoSpaceDN w:val="0"/>
              <w:adjustRightInd w:val="0"/>
              <w:spacing w:before="0" w:after="0" w:line="240" w:lineRule="auto"/>
              <w:jc w:val="left"/>
              <w:rPr>
                <w:rFonts w:ascii="VIC" w:hAnsi="VIC"/>
                <w:sz w:val="24"/>
                <w:szCs w:val="24"/>
                <w:lang w:val="en-US"/>
              </w:rPr>
            </w:pPr>
          </w:p>
        </w:tc>
        <w:tc>
          <w:tcPr>
            <w:cnfStyle w:val="000010000000" w:firstRow="0" w:lastRow="0" w:firstColumn="0" w:lastColumn="0" w:oddVBand="1" w:evenVBand="0" w:oddHBand="0" w:evenHBand="0" w:firstRowFirstColumn="0" w:firstRowLastColumn="0" w:lastRowFirstColumn="0" w:lastRowLastColumn="0"/>
            <w:tcW w:w="1531" w:type="dxa"/>
          </w:tcPr>
          <w:p w14:paraId="6D4AD7FA" w14:textId="77777777" w:rsidR="00D6403A" w:rsidRPr="00D6403A" w:rsidRDefault="00D6403A" w:rsidP="00AE4C75">
            <w:pPr>
              <w:pStyle w:val="Tabletext"/>
              <w:rPr>
                <w:lang w:val="en-US"/>
              </w:rPr>
            </w:pPr>
            <w:r w:rsidRPr="00D6403A">
              <w:rPr>
                <w:lang w:val="en-US"/>
              </w:rPr>
              <w:t>NA</w:t>
            </w:r>
          </w:p>
        </w:tc>
        <w:tc>
          <w:tcPr>
            <w:cnfStyle w:val="000001000000" w:firstRow="0" w:lastRow="0" w:firstColumn="0" w:lastColumn="0" w:oddVBand="0" w:evenVBand="1" w:oddHBand="0" w:evenHBand="0" w:firstRowFirstColumn="0" w:firstRowLastColumn="0" w:lastRowFirstColumn="0" w:lastRowLastColumn="0"/>
            <w:tcW w:w="1304" w:type="dxa"/>
          </w:tcPr>
          <w:p w14:paraId="6B4C7147" w14:textId="77777777" w:rsidR="00D6403A" w:rsidRPr="00D6403A" w:rsidRDefault="00D6403A" w:rsidP="00AE4C75">
            <w:pPr>
              <w:pStyle w:val="Tabletext"/>
              <w:rPr>
                <w:lang w:val="en-US"/>
              </w:rPr>
            </w:pPr>
            <w:r w:rsidRPr="00D6403A">
              <w:rPr>
                <w:lang w:val="en-US"/>
              </w:rPr>
              <w:t>3</w:t>
            </w:r>
          </w:p>
        </w:tc>
        <w:tc>
          <w:tcPr>
            <w:cnfStyle w:val="000010000000" w:firstRow="0" w:lastRow="0" w:firstColumn="0" w:lastColumn="0" w:oddVBand="1" w:evenVBand="0" w:oddHBand="0" w:evenHBand="0" w:firstRowFirstColumn="0" w:firstRowLastColumn="0" w:lastRowFirstColumn="0" w:lastRowLastColumn="0"/>
            <w:tcW w:w="1304" w:type="dxa"/>
          </w:tcPr>
          <w:p w14:paraId="6EA29A84" w14:textId="77777777" w:rsidR="00D6403A" w:rsidRPr="00D6403A" w:rsidRDefault="00D6403A" w:rsidP="00AE4C75">
            <w:pPr>
              <w:pStyle w:val="Tabletext"/>
              <w:rPr>
                <w:lang w:val="en-US"/>
              </w:rPr>
            </w:pPr>
            <w:r w:rsidRPr="00D6403A">
              <w:rPr>
                <w:lang w:val="en-US"/>
              </w:rPr>
              <w:t>3</w:t>
            </w:r>
          </w:p>
        </w:tc>
      </w:tr>
      <w:tr w:rsidR="00D6403A" w:rsidRPr="00D6403A" w14:paraId="4DDDD502" w14:textId="77777777" w:rsidTr="00E6458F">
        <w:trPr>
          <w:trHeight w:val="283"/>
        </w:trPr>
        <w:tc>
          <w:tcPr>
            <w:cnfStyle w:val="000010000000" w:firstRow="0" w:lastRow="0" w:firstColumn="0" w:lastColumn="0" w:oddVBand="1" w:evenVBand="0" w:oddHBand="0" w:evenHBand="0" w:firstRowFirstColumn="0" w:firstRowLastColumn="0" w:lastRowFirstColumn="0" w:lastRowLastColumn="0"/>
            <w:tcW w:w="3033" w:type="dxa"/>
          </w:tcPr>
          <w:p w14:paraId="1EFD90D6" w14:textId="77777777" w:rsidR="00D6403A" w:rsidRPr="00AE4C75" w:rsidRDefault="00D6403A" w:rsidP="00E6458F">
            <w:pPr>
              <w:pStyle w:val="Tabletext"/>
              <w:jc w:val="left"/>
              <w:rPr>
                <w:rFonts w:ascii="VIC" w:hAnsi="VIC" w:cs="VIC"/>
                <w:b/>
                <w:lang w:val="en-US"/>
              </w:rPr>
            </w:pPr>
            <w:r w:rsidRPr="00AE4C75">
              <w:rPr>
                <w:b/>
                <w:lang w:val="en-US"/>
              </w:rPr>
              <w:t>Statewide total</w:t>
            </w:r>
          </w:p>
        </w:tc>
        <w:tc>
          <w:tcPr>
            <w:cnfStyle w:val="000001000000" w:firstRow="0" w:lastRow="0" w:firstColumn="0" w:lastColumn="0" w:oddVBand="0" w:evenVBand="1" w:oddHBand="0" w:evenHBand="0" w:firstRowFirstColumn="0" w:firstRowLastColumn="0" w:lastRowFirstColumn="0" w:lastRowLastColumn="0"/>
            <w:tcW w:w="3033" w:type="dxa"/>
          </w:tcPr>
          <w:p w14:paraId="00AA3597" w14:textId="77777777" w:rsidR="00D6403A" w:rsidRPr="00D6403A" w:rsidRDefault="00D6403A" w:rsidP="00E6458F">
            <w:pPr>
              <w:autoSpaceDE w:val="0"/>
              <w:autoSpaceDN w:val="0"/>
              <w:adjustRightInd w:val="0"/>
              <w:spacing w:before="0" w:after="0" w:line="240" w:lineRule="auto"/>
              <w:jc w:val="left"/>
              <w:rPr>
                <w:rFonts w:ascii="VIC" w:hAnsi="VIC"/>
                <w:sz w:val="24"/>
                <w:szCs w:val="24"/>
                <w:lang w:val="en-US"/>
              </w:rPr>
            </w:pPr>
          </w:p>
        </w:tc>
        <w:tc>
          <w:tcPr>
            <w:cnfStyle w:val="000010000000" w:firstRow="0" w:lastRow="0" w:firstColumn="0" w:lastColumn="0" w:oddVBand="1" w:evenVBand="0" w:oddHBand="0" w:evenHBand="0" w:firstRowFirstColumn="0" w:firstRowLastColumn="0" w:lastRowFirstColumn="0" w:lastRowLastColumn="0"/>
            <w:tcW w:w="1531" w:type="dxa"/>
          </w:tcPr>
          <w:p w14:paraId="1CD69F26" w14:textId="77777777" w:rsidR="00D6403A" w:rsidRPr="00AE4C75" w:rsidRDefault="00D6403A" w:rsidP="00AE4C75">
            <w:pPr>
              <w:pStyle w:val="Tabletext"/>
              <w:rPr>
                <w:rFonts w:ascii="VIC" w:hAnsi="VIC" w:cs="VIC"/>
                <w:b/>
                <w:lang w:val="en-US"/>
              </w:rPr>
            </w:pPr>
            <w:r w:rsidRPr="00AE4C75">
              <w:rPr>
                <w:b/>
                <w:lang w:val="en-US"/>
              </w:rPr>
              <w:t>NA</w:t>
            </w:r>
          </w:p>
        </w:tc>
        <w:tc>
          <w:tcPr>
            <w:cnfStyle w:val="000001000000" w:firstRow="0" w:lastRow="0" w:firstColumn="0" w:lastColumn="0" w:oddVBand="0" w:evenVBand="1" w:oddHBand="0" w:evenHBand="0" w:firstRowFirstColumn="0" w:firstRowLastColumn="0" w:lastRowFirstColumn="0" w:lastRowLastColumn="0"/>
            <w:tcW w:w="1304" w:type="dxa"/>
          </w:tcPr>
          <w:p w14:paraId="70A43E9C" w14:textId="77777777" w:rsidR="00D6403A" w:rsidRPr="00AE4C75" w:rsidRDefault="00D6403A" w:rsidP="00AE4C75">
            <w:pPr>
              <w:pStyle w:val="Tabletext"/>
              <w:rPr>
                <w:rFonts w:ascii="VIC" w:hAnsi="VIC" w:cs="VIC"/>
                <w:b/>
                <w:lang w:val="en-US"/>
              </w:rPr>
            </w:pPr>
            <w:r w:rsidRPr="00AE4C75">
              <w:rPr>
                <w:b/>
                <w:lang w:val="en-US"/>
              </w:rPr>
              <w:t>80,322</w:t>
            </w:r>
          </w:p>
        </w:tc>
        <w:tc>
          <w:tcPr>
            <w:cnfStyle w:val="000010000000" w:firstRow="0" w:lastRow="0" w:firstColumn="0" w:lastColumn="0" w:oddVBand="1" w:evenVBand="0" w:oddHBand="0" w:evenHBand="0" w:firstRowFirstColumn="0" w:firstRowLastColumn="0" w:lastRowFirstColumn="0" w:lastRowLastColumn="0"/>
            <w:tcW w:w="1304" w:type="dxa"/>
          </w:tcPr>
          <w:p w14:paraId="6802C8CA" w14:textId="77777777" w:rsidR="00D6403A" w:rsidRPr="00AE4C75" w:rsidRDefault="00D6403A" w:rsidP="00AE4C75">
            <w:pPr>
              <w:pStyle w:val="Tabletext"/>
              <w:rPr>
                <w:rFonts w:ascii="VIC" w:hAnsi="VIC" w:cs="VIC"/>
                <w:b/>
                <w:lang w:val="en-US"/>
              </w:rPr>
            </w:pPr>
            <w:r w:rsidRPr="00AE4C75">
              <w:rPr>
                <w:b/>
                <w:lang w:val="en-US"/>
              </w:rPr>
              <w:t>81,434</w:t>
            </w:r>
          </w:p>
        </w:tc>
      </w:tr>
    </w:tbl>
    <w:p w14:paraId="382E2983" w14:textId="77777777" w:rsidR="00D6403A" w:rsidRPr="00D6403A" w:rsidRDefault="00D6403A" w:rsidP="00E6458F">
      <w:pPr>
        <w:pStyle w:val="FootnoteText"/>
        <w:rPr>
          <w:lang w:val="en-GB"/>
        </w:rPr>
      </w:pPr>
      <w:r w:rsidRPr="00D6403A">
        <w:rPr>
          <w:lang w:val="en-GB"/>
        </w:rPr>
        <w:t xml:space="preserve">Notes: Excludes babies </w:t>
      </w:r>
      <w:r w:rsidRPr="00FE424B">
        <w:rPr>
          <w:rFonts w:cstheme="minorHAnsi"/>
          <w:lang w:val="en-GB"/>
        </w:rPr>
        <w:t>born ≤ 20</w:t>
      </w:r>
      <w:r w:rsidRPr="00D6403A">
        <w:rPr>
          <w:lang w:val="en-GB"/>
        </w:rPr>
        <w:t xml:space="preserve"> weeks’ gestation, all terminations of pregnancy and </w:t>
      </w:r>
      <w:r w:rsidRPr="00FE424B">
        <w:rPr>
          <w:rFonts w:cstheme="minorHAnsi"/>
          <w:lang w:val="en-GB"/>
        </w:rPr>
        <w:t>birthweight ≤ 150</w:t>
      </w:r>
      <w:r w:rsidRPr="00D6403A">
        <w:rPr>
          <w:lang w:val="en-GB"/>
        </w:rPr>
        <w:t xml:space="preserve"> g. Babies born before arrival</w:t>
      </w:r>
      <w:r w:rsidRPr="00D6403A">
        <w:rPr>
          <w:rFonts w:ascii="Cambria" w:hAnsi="Cambria" w:cs="Cambria"/>
          <w:lang w:val="en-GB"/>
        </w:rPr>
        <w:t> </w:t>
      </w:r>
      <w:r w:rsidRPr="00D6403A">
        <w:rPr>
          <w:lang w:val="en-GB"/>
        </w:rPr>
        <w:t xml:space="preserve">are counted at the hospital the mother and baby are subsequently transported to. </w:t>
      </w:r>
    </w:p>
    <w:p w14:paraId="5DFB4D05" w14:textId="77777777" w:rsidR="00D6403A" w:rsidRPr="00D6403A" w:rsidRDefault="00D6403A" w:rsidP="00E6458F">
      <w:pPr>
        <w:pStyle w:val="FootnoteText"/>
        <w:ind w:left="284" w:hanging="284"/>
        <w:rPr>
          <w:lang w:val="en-GB"/>
        </w:rPr>
      </w:pPr>
      <w:r w:rsidRPr="00D6403A">
        <w:rPr>
          <w:lang w:val="en-GB"/>
        </w:rPr>
        <w:t>*</w:t>
      </w:r>
      <w:r w:rsidRPr="00D6403A">
        <w:rPr>
          <w:lang w:val="en-GB"/>
        </w:rPr>
        <w:tab/>
        <w:t xml:space="preserve">Capability service as at 2021–22 </w:t>
      </w:r>
    </w:p>
    <w:p w14:paraId="0CC6AF22" w14:textId="77777777" w:rsidR="00D6403A" w:rsidRPr="00D6403A" w:rsidRDefault="00D6403A" w:rsidP="00E6458F">
      <w:pPr>
        <w:pStyle w:val="FootnoteText"/>
        <w:ind w:left="284" w:hanging="284"/>
        <w:rPr>
          <w:lang w:val="en-GB"/>
        </w:rPr>
      </w:pPr>
      <w:r w:rsidRPr="00D6403A">
        <w:rPr>
          <w:lang w:val="en-GB"/>
        </w:rPr>
        <w:t>a</w:t>
      </w:r>
      <w:r w:rsidRPr="00D6403A">
        <w:rPr>
          <w:lang w:val="en-GB"/>
        </w:rPr>
        <w:tab/>
        <w:t>Includes the Royal Melbourne Hospital (women: n = 5; births: n = 5) and Heathcote (women: n = 1; births: n = 1)</w:t>
      </w:r>
    </w:p>
    <w:p w14:paraId="3D39578F" w14:textId="77777777" w:rsidR="00D6403A" w:rsidRPr="00D6403A" w:rsidRDefault="00D6403A" w:rsidP="00E6458F">
      <w:pPr>
        <w:pStyle w:val="FootnoteText"/>
        <w:ind w:left="284" w:hanging="284"/>
        <w:rPr>
          <w:lang w:val="en-GB"/>
        </w:rPr>
      </w:pPr>
      <w:r w:rsidRPr="00D6403A">
        <w:rPr>
          <w:lang w:val="en-GB"/>
        </w:rPr>
        <w:t>b</w:t>
      </w:r>
      <w:r w:rsidRPr="00D6403A">
        <w:rPr>
          <w:lang w:val="en-GB"/>
        </w:rPr>
        <w:tab/>
        <w:t>Free birth is a birth without medical or midwifery assistance.</w:t>
      </w:r>
    </w:p>
    <w:p w14:paraId="1674B049" w14:textId="77777777" w:rsidR="00E6458F" w:rsidRDefault="00E6458F" w:rsidP="00E6458F">
      <w:pPr>
        <w:sectPr w:rsidR="00E6458F" w:rsidSect="004D6F5F">
          <w:pgSz w:w="11901" w:h="16817" w:code="9"/>
          <w:pgMar w:top="3402" w:right="851" w:bottom="1361" w:left="851" w:header="539" w:footer="624" w:gutter="0"/>
          <w:cols w:space="284"/>
          <w:docGrid w:linePitch="360" w:charSpace="46114"/>
        </w:sectPr>
      </w:pPr>
      <w:bookmarkStart w:id="93" w:name="_Toc159326651"/>
    </w:p>
    <w:p w14:paraId="5E6065EE" w14:textId="1DF9E28B" w:rsidR="00D6403A" w:rsidRPr="00E6458F" w:rsidRDefault="00D6403A" w:rsidP="00E6458F">
      <w:pPr>
        <w:pStyle w:val="Heading1"/>
        <w:framePr w:wrap="around"/>
      </w:pPr>
      <w:r w:rsidRPr="00E6458F">
        <w:lastRenderedPageBreak/>
        <w:t>Appendix 3: Overview of results</w:t>
      </w:r>
      <w:bookmarkEnd w:id="93"/>
    </w:p>
    <w:p w14:paraId="5A17EE88" w14:textId="77777777" w:rsidR="002B0059" w:rsidRDefault="002B0059" w:rsidP="00887B5A">
      <w:pPr>
        <w:pStyle w:val="Tablechartdiagramheading"/>
        <w:rPr>
          <w:lang w:val="en-GB"/>
        </w:rPr>
      </w:pPr>
    </w:p>
    <w:p w14:paraId="5F2B26E4" w14:textId="77777777" w:rsidR="002B0059" w:rsidRDefault="002B0059" w:rsidP="00887B5A">
      <w:pPr>
        <w:pStyle w:val="Tablechartdiagramheading"/>
        <w:rPr>
          <w:lang w:val="en-GB"/>
        </w:rPr>
      </w:pPr>
    </w:p>
    <w:p w14:paraId="52E06AFC" w14:textId="6326B643" w:rsidR="00D6403A" w:rsidRPr="00D6403A" w:rsidRDefault="00D6403A" w:rsidP="00887B5A">
      <w:pPr>
        <w:pStyle w:val="Tablechartdiagramheading"/>
        <w:rPr>
          <w:lang w:val="en-GB"/>
        </w:rPr>
      </w:pPr>
      <w:r w:rsidRPr="00D6403A">
        <w:rPr>
          <w:lang w:val="en-GB"/>
        </w:rPr>
        <w:t>Table 26. Overview of indicator results, 2021</w:t>
      </w:r>
    </w:p>
    <w:tbl>
      <w:tblPr>
        <w:tblW w:w="15451" w:type="dxa"/>
        <w:tblInd w:w="-8" w:type="dxa"/>
        <w:tblBorders>
          <w:bottom w:val="single" w:sz="4" w:space="0" w:color="auto"/>
          <w:insideH w:val="single" w:sz="4" w:space="0" w:color="auto"/>
          <w:insideV w:val="single" w:sz="4" w:space="0" w:color="auto"/>
        </w:tblBorders>
        <w:tblLayout w:type="fixed"/>
        <w:tblCellMar>
          <w:left w:w="0" w:type="dxa"/>
          <w:right w:w="0" w:type="dxa"/>
        </w:tblCellMar>
        <w:tblLook w:val="0020" w:firstRow="1" w:lastRow="0" w:firstColumn="0" w:lastColumn="0" w:noHBand="0" w:noVBand="0"/>
      </w:tblPr>
      <w:tblGrid>
        <w:gridCol w:w="1417"/>
        <w:gridCol w:w="340"/>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482"/>
        <w:gridCol w:w="340"/>
        <w:gridCol w:w="340"/>
      </w:tblGrid>
      <w:tr w:rsidR="001726E8" w:rsidRPr="00D6403A" w14:paraId="15491FD1" w14:textId="77777777" w:rsidTr="001726E8">
        <w:trPr>
          <w:trHeight w:val="1587"/>
          <w:tblHeader/>
        </w:trPr>
        <w:tc>
          <w:tcPr>
            <w:tcW w:w="1417" w:type="dxa"/>
            <w:shd w:val="clear" w:color="auto" w:fill="F2F2F2" w:themeFill="background1" w:themeFillShade="F2"/>
            <w:tcMar>
              <w:top w:w="91" w:type="dxa"/>
              <w:left w:w="113" w:type="dxa"/>
              <w:bottom w:w="142" w:type="dxa"/>
              <w:right w:w="57" w:type="dxa"/>
            </w:tcMar>
            <w:vAlign w:val="bottom"/>
          </w:tcPr>
          <w:p w14:paraId="06751559" w14:textId="77777777" w:rsidR="00D6403A" w:rsidRPr="00AD0A1A" w:rsidRDefault="00D6403A" w:rsidP="001726E8">
            <w:pPr>
              <w:pStyle w:val="Tableheader"/>
              <w:spacing w:line="140" w:lineRule="exact"/>
              <w:rPr>
                <w:sz w:val="12"/>
                <w:szCs w:val="12"/>
              </w:rPr>
            </w:pPr>
            <w:r w:rsidRPr="00AD0A1A">
              <w:rPr>
                <w:sz w:val="12"/>
                <w:szCs w:val="12"/>
              </w:rPr>
              <w:t>Hospital campus</w:t>
            </w:r>
          </w:p>
        </w:tc>
        <w:tc>
          <w:tcPr>
            <w:tcW w:w="340" w:type="dxa"/>
            <w:shd w:val="clear" w:color="auto" w:fill="F2F2F2" w:themeFill="background1" w:themeFillShade="F2"/>
            <w:tcMar>
              <w:top w:w="91" w:type="dxa"/>
              <w:left w:w="57" w:type="dxa"/>
              <w:bottom w:w="142" w:type="dxa"/>
              <w:right w:w="57" w:type="dxa"/>
            </w:tcMar>
            <w:textDirection w:val="btLr"/>
            <w:vAlign w:val="center"/>
          </w:tcPr>
          <w:p w14:paraId="54C0BBF7" w14:textId="77777777" w:rsidR="00D6403A" w:rsidRPr="00AD0A1A" w:rsidRDefault="00D6403A" w:rsidP="001726E8">
            <w:pPr>
              <w:pStyle w:val="Tableheader"/>
              <w:spacing w:line="140" w:lineRule="exact"/>
              <w:rPr>
                <w:sz w:val="12"/>
                <w:szCs w:val="12"/>
              </w:rPr>
            </w:pPr>
            <w:r w:rsidRPr="00AD0A1A">
              <w:rPr>
                <w:sz w:val="12"/>
                <w:szCs w:val="12"/>
              </w:rPr>
              <w:t>Mat capability level</w:t>
            </w:r>
          </w:p>
        </w:tc>
        <w:tc>
          <w:tcPr>
            <w:tcW w:w="482" w:type="dxa"/>
            <w:shd w:val="clear" w:color="auto" w:fill="F2F2F2" w:themeFill="background1" w:themeFillShade="F2"/>
            <w:tcMar>
              <w:top w:w="91" w:type="dxa"/>
              <w:left w:w="57" w:type="dxa"/>
              <w:bottom w:w="142" w:type="dxa"/>
              <w:right w:w="57" w:type="dxa"/>
            </w:tcMar>
            <w:textDirection w:val="btLr"/>
            <w:vAlign w:val="center"/>
          </w:tcPr>
          <w:p w14:paraId="00F7DB42" w14:textId="77777777" w:rsidR="00D6403A" w:rsidRPr="00AD0A1A" w:rsidRDefault="00D6403A" w:rsidP="001726E8">
            <w:pPr>
              <w:pStyle w:val="Tableheader"/>
              <w:spacing w:line="140" w:lineRule="exact"/>
              <w:rPr>
                <w:sz w:val="12"/>
                <w:szCs w:val="12"/>
              </w:rPr>
            </w:pPr>
            <w:r w:rsidRPr="00AD0A1A">
              <w:rPr>
                <w:sz w:val="12"/>
                <w:szCs w:val="12"/>
              </w:rPr>
              <w:t>Number of births (babies, 2021)</w:t>
            </w:r>
          </w:p>
        </w:tc>
        <w:tc>
          <w:tcPr>
            <w:tcW w:w="482" w:type="dxa"/>
            <w:shd w:val="clear" w:color="auto" w:fill="F2F2F2" w:themeFill="background1" w:themeFillShade="F2"/>
            <w:tcMar>
              <w:top w:w="91" w:type="dxa"/>
              <w:left w:w="57" w:type="dxa"/>
              <w:bottom w:w="142" w:type="dxa"/>
              <w:right w:w="57" w:type="dxa"/>
            </w:tcMar>
            <w:textDirection w:val="btLr"/>
            <w:vAlign w:val="center"/>
          </w:tcPr>
          <w:p w14:paraId="3FA3355D" w14:textId="77777777" w:rsidR="00D6403A" w:rsidRPr="00AD0A1A" w:rsidRDefault="00D6403A" w:rsidP="001726E8">
            <w:pPr>
              <w:pStyle w:val="Tableheader"/>
              <w:spacing w:line="140" w:lineRule="exact"/>
              <w:rPr>
                <w:sz w:val="12"/>
                <w:szCs w:val="12"/>
              </w:rPr>
            </w:pPr>
            <w:r w:rsidRPr="00AD0A1A">
              <w:rPr>
                <w:sz w:val="12"/>
                <w:szCs w:val="12"/>
              </w:rPr>
              <w:t>Indicator 1a</w:t>
            </w:r>
          </w:p>
        </w:tc>
        <w:tc>
          <w:tcPr>
            <w:tcW w:w="482" w:type="dxa"/>
            <w:shd w:val="clear" w:color="auto" w:fill="F2F2F2" w:themeFill="background1" w:themeFillShade="F2"/>
            <w:tcMar>
              <w:top w:w="91" w:type="dxa"/>
              <w:left w:w="57" w:type="dxa"/>
              <w:bottom w:w="142" w:type="dxa"/>
              <w:right w:w="57" w:type="dxa"/>
            </w:tcMar>
            <w:textDirection w:val="btLr"/>
            <w:vAlign w:val="center"/>
          </w:tcPr>
          <w:p w14:paraId="73430813" w14:textId="77777777" w:rsidR="00D6403A" w:rsidRPr="00AD0A1A" w:rsidRDefault="00D6403A" w:rsidP="001726E8">
            <w:pPr>
              <w:pStyle w:val="Tableheader"/>
              <w:spacing w:line="140" w:lineRule="exact"/>
              <w:rPr>
                <w:sz w:val="12"/>
                <w:szCs w:val="12"/>
              </w:rPr>
            </w:pPr>
            <w:r w:rsidRPr="00AD0A1A">
              <w:rPr>
                <w:sz w:val="12"/>
                <w:szCs w:val="12"/>
              </w:rPr>
              <w:t>Indicator 1bi</w:t>
            </w:r>
          </w:p>
        </w:tc>
        <w:tc>
          <w:tcPr>
            <w:tcW w:w="482" w:type="dxa"/>
            <w:shd w:val="clear" w:color="auto" w:fill="F2F2F2" w:themeFill="background1" w:themeFillShade="F2"/>
            <w:tcMar>
              <w:top w:w="91" w:type="dxa"/>
              <w:left w:w="57" w:type="dxa"/>
              <w:bottom w:w="142" w:type="dxa"/>
              <w:right w:w="57" w:type="dxa"/>
            </w:tcMar>
            <w:textDirection w:val="btLr"/>
            <w:vAlign w:val="center"/>
          </w:tcPr>
          <w:p w14:paraId="6D99BDA8" w14:textId="77777777" w:rsidR="00D6403A" w:rsidRPr="00AD0A1A" w:rsidRDefault="00D6403A" w:rsidP="001726E8">
            <w:pPr>
              <w:pStyle w:val="Tableheader"/>
              <w:spacing w:line="140" w:lineRule="exact"/>
              <w:rPr>
                <w:sz w:val="12"/>
                <w:szCs w:val="12"/>
              </w:rPr>
            </w:pPr>
            <w:r w:rsidRPr="00AD0A1A">
              <w:rPr>
                <w:sz w:val="12"/>
                <w:szCs w:val="12"/>
              </w:rPr>
              <w:t>Indicator 1bii</w:t>
            </w:r>
          </w:p>
        </w:tc>
        <w:tc>
          <w:tcPr>
            <w:tcW w:w="482" w:type="dxa"/>
            <w:shd w:val="clear" w:color="auto" w:fill="F2F2F2" w:themeFill="background1" w:themeFillShade="F2"/>
            <w:tcMar>
              <w:top w:w="91" w:type="dxa"/>
              <w:left w:w="57" w:type="dxa"/>
              <w:bottom w:w="142" w:type="dxa"/>
              <w:right w:w="57" w:type="dxa"/>
            </w:tcMar>
            <w:textDirection w:val="btLr"/>
            <w:vAlign w:val="center"/>
          </w:tcPr>
          <w:p w14:paraId="3E0DC081" w14:textId="77777777" w:rsidR="00D6403A" w:rsidRPr="00AD0A1A" w:rsidRDefault="00D6403A" w:rsidP="001726E8">
            <w:pPr>
              <w:pStyle w:val="Tableheader"/>
              <w:spacing w:line="140" w:lineRule="exact"/>
              <w:rPr>
                <w:sz w:val="12"/>
                <w:szCs w:val="12"/>
              </w:rPr>
            </w:pPr>
            <w:r w:rsidRPr="00AD0A1A">
              <w:rPr>
                <w:sz w:val="12"/>
                <w:szCs w:val="12"/>
              </w:rPr>
              <w:t>Indicator 1ci</w:t>
            </w:r>
          </w:p>
        </w:tc>
        <w:tc>
          <w:tcPr>
            <w:tcW w:w="482" w:type="dxa"/>
            <w:shd w:val="clear" w:color="auto" w:fill="F2F2F2" w:themeFill="background1" w:themeFillShade="F2"/>
            <w:tcMar>
              <w:top w:w="91" w:type="dxa"/>
              <w:left w:w="57" w:type="dxa"/>
              <w:bottom w:w="142" w:type="dxa"/>
              <w:right w:w="57" w:type="dxa"/>
            </w:tcMar>
            <w:textDirection w:val="btLr"/>
            <w:vAlign w:val="center"/>
          </w:tcPr>
          <w:p w14:paraId="309EF30D" w14:textId="77777777" w:rsidR="00D6403A" w:rsidRPr="00AD0A1A" w:rsidRDefault="00D6403A" w:rsidP="001726E8">
            <w:pPr>
              <w:pStyle w:val="Tableheader"/>
              <w:spacing w:line="140" w:lineRule="exact"/>
              <w:rPr>
                <w:sz w:val="12"/>
                <w:szCs w:val="12"/>
              </w:rPr>
            </w:pPr>
            <w:r w:rsidRPr="00AD0A1A">
              <w:rPr>
                <w:sz w:val="12"/>
                <w:szCs w:val="12"/>
              </w:rPr>
              <w:t>Indicator 1cii</w:t>
            </w:r>
          </w:p>
        </w:tc>
        <w:tc>
          <w:tcPr>
            <w:tcW w:w="482" w:type="dxa"/>
            <w:shd w:val="clear" w:color="auto" w:fill="F2F2F2" w:themeFill="background1" w:themeFillShade="F2"/>
            <w:tcMar>
              <w:top w:w="91" w:type="dxa"/>
              <w:left w:w="57" w:type="dxa"/>
              <w:bottom w:w="142" w:type="dxa"/>
              <w:right w:w="57" w:type="dxa"/>
            </w:tcMar>
            <w:textDirection w:val="btLr"/>
            <w:vAlign w:val="center"/>
          </w:tcPr>
          <w:p w14:paraId="5CDEF98F" w14:textId="77777777" w:rsidR="00D6403A" w:rsidRPr="00AD0A1A" w:rsidRDefault="00D6403A" w:rsidP="001726E8">
            <w:pPr>
              <w:pStyle w:val="Tableheader"/>
              <w:spacing w:line="140" w:lineRule="exact"/>
              <w:rPr>
                <w:sz w:val="12"/>
                <w:szCs w:val="12"/>
              </w:rPr>
            </w:pPr>
            <w:r w:rsidRPr="00AD0A1A">
              <w:rPr>
                <w:sz w:val="12"/>
                <w:szCs w:val="12"/>
              </w:rPr>
              <w:t>Indicator 1di</w:t>
            </w:r>
          </w:p>
        </w:tc>
        <w:tc>
          <w:tcPr>
            <w:tcW w:w="482" w:type="dxa"/>
            <w:shd w:val="clear" w:color="auto" w:fill="F2F2F2" w:themeFill="background1" w:themeFillShade="F2"/>
            <w:tcMar>
              <w:top w:w="91" w:type="dxa"/>
              <w:left w:w="57" w:type="dxa"/>
              <w:bottom w:w="142" w:type="dxa"/>
              <w:right w:w="57" w:type="dxa"/>
            </w:tcMar>
            <w:textDirection w:val="btLr"/>
            <w:vAlign w:val="center"/>
          </w:tcPr>
          <w:p w14:paraId="7118D9DC" w14:textId="77777777" w:rsidR="00D6403A" w:rsidRPr="00AD0A1A" w:rsidRDefault="00D6403A" w:rsidP="001726E8">
            <w:pPr>
              <w:pStyle w:val="Tableheader"/>
              <w:spacing w:line="140" w:lineRule="exact"/>
              <w:rPr>
                <w:sz w:val="12"/>
                <w:szCs w:val="12"/>
              </w:rPr>
            </w:pPr>
            <w:r w:rsidRPr="00AD0A1A">
              <w:rPr>
                <w:sz w:val="12"/>
                <w:szCs w:val="12"/>
              </w:rPr>
              <w:t>Indicator 1dii</w:t>
            </w:r>
          </w:p>
        </w:tc>
        <w:tc>
          <w:tcPr>
            <w:tcW w:w="482" w:type="dxa"/>
            <w:shd w:val="clear" w:color="auto" w:fill="F2F2F2" w:themeFill="background1" w:themeFillShade="F2"/>
            <w:tcMar>
              <w:top w:w="91" w:type="dxa"/>
              <w:left w:w="57" w:type="dxa"/>
              <w:bottom w:w="142" w:type="dxa"/>
              <w:right w:w="57" w:type="dxa"/>
            </w:tcMar>
            <w:textDirection w:val="btLr"/>
            <w:vAlign w:val="center"/>
          </w:tcPr>
          <w:p w14:paraId="616AB0E0" w14:textId="77777777" w:rsidR="00D6403A" w:rsidRPr="00AD0A1A" w:rsidRDefault="00D6403A" w:rsidP="001726E8">
            <w:pPr>
              <w:pStyle w:val="Tableheader"/>
              <w:spacing w:line="140" w:lineRule="exact"/>
              <w:rPr>
                <w:sz w:val="12"/>
                <w:szCs w:val="12"/>
              </w:rPr>
            </w:pPr>
            <w:r w:rsidRPr="00AD0A1A">
              <w:rPr>
                <w:sz w:val="12"/>
                <w:szCs w:val="12"/>
              </w:rPr>
              <w:t>Indicator 2</w:t>
            </w:r>
          </w:p>
        </w:tc>
        <w:tc>
          <w:tcPr>
            <w:tcW w:w="482" w:type="dxa"/>
            <w:shd w:val="clear" w:color="auto" w:fill="F2F2F2" w:themeFill="background1" w:themeFillShade="F2"/>
            <w:tcMar>
              <w:top w:w="91" w:type="dxa"/>
              <w:left w:w="57" w:type="dxa"/>
              <w:bottom w:w="142" w:type="dxa"/>
              <w:right w:w="57" w:type="dxa"/>
            </w:tcMar>
            <w:textDirection w:val="btLr"/>
            <w:vAlign w:val="center"/>
          </w:tcPr>
          <w:p w14:paraId="55106734" w14:textId="77777777" w:rsidR="00D6403A" w:rsidRPr="00AD0A1A" w:rsidRDefault="00D6403A" w:rsidP="001726E8">
            <w:pPr>
              <w:pStyle w:val="Tableheader"/>
              <w:spacing w:line="140" w:lineRule="exact"/>
              <w:rPr>
                <w:sz w:val="12"/>
                <w:szCs w:val="12"/>
              </w:rPr>
            </w:pPr>
            <w:r w:rsidRPr="00AD0A1A">
              <w:rPr>
                <w:sz w:val="12"/>
                <w:szCs w:val="12"/>
              </w:rPr>
              <w:t>Indicator 3a</w:t>
            </w:r>
          </w:p>
        </w:tc>
        <w:tc>
          <w:tcPr>
            <w:tcW w:w="482" w:type="dxa"/>
            <w:shd w:val="clear" w:color="auto" w:fill="F2F2F2" w:themeFill="background1" w:themeFillShade="F2"/>
            <w:tcMar>
              <w:top w:w="91" w:type="dxa"/>
              <w:left w:w="57" w:type="dxa"/>
              <w:bottom w:w="142" w:type="dxa"/>
              <w:right w:w="57" w:type="dxa"/>
            </w:tcMar>
            <w:textDirection w:val="btLr"/>
            <w:vAlign w:val="center"/>
          </w:tcPr>
          <w:p w14:paraId="715409F5" w14:textId="77777777" w:rsidR="00D6403A" w:rsidRPr="00AD0A1A" w:rsidRDefault="00D6403A" w:rsidP="001726E8">
            <w:pPr>
              <w:pStyle w:val="Tableheader"/>
              <w:spacing w:line="140" w:lineRule="exact"/>
              <w:rPr>
                <w:sz w:val="12"/>
                <w:szCs w:val="12"/>
              </w:rPr>
            </w:pPr>
            <w:r w:rsidRPr="00AD0A1A">
              <w:rPr>
                <w:sz w:val="12"/>
                <w:szCs w:val="12"/>
              </w:rPr>
              <w:t>Indicator 3b</w:t>
            </w:r>
          </w:p>
        </w:tc>
        <w:tc>
          <w:tcPr>
            <w:tcW w:w="482" w:type="dxa"/>
            <w:shd w:val="clear" w:color="auto" w:fill="F2F2F2" w:themeFill="background1" w:themeFillShade="F2"/>
            <w:tcMar>
              <w:top w:w="91" w:type="dxa"/>
              <w:left w:w="57" w:type="dxa"/>
              <w:bottom w:w="142" w:type="dxa"/>
              <w:right w:w="57" w:type="dxa"/>
            </w:tcMar>
            <w:textDirection w:val="btLr"/>
            <w:vAlign w:val="center"/>
          </w:tcPr>
          <w:p w14:paraId="400EF490" w14:textId="77777777" w:rsidR="00D6403A" w:rsidRPr="00AD0A1A" w:rsidRDefault="00D6403A" w:rsidP="001726E8">
            <w:pPr>
              <w:pStyle w:val="Tableheader"/>
              <w:spacing w:line="140" w:lineRule="exact"/>
              <w:rPr>
                <w:sz w:val="12"/>
                <w:szCs w:val="12"/>
              </w:rPr>
            </w:pPr>
            <w:r w:rsidRPr="00AD0A1A">
              <w:rPr>
                <w:sz w:val="12"/>
                <w:szCs w:val="12"/>
              </w:rPr>
              <w:t>Indicator 4a</w:t>
            </w:r>
          </w:p>
        </w:tc>
        <w:tc>
          <w:tcPr>
            <w:tcW w:w="482" w:type="dxa"/>
            <w:shd w:val="clear" w:color="auto" w:fill="F2F2F2" w:themeFill="background1" w:themeFillShade="F2"/>
            <w:tcMar>
              <w:top w:w="91" w:type="dxa"/>
              <w:left w:w="57" w:type="dxa"/>
              <w:bottom w:w="142" w:type="dxa"/>
              <w:right w:w="57" w:type="dxa"/>
            </w:tcMar>
            <w:textDirection w:val="btLr"/>
            <w:vAlign w:val="center"/>
          </w:tcPr>
          <w:p w14:paraId="18C91C32" w14:textId="77777777" w:rsidR="00D6403A" w:rsidRPr="00AD0A1A" w:rsidRDefault="00D6403A" w:rsidP="001726E8">
            <w:pPr>
              <w:pStyle w:val="Tableheader"/>
              <w:spacing w:line="140" w:lineRule="exact"/>
              <w:rPr>
                <w:sz w:val="12"/>
                <w:szCs w:val="12"/>
              </w:rPr>
            </w:pPr>
            <w:r w:rsidRPr="00AD0A1A">
              <w:rPr>
                <w:sz w:val="12"/>
                <w:szCs w:val="12"/>
              </w:rPr>
              <w:t>Indicator 4b</w:t>
            </w:r>
          </w:p>
        </w:tc>
        <w:tc>
          <w:tcPr>
            <w:tcW w:w="482" w:type="dxa"/>
            <w:shd w:val="clear" w:color="auto" w:fill="F2F2F2" w:themeFill="background1" w:themeFillShade="F2"/>
            <w:tcMar>
              <w:top w:w="91" w:type="dxa"/>
              <w:left w:w="57" w:type="dxa"/>
              <w:bottom w:w="142" w:type="dxa"/>
              <w:right w:w="57" w:type="dxa"/>
            </w:tcMar>
            <w:textDirection w:val="btLr"/>
            <w:vAlign w:val="center"/>
          </w:tcPr>
          <w:p w14:paraId="764B6282" w14:textId="77777777" w:rsidR="00D6403A" w:rsidRPr="00AD0A1A" w:rsidRDefault="00D6403A" w:rsidP="001726E8">
            <w:pPr>
              <w:pStyle w:val="Tableheader"/>
              <w:spacing w:line="140" w:lineRule="exact"/>
              <w:rPr>
                <w:sz w:val="12"/>
                <w:szCs w:val="12"/>
              </w:rPr>
            </w:pPr>
            <w:r w:rsidRPr="00AD0A1A">
              <w:rPr>
                <w:sz w:val="12"/>
                <w:szCs w:val="12"/>
              </w:rPr>
              <w:t>Indicator 5*</w:t>
            </w:r>
          </w:p>
        </w:tc>
        <w:tc>
          <w:tcPr>
            <w:tcW w:w="482" w:type="dxa"/>
            <w:shd w:val="clear" w:color="auto" w:fill="F2F2F2" w:themeFill="background1" w:themeFillShade="F2"/>
            <w:tcMar>
              <w:top w:w="91" w:type="dxa"/>
              <w:left w:w="57" w:type="dxa"/>
              <w:bottom w:w="142" w:type="dxa"/>
              <w:right w:w="57" w:type="dxa"/>
            </w:tcMar>
            <w:textDirection w:val="btLr"/>
            <w:vAlign w:val="center"/>
          </w:tcPr>
          <w:p w14:paraId="450F05D8" w14:textId="77777777" w:rsidR="00D6403A" w:rsidRPr="00AD0A1A" w:rsidRDefault="00D6403A" w:rsidP="001726E8">
            <w:pPr>
              <w:pStyle w:val="Tableheader"/>
              <w:spacing w:line="140" w:lineRule="exact"/>
              <w:rPr>
                <w:sz w:val="12"/>
                <w:szCs w:val="12"/>
              </w:rPr>
            </w:pPr>
            <w:r w:rsidRPr="00AD0A1A">
              <w:rPr>
                <w:sz w:val="12"/>
                <w:szCs w:val="12"/>
              </w:rPr>
              <w:t>Indicator 6a</w:t>
            </w:r>
          </w:p>
        </w:tc>
        <w:tc>
          <w:tcPr>
            <w:tcW w:w="482" w:type="dxa"/>
            <w:shd w:val="clear" w:color="auto" w:fill="F2F2F2" w:themeFill="background1" w:themeFillShade="F2"/>
            <w:tcMar>
              <w:top w:w="91" w:type="dxa"/>
              <w:left w:w="57" w:type="dxa"/>
              <w:bottom w:w="142" w:type="dxa"/>
              <w:right w:w="57" w:type="dxa"/>
            </w:tcMar>
            <w:textDirection w:val="btLr"/>
            <w:vAlign w:val="center"/>
          </w:tcPr>
          <w:p w14:paraId="6C60099B" w14:textId="77777777" w:rsidR="00D6403A" w:rsidRPr="00AD0A1A" w:rsidRDefault="00D6403A" w:rsidP="001726E8">
            <w:pPr>
              <w:pStyle w:val="Tableheader"/>
              <w:spacing w:line="140" w:lineRule="exact"/>
              <w:rPr>
                <w:sz w:val="12"/>
                <w:szCs w:val="12"/>
              </w:rPr>
            </w:pPr>
            <w:r w:rsidRPr="00AD0A1A">
              <w:rPr>
                <w:sz w:val="12"/>
                <w:szCs w:val="12"/>
              </w:rPr>
              <w:t>Indicator 6b</w:t>
            </w:r>
          </w:p>
        </w:tc>
        <w:tc>
          <w:tcPr>
            <w:tcW w:w="482" w:type="dxa"/>
            <w:shd w:val="clear" w:color="auto" w:fill="F2F2F2" w:themeFill="background1" w:themeFillShade="F2"/>
            <w:tcMar>
              <w:top w:w="91" w:type="dxa"/>
              <w:left w:w="57" w:type="dxa"/>
              <w:bottom w:w="142" w:type="dxa"/>
              <w:right w:w="57" w:type="dxa"/>
            </w:tcMar>
            <w:textDirection w:val="btLr"/>
            <w:vAlign w:val="center"/>
          </w:tcPr>
          <w:p w14:paraId="3B5D6CDB" w14:textId="77777777" w:rsidR="00D6403A" w:rsidRPr="00AD0A1A" w:rsidRDefault="00D6403A" w:rsidP="001726E8">
            <w:pPr>
              <w:pStyle w:val="Tableheader"/>
              <w:spacing w:line="140" w:lineRule="exact"/>
              <w:rPr>
                <w:sz w:val="12"/>
                <w:szCs w:val="12"/>
              </w:rPr>
            </w:pPr>
            <w:r w:rsidRPr="00AD0A1A">
              <w:rPr>
                <w:sz w:val="12"/>
                <w:szCs w:val="12"/>
              </w:rPr>
              <w:t>Indicator 7</w:t>
            </w:r>
          </w:p>
        </w:tc>
        <w:tc>
          <w:tcPr>
            <w:tcW w:w="482" w:type="dxa"/>
            <w:shd w:val="clear" w:color="auto" w:fill="F2F2F2" w:themeFill="background1" w:themeFillShade="F2"/>
            <w:tcMar>
              <w:top w:w="91" w:type="dxa"/>
              <w:left w:w="57" w:type="dxa"/>
              <w:bottom w:w="142" w:type="dxa"/>
              <w:right w:w="57" w:type="dxa"/>
            </w:tcMar>
            <w:textDirection w:val="btLr"/>
            <w:vAlign w:val="center"/>
          </w:tcPr>
          <w:p w14:paraId="0A25D69E" w14:textId="77777777" w:rsidR="00D6403A" w:rsidRPr="00AD0A1A" w:rsidRDefault="00D6403A" w:rsidP="001726E8">
            <w:pPr>
              <w:pStyle w:val="Tableheader"/>
              <w:spacing w:line="140" w:lineRule="exact"/>
              <w:rPr>
                <w:sz w:val="12"/>
                <w:szCs w:val="12"/>
              </w:rPr>
            </w:pPr>
            <w:r w:rsidRPr="00AD0A1A">
              <w:rPr>
                <w:sz w:val="12"/>
                <w:szCs w:val="12"/>
              </w:rPr>
              <w:t>Indicator 8a</w:t>
            </w:r>
          </w:p>
        </w:tc>
        <w:tc>
          <w:tcPr>
            <w:tcW w:w="482" w:type="dxa"/>
            <w:shd w:val="clear" w:color="auto" w:fill="F2F2F2" w:themeFill="background1" w:themeFillShade="F2"/>
            <w:tcMar>
              <w:top w:w="91" w:type="dxa"/>
              <w:left w:w="57" w:type="dxa"/>
              <w:bottom w:w="142" w:type="dxa"/>
              <w:right w:w="57" w:type="dxa"/>
            </w:tcMar>
            <w:textDirection w:val="btLr"/>
            <w:vAlign w:val="center"/>
          </w:tcPr>
          <w:p w14:paraId="68A722B2" w14:textId="77777777" w:rsidR="00D6403A" w:rsidRPr="00AD0A1A" w:rsidRDefault="00D6403A" w:rsidP="001726E8">
            <w:pPr>
              <w:pStyle w:val="Tableheader"/>
              <w:spacing w:line="140" w:lineRule="exact"/>
              <w:rPr>
                <w:sz w:val="12"/>
                <w:szCs w:val="12"/>
              </w:rPr>
            </w:pPr>
            <w:r w:rsidRPr="00AD0A1A">
              <w:rPr>
                <w:sz w:val="12"/>
                <w:szCs w:val="12"/>
              </w:rPr>
              <w:t>Indicator 8b</w:t>
            </w:r>
          </w:p>
        </w:tc>
        <w:tc>
          <w:tcPr>
            <w:tcW w:w="482" w:type="dxa"/>
            <w:shd w:val="clear" w:color="auto" w:fill="F2F2F2" w:themeFill="background1" w:themeFillShade="F2"/>
            <w:tcMar>
              <w:top w:w="91" w:type="dxa"/>
              <w:left w:w="57" w:type="dxa"/>
              <w:bottom w:w="142" w:type="dxa"/>
              <w:right w:w="57" w:type="dxa"/>
            </w:tcMar>
            <w:textDirection w:val="btLr"/>
            <w:vAlign w:val="center"/>
          </w:tcPr>
          <w:p w14:paraId="6EEAE273" w14:textId="77777777" w:rsidR="00D6403A" w:rsidRPr="00AD0A1A" w:rsidRDefault="00D6403A" w:rsidP="001726E8">
            <w:pPr>
              <w:pStyle w:val="Tableheader"/>
              <w:spacing w:line="140" w:lineRule="exact"/>
              <w:rPr>
                <w:sz w:val="12"/>
                <w:szCs w:val="12"/>
              </w:rPr>
            </w:pPr>
            <w:r w:rsidRPr="00AD0A1A">
              <w:rPr>
                <w:sz w:val="12"/>
                <w:szCs w:val="12"/>
              </w:rPr>
              <w:t>Indicator 8c</w:t>
            </w:r>
          </w:p>
        </w:tc>
        <w:tc>
          <w:tcPr>
            <w:tcW w:w="482" w:type="dxa"/>
            <w:shd w:val="clear" w:color="auto" w:fill="F2F2F2" w:themeFill="background1" w:themeFillShade="F2"/>
            <w:tcMar>
              <w:top w:w="91" w:type="dxa"/>
              <w:left w:w="57" w:type="dxa"/>
              <w:bottom w:w="142" w:type="dxa"/>
              <w:right w:w="57" w:type="dxa"/>
            </w:tcMar>
            <w:textDirection w:val="btLr"/>
            <w:vAlign w:val="center"/>
          </w:tcPr>
          <w:p w14:paraId="43FE432C" w14:textId="77777777" w:rsidR="00D6403A" w:rsidRPr="00AD0A1A" w:rsidRDefault="00D6403A" w:rsidP="001726E8">
            <w:pPr>
              <w:pStyle w:val="Tableheader"/>
              <w:spacing w:line="140" w:lineRule="exact"/>
              <w:rPr>
                <w:sz w:val="12"/>
                <w:szCs w:val="12"/>
              </w:rPr>
            </w:pPr>
            <w:r w:rsidRPr="00AD0A1A">
              <w:rPr>
                <w:sz w:val="12"/>
                <w:szCs w:val="12"/>
              </w:rPr>
              <w:t>Indicator 9</w:t>
            </w:r>
          </w:p>
        </w:tc>
        <w:tc>
          <w:tcPr>
            <w:tcW w:w="482" w:type="dxa"/>
            <w:shd w:val="clear" w:color="auto" w:fill="F2F2F2" w:themeFill="background1" w:themeFillShade="F2"/>
            <w:tcMar>
              <w:top w:w="91" w:type="dxa"/>
              <w:left w:w="57" w:type="dxa"/>
              <w:bottom w:w="142" w:type="dxa"/>
              <w:right w:w="57" w:type="dxa"/>
            </w:tcMar>
            <w:textDirection w:val="btLr"/>
            <w:vAlign w:val="center"/>
          </w:tcPr>
          <w:p w14:paraId="0C63D052" w14:textId="77777777" w:rsidR="00D6403A" w:rsidRPr="00AD0A1A" w:rsidRDefault="00D6403A" w:rsidP="001726E8">
            <w:pPr>
              <w:pStyle w:val="Tableheader"/>
              <w:spacing w:line="140" w:lineRule="exact"/>
              <w:rPr>
                <w:sz w:val="12"/>
                <w:szCs w:val="12"/>
              </w:rPr>
            </w:pPr>
            <w:r w:rsidRPr="00AD0A1A">
              <w:rPr>
                <w:sz w:val="12"/>
                <w:szCs w:val="12"/>
              </w:rPr>
              <w:t>Indicator 10</w:t>
            </w:r>
          </w:p>
        </w:tc>
        <w:tc>
          <w:tcPr>
            <w:tcW w:w="482" w:type="dxa"/>
            <w:shd w:val="clear" w:color="auto" w:fill="F2F2F2" w:themeFill="background1" w:themeFillShade="F2"/>
            <w:tcMar>
              <w:top w:w="91" w:type="dxa"/>
              <w:left w:w="57" w:type="dxa"/>
              <w:bottom w:w="142" w:type="dxa"/>
              <w:right w:w="57" w:type="dxa"/>
            </w:tcMar>
            <w:textDirection w:val="btLr"/>
            <w:vAlign w:val="center"/>
          </w:tcPr>
          <w:p w14:paraId="6C3B8B64" w14:textId="77777777" w:rsidR="00D6403A" w:rsidRPr="00AD0A1A" w:rsidRDefault="00D6403A" w:rsidP="001726E8">
            <w:pPr>
              <w:pStyle w:val="Tableheader"/>
              <w:spacing w:line="140" w:lineRule="exact"/>
              <w:rPr>
                <w:sz w:val="12"/>
                <w:szCs w:val="12"/>
              </w:rPr>
            </w:pPr>
            <w:r w:rsidRPr="00AD0A1A">
              <w:rPr>
                <w:sz w:val="12"/>
                <w:szCs w:val="12"/>
              </w:rPr>
              <w:t>Indicator 11a*</w:t>
            </w:r>
          </w:p>
        </w:tc>
        <w:tc>
          <w:tcPr>
            <w:tcW w:w="482" w:type="dxa"/>
            <w:shd w:val="clear" w:color="auto" w:fill="F2F2F2" w:themeFill="background1" w:themeFillShade="F2"/>
            <w:tcMar>
              <w:top w:w="91" w:type="dxa"/>
              <w:left w:w="57" w:type="dxa"/>
              <w:bottom w:w="142" w:type="dxa"/>
              <w:right w:w="57" w:type="dxa"/>
            </w:tcMar>
            <w:textDirection w:val="btLr"/>
            <w:vAlign w:val="center"/>
          </w:tcPr>
          <w:p w14:paraId="435F5E9C" w14:textId="77777777" w:rsidR="00D6403A" w:rsidRPr="00AD0A1A" w:rsidRDefault="00D6403A" w:rsidP="001726E8">
            <w:pPr>
              <w:pStyle w:val="Tableheader"/>
              <w:spacing w:line="140" w:lineRule="exact"/>
              <w:rPr>
                <w:sz w:val="12"/>
                <w:szCs w:val="12"/>
              </w:rPr>
            </w:pPr>
            <w:r w:rsidRPr="00AD0A1A">
              <w:rPr>
                <w:sz w:val="12"/>
                <w:szCs w:val="12"/>
              </w:rPr>
              <w:t>Indicator 11b*</w:t>
            </w:r>
          </w:p>
        </w:tc>
        <w:tc>
          <w:tcPr>
            <w:tcW w:w="482" w:type="dxa"/>
            <w:shd w:val="clear" w:color="auto" w:fill="F2F2F2" w:themeFill="background1" w:themeFillShade="F2"/>
            <w:tcMar>
              <w:top w:w="91" w:type="dxa"/>
              <w:left w:w="57" w:type="dxa"/>
              <w:bottom w:w="142" w:type="dxa"/>
              <w:right w:w="57" w:type="dxa"/>
            </w:tcMar>
            <w:textDirection w:val="btLr"/>
            <w:vAlign w:val="center"/>
          </w:tcPr>
          <w:p w14:paraId="3CBD5413" w14:textId="77777777" w:rsidR="00D6403A" w:rsidRPr="00AD0A1A" w:rsidRDefault="00D6403A" w:rsidP="001726E8">
            <w:pPr>
              <w:pStyle w:val="Tableheader"/>
              <w:spacing w:line="140" w:lineRule="exact"/>
              <w:rPr>
                <w:sz w:val="12"/>
                <w:szCs w:val="12"/>
              </w:rPr>
            </w:pPr>
            <w:r w:rsidRPr="00AD0A1A">
              <w:rPr>
                <w:sz w:val="12"/>
                <w:szCs w:val="12"/>
              </w:rPr>
              <w:t>Indicator 12a</w:t>
            </w:r>
          </w:p>
        </w:tc>
        <w:tc>
          <w:tcPr>
            <w:tcW w:w="482" w:type="dxa"/>
            <w:shd w:val="clear" w:color="auto" w:fill="F2F2F2" w:themeFill="background1" w:themeFillShade="F2"/>
            <w:tcMar>
              <w:top w:w="91" w:type="dxa"/>
              <w:left w:w="57" w:type="dxa"/>
              <w:bottom w:w="142" w:type="dxa"/>
              <w:right w:w="57" w:type="dxa"/>
            </w:tcMar>
            <w:textDirection w:val="btLr"/>
            <w:vAlign w:val="center"/>
          </w:tcPr>
          <w:p w14:paraId="464F28BB" w14:textId="77777777" w:rsidR="00D6403A" w:rsidRPr="00AD0A1A" w:rsidRDefault="00D6403A" w:rsidP="001726E8">
            <w:pPr>
              <w:pStyle w:val="Tableheader"/>
              <w:spacing w:line="140" w:lineRule="exact"/>
              <w:rPr>
                <w:sz w:val="12"/>
                <w:szCs w:val="12"/>
              </w:rPr>
            </w:pPr>
            <w:r w:rsidRPr="00AD0A1A">
              <w:rPr>
                <w:sz w:val="12"/>
                <w:szCs w:val="12"/>
              </w:rPr>
              <w:t>Indicator 12b</w:t>
            </w:r>
          </w:p>
        </w:tc>
        <w:tc>
          <w:tcPr>
            <w:tcW w:w="482" w:type="dxa"/>
            <w:shd w:val="clear" w:color="auto" w:fill="F2F2F2" w:themeFill="background1" w:themeFillShade="F2"/>
            <w:tcMar>
              <w:top w:w="91" w:type="dxa"/>
              <w:left w:w="57" w:type="dxa"/>
              <w:bottom w:w="142" w:type="dxa"/>
              <w:right w:w="57" w:type="dxa"/>
            </w:tcMar>
            <w:textDirection w:val="btLr"/>
            <w:vAlign w:val="center"/>
          </w:tcPr>
          <w:p w14:paraId="65DA60E1" w14:textId="77777777" w:rsidR="00D6403A" w:rsidRPr="00AD0A1A" w:rsidRDefault="00D6403A" w:rsidP="001726E8">
            <w:pPr>
              <w:pStyle w:val="Tableheader"/>
              <w:spacing w:line="140" w:lineRule="exact"/>
              <w:rPr>
                <w:sz w:val="12"/>
                <w:szCs w:val="12"/>
              </w:rPr>
            </w:pPr>
            <w:r w:rsidRPr="00AD0A1A">
              <w:rPr>
                <w:sz w:val="12"/>
                <w:szCs w:val="12"/>
              </w:rPr>
              <w:t>Indicator 13</w:t>
            </w:r>
          </w:p>
        </w:tc>
        <w:tc>
          <w:tcPr>
            <w:tcW w:w="340" w:type="dxa"/>
            <w:shd w:val="clear" w:color="auto" w:fill="F2F2F2" w:themeFill="background1" w:themeFillShade="F2"/>
            <w:tcMar>
              <w:top w:w="91" w:type="dxa"/>
              <w:left w:w="57" w:type="dxa"/>
              <w:bottom w:w="142" w:type="dxa"/>
              <w:right w:w="57" w:type="dxa"/>
            </w:tcMar>
            <w:textDirection w:val="btLr"/>
            <w:vAlign w:val="center"/>
          </w:tcPr>
          <w:p w14:paraId="05C37481" w14:textId="77777777" w:rsidR="00D6403A" w:rsidRPr="00AD0A1A" w:rsidRDefault="00D6403A" w:rsidP="001726E8">
            <w:pPr>
              <w:pStyle w:val="Tableheader"/>
              <w:spacing w:line="140" w:lineRule="exact"/>
              <w:rPr>
                <w:sz w:val="12"/>
                <w:szCs w:val="12"/>
              </w:rPr>
            </w:pPr>
            <w:r w:rsidRPr="00AD0A1A">
              <w:rPr>
                <w:sz w:val="12"/>
                <w:szCs w:val="12"/>
              </w:rPr>
              <w:t>Indicators in most favourable</w:t>
            </w:r>
          </w:p>
        </w:tc>
        <w:tc>
          <w:tcPr>
            <w:tcW w:w="340" w:type="dxa"/>
            <w:shd w:val="clear" w:color="auto" w:fill="F2F2F2" w:themeFill="background1" w:themeFillShade="F2"/>
            <w:tcMar>
              <w:top w:w="91" w:type="dxa"/>
              <w:left w:w="57" w:type="dxa"/>
              <w:bottom w:w="142" w:type="dxa"/>
              <w:right w:w="57" w:type="dxa"/>
            </w:tcMar>
            <w:textDirection w:val="btLr"/>
            <w:vAlign w:val="center"/>
          </w:tcPr>
          <w:p w14:paraId="36592765" w14:textId="77777777" w:rsidR="00D6403A" w:rsidRPr="00AD0A1A" w:rsidRDefault="00D6403A" w:rsidP="001726E8">
            <w:pPr>
              <w:pStyle w:val="Tableheader"/>
              <w:spacing w:line="140" w:lineRule="exact"/>
              <w:rPr>
                <w:sz w:val="12"/>
                <w:szCs w:val="12"/>
              </w:rPr>
            </w:pPr>
            <w:r w:rsidRPr="00AD0A1A">
              <w:rPr>
                <w:sz w:val="12"/>
                <w:szCs w:val="12"/>
              </w:rPr>
              <w:t>Indicators in least favourable</w:t>
            </w:r>
          </w:p>
        </w:tc>
      </w:tr>
      <w:tr w:rsidR="00D6403A" w:rsidRPr="0004279D" w14:paraId="000A38D6" w14:textId="77777777" w:rsidTr="001726E8">
        <w:trPr>
          <w:trHeight w:val="352"/>
        </w:trPr>
        <w:tc>
          <w:tcPr>
            <w:tcW w:w="1417" w:type="dxa"/>
            <w:tcMar>
              <w:top w:w="96" w:type="dxa"/>
              <w:left w:w="113" w:type="dxa"/>
              <w:bottom w:w="96" w:type="dxa"/>
              <w:right w:w="0" w:type="dxa"/>
            </w:tcMar>
          </w:tcPr>
          <w:p w14:paraId="31564B66"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Statewide</w:t>
            </w:r>
          </w:p>
        </w:tc>
        <w:tc>
          <w:tcPr>
            <w:tcW w:w="340" w:type="dxa"/>
            <w:tcMar>
              <w:top w:w="96" w:type="dxa"/>
              <w:left w:w="57" w:type="dxa"/>
              <w:bottom w:w="96" w:type="dxa"/>
              <w:right w:w="71" w:type="dxa"/>
            </w:tcMar>
          </w:tcPr>
          <w:p w14:paraId="569763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482" w:type="dxa"/>
            <w:tcMar>
              <w:top w:w="96" w:type="dxa"/>
              <w:left w:w="57" w:type="dxa"/>
              <w:bottom w:w="96" w:type="dxa"/>
              <w:right w:w="71" w:type="dxa"/>
            </w:tcMar>
          </w:tcPr>
          <w:p w14:paraId="08E0FC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81,434</w:t>
            </w:r>
          </w:p>
        </w:tc>
        <w:tc>
          <w:tcPr>
            <w:tcW w:w="482" w:type="dxa"/>
            <w:tcMar>
              <w:top w:w="96" w:type="dxa"/>
              <w:left w:w="57" w:type="dxa"/>
              <w:bottom w:w="96" w:type="dxa"/>
              <w:right w:w="71" w:type="dxa"/>
            </w:tcMar>
          </w:tcPr>
          <w:p w14:paraId="3A3EA5B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15.0%</w:t>
            </w:r>
          </w:p>
        </w:tc>
        <w:tc>
          <w:tcPr>
            <w:tcW w:w="482" w:type="dxa"/>
            <w:tcMar>
              <w:top w:w="96" w:type="dxa"/>
              <w:left w:w="57" w:type="dxa"/>
              <w:bottom w:w="96" w:type="dxa"/>
              <w:right w:w="71" w:type="dxa"/>
            </w:tcMar>
          </w:tcPr>
          <w:p w14:paraId="1068828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18.3%</w:t>
            </w:r>
          </w:p>
        </w:tc>
        <w:tc>
          <w:tcPr>
            <w:tcW w:w="482" w:type="dxa"/>
            <w:tcMar>
              <w:top w:w="96" w:type="dxa"/>
              <w:left w:w="57" w:type="dxa"/>
              <w:bottom w:w="96" w:type="dxa"/>
              <w:right w:w="71" w:type="dxa"/>
            </w:tcMar>
          </w:tcPr>
          <w:p w14:paraId="146514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32.4%</w:t>
            </w:r>
          </w:p>
        </w:tc>
        <w:tc>
          <w:tcPr>
            <w:tcW w:w="482" w:type="dxa"/>
            <w:tcMar>
              <w:top w:w="96" w:type="dxa"/>
              <w:left w:w="57" w:type="dxa"/>
              <w:bottom w:w="96" w:type="dxa"/>
              <w:right w:w="71" w:type="dxa"/>
            </w:tcMar>
          </w:tcPr>
          <w:p w14:paraId="04D4D0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4.0%</w:t>
            </w:r>
          </w:p>
        </w:tc>
        <w:tc>
          <w:tcPr>
            <w:tcW w:w="482" w:type="dxa"/>
            <w:tcMar>
              <w:top w:w="96" w:type="dxa"/>
              <w:left w:w="57" w:type="dxa"/>
              <w:bottom w:w="96" w:type="dxa"/>
              <w:right w:w="71" w:type="dxa"/>
            </w:tcMar>
          </w:tcPr>
          <w:p w14:paraId="734EEB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w:t>
            </w:r>
          </w:p>
        </w:tc>
        <w:tc>
          <w:tcPr>
            <w:tcW w:w="482" w:type="dxa"/>
            <w:tcMar>
              <w:top w:w="96" w:type="dxa"/>
              <w:left w:w="57" w:type="dxa"/>
              <w:bottom w:w="96" w:type="dxa"/>
              <w:right w:w="71" w:type="dxa"/>
            </w:tcMar>
          </w:tcPr>
          <w:p w14:paraId="35B81D1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26.6%</w:t>
            </w:r>
          </w:p>
        </w:tc>
        <w:tc>
          <w:tcPr>
            <w:tcW w:w="482" w:type="dxa"/>
            <w:tcMar>
              <w:top w:w="96" w:type="dxa"/>
              <w:left w:w="57" w:type="dxa"/>
              <w:bottom w:w="96" w:type="dxa"/>
              <w:right w:w="71" w:type="dxa"/>
            </w:tcMar>
          </w:tcPr>
          <w:p w14:paraId="7341CA0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86.5%</w:t>
            </w:r>
          </w:p>
        </w:tc>
        <w:tc>
          <w:tcPr>
            <w:tcW w:w="482" w:type="dxa"/>
            <w:tcMar>
              <w:top w:w="96" w:type="dxa"/>
              <w:left w:w="57" w:type="dxa"/>
              <w:bottom w:w="96" w:type="dxa"/>
              <w:right w:w="71" w:type="dxa"/>
            </w:tcMar>
          </w:tcPr>
          <w:p w14:paraId="3DF18A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64F9DF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20.0%</w:t>
            </w:r>
          </w:p>
        </w:tc>
        <w:tc>
          <w:tcPr>
            <w:tcW w:w="482" w:type="dxa"/>
            <w:tcMar>
              <w:top w:w="96" w:type="dxa"/>
              <w:left w:w="57" w:type="dxa"/>
              <w:bottom w:w="96" w:type="dxa"/>
              <w:right w:w="71" w:type="dxa"/>
            </w:tcMar>
          </w:tcPr>
          <w:p w14:paraId="676C0BF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18.2%</w:t>
            </w:r>
          </w:p>
        </w:tc>
        <w:tc>
          <w:tcPr>
            <w:tcW w:w="482" w:type="dxa"/>
            <w:tcMar>
              <w:top w:w="96" w:type="dxa"/>
              <w:left w:w="57" w:type="dxa"/>
              <w:bottom w:w="96" w:type="dxa"/>
              <w:right w:w="71" w:type="dxa"/>
            </w:tcMar>
          </w:tcPr>
          <w:p w14:paraId="3713A05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21.5%</w:t>
            </w:r>
          </w:p>
        </w:tc>
        <w:tc>
          <w:tcPr>
            <w:tcW w:w="482" w:type="dxa"/>
            <w:tcMar>
              <w:top w:w="96" w:type="dxa"/>
              <w:left w:w="57" w:type="dxa"/>
              <w:bottom w:w="96" w:type="dxa"/>
              <w:right w:w="71" w:type="dxa"/>
            </w:tcMar>
          </w:tcPr>
          <w:p w14:paraId="06FA86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54.3%</w:t>
            </w:r>
          </w:p>
        </w:tc>
        <w:tc>
          <w:tcPr>
            <w:tcW w:w="482" w:type="dxa"/>
            <w:tcMar>
              <w:top w:w="96" w:type="dxa"/>
              <w:left w:w="57" w:type="dxa"/>
              <w:bottom w:w="96" w:type="dxa"/>
              <w:right w:w="71" w:type="dxa"/>
            </w:tcMar>
          </w:tcPr>
          <w:p w14:paraId="540DF5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368CB76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tcMar>
              <w:top w:w="96" w:type="dxa"/>
              <w:left w:w="57" w:type="dxa"/>
              <w:bottom w:w="96" w:type="dxa"/>
              <w:right w:w="71" w:type="dxa"/>
            </w:tcMar>
          </w:tcPr>
          <w:p w14:paraId="4F65BB3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CCC3F6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31.4%</w:t>
            </w:r>
          </w:p>
        </w:tc>
        <w:tc>
          <w:tcPr>
            <w:tcW w:w="482" w:type="dxa"/>
            <w:tcMar>
              <w:top w:w="96" w:type="dxa"/>
              <w:left w:w="57" w:type="dxa"/>
              <w:bottom w:w="96" w:type="dxa"/>
              <w:right w:w="71" w:type="dxa"/>
            </w:tcMar>
          </w:tcPr>
          <w:p w14:paraId="12A8B65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95.5%</w:t>
            </w:r>
          </w:p>
        </w:tc>
        <w:tc>
          <w:tcPr>
            <w:tcW w:w="482" w:type="dxa"/>
            <w:tcMar>
              <w:top w:w="96" w:type="dxa"/>
              <w:left w:w="57" w:type="dxa"/>
              <w:bottom w:w="96" w:type="dxa"/>
              <w:right w:w="71" w:type="dxa"/>
            </w:tcMar>
          </w:tcPr>
          <w:p w14:paraId="6D673D3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30.0%</w:t>
            </w:r>
          </w:p>
        </w:tc>
        <w:tc>
          <w:tcPr>
            <w:tcW w:w="482" w:type="dxa"/>
            <w:tcMar>
              <w:top w:w="96" w:type="dxa"/>
              <w:left w:w="57" w:type="dxa"/>
              <w:bottom w:w="96" w:type="dxa"/>
              <w:right w:w="71" w:type="dxa"/>
            </w:tcMar>
          </w:tcPr>
          <w:p w14:paraId="2CA3F6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74.2%</w:t>
            </w:r>
          </w:p>
        </w:tc>
        <w:tc>
          <w:tcPr>
            <w:tcW w:w="482" w:type="dxa"/>
            <w:tcMar>
              <w:top w:w="96" w:type="dxa"/>
              <w:left w:w="57" w:type="dxa"/>
              <w:bottom w:w="96" w:type="dxa"/>
              <w:right w:w="71" w:type="dxa"/>
            </w:tcMar>
          </w:tcPr>
          <w:p w14:paraId="293F89D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76.5%</w:t>
            </w:r>
          </w:p>
        </w:tc>
        <w:tc>
          <w:tcPr>
            <w:tcW w:w="482" w:type="dxa"/>
            <w:tcMar>
              <w:top w:w="96" w:type="dxa"/>
              <w:left w:w="57" w:type="dxa"/>
              <w:bottom w:w="96" w:type="dxa"/>
              <w:right w:w="71" w:type="dxa"/>
            </w:tcMar>
          </w:tcPr>
          <w:p w14:paraId="0596AFA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tcMar>
              <w:top w:w="96" w:type="dxa"/>
              <w:left w:w="57" w:type="dxa"/>
              <w:bottom w:w="96" w:type="dxa"/>
              <w:right w:w="71" w:type="dxa"/>
            </w:tcMar>
          </w:tcPr>
          <w:p w14:paraId="00DD71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A4ED7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DB8CF3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81.4%</w:t>
            </w:r>
          </w:p>
        </w:tc>
        <w:tc>
          <w:tcPr>
            <w:tcW w:w="482" w:type="dxa"/>
            <w:tcMar>
              <w:top w:w="96" w:type="dxa"/>
              <w:left w:w="57" w:type="dxa"/>
              <w:bottom w:w="96" w:type="dxa"/>
              <w:right w:w="71" w:type="dxa"/>
            </w:tcMar>
          </w:tcPr>
          <w:p w14:paraId="45F2B28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73.7%</w:t>
            </w:r>
          </w:p>
        </w:tc>
        <w:tc>
          <w:tcPr>
            <w:tcW w:w="482" w:type="dxa"/>
            <w:tcMar>
              <w:top w:w="96" w:type="dxa"/>
              <w:left w:w="57" w:type="dxa"/>
              <w:bottom w:w="96" w:type="dxa"/>
              <w:right w:w="71" w:type="dxa"/>
            </w:tcMar>
          </w:tcPr>
          <w:p w14:paraId="0AB778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w:t>
            </w:r>
          </w:p>
        </w:tc>
        <w:tc>
          <w:tcPr>
            <w:tcW w:w="340" w:type="dxa"/>
            <w:tcMar>
              <w:top w:w="96" w:type="dxa"/>
              <w:left w:w="57" w:type="dxa"/>
              <w:bottom w:w="96" w:type="dxa"/>
              <w:right w:w="71" w:type="dxa"/>
            </w:tcMar>
          </w:tcPr>
          <w:p w14:paraId="3BA8CE6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340" w:type="dxa"/>
            <w:tcMar>
              <w:top w:w="96" w:type="dxa"/>
              <w:left w:w="57" w:type="dxa"/>
              <w:bottom w:w="96" w:type="dxa"/>
              <w:right w:w="71" w:type="dxa"/>
            </w:tcMar>
          </w:tcPr>
          <w:p w14:paraId="56045A5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r>
      <w:tr w:rsidR="00D6403A" w:rsidRPr="0004279D" w14:paraId="5416F01C" w14:textId="77777777" w:rsidTr="001726E8">
        <w:trPr>
          <w:trHeight w:val="283"/>
        </w:trPr>
        <w:tc>
          <w:tcPr>
            <w:tcW w:w="1417" w:type="dxa"/>
            <w:tcMar>
              <w:top w:w="96" w:type="dxa"/>
              <w:left w:w="113" w:type="dxa"/>
              <w:bottom w:w="96" w:type="dxa"/>
              <w:right w:w="0" w:type="dxa"/>
            </w:tcMar>
          </w:tcPr>
          <w:p w14:paraId="233327EF"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Public hospitals</w:t>
            </w:r>
          </w:p>
        </w:tc>
        <w:tc>
          <w:tcPr>
            <w:tcW w:w="340" w:type="dxa"/>
            <w:tcMar>
              <w:top w:w="96" w:type="dxa"/>
              <w:left w:w="57" w:type="dxa"/>
              <w:bottom w:w="96" w:type="dxa"/>
              <w:right w:w="71" w:type="dxa"/>
            </w:tcMar>
          </w:tcPr>
          <w:p w14:paraId="7C8FCC8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482" w:type="dxa"/>
            <w:tcMar>
              <w:top w:w="96" w:type="dxa"/>
              <w:left w:w="57" w:type="dxa"/>
              <w:bottom w:w="96" w:type="dxa"/>
              <w:right w:w="71" w:type="dxa"/>
            </w:tcMar>
          </w:tcPr>
          <w:p w14:paraId="33A609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62,550</w:t>
            </w:r>
          </w:p>
        </w:tc>
        <w:tc>
          <w:tcPr>
            <w:tcW w:w="482" w:type="dxa"/>
            <w:tcMar>
              <w:top w:w="96" w:type="dxa"/>
              <w:left w:w="57" w:type="dxa"/>
              <w:bottom w:w="96" w:type="dxa"/>
              <w:right w:w="71" w:type="dxa"/>
            </w:tcMar>
          </w:tcPr>
          <w:p w14:paraId="03D4834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11.0%</w:t>
            </w:r>
          </w:p>
        </w:tc>
        <w:tc>
          <w:tcPr>
            <w:tcW w:w="482" w:type="dxa"/>
            <w:tcMar>
              <w:top w:w="96" w:type="dxa"/>
              <w:left w:w="57" w:type="dxa"/>
              <w:bottom w:w="96" w:type="dxa"/>
              <w:right w:w="71" w:type="dxa"/>
            </w:tcMar>
          </w:tcPr>
          <w:p w14:paraId="0ABE070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17.2%</w:t>
            </w:r>
          </w:p>
        </w:tc>
        <w:tc>
          <w:tcPr>
            <w:tcW w:w="482" w:type="dxa"/>
            <w:tcMar>
              <w:top w:w="96" w:type="dxa"/>
              <w:left w:w="57" w:type="dxa"/>
              <w:bottom w:w="96" w:type="dxa"/>
              <w:right w:w="71" w:type="dxa"/>
            </w:tcMar>
          </w:tcPr>
          <w:p w14:paraId="37205A2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32.4%</w:t>
            </w:r>
          </w:p>
        </w:tc>
        <w:tc>
          <w:tcPr>
            <w:tcW w:w="482" w:type="dxa"/>
            <w:tcMar>
              <w:top w:w="96" w:type="dxa"/>
              <w:left w:w="57" w:type="dxa"/>
              <w:bottom w:w="96" w:type="dxa"/>
              <w:right w:w="71" w:type="dxa"/>
            </w:tcMar>
          </w:tcPr>
          <w:p w14:paraId="6F2F765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4.6%</w:t>
            </w:r>
          </w:p>
        </w:tc>
        <w:tc>
          <w:tcPr>
            <w:tcW w:w="482" w:type="dxa"/>
            <w:tcMar>
              <w:top w:w="96" w:type="dxa"/>
              <w:left w:w="57" w:type="dxa"/>
              <w:bottom w:w="96" w:type="dxa"/>
              <w:right w:w="71" w:type="dxa"/>
            </w:tcMar>
          </w:tcPr>
          <w:p w14:paraId="0ADCB2B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5.8%</w:t>
            </w:r>
          </w:p>
        </w:tc>
        <w:tc>
          <w:tcPr>
            <w:tcW w:w="482" w:type="dxa"/>
            <w:tcMar>
              <w:top w:w="96" w:type="dxa"/>
              <w:left w:w="57" w:type="dxa"/>
              <w:bottom w:w="96" w:type="dxa"/>
              <w:right w:w="71" w:type="dxa"/>
            </w:tcMar>
          </w:tcPr>
          <w:p w14:paraId="4FC0E3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26.2%</w:t>
            </w:r>
          </w:p>
        </w:tc>
        <w:tc>
          <w:tcPr>
            <w:tcW w:w="482" w:type="dxa"/>
            <w:tcMar>
              <w:top w:w="96" w:type="dxa"/>
              <w:left w:w="57" w:type="dxa"/>
              <w:bottom w:w="96" w:type="dxa"/>
              <w:right w:w="71" w:type="dxa"/>
            </w:tcMar>
          </w:tcPr>
          <w:p w14:paraId="35ED61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91.2%</w:t>
            </w:r>
          </w:p>
        </w:tc>
        <w:tc>
          <w:tcPr>
            <w:tcW w:w="482" w:type="dxa"/>
            <w:tcMar>
              <w:top w:w="96" w:type="dxa"/>
              <w:left w:w="57" w:type="dxa"/>
              <w:bottom w:w="96" w:type="dxa"/>
              <w:right w:w="71" w:type="dxa"/>
            </w:tcMar>
          </w:tcPr>
          <w:p w14:paraId="6EB649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11.0%</w:t>
            </w:r>
          </w:p>
        </w:tc>
        <w:tc>
          <w:tcPr>
            <w:tcW w:w="482" w:type="dxa"/>
            <w:tcMar>
              <w:top w:w="96" w:type="dxa"/>
              <w:left w:w="57" w:type="dxa"/>
              <w:bottom w:w="96" w:type="dxa"/>
              <w:right w:w="71" w:type="dxa"/>
            </w:tcMar>
          </w:tcPr>
          <w:p w14:paraId="62335B2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20.6%</w:t>
            </w:r>
          </w:p>
        </w:tc>
        <w:tc>
          <w:tcPr>
            <w:tcW w:w="482" w:type="dxa"/>
            <w:tcMar>
              <w:top w:w="96" w:type="dxa"/>
              <w:left w:w="57" w:type="dxa"/>
              <w:bottom w:w="96" w:type="dxa"/>
              <w:right w:w="71" w:type="dxa"/>
            </w:tcMar>
          </w:tcPr>
          <w:p w14:paraId="673C29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16.8%</w:t>
            </w:r>
          </w:p>
        </w:tc>
        <w:tc>
          <w:tcPr>
            <w:tcW w:w="482" w:type="dxa"/>
            <w:tcMar>
              <w:top w:w="96" w:type="dxa"/>
              <w:left w:w="57" w:type="dxa"/>
              <w:bottom w:w="96" w:type="dxa"/>
              <w:right w:w="71" w:type="dxa"/>
            </w:tcMar>
          </w:tcPr>
          <w:p w14:paraId="0A16C0A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26.0%</w:t>
            </w:r>
          </w:p>
        </w:tc>
        <w:tc>
          <w:tcPr>
            <w:tcW w:w="482" w:type="dxa"/>
            <w:tcMar>
              <w:top w:w="96" w:type="dxa"/>
              <w:left w:w="57" w:type="dxa"/>
              <w:bottom w:w="96" w:type="dxa"/>
              <w:right w:w="71" w:type="dxa"/>
            </w:tcMar>
          </w:tcPr>
          <w:p w14:paraId="25E9064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54.1%</w:t>
            </w:r>
          </w:p>
        </w:tc>
        <w:tc>
          <w:tcPr>
            <w:tcW w:w="482" w:type="dxa"/>
            <w:tcMar>
              <w:top w:w="96" w:type="dxa"/>
              <w:left w:w="57" w:type="dxa"/>
              <w:bottom w:w="96" w:type="dxa"/>
              <w:right w:w="71" w:type="dxa"/>
            </w:tcMar>
          </w:tcPr>
          <w:p w14:paraId="77A3B7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EB249F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w:t>
            </w:r>
          </w:p>
        </w:tc>
        <w:tc>
          <w:tcPr>
            <w:tcW w:w="482" w:type="dxa"/>
            <w:tcMar>
              <w:top w:w="96" w:type="dxa"/>
              <w:left w:w="57" w:type="dxa"/>
              <w:bottom w:w="96" w:type="dxa"/>
              <w:right w:w="71" w:type="dxa"/>
            </w:tcMar>
          </w:tcPr>
          <w:p w14:paraId="78CC2C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w:t>
            </w:r>
          </w:p>
        </w:tc>
        <w:tc>
          <w:tcPr>
            <w:tcW w:w="482" w:type="dxa"/>
            <w:tcMar>
              <w:top w:w="96" w:type="dxa"/>
              <w:left w:w="57" w:type="dxa"/>
              <w:bottom w:w="96" w:type="dxa"/>
              <w:right w:w="71" w:type="dxa"/>
            </w:tcMar>
          </w:tcPr>
          <w:p w14:paraId="4BE4294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30.5%</w:t>
            </w:r>
          </w:p>
        </w:tc>
        <w:tc>
          <w:tcPr>
            <w:tcW w:w="482" w:type="dxa"/>
            <w:tcMar>
              <w:top w:w="96" w:type="dxa"/>
              <w:left w:w="57" w:type="dxa"/>
              <w:bottom w:w="96" w:type="dxa"/>
              <w:right w:w="71" w:type="dxa"/>
            </w:tcMar>
          </w:tcPr>
          <w:p w14:paraId="0B1191F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95.4%</w:t>
            </w:r>
          </w:p>
        </w:tc>
        <w:tc>
          <w:tcPr>
            <w:tcW w:w="482" w:type="dxa"/>
            <w:tcMar>
              <w:top w:w="96" w:type="dxa"/>
              <w:left w:w="57" w:type="dxa"/>
              <w:bottom w:w="96" w:type="dxa"/>
              <w:right w:w="71" w:type="dxa"/>
            </w:tcMar>
          </w:tcPr>
          <w:p w14:paraId="3C18A70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26.7%</w:t>
            </w:r>
          </w:p>
        </w:tc>
        <w:tc>
          <w:tcPr>
            <w:tcW w:w="482" w:type="dxa"/>
            <w:tcMar>
              <w:top w:w="96" w:type="dxa"/>
              <w:left w:w="57" w:type="dxa"/>
              <w:bottom w:w="96" w:type="dxa"/>
              <w:right w:w="71" w:type="dxa"/>
            </w:tcMar>
          </w:tcPr>
          <w:p w14:paraId="18CBFD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76.6%</w:t>
            </w:r>
          </w:p>
        </w:tc>
        <w:tc>
          <w:tcPr>
            <w:tcW w:w="482" w:type="dxa"/>
            <w:tcMar>
              <w:top w:w="96" w:type="dxa"/>
              <w:left w:w="57" w:type="dxa"/>
              <w:bottom w:w="96" w:type="dxa"/>
              <w:right w:w="71" w:type="dxa"/>
            </w:tcMar>
          </w:tcPr>
          <w:p w14:paraId="64C7ED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73.4%</w:t>
            </w:r>
          </w:p>
        </w:tc>
        <w:tc>
          <w:tcPr>
            <w:tcW w:w="482" w:type="dxa"/>
            <w:tcMar>
              <w:top w:w="96" w:type="dxa"/>
              <w:left w:w="57" w:type="dxa"/>
              <w:bottom w:w="96" w:type="dxa"/>
              <w:right w:w="71" w:type="dxa"/>
            </w:tcMar>
          </w:tcPr>
          <w:p w14:paraId="64F188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2114324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71.2%</w:t>
            </w:r>
          </w:p>
        </w:tc>
        <w:tc>
          <w:tcPr>
            <w:tcW w:w="482" w:type="dxa"/>
            <w:tcMar>
              <w:top w:w="96" w:type="dxa"/>
              <w:left w:w="57" w:type="dxa"/>
              <w:bottom w:w="96" w:type="dxa"/>
              <w:right w:w="71" w:type="dxa"/>
            </w:tcMar>
          </w:tcPr>
          <w:p w14:paraId="1ED8BB4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87.2%</w:t>
            </w:r>
          </w:p>
        </w:tc>
        <w:tc>
          <w:tcPr>
            <w:tcW w:w="482" w:type="dxa"/>
            <w:tcMar>
              <w:top w:w="96" w:type="dxa"/>
              <w:left w:w="57" w:type="dxa"/>
              <w:bottom w:w="96" w:type="dxa"/>
              <w:right w:w="71" w:type="dxa"/>
            </w:tcMar>
          </w:tcPr>
          <w:p w14:paraId="7B969B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87.3%</w:t>
            </w:r>
          </w:p>
        </w:tc>
        <w:tc>
          <w:tcPr>
            <w:tcW w:w="482" w:type="dxa"/>
            <w:tcMar>
              <w:top w:w="96" w:type="dxa"/>
              <w:left w:w="57" w:type="dxa"/>
              <w:bottom w:w="96" w:type="dxa"/>
              <w:right w:w="71" w:type="dxa"/>
            </w:tcMar>
          </w:tcPr>
          <w:p w14:paraId="5BD529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73.7%</w:t>
            </w:r>
          </w:p>
        </w:tc>
        <w:tc>
          <w:tcPr>
            <w:tcW w:w="482" w:type="dxa"/>
            <w:tcMar>
              <w:top w:w="96" w:type="dxa"/>
              <w:left w:w="57" w:type="dxa"/>
              <w:bottom w:w="96" w:type="dxa"/>
              <w:right w:w="71" w:type="dxa"/>
            </w:tcMar>
          </w:tcPr>
          <w:p w14:paraId="1BB5F2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340" w:type="dxa"/>
            <w:tcMar>
              <w:top w:w="96" w:type="dxa"/>
              <w:left w:w="57" w:type="dxa"/>
              <w:bottom w:w="96" w:type="dxa"/>
              <w:right w:w="71" w:type="dxa"/>
            </w:tcMar>
          </w:tcPr>
          <w:p w14:paraId="2E1DCE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340" w:type="dxa"/>
            <w:tcMar>
              <w:top w:w="96" w:type="dxa"/>
              <w:left w:w="57" w:type="dxa"/>
              <w:bottom w:w="96" w:type="dxa"/>
              <w:right w:w="71" w:type="dxa"/>
            </w:tcMar>
          </w:tcPr>
          <w:p w14:paraId="487538F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r>
      <w:tr w:rsidR="00D6403A" w:rsidRPr="0004279D" w14:paraId="2682F6BC" w14:textId="77777777" w:rsidTr="001726E8">
        <w:trPr>
          <w:trHeight w:val="283"/>
        </w:trPr>
        <w:tc>
          <w:tcPr>
            <w:tcW w:w="1417" w:type="dxa"/>
            <w:tcMar>
              <w:top w:w="96" w:type="dxa"/>
              <w:left w:w="113" w:type="dxa"/>
              <w:bottom w:w="96" w:type="dxa"/>
              <w:right w:w="0" w:type="dxa"/>
            </w:tcMar>
          </w:tcPr>
          <w:p w14:paraId="0F064B99"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Private hospitals</w:t>
            </w:r>
          </w:p>
        </w:tc>
        <w:tc>
          <w:tcPr>
            <w:tcW w:w="340" w:type="dxa"/>
            <w:tcMar>
              <w:top w:w="96" w:type="dxa"/>
              <w:left w:w="57" w:type="dxa"/>
              <w:bottom w:w="96" w:type="dxa"/>
              <w:right w:w="71" w:type="dxa"/>
            </w:tcMar>
          </w:tcPr>
          <w:p w14:paraId="7F8EF5D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482" w:type="dxa"/>
            <w:tcMar>
              <w:top w:w="96" w:type="dxa"/>
              <w:left w:w="57" w:type="dxa"/>
              <w:bottom w:w="96" w:type="dxa"/>
              <w:right w:w="71" w:type="dxa"/>
            </w:tcMar>
          </w:tcPr>
          <w:p w14:paraId="2A7AEB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18,495</w:t>
            </w:r>
          </w:p>
        </w:tc>
        <w:tc>
          <w:tcPr>
            <w:tcW w:w="482" w:type="dxa"/>
            <w:tcMar>
              <w:top w:w="96" w:type="dxa"/>
              <w:left w:w="57" w:type="dxa"/>
              <w:bottom w:w="96" w:type="dxa"/>
              <w:right w:w="71" w:type="dxa"/>
            </w:tcMar>
          </w:tcPr>
          <w:p w14:paraId="48A8E9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21.7%</w:t>
            </w:r>
          </w:p>
        </w:tc>
        <w:tc>
          <w:tcPr>
            <w:tcW w:w="482" w:type="dxa"/>
            <w:tcMar>
              <w:top w:w="96" w:type="dxa"/>
              <w:left w:w="57" w:type="dxa"/>
              <w:bottom w:w="96" w:type="dxa"/>
              <w:right w:w="71" w:type="dxa"/>
            </w:tcMar>
          </w:tcPr>
          <w:p w14:paraId="13225EC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23.5%</w:t>
            </w:r>
          </w:p>
        </w:tc>
        <w:tc>
          <w:tcPr>
            <w:tcW w:w="482" w:type="dxa"/>
            <w:tcMar>
              <w:top w:w="96" w:type="dxa"/>
              <w:left w:w="57" w:type="dxa"/>
              <w:bottom w:w="96" w:type="dxa"/>
              <w:right w:w="71" w:type="dxa"/>
            </w:tcMar>
          </w:tcPr>
          <w:p w14:paraId="289A7E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32.6%</w:t>
            </w:r>
          </w:p>
        </w:tc>
        <w:tc>
          <w:tcPr>
            <w:tcW w:w="482" w:type="dxa"/>
            <w:tcMar>
              <w:top w:w="96" w:type="dxa"/>
              <w:left w:w="57" w:type="dxa"/>
              <w:bottom w:w="96" w:type="dxa"/>
              <w:right w:w="71" w:type="dxa"/>
            </w:tcMar>
          </w:tcPr>
          <w:p w14:paraId="49E8C4D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01D55E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482" w:type="dxa"/>
            <w:tcMar>
              <w:top w:w="96" w:type="dxa"/>
              <w:left w:w="57" w:type="dxa"/>
              <w:bottom w:w="96" w:type="dxa"/>
              <w:right w:w="71" w:type="dxa"/>
            </w:tcMar>
          </w:tcPr>
          <w:p w14:paraId="718503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30.3%</w:t>
            </w:r>
          </w:p>
        </w:tc>
        <w:tc>
          <w:tcPr>
            <w:tcW w:w="482" w:type="dxa"/>
            <w:tcMar>
              <w:top w:w="96" w:type="dxa"/>
              <w:left w:w="57" w:type="dxa"/>
              <w:bottom w:w="96" w:type="dxa"/>
              <w:right w:w="71" w:type="dxa"/>
            </w:tcMar>
          </w:tcPr>
          <w:p w14:paraId="16D74D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73.1%</w:t>
            </w:r>
          </w:p>
        </w:tc>
        <w:tc>
          <w:tcPr>
            <w:tcW w:w="482" w:type="dxa"/>
            <w:tcMar>
              <w:top w:w="96" w:type="dxa"/>
              <w:left w:w="57" w:type="dxa"/>
              <w:bottom w:w="96" w:type="dxa"/>
              <w:right w:w="71" w:type="dxa"/>
            </w:tcMar>
          </w:tcPr>
          <w:p w14:paraId="5CB8D64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A00F8D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17.5%</w:t>
            </w:r>
          </w:p>
        </w:tc>
        <w:tc>
          <w:tcPr>
            <w:tcW w:w="482" w:type="dxa"/>
            <w:tcMar>
              <w:top w:w="96" w:type="dxa"/>
              <w:left w:w="57" w:type="dxa"/>
              <w:bottom w:w="96" w:type="dxa"/>
              <w:right w:w="71" w:type="dxa"/>
            </w:tcMar>
          </w:tcPr>
          <w:p w14:paraId="52585AC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22.1%</w:t>
            </w:r>
          </w:p>
        </w:tc>
        <w:tc>
          <w:tcPr>
            <w:tcW w:w="482" w:type="dxa"/>
            <w:tcMar>
              <w:top w:w="96" w:type="dxa"/>
              <w:left w:w="57" w:type="dxa"/>
              <w:bottom w:w="96" w:type="dxa"/>
              <w:right w:w="71" w:type="dxa"/>
            </w:tcMar>
          </w:tcPr>
          <w:p w14:paraId="229E6C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11.3%</w:t>
            </w:r>
          </w:p>
        </w:tc>
        <w:tc>
          <w:tcPr>
            <w:tcW w:w="482" w:type="dxa"/>
            <w:tcMar>
              <w:top w:w="96" w:type="dxa"/>
              <w:left w:w="57" w:type="dxa"/>
              <w:bottom w:w="96" w:type="dxa"/>
              <w:right w:w="71" w:type="dxa"/>
            </w:tcMar>
          </w:tcPr>
          <w:p w14:paraId="32B4D1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52.6%</w:t>
            </w:r>
          </w:p>
        </w:tc>
        <w:tc>
          <w:tcPr>
            <w:tcW w:w="482" w:type="dxa"/>
            <w:tcMar>
              <w:top w:w="96" w:type="dxa"/>
              <w:left w:w="57" w:type="dxa"/>
              <w:bottom w:w="96" w:type="dxa"/>
              <w:right w:w="71" w:type="dxa"/>
            </w:tcMar>
          </w:tcPr>
          <w:p w14:paraId="5DC6962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67C445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0856B1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0E235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57.3%</w:t>
            </w:r>
          </w:p>
        </w:tc>
        <w:tc>
          <w:tcPr>
            <w:tcW w:w="482" w:type="dxa"/>
            <w:tcMar>
              <w:top w:w="96" w:type="dxa"/>
              <w:left w:w="57" w:type="dxa"/>
              <w:bottom w:w="96" w:type="dxa"/>
              <w:right w:w="71" w:type="dxa"/>
            </w:tcMar>
          </w:tcPr>
          <w:p w14:paraId="0120277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95.8%</w:t>
            </w:r>
          </w:p>
        </w:tc>
        <w:tc>
          <w:tcPr>
            <w:tcW w:w="482" w:type="dxa"/>
            <w:tcMar>
              <w:top w:w="96" w:type="dxa"/>
              <w:left w:w="57" w:type="dxa"/>
              <w:bottom w:w="96" w:type="dxa"/>
              <w:right w:w="71" w:type="dxa"/>
            </w:tcMar>
          </w:tcPr>
          <w:p w14:paraId="4995F7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42.0%</w:t>
            </w:r>
          </w:p>
        </w:tc>
        <w:tc>
          <w:tcPr>
            <w:tcW w:w="482" w:type="dxa"/>
            <w:tcMar>
              <w:top w:w="96" w:type="dxa"/>
              <w:left w:w="57" w:type="dxa"/>
              <w:bottom w:w="96" w:type="dxa"/>
              <w:right w:w="71" w:type="dxa"/>
            </w:tcMar>
          </w:tcPr>
          <w:p w14:paraId="1938C95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65.4%</w:t>
            </w:r>
          </w:p>
        </w:tc>
        <w:tc>
          <w:tcPr>
            <w:tcW w:w="482" w:type="dxa"/>
            <w:tcMar>
              <w:top w:w="96" w:type="dxa"/>
              <w:left w:w="57" w:type="dxa"/>
              <w:bottom w:w="96" w:type="dxa"/>
              <w:right w:w="71" w:type="dxa"/>
            </w:tcMar>
          </w:tcPr>
          <w:p w14:paraId="328FB7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87.6%</w:t>
            </w:r>
          </w:p>
        </w:tc>
        <w:tc>
          <w:tcPr>
            <w:tcW w:w="482" w:type="dxa"/>
            <w:tcMar>
              <w:top w:w="96" w:type="dxa"/>
              <w:left w:w="57" w:type="dxa"/>
              <w:bottom w:w="96" w:type="dxa"/>
              <w:right w:w="71" w:type="dxa"/>
            </w:tcMar>
          </w:tcPr>
          <w:p w14:paraId="4E765D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2DFA7BB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D68CBF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86563D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62.4%</w:t>
            </w:r>
          </w:p>
        </w:tc>
        <w:tc>
          <w:tcPr>
            <w:tcW w:w="482" w:type="dxa"/>
            <w:tcMar>
              <w:top w:w="96" w:type="dxa"/>
              <w:left w:w="57" w:type="dxa"/>
              <w:bottom w:w="96" w:type="dxa"/>
              <w:right w:w="71" w:type="dxa"/>
            </w:tcMar>
          </w:tcPr>
          <w:p w14:paraId="24B460C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74.7%</w:t>
            </w:r>
          </w:p>
        </w:tc>
        <w:tc>
          <w:tcPr>
            <w:tcW w:w="482" w:type="dxa"/>
            <w:tcMar>
              <w:top w:w="96" w:type="dxa"/>
              <w:left w:w="57" w:type="dxa"/>
              <w:bottom w:w="96" w:type="dxa"/>
              <w:right w:w="71" w:type="dxa"/>
            </w:tcMar>
          </w:tcPr>
          <w:p w14:paraId="36F0E6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340" w:type="dxa"/>
            <w:tcMar>
              <w:top w:w="96" w:type="dxa"/>
              <w:left w:w="57" w:type="dxa"/>
              <w:bottom w:w="96" w:type="dxa"/>
              <w:right w:w="71" w:type="dxa"/>
            </w:tcMar>
          </w:tcPr>
          <w:p w14:paraId="52B504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340" w:type="dxa"/>
            <w:tcMar>
              <w:top w:w="96" w:type="dxa"/>
              <w:left w:w="57" w:type="dxa"/>
              <w:bottom w:w="96" w:type="dxa"/>
              <w:right w:w="71" w:type="dxa"/>
            </w:tcMar>
          </w:tcPr>
          <w:p w14:paraId="0583A5F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r>
      <w:tr w:rsidR="00D6403A" w:rsidRPr="0004279D" w14:paraId="3716E743" w14:textId="77777777" w:rsidTr="001726E8">
        <w:trPr>
          <w:trHeight w:val="283"/>
        </w:trPr>
        <w:tc>
          <w:tcPr>
            <w:tcW w:w="1417" w:type="dxa"/>
            <w:tcMar>
              <w:top w:w="96" w:type="dxa"/>
              <w:left w:w="113" w:type="dxa"/>
              <w:bottom w:w="96" w:type="dxa"/>
              <w:right w:w="0" w:type="dxa"/>
            </w:tcMar>
          </w:tcPr>
          <w:p w14:paraId="09404365" w14:textId="77777777" w:rsidR="00D6403A" w:rsidRPr="00AD0A1A" w:rsidRDefault="00D6403A" w:rsidP="001726E8">
            <w:pPr>
              <w:pStyle w:val="Tabletext"/>
              <w:spacing w:before="0" w:after="0" w:line="240" w:lineRule="auto"/>
              <w:rPr>
                <w:sz w:val="12"/>
                <w:szCs w:val="12"/>
              </w:rPr>
            </w:pPr>
            <w:r w:rsidRPr="00AD0A1A">
              <w:rPr>
                <w:sz w:val="12"/>
                <w:szCs w:val="12"/>
              </w:rPr>
              <w:t>Least favourable quartile</w:t>
            </w:r>
          </w:p>
        </w:tc>
        <w:tc>
          <w:tcPr>
            <w:tcW w:w="340" w:type="dxa"/>
            <w:tcMar>
              <w:top w:w="96" w:type="dxa"/>
              <w:left w:w="57" w:type="dxa"/>
              <w:bottom w:w="96" w:type="dxa"/>
              <w:right w:w="71" w:type="dxa"/>
            </w:tcMar>
          </w:tcPr>
          <w:p w14:paraId="01663CE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482" w:type="dxa"/>
            <w:tcMar>
              <w:top w:w="96" w:type="dxa"/>
              <w:left w:w="57" w:type="dxa"/>
              <w:bottom w:w="96" w:type="dxa"/>
              <w:right w:w="71" w:type="dxa"/>
            </w:tcMar>
          </w:tcPr>
          <w:p w14:paraId="4A3B41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482" w:type="dxa"/>
            <w:tcMar>
              <w:top w:w="96" w:type="dxa"/>
              <w:left w:w="57" w:type="dxa"/>
              <w:bottom w:w="96" w:type="dxa"/>
              <w:right w:w="71" w:type="dxa"/>
            </w:tcMar>
          </w:tcPr>
          <w:p w14:paraId="5E3E9FA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23.0%</w:t>
            </w:r>
          </w:p>
        </w:tc>
        <w:tc>
          <w:tcPr>
            <w:tcW w:w="482" w:type="dxa"/>
            <w:tcMar>
              <w:top w:w="96" w:type="dxa"/>
              <w:left w:w="57" w:type="dxa"/>
              <w:bottom w:w="96" w:type="dxa"/>
              <w:right w:w="71" w:type="dxa"/>
            </w:tcMar>
          </w:tcPr>
          <w:p w14:paraId="23808B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26.8%</w:t>
            </w:r>
          </w:p>
        </w:tc>
        <w:tc>
          <w:tcPr>
            <w:tcW w:w="482" w:type="dxa"/>
            <w:tcMar>
              <w:top w:w="96" w:type="dxa"/>
              <w:left w:w="57" w:type="dxa"/>
              <w:bottom w:w="96" w:type="dxa"/>
              <w:right w:w="71" w:type="dxa"/>
            </w:tcMar>
          </w:tcPr>
          <w:p w14:paraId="1573F38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41.6%</w:t>
            </w:r>
          </w:p>
        </w:tc>
        <w:tc>
          <w:tcPr>
            <w:tcW w:w="482" w:type="dxa"/>
            <w:tcMar>
              <w:top w:w="96" w:type="dxa"/>
              <w:left w:w="57" w:type="dxa"/>
              <w:bottom w:w="96" w:type="dxa"/>
              <w:right w:w="71" w:type="dxa"/>
            </w:tcMar>
          </w:tcPr>
          <w:p w14:paraId="1C51857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5.2%</w:t>
            </w:r>
          </w:p>
        </w:tc>
        <w:tc>
          <w:tcPr>
            <w:tcW w:w="482" w:type="dxa"/>
            <w:tcMar>
              <w:top w:w="96" w:type="dxa"/>
              <w:left w:w="57" w:type="dxa"/>
              <w:bottom w:w="96" w:type="dxa"/>
              <w:right w:w="71" w:type="dxa"/>
            </w:tcMar>
          </w:tcPr>
          <w:p w14:paraId="7E78F0E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w:t>
            </w:r>
          </w:p>
        </w:tc>
        <w:tc>
          <w:tcPr>
            <w:tcW w:w="482" w:type="dxa"/>
            <w:tcMar>
              <w:top w:w="96" w:type="dxa"/>
              <w:left w:w="57" w:type="dxa"/>
              <w:bottom w:w="96" w:type="dxa"/>
              <w:right w:w="71" w:type="dxa"/>
            </w:tcMar>
          </w:tcPr>
          <w:p w14:paraId="00BEB83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31.8%</w:t>
            </w:r>
          </w:p>
        </w:tc>
        <w:tc>
          <w:tcPr>
            <w:tcW w:w="482" w:type="dxa"/>
            <w:tcMar>
              <w:top w:w="96" w:type="dxa"/>
              <w:left w:w="57" w:type="dxa"/>
              <w:bottom w:w="96" w:type="dxa"/>
              <w:right w:w="71" w:type="dxa"/>
            </w:tcMar>
          </w:tcPr>
          <w:p w14:paraId="2FAEF2C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78.8%</w:t>
            </w:r>
          </w:p>
        </w:tc>
        <w:tc>
          <w:tcPr>
            <w:tcW w:w="482" w:type="dxa"/>
            <w:tcMar>
              <w:top w:w="96" w:type="dxa"/>
              <w:left w:w="57" w:type="dxa"/>
              <w:bottom w:w="96" w:type="dxa"/>
              <w:right w:w="71" w:type="dxa"/>
            </w:tcMar>
          </w:tcPr>
          <w:p w14:paraId="65A45E0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12.4%</w:t>
            </w:r>
          </w:p>
        </w:tc>
        <w:tc>
          <w:tcPr>
            <w:tcW w:w="482" w:type="dxa"/>
            <w:tcMar>
              <w:top w:w="96" w:type="dxa"/>
              <w:left w:w="57" w:type="dxa"/>
              <w:bottom w:w="96" w:type="dxa"/>
              <w:right w:w="71" w:type="dxa"/>
            </w:tcMar>
          </w:tcPr>
          <w:p w14:paraId="6DB7746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24.0%</w:t>
            </w:r>
          </w:p>
        </w:tc>
        <w:tc>
          <w:tcPr>
            <w:tcW w:w="482" w:type="dxa"/>
            <w:tcMar>
              <w:top w:w="96" w:type="dxa"/>
              <w:left w:w="57" w:type="dxa"/>
              <w:bottom w:w="96" w:type="dxa"/>
              <w:right w:w="71" w:type="dxa"/>
            </w:tcMar>
          </w:tcPr>
          <w:p w14:paraId="31F8F3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24.2%</w:t>
            </w:r>
          </w:p>
        </w:tc>
        <w:tc>
          <w:tcPr>
            <w:tcW w:w="482" w:type="dxa"/>
            <w:tcMar>
              <w:top w:w="96" w:type="dxa"/>
              <w:left w:w="57" w:type="dxa"/>
              <w:bottom w:w="96" w:type="dxa"/>
              <w:right w:w="71" w:type="dxa"/>
            </w:tcMar>
          </w:tcPr>
          <w:p w14:paraId="36A8008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13.9%</w:t>
            </w:r>
          </w:p>
        </w:tc>
        <w:tc>
          <w:tcPr>
            <w:tcW w:w="482" w:type="dxa"/>
            <w:tcMar>
              <w:top w:w="96" w:type="dxa"/>
              <w:left w:w="57" w:type="dxa"/>
              <w:bottom w:w="96" w:type="dxa"/>
              <w:right w:w="71" w:type="dxa"/>
            </w:tcMar>
          </w:tcPr>
          <w:p w14:paraId="6629BB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49.3%</w:t>
            </w:r>
          </w:p>
        </w:tc>
        <w:tc>
          <w:tcPr>
            <w:tcW w:w="482" w:type="dxa"/>
            <w:tcMar>
              <w:top w:w="96" w:type="dxa"/>
              <w:left w:w="57" w:type="dxa"/>
              <w:bottom w:w="96" w:type="dxa"/>
              <w:right w:w="71" w:type="dxa"/>
            </w:tcMar>
          </w:tcPr>
          <w:p w14:paraId="69FD74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B76A7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w:t>
            </w:r>
          </w:p>
        </w:tc>
        <w:tc>
          <w:tcPr>
            <w:tcW w:w="482" w:type="dxa"/>
            <w:tcMar>
              <w:top w:w="96" w:type="dxa"/>
              <w:left w:w="57" w:type="dxa"/>
              <w:bottom w:w="96" w:type="dxa"/>
              <w:right w:w="71" w:type="dxa"/>
            </w:tcMar>
          </w:tcPr>
          <w:p w14:paraId="520C65F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w:t>
            </w:r>
          </w:p>
        </w:tc>
        <w:tc>
          <w:tcPr>
            <w:tcW w:w="482" w:type="dxa"/>
            <w:tcMar>
              <w:top w:w="96" w:type="dxa"/>
              <w:left w:w="57" w:type="dxa"/>
              <w:bottom w:w="96" w:type="dxa"/>
              <w:right w:w="71" w:type="dxa"/>
            </w:tcMar>
          </w:tcPr>
          <w:p w14:paraId="40B0190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19.7%</w:t>
            </w:r>
          </w:p>
        </w:tc>
        <w:tc>
          <w:tcPr>
            <w:tcW w:w="482" w:type="dxa"/>
            <w:tcMar>
              <w:top w:w="96" w:type="dxa"/>
              <w:left w:w="57" w:type="dxa"/>
              <w:bottom w:w="96" w:type="dxa"/>
              <w:right w:w="71" w:type="dxa"/>
            </w:tcMar>
          </w:tcPr>
          <w:p w14:paraId="3EBC33A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93.8%</w:t>
            </w:r>
          </w:p>
        </w:tc>
        <w:tc>
          <w:tcPr>
            <w:tcW w:w="482" w:type="dxa"/>
            <w:tcMar>
              <w:top w:w="96" w:type="dxa"/>
              <w:left w:w="57" w:type="dxa"/>
              <w:bottom w:w="96" w:type="dxa"/>
              <w:right w:w="71" w:type="dxa"/>
            </w:tcMar>
          </w:tcPr>
          <w:p w14:paraId="551549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35.6%</w:t>
            </w:r>
          </w:p>
        </w:tc>
        <w:tc>
          <w:tcPr>
            <w:tcW w:w="482" w:type="dxa"/>
            <w:tcMar>
              <w:top w:w="96" w:type="dxa"/>
              <w:left w:w="57" w:type="dxa"/>
              <w:bottom w:w="96" w:type="dxa"/>
              <w:right w:w="71" w:type="dxa"/>
            </w:tcMar>
          </w:tcPr>
          <w:p w14:paraId="2CA0865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71.3%</w:t>
            </w:r>
          </w:p>
        </w:tc>
        <w:tc>
          <w:tcPr>
            <w:tcW w:w="482" w:type="dxa"/>
            <w:tcMar>
              <w:top w:w="96" w:type="dxa"/>
              <w:left w:w="57" w:type="dxa"/>
              <w:bottom w:w="96" w:type="dxa"/>
              <w:right w:w="71" w:type="dxa"/>
            </w:tcMar>
          </w:tcPr>
          <w:p w14:paraId="254D77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73.5%</w:t>
            </w:r>
          </w:p>
        </w:tc>
        <w:tc>
          <w:tcPr>
            <w:tcW w:w="482" w:type="dxa"/>
            <w:tcMar>
              <w:top w:w="96" w:type="dxa"/>
              <w:left w:w="57" w:type="dxa"/>
              <w:bottom w:w="96" w:type="dxa"/>
              <w:right w:w="71" w:type="dxa"/>
            </w:tcMar>
          </w:tcPr>
          <w:p w14:paraId="27FF19F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w:t>
            </w:r>
          </w:p>
        </w:tc>
        <w:tc>
          <w:tcPr>
            <w:tcW w:w="482" w:type="dxa"/>
            <w:tcMar>
              <w:top w:w="96" w:type="dxa"/>
              <w:left w:w="57" w:type="dxa"/>
              <w:bottom w:w="96" w:type="dxa"/>
              <w:right w:w="71" w:type="dxa"/>
            </w:tcMar>
          </w:tcPr>
          <w:p w14:paraId="0093E2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458190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2C535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89.7%</w:t>
            </w:r>
          </w:p>
        </w:tc>
        <w:tc>
          <w:tcPr>
            <w:tcW w:w="482" w:type="dxa"/>
            <w:tcMar>
              <w:top w:w="96" w:type="dxa"/>
              <w:left w:w="57" w:type="dxa"/>
              <w:bottom w:w="96" w:type="dxa"/>
              <w:right w:w="71" w:type="dxa"/>
            </w:tcMar>
          </w:tcPr>
          <w:p w14:paraId="62A0778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69.5%</w:t>
            </w:r>
          </w:p>
        </w:tc>
        <w:tc>
          <w:tcPr>
            <w:tcW w:w="482" w:type="dxa"/>
            <w:tcMar>
              <w:top w:w="96" w:type="dxa"/>
              <w:left w:w="57" w:type="dxa"/>
              <w:bottom w:w="96" w:type="dxa"/>
              <w:right w:w="71" w:type="dxa"/>
            </w:tcMar>
          </w:tcPr>
          <w:p w14:paraId="4115A44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w:t>
            </w:r>
          </w:p>
        </w:tc>
        <w:tc>
          <w:tcPr>
            <w:tcW w:w="340" w:type="dxa"/>
            <w:tcMar>
              <w:top w:w="96" w:type="dxa"/>
              <w:left w:w="57" w:type="dxa"/>
              <w:bottom w:w="96" w:type="dxa"/>
              <w:right w:w="71" w:type="dxa"/>
            </w:tcMar>
          </w:tcPr>
          <w:p w14:paraId="764CE1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340" w:type="dxa"/>
            <w:tcMar>
              <w:top w:w="96" w:type="dxa"/>
              <w:left w:w="57" w:type="dxa"/>
              <w:bottom w:w="96" w:type="dxa"/>
              <w:right w:w="71" w:type="dxa"/>
            </w:tcMar>
          </w:tcPr>
          <w:p w14:paraId="7E845DF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r>
      <w:tr w:rsidR="00D6403A" w:rsidRPr="0004279D" w14:paraId="74D70336" w14:textId="77777777" w:rsidTr="001726E8">
        <w:trPr>
          <w:trHeight w:val="283"/>
        </w:trPr>
        <w:tc>
          <w:tcPr>
            <w:tcW w:w="1417" w:type="dxa"/>
            <w:tcMar>
              <w:top w:w="96" w:type="dxa"/>
              <w:left w:w="113" w:type="dxa"/>
              <w:bottom w:w="96" w:type="dxa"/>
              <w:right w:w="0" w:type="dxa"/>
            </w:tcMar>
          </w:tcPr>
          <w:p w14:paraId="04B2D746" w14:textId="77777777" w:rsidR="00D6403A" w:rsidRPr="00AD0A1A" w:rsidRDefault="00D6403A" w:rsidP="001726E8">
            <w:pPr>
              <w:pStyle w:val="Tabletext"/>
              <w:spacing w:before="0" w:after="0" w:line="240" w:lineRule="auto"/>
              <w:rPr>
                <w:sz w:val="12"/>
                <w:szCs w:val="12"/>
              </w:rPr>
            </w:pPr>
            <w:r w:rsidRPr="00AD0A1A">
              <w:rPr>
                <w:sz w:val="12"/>
                <w:szCs w:val="12"/>
              </w:rPr>
              <w:t>Most favourable quartile</w:t>
            </w:r>
          </w:p>
        </w:tc>
        <w:tc>
          <w:tcPr>
            <w:tcW w:w="340" w:type="dxa"/>
            <w:tcMar>
              <w:top w:w="96" w:type="dxa"/>
              <w:left w:w="57" w:type="dxa"/>
              <w:bottom w:w="96" w:type="dxa"/>
              <w:right w:w="71" w:type="dxa"/>
            </w:tcMar>
          </w:tcPr>
          <w:p w14:paraId="5BF95B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482" w:type="dxa"/>
            <w:tcMar>
              <w:top w:w="96" w:type="dxa"/>
              <w:left w:w="57" w:type="dxa"/>
              <w:bottom w:w="96" w:type="dxa"/>
              <w:right w:w="71" w:type="dxa"/>
            </w:tcMar>
          </w:tcPr>
          <w:p w14:paraId="0834DA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482" w:type="dxa"/>
            <w:tcMar>
              <w:top w:w="96" w:type="dxa"/>
              <w:left w:w="57" w:type="dxa"/>
              <w:bottom w:w="96" w:type="dxa"/>
              <w:right w:w="71" w:type="dxa"/>
            </w:tcMar>
          </w:tcPr>
          <w:p w14:paraId="6EA30D6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6.8%</w:t>
            </w:r>
          </w:p>
        </w:tc>
        <w:tc>
          <w:tcPr>
            <w:tcW w:w="482" w:type="dxa"/>
            <w:tcMar>
              <w:top w:w="96" w:type="dxa"/>
              <w:left w:w="57" w:type="dxa"/>
              <w:bottom w:w="96" w:type="dxa"/>
              <w:right w:w="71" w:type="dxa"/>
            </w:tcMar>
          </w:tcPr>
          <w:p w14:paraId="0045D11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15.3%</w:t>
            </w:r>
          </w:p>
        </w:tc>
        <w:tc>
          <w:tcPr>
            <w:tcW w:w="482" w:type="dxa"/>
            <w:tcMar>
              <w:top w:w="96" w:type="dxa"/>
              <w:left w:w="57" w:type="dxa"/>
              <w:bottom w:w="96" w:type="dxa"/>
              <w:right w:w="71" w:type="dxa"/>
            </w:tcMar>
          </w:tcPr>
          <w:p w14:paraId="1173C4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29.7%</w:t>
            </w:r>
          </w:p>
        </w:tc>
        <w:tc>
          <w:tcPr>
            <w:tcW w:w="482" w:type="dxa"/>
            <w:tcMar>
              <w:top w:w="96" w:type="dxa"/>
              <w:left w:w="57" w:type="dxa"/>
              <w:bottom w:w="96" w:type="dxa"/>
              <w:right w:w="71" w:type="dxa"/>
            </w:tcMar>
          </w:tcPr>
          <w:p w14:paraId="214894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786DCA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482" w:type="dxa"/>
            <w:tcMar>
              <w:top w:w="96" w:type="dxa"/>
              <w:left w:w="57" w:type="dxa"/>
              <w:bottom w:w="96" w:type="dxa"/>
              <w:right w:w="71" w:type="dxa"/>
            </w:tcMar>
          </w:tcPr>
          <w:p w14:paraId="26F051F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20.5%</w:t>
            </w:r>
          </w:p>
        </w:tc>
        <w:tc>
          <w:tcPr>
            <w:tcW w:w="482" w:type="dxa"/>
            <w:tcMar>
              <w:top w:w="96" w:type="dxa"/>
              <w:left w:w="57" w:type="dxa"/>
              <w:bottom w:w="96" w:type="dxa"/>
              <w:right w:w="71" w:type="dxa"/>
            </w:tcMar>
          </w:tcPr>
          <w:p w14:paraId="6C84716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92.0%</w:t>
            </w:r>
          </w:p>
        </w:tc>
        <w:tc>
          <w:tcPr>
            <w:tcW w:w="482" w:type="dxa"/>
            <w:tcMar>
              <w:top w:w="96" w:type="dxa"/>
              <w:left w:w="57" w:type="dxa"/>
              <w:bottom w:w="96" w:type="dxa"/>
              <w:right w:w="71" w:type="dxa"/>
            </w:tcMar>
          </w:tcPr>
          <w:p w14:paraId="30004B8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w:t>
            </w:r>
          </w:p>
        </w:tc>
        <w:tc>
          <w:tcPr>
            <w:tcW w:w="482" w:type="dxa"/>
            <w:tcMar>
              <w:top w:w="96" w:type="dxa"/>
              <w:left w:w="57" w:type="dxa"/>
              <w:bottom w:w="96" w:type="dxa"/>
              <w:right w:w="71" w:type="dxa"/>
            </w:tcMar>
          </w:tcPr>
          <w:p w14:paraId="165D2C5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14.0%</w:t>
            </w:r>
          </w:p>
        </w:tc>
        <w:tc>
          <w:tcPr>
            <w:tcW w:w="482" w:type="dxa"/>
            <w:tcMar>
              <w:top w:w="96" w:type="dxa"/>
              <w:left w:w="57" w:type="dxa"/>
              <w:bottom w:w="96" w:type="dxa"/>
              <w:right w:w="71" w:type="dxa"/>
            </w:tcMar>
          </w:tcPr>
          <w:p w14:paraId="0F7BD4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12.0%</w:t>
            </w:r>
          </w:p>
        </w:tc>
        <w:tc>
          <w:tcPr>
            <w:tcW w:w="482" w:type="dxa"/>
            <w:tcMar>
              <w:top w:w="96" w:type="dxa"/>
              <w:left w:w="57" w:type="dxa"/>
              <w:bottom w:w="96" w:type="dxa"/>
              <w:right w:w="71" w:type="dxa"/>
            </w:tcMar>
          </w:tcPr>
          <w:p w14:paraId="1CA0E28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27.5%</w:t>
            </w:r>
          </w:p>
        </w:tc>
        <w:tc>
          <w:tcPr>
            <w:tcW w:w="482" w:type="dxa"/>
            <w:tcMar>
              <w:top w:w="96" w:type="dxa"/>
              <w:left w:w="57" w:type="dxa"/>
              <w:bottom w:w="96" w:type="dxa"/>
              <w:right w:w="71" w:type="dxa"/>
            </w:tcMar>
          </w:tcPr>
          <w:p w14:paraId="631FCF4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62.3%</w:t>
            </w:r>
          </w:p>
        </w:tc>
        <w:tc>
          <w:tcPr>
            <w:tcW w:w="482" w:type="dxa"/>
            <w:tcMar>
              <w:top w:w="96" w:type="dxa"/>
              <w:left w:w="57" w:type="dxa"/>
              <w:bottom w:w="96" w:type="dxa"/>
              <w:right w:w="71" w:type="dxa"/>
            </w:tcMar>
          </w:tcPr>
          <w:p w14:paraId="5660B0E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66ECE3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w:t>
            </w:r>
          </w:p>
        </w:tc>
        <w:tc>
          <w:tcPr>
            <w:tcW w:w="482" w:type="dxa"/>
            <w:tcMar>
              <w:top w:w="96" w:type="dxa"/>
              <w:left w:w="57" w:type="dxa"/>
              <w:bottom w:w="96" w:type="dxa"/>
              <w:right w:w="71" w:type="dxa"/>
            </w:tcMar>
          </w:tcPr>
          <w:p w14:paraId="73EA78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482" w:type="dxa"/>
            <w:tcMar>
              <w:top w:w="96" w:type="dxa"/>
              <w:left w:w="57" w:type="dxa"/>
              <w:bottom w:w="96" w:type="dxa"/>
              <w:right w:w="71" w:type="dxa"/>
            </w:tcMar>
          </w:tcPr>
          <w:p w14:paraId="050FB43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38.9%</w:t>
            </w:r>
          </w:p>
        </w:tc>
        <w:tc>
          <w:tcPr>
            <w:tcW w:w="482" w:type="dxa"/>
            <w:tcMar>
              <w:top w:w="96" w:type="dxa"/>
              <w:left w:w="57" w:type="dxa"/>
              <w:bottom w:w="96" w:type="dxa"/>
              <w:right w:w="71" w:type="dxa"/>
            </w:tcMar>
          </w:tcPr>
          <w:p w14:paraId="4681E2E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96.6%</w:t>
            </w:r>
          </w:p>
        </w:tc>
        <w:tc>
          <w:tcPr>
            <w:tcW w:w="482" w:type="dxa"/>
            <w:tcMar>
              <w:top w:w="96" w:type="dxa"/>
              <w:left w:w="57" w:type="dxa"/>
              <w:bottom w:w="96" w:type="dxa"/>
              <w:right w:w="71" w:type="dxa"/>
            </w:tcMar>
          </w:tcPr>
          <w:p w14:paraId="7FEB470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17.9%</w:t>
            </w:r>
          </w:p>
        </w:tc>
        <w:tc>
          <w:tcPr>
            <w:tcW w:w="482" w:type="dxa"/>
            <w:tcMar>
              <w:top w:w="96" w:type="dxa"/>
              <w:left w:w="57" w:type="dxa"/>
              <w:bottom w:w="96" w:type="dxa"/>
              <w:right w:w="71" w:type="dxa"/>
            </w:tcMar>
          </w:tcPr>
          <w:p w14:paraId="000FF85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85.4%</w:t>
            </w:r>
          </w:p>
        </w:tc>
        <w:tc>
          <w:tcPr>
            <w:tcW w:w="482" w:type="dxa"/>
            <w:tcMar>
              <w:top w:w="96" w:type="dxa"/>
              <w:left w:w="57" w:type="dxa"/>
              <w:bottom w:w="96" w:type="dxa"/>
              <w:right w:w="71" w:type="dxa"/>
            </w:tcMar>
          </w:tcPr>
          <w:p w14:paraId="7FB5CDC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90.4%</w:t>
            </w:r>
          </w:p>
        </w:tc>
        <w:tc>
          <w:tcPr>
            <w:tcW w:w="482" w:type="dxa"/>
            <w:tcMar>
              <w:top w:w="96" w:type="dxa"/>
              <w:left w:w="57" w:type="dxa"/>
              <w:bottom w:w="96" w:type="dxa"/>
              <w:right w:w="71" w:type="dxa"/>
            </w:tcMar>
          </w:tcPr>
          <w:p w14:paraId="7CA45EC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482" w:type="dxa"/>
            <w:tcMar>
              <w:top w:w="96" w:type="dxa"/>
              <w:left w:w="57" w:type="dxa"/>
              <w:bottom w:w="96" w:type="dxa"/>
              <w:right w:w="71" w:type="dxa"/>
            </w:tcMar>
          </w:tcPr>
          <w:p w14:paraId="48D3E55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412CCC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0466C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95.2%</w:t>
            </w:r>
          </w:p>
        </w:tc>
        <w:tc>
          <w:tcPr>
            <w:tcW w:w="482" w:type="dxa"/>
            <w:tcMar>
              <w:top w:w="96" w:type="dxa"/>
              <w:left w:w="57" w:type="dxa"/>
              <w:bottom w:w="96" w:type="dxa"/>
              <w:right w:w="71" w:type="dxa"/>
            </w:tcMar>
          </w:tcPr>
          <w:p w14:paraId="08CE4F6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83.1%</w:t>
            </w:r>
          </w:p>
        </w:tc>
        <w:tc>
          <w:tcPr>
            <w:tcW w:w="482" w:type="dxa"/>
            <w:tcMar>
              <w:top w:w="96" w:type="dxa"/>
              <w:left w:w="57" w:type="dxa"/>
              <w:bottom w:w="96" w:type="dxa"/>
              <w:right w:w="71" w:type="dxa"/>
            </w:tcMar>
          </w:tcPr>
          <w:p w14:paraId="6DC964A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340" w:type="dxa"/>
            <w:tcMar>
              <w:top w:w="96" w:type="dxa"/>
              <w:left w:w="57" w:type="dxa"/>
              <w:bottom w:w="96" w:type="dxa"/>
              <w:right w:w="71" w:type="dxa"/>
            </w:tcMar>
          </w:tcPr>
          <w:p w14:paraId="62266D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c>
          <w:tcPr>
            <w:tcW w:w="340" w:type="dxa"/>
            <w:tcMar>
              <w:top w:w="96" w:type="dxa"/>
              <w:left w:w="57" w:type="dxa"/>
              <w:bottom w:w="96" w:type="dxa"/>
              <w:right w:w="71" w:type="dxa"/>
            </w:tcMar>
          </w:tcPr>
          <w:p w14:paraId="774388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w:t>
            </w:r>
          </w:p>
        </w:tc>
      </w:tr>
      <w:tr w:rsidR="00D6403A" w:rsidRPr="0004279D" w14:paraId="20CBE576" w14:textId="77777777" w:rsidTr="001726E8">
        <w:trPr>
          <w:trHeight w:val="283"/>
        </w:trPr>
        <w:tc>
          <w:tcPr>
            <w:tcW w:w="1417" w:type="dxa"/>
            <w:tcMar>
              <w:top w:w="96" w:type="dxa"/>
              <w:left w:w="113" w:type="dxa"/>
              <w:bottom w:w="96" w:type="dxa"/>
              <w:right w:w="0" w:type="dxa"/>
            </w:tcMar>
          </w:tcPr>
          <w:p w14:paraId="77A321A1"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The Royal Women’s Hospital</w:t>
            </w:r>
          </w:p>
        </w:tc>
        <w:tc>
          <w:tcPr>
            <w:tcW w:w="340" w:type="dxa"/>
            <w:tcMar>
              <w:top w:w="96" w:type="dxa"/>
              <w:left w:w="57" w:type="dxa"/>
              <w:bottom w:w="96" w:type="dxa"/>
              <w:right w:w="71" w:type="dxa"/>
            </w:tcMar>
          </w:tcPr>
          <w:p w14:paraId="484E16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482" w:type="dxa"/>
            <w:tcMar>
              <w:top w:w="96" w:type="dxa"/>
              <w:left w:w="57" w:type="dxa"/>
              <w:bottom w:w="96" w:type="dxa"/>
              <w:right w:w="71" w:type="dxa"/>
            </w:tcMar>
          </w:tcPr>
          <w:p w14:paraId="76CD6C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7,353</w:t>
            </w:r>
          </w:p>
        </w:tc>
        <w:tc>
          <w:tcPr>
            <w:tcW w:w="482" w:type="dxa"/>
            <w:tcMar>
              <w:top w:w="96" w:type="dxa"/>
              <w:left w:w="57" w:type="dxa"/>
              <w:bottom w:w="96" w:type="dxa"/>
              <w:right w:w="71" w:type="dxa"/>
            </w:tcMar>
          </w:tcPr>
          <w:p w14:paraId="41D95B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w:t>
            </w:r>
          </w:p>
        </w:tc>
        <w:tc>
          <w:tcPr>
            <w:tcW w:w="482" w:type="dxa"/>
            <w:shd w:val="solid" w:color="CBFFC6" w:fill="auto"/>
            <w:tcMar>
              <w:top w:w="96" w:type="dxa"/>
              <w:left w:w="57" w:type="dxa"/>
              <w:bottom w:w="96" w:type="dxa"/>
              <w:right w:w="71" w:type="dxa"/>
            </w:tcMar>
          </w:tcPr>
          <w:p w14:paraId="4AA2AF7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15.2%</w:t>
            </w:r>
          </w:p>
        </w:tc>
        <w:tc>
          <w:tcPr>
            <w:tcW w:w="482" w:type="dxa"/>
            <w:shd w:val="solid" w:color="CBFFC6" w:fill="auto"/>
            <w:tcMar>
              <w:top w:w="96" w:type="dxa"/>
              <w:left w:w="57" w:type="dxa"/>
              <w:bottom w:w="96" w:type="dxa"/>
              <w:right w:w="71" w:type="dxa"/>
            </w:tcMar>
          </w:tcPr>
          <w:p w14:paraId="5E316D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28.4%</w:t>
            </w:r>
          </w:p>
        </w:tc>
        <w:tc>
          <w:tcPr>
            <w:tcW w:w="482" w:type="dxa"/>
            <w:shd w:val="solid" w:color="FFD1D1" w:fill="auto"/>
            <w:tcMar>
              <w:top w:w="96" w:type="dxa"/>
              <w:left w:w="57" w:type="dxa"/>
              <w:bottom w:w="96" w:type="dxa"/>
              <w:right w:w="71" w:type="dxa"/>
            </w:tcMar>
          </w:tcPr>
          <w:p w14:paraId="29370DA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w:t>
            </w:r>
          </w:p>
        </w:tc>
        <w:tc>
          <w:tcPr>
            <w:tcW w:w="482" w:type="dxa"/>
            <w:tcMar>
              <w:top w:w="96" w:type="dxa"/>
              <w:left w:w="57" w:type="dxa"/>
              <w:bottom w:w="96" w:type="dxa"/>
              <w:right w:w="71" w:type="dxa"/>
            </w:tcMar>
          </w:tcPr>
          <w:p w14:paraId="401293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w:t>
            </w:r>
          </w:p>
        </w:tc>
        <w:tc>
          <w:tcPr>
            <w:tcW w:w="482" w:type="dxa"/>
            <w:tcMar>
              <w:top w:w="96" w:type="dxa"/>
              <w:left w:w="57" w:type="dxa"/>
              <w:bottom w:w="96" w:type="dxa"/>
              <w:right w:w="71" w:type="dxa"/>
            </w:tcMar>
          </w:tcPr>
          <w:p w14:paraId="23B685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21.7%</w:t>
            </w:r>
          </w:p>
        </w:tc>
        <w:tc>
          <w:tcPr>
            <w:tcW w:w="482" w:type="dxa"/>
            <w:tcMar>
              <w:top w:w="96" w:type="dxa"/>
              <w:left w:w="57" w:type="dxa"/>
              <w:bottom w:w="96" w:type="dxa"/>
              <w:right w:w="71" w:type="dxa"/>
            </w:tcMar>
          </w:tcPr>
          <w:p w14:paraId="2C3B661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90.7%</w:t>
            </w:r>
          </w:p>
        </w:tc>
        <w:tc>
          <w:tcPr>
            <w:tcW w:w="482" w:type="dxa"/>
            <w:shd w:val="solid" w:color="FFD1D1" w:fill="auto"/>
            <w:tcMar>
              <w:top w:w="96" w:type="dxa"/>
              <w:left w:w="57" w:type="dxa"/>
              <w:bottom w:w="96" w:type="dxa"/>
              <w:right w:w="71" w:type="dxa"/>
            </w:tcMar>
          </w:tcPr>
          <w:p w14:paraId="7DC7D6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13.9%</w:t>
            </w:r>
          </w:p>
        </w:tc>
        <w:tc>
          <w:tcPr>
            <w:tcW w:w="482" w:type="dxa"/>
            <w:shd w:val="solid" w:color="FFD1D1" w:fill="auto"/>
            <w:tcMar>
              <w:top w:w="96" w:type="dxa"/>
              <w:left w:w="57" w:type="dxa"/>
              <w:bottom w:w="96" w:type="dxa"/>
              <w:right w:w="71" w:type="dxa"/>
            </w:tcMar>
          </w:tcPr>
          <w:p w14:paraId="767BA5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25.9%</w:t>
            </w:r>
          </w:p>
        </w:tc>
        <w:tc>
          <w:tcPr>
            <w:tcW w:w="482" w:type="dxa"/>
            <w:tcMar>
              <w:top w:w="96" w:type="dxa"/>
              <w:left w:w="57" w:type="dxa"/>
              <w:bottom w:w="96" w:type="dxa"/>
              <w:right w:w="71" w:type="dxa"/>
            </w:tcMar>
          </w:tcPr>
          <w:p w14:paraId="007D1C5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14.1%</w:t>
            </w:r>
          </w:p>
        </w:tc>
        <w:tc>
          <w:tcPr>
            <w:tcW w:w="482" w:type="dxa"/>
            <w:shd w:val="solid" w:color="CBFFC6" w:fill="auto"/>
            <w:tcMar>
              <w:top w:w="96" w:type="dxa"/>
              <w:left w:w="57" w:type="dxa"/>
              <w:bottom w:w="96" w:type="dxa"/>
              <w:right w:w="71" w:type="dxa"/>
            </w:tcMar>
          </w:tcPr>
          <w:p w14:paraId="5AB54A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28.8%</w:t>
            </w:r>
          </w:p>
        </w:tc>
        <w:tc>
          <w:tcPr>
            <w:tcW w:w="482" w:type="dxa"/>
            <w:shd w:val="solid" w:color="CBFFC6" w:fill="auto"/>
            <w:tcMar>
              <w:top w:w="96" w:type="dxa"/>
              <w:left w:w="57" w:type="dxa"/>
              <w:bottom w:w="96" w:type="dxa"/>
              <w:right w:w="71" w:type="dxa"/>
            </w:tcMar>
          </w:tcPr>
          <w:p w14:paraId="77EBF4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63.6%</w:t>
            </w:r>
          </w:p>
        </w:tc>
        <w:tc>
          <w:tcPr>
            <w:tcW w:w="482" w:type="dxa"/>
            <w:tcMar>
              <w:top w:w="96" w:type="dxa"/>
              <w:left w:w="57" w:type="dxa"/>
              <w:bottom w:w="96" w:type="dxa"/>
              <w:right w:w="71" w:type="dxa"/>
            </w:tcMar>
          </w:tcPr>
          <w:p w14:paraId="32172D2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3E2B042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w:t>
            </w:r>
          </w:p>
        </w:tc>
        <w:tc>
          <w:tcPr>
            <w:tcW w:w="482" w:type="dxa"/>
            <w:shd w:val="solid" w:color="FFD1D1" w:fill="auto"/>
            <w:tcMar>
              <w:top w:w="96" w:type="dxa"/>
              <w:left w:w="57" w:type="dxa"/>
              <w:bottom w:w="96" w:type="dxa"/>
              <w:right w:w="71" w:type="dxa"/>
            </w:tcMar>
          </w:tcPr>
          <w:p w14:paraId="134B631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7.2%</w:t>
            </w:r>
          </w:p>
        </w:tc>
        <w:tc>
          <w:tcPr>
            <w:tcW w:w="482" w:type="dxa"/>
            <w:tcMar>
              <w:top w:w="96" w:type="dxa"/>
              <w:left w:w="57" w:type="dxa"/>
              <w:bottom w:w="96" w:type="dxa"/>
              <w:right w:w="71" w:type="dxa"/>
            </w:tcMar>
          </w:tcPr>
          <w:p w14:paraId="4E24A2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30.2%</w:t>
            </w:r>
          </w:p>
        </w:tc>
        <w:tc>
          <w:tcPr>
            <w:tcW w:w="482" w:type="dxa"/>
            <w:tcMar>
              <w:top w:w="96" w:type="dxa"/>
              <w:left w:w="57" w:type="dxa"/>
              <w:bottom w:w="96" w:type="dxa"/>
              <w:right w:w="71" w:type="dxa"/>
            </w:tcMar>
          </w:tcPr>
          <w:p w14:paraId="6E8DFB5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96.0%</w:t>
            </w:r>
          </w:p>
        </w:tc>
        <w:tc>
          <w:tcPr>
            <w:tcW w:w="482" w:type="dxa"/>
            <w:tcMar>
              <w:top w:w="96" w:type="dxa"/>
              <w:left w:w="57" w:type="dxa"/>
              <w:bottom w:w="96" w:type="dxa"/>
              <w:right w:w="71" w:type="dxa"/>
            </w:tcMar>
          </w:tcPr>
          <w:p w14:paraId="57EFDE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26.0%</w:t>
            </w:r>
          </w:p>
        </w:tc>
        <w:tc>
          <w:tcPr>
            <w:tcW w:w="482" w:type="dxa"/>
            <w:tcMar>
              <w:top w:w="96" w:type="dxa"/>
              <w:left w:w="57" w:type="dxa"/>
              <w:bottom w:w="96" w:type="dxa"/>
              <w:right w:w="71" w:type="dxa"/>
            </w:tcMar>
          </w:tcPr>
          <w:p w14:paraId="2846CA2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77.2%</w:t>
            </w:r>
          </w:p>
        </w:tc>
        <w:tc>
          <w:tcPr>
            <w:tcW w:w="482" w:type="dxa"/>
            <w:shd w:val="solid" w:color="FFD1D1" w:fill="auto"/>
            <w:tcMar>
              <w:top w:w="96" w:type="dxa"/>
              <w:left w:w="57" w:type="dxa"/>
              <w:bottom w:w="96" w:type="dxa"/>
              <w:right w:w="71" w:type="dxa"/>
            </w:tcMar>
          </w:tcPr>
          <w:p w14:paraId="3EC57D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42.0%</w:t>
            </w:r>
          </w:p>
        </w:tc>
        <w:tc>
          <w:tcPr>
            <w:tcW w:w="482" w:type="dxa"/>
            <w:tcMar>
              <w:top w:w="96" w:type="dxa"/>
              <w:left w:w="57" w:type="dxa"/>
              <w:bottom w:w="96" w:type="dxa"/>
              <w:right w:w="71" w:type="dxa"/>
            </w:tcMar>
          </w:tcPr>
          <w:p w14:paraId="396B86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tcMar>
              <w:top w:w="96" w:type="dxa"/>
              <w:left w:w="57" w:type="dxa"/>
              <w:bottom w:w="96" w:type="dxa"/>
              <w:right w:w="71" w:type="dxa"/>
            </w:tcMar>
          </w:tcPr>
          <w:p w14:paraId="6D08BE1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73.0%</w:t>
            </w:r>
          </w:p>
        </w:tc>
        <w:tc>
          <w:tcPr>
            <w:tcW w:w="482" w:type="dxa"/>
            <w:tcMar>
              <w:top w:w="96" w:type="dxa"/>
              <w:left w:w="57" w:type="dxa"/>
              <w:bottom w:w="96" w:type="dxa"/>
              <w:right w:w="71" w:type="dxa"/>
            </w:tcMar>
          </w:tcPr>
          <w:p w14:paraId="0371C8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90.6%</w:t>
            </w:r>
          </w:p>
        </w:tc>
        <w:tc>
          <w:tcPr>
            <w:tcW w:w="482" w:type="dxa"/>
            <w:shd w:val="solid" w:color="FFD1D1" w:fill="auto"/>
            <w:tcMar>
              <w:top w:w="96" w:type="dxa"/>
              <w:left w:w="57" w:type="dxa"/>
              <w:bottom w:w="96" w:type="dxa"/>
              <w:right w:w="71" w:type="dxa"/>
            </w:tcMar>
          </w:tcPr>
          <w:p w14:paraId="3F1D4E1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49.3%</w:t>
            </w:r>
          </w:p>
        </w:tc>
        <w:tc>
          <w:tcPr>
            <w:tcW w:w="482" w:type="dxa"/>
            <w:shd w:val="solid" w:color="FFD1D1" w:fill="auto"/>
            <w:tcMar>
              <w:top w:w="96" w:type="dxa"/>
              <w:left w:w="57" w:type="dxa"/>
              <w:bottom w:w="96" w:type="dxa"/>
              <w:right w:w="71" w:type="dxa"/>
            </w:tcMar>
          </w:tcPr>
          <w:p w14:paraId="6249C3B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45.6%</w:t>
            </w:r>
          </w:p>
        </w:tc>
        <w:tc>
          <w:tcPr>
            <w:tcW w:w="482" w:type="dxa"/>
            <w:tcMar>
              <w:top w:w="96" w:type="dxa"/>
              <w:left w:w="57" w:type="dxa"/>
              <w:bottom w:w="96" w:type="dxa"/>
              <w:right w:w="71" w:type="dxa"/>
            </w:tcMar>
          </w:tcPr>
          <w:p w14:paraId="42E5100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w:t>
            </w:r>
          </w:p>
        </w:tc>
        <w:tc>
          <w:tcPr>
            <w:tcW w:w="340" w:type="dxa"/>
            <w:tcMar>
              <w:top w:w="96" w:type="dxa"/>
              <w:left w:w="57" w:type="dxa"/>
              <w:bottom w:w="96" w:type="dxa"/>
              <w:right w:w="71" w:type="dxa"/>
            </w:tcMar>
          </w:tcPr>
          <w:p w14:paraId="68A4B54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340" w:type="dxa"/>
            <w:tcMar>
              <w:top w:w="96" w:type="dxa"/>
              <w:left w:w="57" w:type="dxa"/>
              <w:bottom w:w="96" w:type="dxa"/>
              <w:right w:w="71" w:type="dxa"/>
            </w:tcMar>
          </w:tcPr>
          <w:p w14:paraId="11CA81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0AE6222B" w14:textId="77777777" w:rsidTr="001726E8">
        <w:trPr>
          <w:trHeight w:val="283"/>
        </w:trPr>
        <w:tc>
          <w:tcPr>
            <w:tcW w:w="1417" w:type="dxa"/>
            <w:tcMar>
              <w:top w:w="96" w:type="dxa"/>
              <w:left w:w="113" w:type="dxa"/>
              <w:bottom w:w="96" w:type="dxa"/>
              <w:right w:w="0" w:type="dxa"/>
            </w:tcMar>
          </w:tcPr>
          <w:p w14:paraId="492EA879"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Sunshine Hospital</w:t>
            </w:r>
          </w:p>
        </w:tc>
        <w:tc>
          <w:tcPr>
            <w:tcW w:w="340" w:type="dxa"/>
            <w:tcMar>
              <w:top w:w="96" w:type="dxa"/>
              <w:left w:w="57" w:type="dxa"/>
              <w:bottom w:w="96" w:type="dxa"/>
              <w:right w:w="71" w:type="dxa"/>
            </w:tcMar>
          </w:tcPr>
          <w:p w14:paraId="1E02042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482" w:type="dxa"/>
            <w:tcMar>
              <w:top w:w="96" w:type="dxa"/>
              <w:left w:w="57" w:type="dxa"/>
              <w:bottom w:w="96" w:type="dxa"/>
              <w:right w:w="71" w:type="dxa"/>
            </w:tcMar>
          </w:tcPr>
          <w:p w14:paraId="4E66DA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6,676</w:t>
            </w:r>
          </w:p>
        </w:tc>
        <w:tc>
          <w:tcPr>
            <w:tcW w:w="482" w:type="dxa"/>
            <w:shd w:val="solid" w:color="CBFFC6" w:fill="auto"/>
            <w:tcMar>
              <w:top w:w="96" w:type="dxa"/>
              <w:left w:w="57" w:type="dxa"/>
              <w:bottom w:w="96" w:type="dxa"/>
              <w:right w:w="71" w:type="dxa"/>
            </w:tcMar>
          </w:tcPr>
          <w:p w14:paraId="5ACB35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w:t>
            </w:r>
          </w:p>
        </w:tc>
        <w:tc>
          <w:tcPr>
            <w:tcW w:w="482" w:type="dxa"/>
            <w:shd w:val="solid" w:color="CBFFC6" w:fill="auto"/>
            <w:tcMar>
              <w:top w:w="96" w:type="dxa"/>
              <w:left w:w="57" w:type="dxa"/>
              <w:bottom w:w="96" w:type="dxa"/>
              <w:right w:w="71" w:type="dxa"/>
            </w:tcMar>
          </w:tcPr>
          <w:p w14:paraId="40D03F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12.1%</w:t>
            </w:r>
          </w:p>
        </w:tc>
        <w:tc>
          <w:tcPr>
            <w:tcW w:w="482" w:type="dxa"/>
            <w:shd w:val="solid" w:color="CBFFC6" w:fill="auto"/>
            <w:tcMar>
              <w:top w:w="96" w:type="dxa"/>
              <w:left w:w="57" w:type="dxa"/>
              <w:bottom w:w="96" w:type="dxa"/>
              <w:right w:w="71" w:type="dxa"/>
            </w:tcMar>
          </w:tcPr>
          <w:p w14:paraId="1024B11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28.4%</w:t>
            </w:r>
          </w:p>
        </w:tc>
        <w:tc>
          <w:tcPr>
            <w:tcW w:w="482" w:type="dxa"/>
            <w:shd w:val="solid" w:color="FFD1D1" w:fill="auto"/>
            <w:tcMar>
              <w:top w:w="96" w:type="dxa"/>
              <w:left w:w="57" w:type="dxa"/>
              <w:bottom w:w="96" w:type="dxa"/>
              <w:right w:w="71" w:type="dxa"/>
            </w:tcMar>
          </w:tcPr>
          <w:p w14:paraId="6AAA976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5.8%</w:t>
            </w:r>
          </w:p>
        </w:tc>
        <w:tc>
          <w:tcPr>
            <w:tcW w:w="482" w:type="dxa"/>
            <w:tcMar>
              <w:top w:w="96" w:type="dxa"/>
              <w:left w:w="57" w:type="dxa"/>
              <w:bottom w:w="96" w:type="dxa"/>
              <w:right w:w="71" w:type="dxa"/>
            </w:tcMar>
          </w:tcPr>
          <w:p w14:paraId="2D7EE7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w:t>
            </w:r>
          </w:p>
        </w:tc>
        <w:tc>
          <w:tcPr>
            <w:tcW w:w="482" w:type="dxa"/>
            <w:tcMar>
              <w:top w:w="96" w:type="dxa"/>
              <w:left w:w="57" w:type="dxa"/>
              <w:bottom w:w="96" w:type="dxa"/>
              <w:right w:w="71" w:type="dxa"/>
            </w:tcMar>
          </w:tcPr>
          <w:p w14:paraId="7894D1C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25.5%</w:t>
            </w:r>
          </w:p>
        </w:tc>
        <w:tc>
          <w:tcPr>
            <w:tcW w:w="482" w:type="dxa"/>
            <w:shd w:val="solid" w:color="CBFFC6" w:fill="auto"/>
            <w:tcMar>
              <w:top w:w="96" w:type="dxa"/>
              <w:left w:w="57" w:type="dxa"/>
              <w:bottom w:w="96" w:type="dxa"/>
              <w:right w:w="71" w:type="dxa"/>
            </w:tcMar>
          </w:tcPr>
          <w:p w14:paraId="003FC4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94.5%</w:t>
            </w:r>
          </w:p>
        </w:tc>
        <w:tc>
          <w:tcPr>
            <w:tcW w:w="482" w:type="dxa"/>
            <w:tcMar>
              <w:top w:w="96" w:type="dxa"/>
              <w:left w:w="57" w:type="dxa"/>
              <w:bottom w:w="96" w:type="dxa"/>
              <w:right w:w="71" w:type="dxa"/>
            </w:tcMar>
          </w:tcPr>
          <w:p w14:paraId="296A4DA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11.4%</w:t>
            </w:r>
          </w:p>
        </w:tc>
        <w:tc>
          <w:tcPr>
            <w:tcW w:w="482" w:type="dxa"/>
            <w:tcMar>
              <w:top w:w="96" w:type="dxa"/>
              <w:left w:w="57" w:type="dxa"/>
              <w:bottom w:w="96" w:type="dxa"/>
              <w:right w:w="71" w:type="dxa"/>
            </w:tcMar>
          </w:tcPr>
          <w:p w14:paraId="6E323A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21.9%</w:t>
            </w:r>
          </w:p>
        </w:tc>
        <w:tc>
          <w:tcPr>
            <w:tcW w:w="482" w:type="dxa"/>
            <w:shd w:val="solid" w:color="CBFFC6" w:fill="auto"/>
            <w:tcMar>
              <w:top w:w="96" w:type="dxa"/>
              <w:left w:w="57" w:type="dxa"/>
              <w:bottom w:w="96" w:type="dxa"/>
              <w:right w:w="71" w:type="dxa"/>
            </w:tcMar>
          </w:tcPr>
          <w:p w14:paraId="17FCA8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w:t>
            </w:r>
          </w:p>
        </w:tc>
        <w:tc>
          <w:tcPr>
            <w:tcW w:w="482" w:type="dxa"/>
            <w:tcMar>
              <w:top w:w="96" w:type="dxa"/>
              <w:left w:w="57" w:type="dxa"/>
              <w:bottom w:w="96" w:type="dxa"/>
              <w:right w:w="71" w:type="dxa"/>
            </w:tcMar>
          </w:tcPr>
          <w:p w14:paraId="52E4DD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27.0%</w:t>
            </w:r>
          </w:p>
        </w:tc>
        <w:tc>
          <w:tcPr>
            <w:tcW w:w="482" w:type="dxa"/>
            <w:shd w:val="solid" w:color="FFD1D1" w:fill="auto"/>
            <w:tcMar>
              <w:top w:w="96" w:type="dxa"/>
              <w:left w:w="57" w:type="dxa"/>
              <w:bottom w:w="96" w:type="dxa"/>
              <w:right w:w="71" w:type="dxa"/>
            </w:tcMar>
          </w:tcPr>
          <w:p w14:paraId="31160C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47.8%</w:t>
            </w:r>
          </w:p>
        </w:tc>
        <w:tc>
          <w:tcPr>
            <w:tcW w:w="482" w:type="dxa"/>
            <w:tcMar>
              <w:top w:w="96" w:type="dxa"/>
              <w:left w:w="57" w:type="dxa"/>
              <w:bottom w:w="96" w:type="dxa"/>
              <w:right w:w="71" w:type="dxa"/>
            </w:tcMar>
          </w:tcPr>
          <w:p w14:paraId="35EE37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shd w:val="solid" w:color="FFD1D1" w:fill="auto"/>
            <w:tcMar>
              <w:top w:w="96" w:type="dxa"/>
              <w:left w:w="57" w:type="dxa"/>
              <w:bottom w:w="96" w:type="dxa"/>
              <w:right w:w="71" w:type="dxa"/>
            </w:tcMar>
          </w:tcPr>
          <w:p w14:paraId="0ED4154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w:t>
            </w:r>
          </w:p>
        </w:tc>
        <w:tc>
          <w:tcPr>
            <w:tcW w:w="482" w:type="dxa"/>
            <w:tcMar>
              <w:top w:w="96" w:type="dxa"/>
              <w:left w:w="57" w:type="dxa"/>
              <w:bottom w:w="96" w:type="dxa"/>
              <w:right w:w="71" w:type="dxa"/>
            </w:tcMar>
          </w:tcPr>
          <w:p w14:paraId="793FF35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w:t>
            </w:r>
          </w:p>
        </w:tc>
        <w:tc>
          <w:tcPr>
            <w:tcW w:w="482" w:type="dxa"/>
            <w:tcMar>
              <w:top w:w="96" w:type="dxa"/>
              <w:left w:w="57" w:type="dxa"/>
              <w:bottom w:w="96" w:type="dxa"/>
              <w:right w:w="71" w:type="dxa"/>
            </w:tcMar>
          </w:tcPr>
          <w:p w14:paraId="256843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33.4%</w:t>
            </w:r>
          </w:p>
        </w:tc>
        <w:tc>
          <w:tcPr>
            <w:tcW w:w="482" w:type="dxa"/>
            <w:tcMar>
              <w:top w:w="96" w:type="dxa"/>
              <w:left w:w="57" w:type="dxa"/>
              <w:bottom w:w="96" w:type="dxa"/>
              <w:right w:w="71" w:type="dxa"/>
            </w:tcMar>
          </w:tcPr>
          <w:p w14:paraId="2BE124C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95.3%</w:t>
            </w:r>
          </w:p>
        </w:tc>
        <w:tc>
          <w:tcPr>
            <w:tcW w:w="482" w:type="dxa"/>
            <w:tcMar>
              <w:top w:w="96" w:type="dxa"/>
              <w:left w:w="57" w:type="dxa"/>
              <w:bottom w:w="96" w:type="dxa"/>
              <w:right w:w="71" w:type="dxa"/>
            </w:tcMar>
          </w:tcPr>
          <w:p w14:paraId="774C1A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30.7%</w:t>
            </w:r>
          </w:p>
        </w:tc>
        <w:tc>
          <w:tcPr>
            <w:tcW w:w="482" w:type="dxa"/>
            <w:tcMar>
              <w:top w:w="96" w:type="dxa"/>
              <w:left w:w="57" w:type="dxa"/>
              <w:bottom w:w="96" w:type="dxa"/>
              <w:right w:w="71" w:type="dxa"/>
            </w:tcMar>
          </w:tcPr>
          <w:p w14:paraId="3DB167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75.6%</w:t>
            </w:r>
          </w:p>
        </w:tc>
        <w:tc>
          <w:tcPr>
            <w:tcW w:w="482" w:type="dxa"/>
            <w:tcMar>
              <w:top w:w="96" w:type="dxa"/>
              <w:left w:w="57" w:type="dxa"/>
              <w:bottom w:w="96" w:type="dxa"/>
              <w:right w:w="71" w:type="dxa"/>
            </w:tcMar>
          </w:tcPr>
          <w:p w14:paraId="59D070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76.4%</w:t>
            </w:r>
          </w:p>
        </w:tc>
        <w:tc>
          <w:tcPr>
            <w:tcW w:w="482" w:type="dxa"/>
            <w:shd w:val="solid" w:color="CBFFC6" w:fill="auto"/>
            <w:tcMar>
              <w:top w:w="96" w:type="dxa"/>
              <w:left w:w="57" w:type="dxa"/>
              <w:bottom w:w="96" w:type="dxa"/>
              <w:right w:w="71" w:type="dxa"/>
            </w:tcMar>
          </w:tcPr>
          <w:p w14:paraId="2C819D0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482" w:type="dxa"/>
            <w:tcMar>
              <w:top w:w="96" w:type="dxa"/>
              <w:left w:w="57" w:type="dxa"/>
              <w:bottom w:w="96" w:type="dxa"/>
              <w:right w:w="71" w:type="dxa"/>
            </w:tcMar>
          </w:tcPr>
          <w:p w14:paraId="037239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73.7%</w:t>
            </w:r>
          </w:p>
        </w:tc>
        <w:tc>
          <w:tcPr>
            <w:tcW w:w="482" w:type="dxa"/>
            <w:tcMar>
              <w:top w:w="96" w:type="dxa"/>
              <w:left w:w="57" w:type="dxa"/>
              <w:bottom w:w="96" w:type="dxa"/>
              <w:right w:w="71" w:type="dxa"/>
            </w:tcMar>
          </w:tcPr>
          <w:p w14:paraId="501CD3F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87.8%</w:t>
            </w:r>
          </w:p>
        </w:tc>
        <w:tc>
          <w:tcPr>
            <w:tcW w:w="482" w:type="dxa"/>
            <w:tcMar>
              <w:top w:w="96" w:type="dxa"/>
              <w:left w:w="57" w:type="dxa"/>
              <w:bottom w:w="96" w:type="dxa"/>
              <w:right w:w="71" w:type="dxa"/>
            </w:tcMar>
          </w:tcPr>
          <w:p w14:paraId="7CFD2E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92.7%</w:t>
            </w:r>
          </w:p>
        </w:tc>
        <w:tc>
          <w:tcPr>
            <w:tcW w:w="482" w:type="dxa"/>
            <w:shd w:val="solid" w:color="CBFFC6" w:fill="auto"/>
            <w:tcMar>
              <w:top w:w="96" w:type="dxa"/>
              <w:left w:w="57" w:type="dxa"/>
              <w:bottom w:w="96" w:type="dxa"/>
              <w:right w:w="71" w:type="dxa"/>
            </w:tcMar>
          </w:tcPr>
          <w:p w14:paraId="17E841A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83.9%</w:t>
            </w:r>
          </w:p>
        </w:tc>
        <w:tc>
          <w:tcPr>
            <w:tcW w:w="482" w:type="dxa"/>
            <w:tcMar>
              <w:top w:w="96" w:type="dxa"/>
              <w:left w:w="57" w:type="dxa"/>
              <w:bottom w:w="96" w:type="dxa"/>
              <w:right w:w="71" w:type="dxa"/>
            </w:tcMar>
          </w:tcPr>
          <w:p w14:paraId="442BB9C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340" w:type="dxa"/>
            <w:tcMar>
              <w:top w:w="96" w:type="dxa"/>
              <w:left w:w="57" w:type="dxa"/>
              <w:bottom w:w="96" w:type="dxa"/>
              <w:right w:w="71" w:type="dxa"/>
            </w:tcMar>
          </w:tcPr>
          <w:p w14:paraId="5C81CD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7AC5A20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15FF083F" w14:textId="77777777" w:rsidTr="001726E8">
        <w:trPr>
          <w:trHeight w:val="283"/>
        </w:trPr>
        <w:tc>
          <w:tcPr>
            <w:tcW w:w="1417" w:type="dxa"/>
            <w:tcMar>
              <w:top w:w="96" w:type="dxa"/>
              <w:left w:w="113" w:type="dxa"/>
              <w:bottom w:w="96" w:type="dxa"/>
              <w:right w:w="0" w:type="dxa"/>
            </w:tcMar>
          </w:tcPr>
          <w:p w14:paraId="39B97881"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Mercy Hospital for Women</w:t>
            </w:r>
          </w:p>
        </w:tc>
        <w:tc>
          <w:tcPr>
            <w:tcW w:w="340" w:type="dxa"/>
            <w:tcMar>
              <w:top w:w="96" w:type="dxa"/>
              <w:left w:w="57" w:type="dxa"/>
              <w:bottom w:w="96" w:type="dxa"/>
              <w:right w:w="71" w:type="dxa"/>
            </w:tcMar>
          </w:tcPr>
          <w:p w14:paraId="1B50BF2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482" w:type="dxa"/>
            <w:tcMar>
              <w:top w:w="96" w:type="dxa"/>
              <w:left w:w="57" w:type="dxa"/>
              <w:bottom w:w="96" w:type="dxa"/>
              <w:right w:w="71" w:type="dxa"/>
            </w:tcMar>
          </w:tcPr>
          <w:p w14:paraId="03C166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5,919</w:t>
            </w:r>
          </w:p>
        </w:tc>
        <w:tc>
          <w:tcPr>
            <w:tcW w:w="482" w:type="dxa"/>
            <w:tcMar>
              <w:top w:w="96" w:type="dxa"/>
              <w:left w:w="57" w:type="dxa"/>
              <w:bottom w:w="96" w:type="dxa"/>
              <w:right w:w="71" w:type="dxa"/>
            </w:tcMar>
          </w:tcPr>
          <w:p w14:paraId="2D77AD3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15.5%</w:t>
            </w:r>
          </w:p>
        </w:tc>
        <w:tc>
          <w:tcPr>
            <w:tcW w:w="482" w:type="dxa"/>
            <w:tcMar>
              <w:top w:w="96" w:type="dxa"/>
              <w:left w:w="57" w:type="dxa"/>
              <w:bottom w:w="96" w:type="dxa"/>
              <w:right w:w="71" w:type="dxa"/>
            </w:tcMar>
          </w:tcPr>
          <w:p w14:paraId="633E18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17.1%</w:t>
            </w:r>
          </w:p>
        </w:tc>
        <w:tc>
          <w:tcPr>
            <w:tcW w:w="482" w:type="dxa"/>
            <w:tcMar>
              <w:top w:w="96" w:type="dxa"/>
              <w:left w:w="57" w:type="dxa"/>
              <w:bottom w:w="96" w:type="dxa"/>
              <w:right w:w="71" w:type="dxa"/>
            </w:tcMar>
          </w:tcPr>
          <w:p w14:paraId="6043FB6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31.6%</w:t>
            </w:r>
          </w:p>
        </w:tc>
        <w:tc>
          <w:tcPr>
            <w:tcW w:w="482" w:type="dxa"/>
            <w:tcMar>
              <w:top w:w="96" w:type="dxa"/>
              <w:left w:w="57" w:type="dxa"/>
              <w:bottom w:w="96" w:type="dxa"/>
              <w:right w:w="71" w:type="dxa"/>
            </w:tcMar>
          </w:tcPr>
          <w:p w14:paraId="2B0FB41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w:t>
            </w:r>
          </w:p>
        </w:tc>
        <w:tc>
          <w:tcPr>
            <w:tcW w:w="482" w:type="dxa"/>
            <w:tcMar>
              <w:top w:w="96" w:type="dxa"/>
              <w:left w:w="57" w:type="dxa"/>
              <w:bottom w:w="96" w:type="dxa"/>
              <w:right w:w="71" w:type="dxa"/>
            </w:tcMar>
          </w:tcPr>
          <w:p w14:paraId="147CE03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5.8%</w:t>
            </w:r>
          </w:p>
        </w:tc>
        <w:tc>
          <w:tcPr>
            <w:tcW w:w="482" w:type="dxa"/>
            <w:tcMar>
              <w:top w:w="96" w:type="dxa"/>
              <w:left w:w="57" w:type="dxa"/>
              <w:bottom w:w="96" w:type="dxa"/>
              <w:right w:w="71" w:type="dxa"/>
            </w:tcMar>
          </w:tcPr>
          <w:p w14:paraId="15B2CC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31.6%</w:t>
            </w:r>
          </w:p>
        </w:tc>
        <w:tc>
          <w:tcPr>
            <w:tcW w:w="482" w:type="dxa"/>
            <w:tcMar>
              <w:top w:w="96" w:type="dxa"/>
              <w:left w:w="57" w:type="dxa"/>
              <w:bottom w:w="96" w:type="dxa"/>
              <w:right w:w="71" w:type="dxa"/>
            </w:tcMar>
          </w:tcPr>
          <w:p w14:paraId="076CF20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91.2%</w:t>
            </w:r>
          </w:p>
        </w:tc>
        <w:tc>
          <w:tcPr>
            <w:tcW w:w="482" w:type="dxa"/>
            <w:tcMar>
              <w:top w:w="96" w:type="dxa"/>
              <w:left w:w="57" w:type="dxa"/>
              <w:bottom w:w="96" w:type="dxa"/>
              <w:right w:w="71" w:type="dxa"/>
            </w:tcMar>
          </w:tcPr>
          <w:p w14:paraId="798E8E8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w:t>
            </w:r>
          </w:p>
        </w:tc>
        <w:tc>
          <w:tcPr>
            <w:tcW w:w="482" w:type="dxa"/>
            <w:tcMar>
              <w:top w:w="96" w:type="dxa"/>
              <w:left w:w="57" w:type="dxa"/>
              <w:bottom w:w="96" w:type="dxa"/>
              <w:right w:w="71" w:type="dxa"/>
            </w:tcMar>
          </w:tcPr>
          <w:p w14:paraId="6CFF890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19.0%</w:t>
            </w:r>
          </w:p>
        </w:tc>
        <w:tc>
          <w:tcPr>
            <w:tcW w:w="482" w:type="dxa"/>
            <w:shd w:val="solid" w:color="CBFFC6" w:fill="auto"/>
            <w:tcMar>
              <w:top w:w="96" w:type="dxa"/>
              <w:left w:w="57" w:type="dxa"/>
              <w:bottom w:w="96" w:type="dxa"/>
              <w:right w:w="71" w:type="dxa"/>
            </w:tcMar>
          </w:tcPr>
          <w:p w14:paraId="2239525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11.6%</w:t>
            </w:r>
          </w:p>
        </w:tc>
        <w:tc>
          <w:tcPr>
            <w:tcW w:w="482" w:type="dxa"/>
            <w:tcMar>
              <w:top w:w="96" w:type="dxa"/>
              <w:left w:w="57" w:type="dxa"/>
              <w:bottom w:w="96" w:type="dxa"/>
              <w:right w:w="71" w:type="dxa"/>
            </w:tcMar>
          </w:tcPr>
          <w:p w14:paraId="0C1800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19.8%</w:t>
            </w:r>
          </w:p>
        </w:tc>
        <w:tc>
          <w:tcPr>
            <w:tcW w:w="482" w:type="dxa"/>
            <w:tcMar>
              <w:top w:w="96" w:type="dxa"/>
              <w:left w:w="57" w:type="dxa"/>
              <w:bottom w:w="96" w:type="dxa"/>
              <w:right w:w="71" w:type="dxa"/>
            </w:tcMar>
          </w:tcPr>
          <w:p w14:paraId="0FCCEB1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51.7%</w:t>
            </w:r>
          </w:p>
        </w:tc>
        <w:tc>
          <w:tcPr>
            <w:tcW w:w="482" w:type="dxa"/>
            <w:tcMar>
              <w:top w:w="96" w:type="dxa"/>
              <w:left w:w="57" w:type="dxa"/>
              <w:bottom w:w="96" w:type="dxa"/>
              <w:right w:w="71" w:type="dxa"/>
            </w:tcMar>
          </w:tcPr>
          <w:p w14:paraId="436392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0.7</w:t>
            </w:r>
          </w:p>
        </w:tc>
        <w:tc>
          <w:tcPr>
            <w:tcW w:w="482" w:type="dxa"/>
            <w:tcMar>
              <w:top w:w="96" w:type="dxa"/>
              <w:left w:w="57" w:type="dxa"/>
              <w:bottom w:w="96" w:type="dxa"/>
              <w:right w:w="71" w:type="dxa"/>
            </w:tcMar>
          </w:tcPr>
          <w:p w14:paraId="5DEB5A0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tcMar>
              <w:top w:w="96" w:type="dxa"/>
              <w:left w:w="57" w:type="dxa"/>
              <w:bottom w:w="96" w:type="dxa"/>
              <w:right w:w="71" w:type="dxa"/>
            </w:tcMar>
          </w:tcPr>
          <w:p w14:paraId="28E9B9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4.3%</w:t>
            </w:r>
          </w:p>
        </w:tc>
        <w:tc>
          <w:tcPr>
            <w:tcW w:w="482" w:type="dxa"/>
            <w:shd w:val="solid" w:color="CBFFC6" w:fill="auto"/>
            <w:tcMar>
              <w:top w:w="96" w:type="dxa"/>
              <w:left w:w="57" w:type="dxa"/>
              <w:bottom w:w="96" w:type="dxa"/>
              <w:right w:w="71" w:type="dxa"/>
            </w:tcMar>
          </w:tcPr>
          <w:p w14:paraId="2983FF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38.9%</w:t>
            </w:r>
          </w:p>
        </w:tc>
        <w:tc>
          <w:tcPr>
            <w:tcW w:w="482" w:type="dxa"/>
            <w:shd w:val="solid" w:color="CBFFC6" w:fill="auto"/>
            <w:tcMar>
              <w:top w:w="96" w:type="dxa"/>
              <w:left w:w="57" w:type="dxa"/>
              <w:bottom w:w="96" w:type="dxa"/>
              <w:right w:w="71" w:type="dxa"/>
            </w:tcMar>
          </w:tcPr>
          <w:p w14:paraId="47FB334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96.7%</w:t>
            </w:r>
          </w:p>
        </w:tc>
        <w:tc>
          <w:tcPr>
            <w:tcW w:w="482" w:type="dxa"/>
            <w:tcMar>
              <w:top w:w="96" w:type="dxa"/>
              <w:left w:w="57" w:type="dxa"/>
              <w:bottom w:w="96" w:type="dxa"/>
              <w:right w:w="71" w:type="dxa"/>
            </w:tcMar>
          </w:tcPr>
          <w:p w14:paraId="0AEADF8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34.1%</w:t>
            </w:r>
          </w:p>
        </w:tc>
        <w:tc>
          <w:tcPr>
            <w:tcW w:w="482" w:type="dxa"/>
            <w:shd w:val="solid" w:color="FFD1D1" w:fill="auto"/>
            <w:tcMar>
              <w:top w:w="96" w:type="dxa"/>
              <w:left w:w="57" w:type="dxa"/>
              <w:bottom w:w="96" w:type="dxa"/>
              <w:right w:w="71" w:type="dxa"/>
            </w:tcMar>
          </w:tcPr>
          <w:p w14:paraId="6F8EAC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71.3%</w:t>
            </w:r>
          </w:p>
        </w:tc>
        <w:tc>
          <w:tcPr>
            <w:tcW w:w="482" w:type="dxa"/>
            <w:shd w:val="solid" w:color="FFD1D1" w:fill="auto"/>
            <w:tcMar>
              <w:top w:w="96" w:type="dxa"/>
              <w:left w:w="57" w:type="dxa"/>
              <w:bottom w:w="96" w:type="dxa"/>
              <w:right w:w="71" w:type="dxa"/>
            </w:tcMar>
          </w:tcPr>
          <w:p w14:paraId="4F7E0A3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52.1%</w:t>
            </w:r>
          </w:p>
        </w:tc>
        <w:tc>
          <w:tcPr>
            <w:tcW w:w="482" w:type="dxa"/>
            <w:tcMar>
              <w:top w:w="96" w:type="dxa"/>
              <w:left w:w="57" w:type="dxa"/>
              <w:bottom w:w="96" w:type="dxa"/>
              <w:right w:w="71" w:type="dxa"/>
            </w:tcMar>
          </w:tcPr>
          <w:p w14:paraId="3159CE8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5D55950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71.9%</w:t>
            </w:r>
          </w:p>
        </w:tc>
        <w:tc>
          <w:tcPr>
            <w:tcW w:w="482" w:type="dxa"/>
            <w:tcMar>
              <w:top w:w="96" w:type="dxa"/>
              <w:left w:w="57" w:type="dxa"/>
              <w:bottom w:w="96" w:type="dxa"/>
              <w:right w:w="71" w:type="dxa"/>
            </w:tcMar>
          </w:tcPr>
          <w:p w14:paraId="3743AC1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87.6%</w:t>
            </w:r>
          </w:p>
        </w:tc>
        <w:tc>
          <w:tcPr>
            <w:tcW w:w="482" w:type="dxa"/>
            <w:tcMar>
              <w:top w:w="96" w:type="dxa"/>
              <w:left w:w="57" w:type="dxa"/>
              <w:bottom w:w="96" w:type="dxa"/>
              <w:right w:w="71" w:type="dxa"/>
            </w:tcMar>
          </w:tcPr>
          <w:p w14:paraId="3A2D30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93.9%</w:t>
            </w:r>
          </w:p>
        </w:tc>
        <w:tc>
          <w:tcPr>
            <w:tcW w:w="482" w:type="dxa"/>
            <w:tcMar>
              <w:top w:w="96" w:type="dxa"/>
              <w:left w:w="57" w:type="dxa"/>
              <w:bottom w:w="96" w:type="dxa"/>
              <w:right w:w="71" w:type="dxa"/>
            </w:tcMar>
          </w:tcPr>
          <w:p w14:paraId="7297DE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76.7%</w:t>
            </w:r>
          </w:p>
        </w:tc>
        <w:tc>
          <w:tcPr>
            <w:tcW w:w="482" w:type="dxa"/>
            <w:tcMar>
              <w:top w:w="96" w:type="dxa"/>
              <w:left w:w="57" w:type="dxa"/>
              <w:bottom w:w="96" w:type="dxa"/>
              <w:right w:w="71" w:type="dxa"/>
            </w:tcMar>
          </w:tcPr>
          <w:p w14:paraId="473F8E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w:t>
            </w:r>
          </w:p>
        </w:tc>
        <w:tc>
          <w:tcPr>
            <w:tcW w:w="340" w:type="dxa"/>
            <w:tcMar>
              <w:top w:w="96" w:type="dxa"/>
              <w:left w:w="57" w:type="dxa"/>
              <w:bottom w:w="96" w:type="dxa"/>
              <w:right w:w="71" w:type="dxa"/>
            </w:tcMar>
          </w:tcPr>
          <w:p w14:paraId="6C3EE8E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340" w:type="dxa"/>
            <w:tcMar>
              <w:top w:w="96" w:type="dxa"/>
              <w:left w:w="57" w:type="dxa"/>
              <w:bottom w:w="96" w:type="dxa"/>
              <w:right w:w="71" w:type="dxa"/>
            </w:tcMar>
          </w:tcPr>
          <w:p w14:paraId="4479F6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w:t>
            </w:r>
          </w:p>
        </w:tc>
      </w:tr>
      <w:tr w:rsidR="00D6403A" w:rsidRPr="0004279D" w14:paraId="05FC30FD" w14:textId="77777777" w:rsidTr="001726E8">
        <w:trPr>
          <w:trHeight w:val="283"/>
        </w:trPr>
        <w:tc>
          <w:tcPr>
            <w:tcW w:w="1417" w:type="dxa"/>
            <w:tcMar>
              <w:top w:w="96" w:type="dxa"/>
              <w:left w:w="113" w:type="dxa"/>
              <w:bottom w:w="96" w:type="dxa"/>
              <w:right w:w="0" w:type="dxa"/>
            </w:tcMar>
          </w:tcPr>
          <w:p w14:paraId="73EC1B92"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Monash Medical Centre [Clayton]</w:t>
            </w:r>
          </w:p>
        </w:tc>
        <w:tc>
          <w:tcPr>
            <w:tcW w:w="340" w:type="dxa"/>
            <w:tcMar>
              <w:top w:w="96" w:type="dxa"/>
              <w:left w:w="57" w:type="dxa"/>
              <w:bottom w:w="96" w:type="dxa"/>
              <w:right w:w="71" w:type="dxa"/>
            </w:tcMar>
          </w:tcPr>
          <w:p w14:paraId="43EAA33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482" w:type="dxa"/>
            <w:tcMar>
              <w:top w:w="96" w:type="dxa"/>
              <w:left w:w="57" w:type="dxa"/>
              <w:bottom w:w="96" w:type="dxa"/>
              <w:right w:w="71" w:type="dxa"/>
            </w:tcMar>
          </w:tcPr>
          <w:p w14:paraId="1B83E2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4,063</w:t>
            </w:r>
          </w:p>
        </w:tc>
        <w:tc>
          <w:tcPr>
            <w:tcW w:w="482" w:type="dxa"/>
            <w:tcMar>
              <w:top w:w="96" w:type="dxa"/>
              <w:left w:w="57" w:type="dxa"/>
              <w:bottom w:w="96" w:type="dxa"/>
              <w:right w:w="71" w:type="dxa"/>
            </w:tcMar>
          </w:tcPr>
          <w:p w14:paraId="2D9F9A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16.5%</w:t>
            </w:r>
          </w:p>
        </w:tc>
        <w:tc>
          <w:tcPr>
            <w:tcW w:w="482" w:type="dxa"/>
            <w:shd w:val="solid" w:color="CBFFC6" w:fill="auto"/>
            <w:tcMar>
              <w:top w:w="96" w:type="dxa"/>
              <w:left w:w="57" w:type="dxa"/>
              <w:bottom w:w="96" w:type="dxa"/>
              <w:right w:w="71" w:type="dxa"/>
            </w:tcMar>
          </w:tcPr>
          <w:p w14:paraId="5EF5036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12.4%</w:t>
            </w:r>
          </w:p>
        </w:tc>
        <w:tc>
          <w:tcPr>
            <w:tcW w:w="482" w:type="dxa"/>
            <w:shd w:val="solid" w:color="CBFFC6" w:fill="auto"/>
            <w:tcMar>
              <w:top w:w="96" w:type="dxa"/>
              <w:left w:w="57" w:type="dxa"/>
              <w:bottom w:w="96" w:type="dxa"/>
              <w:right w:w="71" w:type="dxa"/>
            </w:tcMar>
          </w:tcPr>
          <w:p w14:paraId="7891114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29.6%</w:t>
            </w:r>
          </w:p>
        </w:tc>
        <w:tc>
          <w:tcPr>
            <w:tcW w:w="482" w:type="dxa"/>
            <w:tcMar>
              <w:top w:w="96" w:type="dxa"/>
              <w:left w:w="57" w:type="dxa"/>
              <w:bottom w:w="96" w:type="dxa"/>
              <w:right w:w="71" w:type="dxa"/>
            </w:tcMar>
          </w:tcPr>
          <w:p w14:paraId="705204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w:t>
            </w:r>
          </w:p>
        </w:tc>
        <w:tc>
          <w:tcPr>
            <w:tcW w:w="482" w:type="dxa"/>
            <w:tcMar>
              <w:top w:w="96" w:type="dxa"/>
              <w:left w:w="57" w:type="dxa"/>
              <w:bottom w:w="96" w:type="dxa"/>
              <w:right w:w="71" w:type="dxa"/>
            </w:tcMar>
          </w:tcPr>
          <w:p w14:paraId="1572466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4.3%</w:t>
            </w:r>
          </w:p>
        </w:tc>
        <w:tc>
          <w:tcPr>
            <w:tcW w:w="482" w:type="dxa"/>
            <w:shd w:val="solid" w:color="FFD1D1" w:fill="auto"/>
            <w:tcMar>
              <w:top w:w="96" w:type="dxa"/>
              <w:left w:w="57" w:type="dxa"/>
              <w:bottom w:w="96" w:type="dxa"/>
              <w:right w:w="71" w:type="dxa"/>
            </w:tcMar>
          </w:tcPr>
          <w:p w14:paraId="5C03DB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36.8%</w:t>
            </w:r>
          </w:p>
        </w:tc>
        <w:tc>
          <w:tcPr>
            <w:tcW w:w="482" w:type="dxa"/>
            <w:tcMar>
              <w:top w:w="96" w:type="dxa"/>
              <w:left w:w="57" w:type="dxa"/>
              <w:bottom w:w="96" w:type="dxa"/>
              <w:right w:w="71" w:type="dxa"/>
            </w:tcMar>
          </w:tcPr>
          <w:p w14:paraId="1B1AB14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91.9%</w:t>
            </w:r>
          </w:p>
        </w:tc>
        <w:tc>
          <w:tcPr>
            <w:tcW w:w="482" w:type="dxa"/>
            <w:tcMar>
              <w:top w:w="96" w:type="dxa"/>
              <w:left w:w="57" w:type="dxa"/>
              <w:bottom w:w="96" w:type="dxa"/>
              <w:right w:w="71" w:type="dxa"/>
            </w:tcMar>
          </w:tcPr>
          <w:p w14:paraId="6A0FD81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w:t>
            </w:r>
          </w:p>
        </w:tc>
        <w:tc>
          <w:tcPr>
            <w:tcW w:w="482" w:type="dxa"/>
            <w:shd w:val="solid" w:color="CBFFC6" w:fill="auto"/>
            <w:tcMar>
              <w:top w:w="96" w:type="dxa"/>
              <w:left w:w="57" w:type="dxa"/>
              <w:bottom w:w="96" w:type="dxa"/>
              <w:right w:w="71" w:type="dxa"/>
            </w:tcMar>
          </w:tcPr>
          <w:p w14:paraId="7CE2E3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7.0%</w:t>
            </w:r>
          </w:p>
        </w:tc>
        <w:tc>
          <w:tcPr>
            <w:tcW w:w="482" w:type="dxa"/>
            <w:tcMar>
              <w:top w:w="96" w:type="dxa"/>
              <w:left w:w="57" w:type="dxa"/>
              <w:bottom w:w="96" w:type="dxa"/>
              <w:right w:w="71" w:type="dxa"/>
            </w:tcMar>
          </w:tcPr>
          <w:p w14:paraId="2734B46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22.7%</w:t>
            </w:r>
          </w:p>
        </w:tc>
        <w:tc>
          <w:tcPr>
            <w:tcW w:w="482" w:type="dxa"/>
            <w:tcMar>
              <w:top w:w="96" w:type="dxa"/>
              <w:left w:w="57" w:type="dxa"/>
              <w:bottom w:w="96" w:type="dxa"/>
              <w:right w:w="71" w:type="dxa"/>
            </w:tcMar>
          </w:tcPr>
          <w:p w14:paraId="2BF9255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23.8%</w:t>
            </w:r>
          </w:p>
        </w:tc>
        <w:tc>
          <w:tcPr>
            <w:tcW w:w="482" w:type="dxa"/>
            <w:tcMar>
              <w:top w:w="96" w:type="dxa"/>
              <w:left w:w="57" w:type="dxa"/>
              <w:bottom w:w="96" w:type="dxa"/>
              <w:right w:w="71" w:type="dxa"/>
            </w:tcMar>
          </w:tcPr>
          <w:p w14:paraId="101A394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59.5%</w:t>
            </w:r>
          </w:p>
        </w:tc>
        <w:tc>
          <w:tcPr>
            <w:tcW w:w="482" w:type="dxa"/>
            <w:tcMar>
              <w:top w:w="96" w:type="dxa"/>
              <w:left w:w="57" w:type="dxa"/>
              <w:bottom w:w="96" w:type="dxa"/>
              <w:right w:w="71" w:type="dxa"/>
            </w:tcMar>
          </w:tcPr>
          <w:p w14:paraId="5912FA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shd w:val="solid" w:color="FFD1D1" w:fill="auto"/>
            <w:tcMar>
              <w:top w:w="96" w:type="dxa"/>
              <w:left w:w="57" w:type="dxa"/>
              <w:bottom w:w="96" w:type="dxa"/>
              <w:right w:w="71" w:type="dxa"/>
            </w:tcMar>
          </w:tcPr>
          <w:p w14:paraId="480EDE1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w:t>
            </w:r>
          </w:p>
        </w:tc>
        <w:tc>
          <w:tcPr>
            <w:tcW w:w="482" w:type="dxa"/>
            <w:tcMar>
              <w:top w:w="96" w:type="dxa"/>
              <w:left w:w="57" w:type="dxa"/>
              <w:bottom w:w="96" w:type="dxa"/>
              <w:right w:w="71" w:type="dxa"/>
            </w:tcMar>
          </w:tcPr>
          <w:p w14:paraId="7D6A383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w:t>
            </w:r>
          </w:p>
        </w:tc>
        <w:tc>
          <w:tcPr>
            <w:tcW w:w="482" w:type="dxa"/>
            <w:tcMar>
              <w:top w:w="96" w:type="dxa"/>
              <w:left w:w="57" w:type="dxa"/>
              <w:bottom w:w="96" w:type="dxa"/>
              <w:right w:w="71" w:type="dxa"/>
            </w:tcMar>
          </w:tcPr>
          <w:p w14:paraId="6EFBBAD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32.3%</w:t>
            </w:r>
          </w:p>
        </w:tc>
        <w:tc>
          <w:tcPr>
            <w:tcW w:w="482" w:type="dxa"/>
            <w:tcMar>
              <w:top w:w="96" w:type="dxa"/>
              <w:left w:w="57" w:type="dxa"/>
              <w:bottom w:w="96" w:type="dxa"/>
              <w:right w:w="71" w:type="dxa"/>
            </w:tcMar>
          </w:tcPr>
          <w:p w14:paraId="4A3AFB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94.6%</w:t>
            </w:r>
          </w:p>
        </w:tc>
        <w:tc>
          <w:tcPr>
            <w:tcW w:w="482" w:type="dxa"/>
            <w:shd w:val="solid" w:color="FFD1D1" w:fill="auto"/>
            <w:tcMar>
              <w:top w:w="96" w:type="dxa"/>
              <w:left w:w="57" w:type="dxa"/>
              <w:bottom w:w="96" w:type="dxa"/>
              <w:right w:w="71" w:type="dxa"/>
            </w:tcMar>
          </w:tcPr>
          <w:p w14:paraId="53CF6F6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35.9%</w:t>
            </w:r>
          </w:p>
        </w:tc>
        <w:tc>
          <w:tcPr>
            <w:tcW w:w="482" w:type="dxa"/>
            <w:shd w:val="solid" w:color="FFD1D1" w:fill="auto"/>
            <w:tcMar>
              <w:top w:w="96" w:type="dxa"/>
              <w:left w:w="57" w:type="dxa"/>
              <w:bottom w:w="96" w:type="dxa"/>
              <w:right w:w="71" w:type="dxa"/>
            </w:tcMar>
          </w:tcPr>
          <w:p w14:paraId="57F0F5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59.8%</w:t>
            </w:r>
          </w:p>
        </w:tc>
        <w:tc>
          <w:tcPr>
            <w:tcW w:w="482" w:type="dxa"/>
            <w:tcMar>
              <w:top w:w="96" w:type="dxa"/>
              <w:left w:w="57" w:type="dxa"/>
              <w:bottom w:w="96" w:type="dxa"/>
              <w:right w:w="71" w:type="dxa"/>
            </w:tcMar>
          </w:tcPr>
          <w:p w14:paraId="5208A16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88.2%</w:t>
            </w:r>
          </w:p>
        </w:tc>
        <w:tc>
          <w:tcPr>
            <w:tcW w:w="482" w:type="dxa"/>
            <w:shd w:val="solid" w:color="FFD1D1" w:fill="auto"/>
            <w:tcMar>
              <w:top w:w="96" w:type="dxa"/>
              <w:left w:w="57" w:type="dxa"/>
              <w:bottom w:w="96" w:type="dxa"/>
              <w:right w:w="71" w:type="dxa"/>
            </w:tcMar>
          </w:tcPr>
          <w:p w14:paraId="30249F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482" w:type="dxa"/>
            <w:shd w:val="solid" w:color="CBFFC6" w:fill="auto"/>
            <w:tcMar>
              <w:top w:w="96" w:type="dxa"/>
              <w:left w:w="57" w:type="dxa"/>
              <w:bottom w:w="96" w:type="dxa"/>
              <w:right w:w="71" w:type="dxa"/>
            </w:tcMar>
          </w:tcPr>
          <w:p w14:paraId="0819C5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63.2%</w:t>
            </w:r>
          </w:p>
        </w:tc>
        <w:tc>
          <w:tcPr>
            <w:tcW w:w="482" w:type="dxa"/>
            <w:tcMar>
              <w:top w:w="96" w:type="dxa"/>
              <w:left w:w="57" w:type="dxa"/>
              <w:bottom w:w="96" w:type="dxa"/>
              <w:right w:w="71" w:type="dxa"/>
            </w:tcMar>
          </w:tcPr>
          <w:p w14:paraId="5FC392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85.1%</w:t>
            </w:r>
          </w:p>
        </w:tc>
        <w:tc>
          <w:tcPr>
            <w:tcW w:w="482" w:type="dxa"/>
            <w:shd w:val="solid" w:color="FFD1D1" w:fill="auto"/>
            <w:tcMar>
              <w:top w:w="96" w:type="dxa"/>
              <w:left w:w="57" w:type="dxa"/>
              <w:bottom w:w="96" w:type="dxa"/>
              <w:right w:w="71" w:type="dxa"/>
            </w:tcMar>
          </w:tcPr>
          <w:p w14:paraId="6CDA934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87.7%</w:t>
            </w:r>
          </w:p>
        </w:tc>
        <w:tc>
          <w:tcPr>
            <w:tcW w:w="482" w:type="dxa"/>
            <w:tcMar>
              <w:top w:w="96" w:type="dxa"/>
              <w:left w:w="57" w:type="dxa"/>
              <w:bottom w:w="96" w:type="dxa"/>
              <w:right w:w="71" w:type="dxa"/>
            </w:tcMar>
          </w:tcPr>
          <w:p w14:paraId="1850D30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81.8%</w:t>
            </w:r>
          </w:p>
        </w:tc>
        <w:tc>
          <w:tcPr>
            <w:tcW w:w="482" w:type="dxa"/>
            <w:shd w:val="solid" w:color="FFD1D1" w:fill="auto"/>
            <w:tcMar>
              <w:top w:w="96" w:type="dxa"/>
              <w:left w:w="57" w:type="dxa"/>
              <w:bottom w:w="96" w:type="dxa"/>
              <w:right w:w="71" w:type="dxa"/>
            </w:tcMar>
          </w:tcPr>
          <w:p w14:paraId="6FBC6A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w:t>
            </w:r>
          </w:p>
        </w:tc>
        <w:tc>
          <w:tcPr>
            <w:tcW w:w="340" w:type="dxa"/>
            <w:tcMar>
              <w:top w:w="96" w:type="dxa"/>
              <w:left w:w="57" w:type="dxa"/>
              <w:bottom w:w="96" w:type="dxa"/>
              <w:right w:w="71" w:type="dxa"/>
            </w:tcMar>
          </w:tcPr>
          <w:p w14:paraId="2A5E75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340" w:type="dxa"/>
            <w:tcMar>
              <w:top w:w="96" w:type="dxa"/>
              <w:left w:w="57" w:type="dxa"/>
              <w:bottom w:w="96" w:type="dxa"/>
              <w:right w:w="71" w:type="dxa"/>
            </w:tcMar>
          </w:tcPr>
          <w:p w14:paraId="04D8A34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4E429B90" w14:textId="77777777" w:rsidTr="001726E8">
        <w:trPr>
          <w:trHeight w:val="283"/>
        </w:trPr>
        <w:tc>
          <w:tcPr>
            <w:tcW w:w="1417" w:type="dxa"/>
            <w:tcMar>
              <w:top w:w="96" w:type="dxa"/>
              <w:left w:w="113" w:type="dxa"/>
              <w:bottom w:w="96" w:type="dxa"/>
              <w:right w:w="0" w:type="dxa"/>
            </w:tcMar>
          </w:tcPr>
          <w:p w14:paraId="36EFFFC0"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Northern Hospital Epping</w:t>
            </w:r>
          </w:p>
        </w:tc>
        <w:tc>
          <w:tcPr>
            <w:tcW w:w="340" w:type="dxa"/>
            <w:tcMar>
              <w:top w:w="96" w:type="dxa"/>
              <w:left w:w="57" w:type="dxa"/>
              <w:bottom w:w="96" w:type="dxa"/>
              <w:right w:w="71" w:type="dxa"/>
            </w:tcMar>
          </w:tcPr>
          <w:p w14:paraId="3033382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37FEDE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3,361</w:t>
            </w:r>
          </w:p>
        </w:tc>
        <w:tc>
          <w:tcPr>
            <w:tcW w:w="482" w:type="dxa"/>
            <w:shd w:val="solid" w:color="FFD1D1" w:fill="auto"/>
            <w:tcMar>
              <w:top w:w="96" w:type="dxa"/>
              <w:left w:w="57" w:type="dxa"/>
              <w:bottom w:w="96" w:type="dxa"/>
              <w:right w:w="71" w:type="dxa"/>
            </w:tcMar>
          </w:tcPr>
          <w:p w14:paraId="47AAD1A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24.7%</w:t>
            </w:r>
          </w:p>
        </w:tc>
        <w:tc>
          <w:tcPr>
            <w:tcW w:w="482" w:type="dxa"/>
            <w:tcMar>
              <w:top w:w="96" w:type="dxa"/>
              <w:left w:w="57" w:type="dxa"/>
              <w:bottom w:w="96" w:type="dxa"/>
              <w:right w:w="71" w:type="dxa"/>
            </w:tcMar>
          </w:tcPr>
          <w:p w14:paraId="7F38F45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20.6%</w:t>
            </w:r>
          </w:p>
        </w:tc>
        <w:tc>
          <w:tcPr>
            <w:tcW w:w="482" w:type="dxa"/>
            <w:tcMar>
              <w:top w:w="96" w:type="dxa"/>
              <w:left w:w="57" w:type="dxa"/>
              <w:bottom w:w="96" w:type="dxa"/>
              <w:right w:w="71" w:type="dxa"/>
            </w:tcMar>
          </w:tcPr>
          <w:p w14:paraId="47037CA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41.4%</w:t>
            </w:r>
          </w:p>
        </w:tc>
        <w:tc>
          <w:tcPr>
            <w:tcW w:w="482" w:type="dxa"/>
            <w:tcMar>
              <w:top w:w="96" w:type="dxa"/>
              <w:left w:w="57" w:type="dxa"/>
              <w:bottom w:w="96" w:type="dxa"/>
              <w:right w:w="71" w:type="dxa"/>
            </w:tcMar>
          </w:tcPr>
          <w:p w14:paraId="6BD32A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w:t>
            </w:r>
          </w:p>
        </w:tc>
        <w:tc>
          <w:tcPr>
            <w:tcW w:w="482" w:type="dxa"/>
            <w:tcMar>
              <w:top w:w="96" w:type="dxa"/>
              <w:left w:w="57" w:type="dxa"/>
              <w:bottom w:w="96" w:type="dxa"/>
              <w:right w:w="71" w:type="dxa"/>
            </w:tcMar>
          </w:tcPr>
          <w:p w14:paraId="1F1DE3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4.1%</w:t>
            </w:r>
          </w:p>
        </w:tc>
        <w:tc>
          <w:tcPr>
            <w:tcW w:w="482" w:type="dxa"/>
            <w:shd w:val="solid" w:color="FFD1D1" w:fill="auto"/>
            <w:tcMar>
              <w:top w:w="96" w:type="dxa"/>
              <w:left w:w="57" w:type="dxa"/>
              <w:bottom w:w="96" w:type="dxa"/>
              <w:right w:w="71" w:type="dxa"/>
            </w:tcMar>
          </w:tcPr>
          <w:p w14:paraId="58AE58A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35.1%</w:t>
            </w:r>
          </w:p>
        </w:tc>
        <w:tc>
          <w:tcPr>
            <w:tcW w:w="482" w:type="dxa"/>
            <w:shd w:val="solid" w:color="CBFFC6" w:fill="auto"/>
            <w:tcMar>
              <w:top w:w="96" w:type="dxa"/>
              <w:left w:w="57" w:type="dxa"/>
              <w:bottom w:w="96" w:type="dxa"/>
              <w:right w:w="71" w:type="dxa"/>
            </w:tcMar>
          </w:tcPr>
          <w:p w14:paraId="338B073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94.7%</w:t>
            </w:r>
          </w:p>
        </w:tc>
        <w:tc>
          <w:tcPr>
            <w:tcW w:w="482" w:type="dxa"/>
            <w:tcMar>
              <w:top w:w="96" w:type="dxa"/>
              <w:left w:w="57" w:type="dxa"/>
              <w:bottom w:w="96" w:type="dxa"/>
              <w:right w:w="71" w:type="dxa"/>
            </w:tcMar>
          </w:tcPr>
          <w:p w14:paraId="77A14E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w:t>
            </w:r>
          </w:p>
        </w:tc>
        <w:tc>
          <w:tcPr>
            <w:tcW w:w="482" w:type="dxa"/>
            <w:tcMar>
              <w:top w:w="96" w:type="dxa"/>
              <w:left w:w="57" w:type="dxa"/>
              <w:bottom w:w="96" w:type="dxa"/>
              <w:right w:w="71" w:type="dxa"/>
            </w:tcMar>
          </w:tcPr>
          <w:p w14:paraId="023E3C5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22.7%</w:t>
            </w:r>
          </w:p>
        </w:tc>
        <w:tc>
          <w:tcPr>
            <w:tcW w:w="482" w:type="dxa"/>
            <w:tcMar>
              <w:top w:w="96" w:type="dxa"/>
              <w:left w:w="57" w:type="dxa"/>
              <w:bottom w:w="96" w:type="dxa"/>
              <w:right w:w="71" w:type="dxa"/>
            </w:tcMar>
          </w:tcPr>
          <w:p w14:paraId="289CFFD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16.7%</w:t>
            </w:r>
          </w:p>
        </w:tc>
        <w:tc>
          <w:tcPr>
            <w:tcW w:w="482" w:type="dxa"/>
            <w:shd w:val="solid" w:color="CBFFC6" w:fill="auto"/>
            <w:tcMar>
              <w:top w:w="96" w:type="dxa"/>
              <w:left w:w="57" w:type="dxa"/>
              <w:bottom w:w="96" w:type="dxa"/>
              <w:right w:w="71" w:type="dxa"/>
            </w:tcMar>
          </w:tcPr>
          <w:p w14:paraId="2A0EA93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30.6%</w:t>
            </w:r>
          </w:p>
        </w:tc>
        <w:tc>
          <w:tcPr>
            <w:tcW w:w="482" w:type="dxa"/>
            <w:shd w:val="solid" w:color="FFD1D1" w:fill="auto"/>
            <w:tcMar>
              <w:top w:w="96" w:type="dxa"/>
              <w:left w:w="57" w:type="dxa"/>
              <w:bottom w:w="96" w:type="dxa"/>
              <w:right w:w="71" w:type="dxa"/>
            </w:tcMar>
          </w:tcPr>
          <w:p w14:paraId="0F7EFEA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39.8%</w:t>
            </w:r>
          </w:p>
        </w:tc>
        <w:tc>
          <w:tcPr>
            <w:tcW w:w="482" w:type="dxa"/>
            <w:tcMar>
              <w:top w:w="96" w:type="dxa"/>
              <w:left w:w="57" w:type="dxa"/>
              <w:bottom w:w="96" w:type="dxa"/>
              <w:right w:w="71" w:type="dxa"/>
            </w:tcMar>
          </w:tcPr>
          <w:p w14:paraId="15FCD5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1FA46C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shd w:val="solid" w:color="FFD1D1" w:fill="auto"/>
            <w:tcMar>
              <w:top w:w="96" w:type="dxa"/>
              <w:left w:w="57" w:type="dxa"/>
              <w:bottom w:w="96" w:type="dxa"/>
              <w:right w:w="71" w:type="dxa"/>
            </w:tcMar>
          </w:tcPr>
          <w:p w14:paraId="01DAAB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w:t>
            </w:r>
          </w:p>
        </w:tc>
        <w:tc>
          <w:tcPr>
            <w:tcW w:w="482" w:type="dxa"/>
            <w:tcMar>
              <w:top w:w="96" w:type="dxa"/>
              <w:left w:w="57" w:type="dxa"/>
              <w:bottom w:w="96" w:type="dxa"/>
              <w:right w:w="71" w:type="dxa"/>
            </w:tcMar>
          </w:tcPr>
          <w:p w14:paraId="3CE2A69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33.4%</w:t>
            </w:r>
          </w:p>
        </w:tc>
        <w:tc>
          <w:tcPr>
            <w:tcW w:w="482" w:type="dxa"/>
            <w:tcMar>
              <w:top w:w="96" w:type="dxa"/>
              <w:left w:w="57" w:type="dxa"/>
              <w:bottom w:w="96" w:type="dxa"/>
              <w:right w:w="71" w:type="dxa"/>
            </w:tcMar>
          </w:tcPr>
          <w:p w14:paraId="5E1EA84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94.2%</w:t>
            </w:r>
          </w:p>
        </w:tc>
        <w:tc>
          <w:tcPr>
            <w:tcW w:w="482" w:type="dxa"/>
            <w:tcMar>
              <w:top w:w="96" w:type="dxa"/>
              <w:left w:w="57" w:type="dxa"/>
              <w:bottom w:w="96" w:type="dxa"/>
              <w:right w:w="71" w:type="dxa"/>
            </w:tcMar>
          </w:tcPr>
          <w:p w14:paraId="592ABB6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34.3%</w:t>
            </w:r>
          </w:p>
        </w:tc>
        <w:tc>
          <w:tcPr>
            <w:tcW w:w="482" w:type="dxa"/>
            <w:shd w:val="solid" w:color="FFD1D1" w:fill="auto"/>
            <w:tcMar>
              <w:top w:w="96" w:type="dxa"/>
              <w:left w:w="57" w:type="dxa"/>
              <w:bottom w:w="96" w:type="dxa"/>
              <w:right w:w="71" w:type="dxa"/>
            </w:tcMar>
          </w:tcPr>
          <w:p w14:paraId="57654CA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70.8%</w:t>
            </w:r>
          </w:p>
        </w:tc>
        <w:tc>
          <w:tcPr>
            <w:tcW w:w="482" w:type="dxa"/>
            <w:tcMar>
              <w:top w:w="96" w:type="dxa"/>
              <w:left w:w="57" w:type="dxa"/>
              <w:bottom w:w="96" w:type="dxa"/>
              <w:right w:w="71" w:type="dxa"/>
            </w:tcMar>
          </w:tcPr>
          <w:p w14:paraId="643B10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86.7%</w:t>
            </w:r>
          </w:p>
        </w:tc>
        <w:tc>
          <w:tcPr>
            <w:tcW w:w="482" w:type="dxa"/>
            <w:tcMar>
              <w:top w:w="96" w:type="dxa"/>
              <w:left w:w="57" w:type="dxa"/>
              <w:bottom w:w="96" w:type="dxa"/>
              <w:right w:w="71" w:type="dxa"/>
            </w:tcMar>
          </w:tcPr>
          <w:p w14:paraId="48F7595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tcMar>
              <w:top w:w="96" w:type="dxa"/>
              <w:left w:w="57" w:type="dxa"/>
              <w:bottom w:w="96" w:type="dxa"/>
              <w:right w:w="71" w:type="dxa"/>
            </w:tcMar>
          </w:tcPr>
          <w:p w14:paraId="542BA0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71.6%</w:t>
            </w:r>
          </w:p>
        </w:tc>
        <w:tc>
          <w:tcPr>
            <w:tcW w:w="482" w:type="dxa"/>
            <w:tcMar>
              <w:top w:w="96" w:type="dxa"/>
              <w:left w:w="57" w:type="dxa"/>
              <w:bottom w:w="96" w:type="dxa"/>
              <w:right w:w="71" w:type="dxa"/>
            </w:tcMar>
          </w:tcPr>
          <w:p w14:paraId="28C84A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88.7%</w:t>
            </w:r>
          </w:p>
        </w:tc>
        <w:tc>
          <w:tcPr>
            <w:tcW w:w="482" w:type="dxa"/>
            <w:shd w:val="solid" w:color="FFD1D1" w:fill="auto"/>
            <w:tcMar>
              <w:top w:w="96" w:type="dxa"/>
              <w:left w:w="57" w:type="dxa"/>
              <w:bottom w:w="96" w:type="dxa"/>
              <w:right w:w="71" w:type="dxa"/>
            </w:tcMar>
          </w:tcPr>
          <w:p w14:paraId="26EAA3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84.3%</w:t>
            </w:r>
          </w:p>
        </w:tc>
        <w:tc>
          <w:tcPr>
            <w:tcW w:w="482" w:type="dxa"/>
            <w:shd w:val="solid" w:color="FFD1D1" w:fill="auto"/>
            <w:tcMar>
              <w:top w:w="96" w:type="dxa"/>
              <w:left w:w="57" w:type="dxa"/>
              <w:bottom w:w="96" w:type="dxa"/>
              <w:right w:w="71" w:type="dxa"/>
            </w:tcMar>
          </w:tcPr>
          <w:p w14:paraId="12A1207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66.6%</w:t>
            </w:r>
          </w:p>
        </w:tc>
        <w:tc>
          <w:tcPr>
            <w:tcW w:w="482" w:type="dxa"/>
            <w:tcMar>
              <w:top w:w="96" w:type="dxa"/>
              <w:left w:w="57" w:type="dxa"/>
              <w:bottom w:w="96" w:type="dxa"/>
              <w:right w:w="71" w:type="dxa"/>
            </w:tcMar>
          </w:tcPr>
          <w:p w14:paraId="4A68022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w:t>
            </w:r>
          </w:p>
        </w:tc>
        <w:tc>
          <w:tcPr>
            <w:tcW w:w="340" w:type="dxa"/>
            <w:tcMar>
              <w:top w:w="96" w:type="dxa"/>
              <w:left w:w="57" w:type="dxa"/>
              <w:bottom w:w="96" w:type="dxa"/>
              <w:right w:w="71" w:type="dxa"/>
            </w:tcMar>
          </w:tcPr>
          <w:p w14:paraId="1327422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w:t>
            </w:r>
          </w:p>
        </w:tc>
        <w:tc>
          <w:tcPr>
            <w:tcW w:w="340" w:type="dxa"/>
            <w:tcMar>
              <w:top w:w="96" w:type="dxa"/>
              <w:left w:w="57" w:type="dxa"/>
              <w:bottom w:w="96" w:type="dxa"/>
              <w:right w:w="71" w:type="dxa"/>
            </w:tcMar>
          </w:tcPr>
          <w:p w14:paraId="642082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26535ACB" w14:textId="77777777" w:rsidTr="001726E8">
        <w:trPr>
          <w:trHeight w:val="283"/>
        </w:trPr>
        <w:tc>
          <w:tcPr>
            <w:tcW w:w="1417" w:type="dxa"/>
            <w:tcMar>
              <w:top w:w="96" w:type="dxa"/>
              <w:left w:w="113" w:type="dxa"/>
              <w:bottom w:w="96" w:type="dxa"/>
              <w:right w:w="0" w:type="dxa"/>
            </w:tcMar>
          </w:tcPr>
          <w:p w14:paraId="6C56C64A"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Frankston Hospital</w:t>
            </w:r>
          </w:p>
        </w:tc>
        <w:tc>
          <w:tcPr>
            <w:tcW w:w="340" w:type="dxa"/>
            <w:tcMar>
              <w:top w:w="96" w:type="dxa"/>
              <w:left w:w="57" w:type="dxa"/>
              <w:bottom w:w="96" w:type="dxa"/>
              <w:right w:w="71" w:type="dxa"/>
            </w:tcMar>
          </w:tcPr>
          <w:p w14:paraId="580203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603C522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3,017</w:t>
            </w:r>
          </w:p>
        </w:tc>
        <w:tc>
          <w:tcPr>
            <w:tcW w:w="482" w:type="dxa"/>
            <w:tcMar>
              <w:top w:w="96" w:type="dxa"/>
              <w:left w:w="57" w:type="dxa"/>
              <w:bottom w:w="96" w:type="dxa"/>
              <w:right w:w="71" w:type="dxa"/>
            </w:tcMar>
          </w:tcPr>
          <w:p w14:paraId="05289E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10.3%</w:t>
            </w:r>
          </w:p>
        </w:tc>
        <w:tc>
          <w:tcPr>
            <w:tcW w:w="482" w:type="dxa"/>
            <w:tcMar>
              <w:top w:w="96" w:type="dxa"/>
              <w:left w:w="57" w:type="dxa"/>
              <w:bottom w:w="96" w:type="dxa"/>
              <w:right w:w="71" w:type="dxa"/>
            </w:tcMar>
          </w:tcPr>
          <w:p w14:paraId="02460F8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17.6%</w:t>
            </w:r>
          </w:p>
        </w:tc>
        <w:tc>
          <w:tcPr>
            <w:tcW w:w="482" w:type="dxa"/>
            <w:shd w:val="solid" w:color="CBFFC6" w:fill="auto"/>
            <w:tcMar>
              <w:top w:w="96" w:type="dxa"/>
              <w:left w:w="57" w:type="dxa"/>
              <w:bottom w:w="96" w:type="dxa"/>
              <w:right w:w="71" w:type="dxa"/>
            </w:tcMar>
          </w:tcPr>
          <w:p w14:paraId="54CF98B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28.1%</w:t>
            </w:r>
          </w:p>
        </w:tc>
        <w:tc>
          <w:tcPr>
            <w:tcW w:w="482" w:type="dxa"/>
            <w:tcMar>
              <w:top w:w="96" w:type="dxa"/>
              <w:left w:w="57" w:type="dxa"/>
              <w:bottom w:w="96" w:type="dxa"/>
              <w:right w:w="71" w:type="dxa"/>
            </w:tcMar>
          </w:tcPr>
          <w:p w14:paraId="3B21C3E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w:t>
            </w:r>
          </w:p>
        </w:tc>
        <w:tc>
          <w:tcPr>
            <w:tcW w:w="482" w:type="dxa"/>
            <w:tcMar>
              <w:top w:w="96" w:type="dxa"/>
              <w:left w:w="57" w:type="dxa"/>
              <w:bottom w:w="96" w:type="dxa"/>
              <w:right w:w="71" w:type="dxa"/>
            </w:tcMar>
          </w:tcPr>
          <w:p w14:paraId="19653A3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5.2%</w:t>
            </w:r>
          </w:p>
        </w:tc>
        <w:tc>
          <w:tcPr>
            <w:tcW w:w="482" w:type="dxa"/>
            <w:tcMar>
              <w:top w:w="96" w:type="dxa"/>
              <w:left w:w="57" w:type="dxa"/>
              <w:bottom w:w="96" w:type="dxa"/>
              <w:right w:w="71" w:type="dxa"/>
            </w:tcMar>
          </w:tcPr>
          <w:p w14:paraId="5B779D9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22.6%</w:t>
            </w:r>
          </w:p>
        </w:tc>
        <w:tc>
          <w:tcPr>
            <w:tcW w:w="482" w:type="dxa"/>
            <w:shd w:val="solid" w:color="CBFFC6" w:fill="auto"/>
            <w:tcMar>
              <w:top w:w="96" w:type="dxa"/>
              <w:left w:w="57" w:type="dxa"/>
              <w:bottom w:w="96" w:type="dxa"/>
              <w:right w:w="71" w:type="dxa"/>
            </w:tcMar>
          </w:tcPr>
          <w:p w14:paraId="16E5472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92.8%</w:t>
            </w:r>
          </w:p>
        </w:tc>
        <w:tc>
          <w:tcPr>
            <w:tcW w:w="482" w:type="dxa"/>
            <w:tcMar>
              <w:top w:w="96" w:type="dxa"/>
              <w:left w:w="57" w:type="dxa"/>
              <w:bottom w:w="96" w:type="dxa"/>
              <w:right w:w="71" w:type="dxa"/>
            </w:tcMar>
          </w:tcPr>
          <w:p w14:paraId="74E77D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11.2%</w:t>
            </w:r>
          </w:p>
        </w:tc>
        <w:tc>
          <w:tcPr>
            <w:tcW w:w="482" w:type="dxa"/>
            <w:shd w:val="solid" w:color="FFD1D1" w:fill="auto"/>
            <w:tcMar>
              <w:top w:w="96" w:type="dxa"/>
              <w:left w:w="57" w:type="dxa"/>
              <w:bottom w:w="96" w:type="dxa"/>
              <w:right w:w="71" w:type="dxa"/>
            </w:tcMar>
          </w:tcPr>
          <w:p w14:paraId="6FD325F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32.5%</w:t>
            </w:r>
          </w:p>
        </w:tc>
        <w:tc>
          <w:tcPr>
            <w:tcW w:w="482" w:type="dxa"/>
            <w:shd w:val="solid" w:color="CBFFC6" w:fill="auto"/>
            <w:tcMar>
              <w:top w:w="96" w:type="dxa"/>
              <w:left w:w="57" w:type="dxa"/>
              <w:bottom w:w="96" w:type="dxa"/>
              <w:right w:w="71" w:type="dxa"/>
            </w:tcMar>
          </w:tcPr>
          <w:p w14:paraId="1264BA5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w:t>
            </w:r>
          </w:p>
        </w:tc>
        <w:tc>
          <w:tcPr>
            <w:tcW w:w="482" w:type="dxa"/>
            <w:shd w:val="solid" w:color="CBFFC6" w:fill="auto"/>
            <w:tcMar>
              <w:top w:w="96" w:type="dxa"/>
              <w:left w:w="57" w:type="dxa"/>
              <w:bottom w:w="96" w:type="dxa"/>
              <w:right w:w="71" w:type="dxa"/>
            </w:tcMar>
          </w:tcPr>
          <w:p w14:paraId="3D4C8E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28.5%</w:t>
            </w:r>
          </w:p>
        </w:tc>
        <w:tc>
          <w:tcPr>
            <w:tcW w:w="482" w:type="dxa"/>
            <w:tcMar>
              <w:top w:w="96" w:type="dxa"/>
              <w:left w:w="57" w:type="dxa"/>
              <w:bottom w:w="96" w:type="dxa"/>
              <w:right w:w="71" w:type="dxa"/>
            </w:tcMar>
          </w:tcPr>
          <w:p w14:paraId="3D0FB62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56.0%</w:t>
            </w:r>
          </w:p>
        </w:tc>
        <w:tc>
          <w:tcPr>
            <w:tcW w:w="482" w:type="dxa"/>
            <w:tcMar>
              <w:top w:w="96" w:type="dxa"/>
              <w:left w:w="57" w:type="dxa"/>
              <w:bottom w:w="96" w:type="dxa"/>
              <w:right w:w="71" w:type="dxa"/>
            </w:tcMar>
          </w:tcPr>
          <w:p w14:paraId="1ECBC1E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09DB46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w:t>
            </w:r>
          </w:p>
        </w:tc>
        <w:tc>
          <w:tcPr>
            <w:tcW w:w="482" w:type="dxa"/>
            <w:tcMar>
              <w:top w:w="96" w:type="dxa"/>
              <w:left w:w="57" w:type="dxa"/>
              <w:bottom w:w="96" w:type="dxa"/>
              <w:right w:w="71" w:type="dxa"/>
            </w:tcMar>
          </w:tcPr>
          <w:p w14:paraId="3C34950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4.3%</w:t>
            </w:r>
          </w:p>
        </w:tc>
        <w:tc>
          <w:tcPr>
            <w:tcW w:w="482" w:type="dxa"/>
            <w:tcMar>
              <w:top w:w="96" w:type="dxa"/>
              <w:left w:w="57" w:type="dxa"/>
              <w:bottom w:w="96" w:type="dxa"/>
              <w:right w:w="71" w:type="dxa"/>
            </w:tcMar>
          </w:tcPr>
          <w:p w14:paraId="4844F58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31.7%</w:t>
            </w:r>
          </w:p>
        </w:tc>
        <w:tc>
          <w:tcPr>
            <w:tcW w:w="482" w:type="dxa"/>
            <w:shd w:val="solid" w:color="FFD1D1" w:fill="auto"/>
            <w:tcMar>
              <w:top w:w="96" w:type="dxa"/>
              <w:left w:w="57" w:type="dxa"/>
              <w:bottom w:w="96" w:type="dxa"/>
              <w:right w:w="71" w:type="dxa"/>
            </w:tcMar>
          </w:tcPr>
          <w:p w14:paraId="188BC4F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93.1%</w:t>
            </w:r>
          </w:p>
        </w:tc>
        <w:tc>
          <w:tcPr>
            <w:tcW w:w="482" w:type="dxa"/>
            <w:tcMar>
              <w:top w:w="96" w:type="dxa"/>
              <w:left w:w="57" w:type="dxa"/>
              <w:bottom w:w="96" w:type="dxa"/>
              <w:right w:w="71" w:type="dxa"/>
            </w:tcMar>
          </w:tcPr>
          <w:p w14:paraId="450FDC7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23.1%</w:t>
            </w:r>
          </w:p>
        </w:tc>
        <w:tc>
          <w:tcPr>
            <w:tcW w:w="482" w:type="dxa"/>
            <w:tcMar>
              <w:top w:w="96" w:type="dxa"/>
              <w:left w:w="57" w:type="dxa"/>
              <w:bottom w:w="96" w:type="dxa"/>
              <w:right w:w="71" w:type="dxa"/>
            </w:tcMar>
          </w:tcPr>
          <w:p w14:paraId="0C88DB6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84.6%</w:t>
            </w:r>
          </w:p>
        </w:tc>
        <w:tc>
          <w:tcPr>
            <w:tcW w:w="482" w:type="dxa"/>
            <w:shd w:val="solid" w:color="FFD1D1" w:fill="auto"/>
            <w:tcMar>
              <w:top w:w="96" w:type="dxa"/>
              <w:left w:w="57" w:type="dxa"/>
              <w:bottom w:w="96" w:type="dxa"/>
              <w:right w:w="71" w:type="dxa"/>
            </w:tcMar>
          </w:tcPr>
          <w:p w14:paraId="7955DE0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71.5%</w:t>
            </w:r>
          </w:p>
        </w:tc>
        <w:tc>
          <w:tcPr>
            <w:tcW w:w="482" w:type="dxa"/>
            <w:tcMar>
              <w:top w:w="96" w:type="dxa"/>
              <w:left w:w="57" w:type="dxa"/>
              <w:bottom w:w="96" w:type="dxa"/>
              <w:right w:w="71" w:type="dxa"/>
            </w:tcMar>
          </w:tcPr>
          <w:p w14:paraId="6E3383B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shd w:val="solid" w:color="CBFFC6" w:fill="auto"/>
            <w:tcMar>
              <w:top w:w="96" w:type="dxa"/>
              <w:left w:w="57" w:type="dxa"/>
              <w:bottom w:w="96" w:type="dxa"/>
              <w:right w:w="71" w:type="dxa"/>
            </w:tcMar>
          </w:tcPr>
          <w:p w14:paraId="494FEC5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61.3%</w:t>
            </w:r>
          </w:p>
        </w:tc>
        <w:tc>
          <w:tcPr>
            <w:tcW w:w="482" w:type="dxa"/>
            <w:tcMar>
              <w:top w:w="96" w:type="dxa"/>
              <w:left w:w="57" w:type="dxa"/>
              <w:bottom w:w="96" w:type="dxa"/>
              <w:right w:w="71" w:type="dxa"/>
            </w:tcMar>
          </w:tcPr>
          <w:p w14:paraId="1A2B04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82.8%</w:t>
            </w:r>
          </w:p>
        </w:tc>
        <w:tc>
          <w:tcPr>
            <w:tcW w:w="482" w:type="dxa"/>
            <w:tcMar>
              <w:top w:w="96" w:type="dxa"/>
              <w:left w:w="57" w:type="dxa"/>
              <w:bottom w:w="96" w:type="dxa"/>
              <w:right w:w="71" w:type="dxa"/>
            </w:tcMar>
          </w:tcPr>
          <w:p w14:paraId="7F567BC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92.6%</w:t>
            </w:r>
          </w:p>
        </w:tc>
        <w:tc>
          <w:tcPr>
            <w:tcW w:w="482" w:type="dxa"/>
            <w:tcMar>
              <w:top w:w="96" w:type="dxa"/>
              <w:left w:w="57" w:type="dxa"/>
              <w:bottom w:w="96" w:type="dxa"/>
              <w:right w:w="71" w:type="dxa"/>
            </w:tcMar>
          </w:tcPr>
          <w:p w14:paraId="33D67B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77.1%</w:t>
            </w:r>
          </w:p>
        </w:tc>
        <w:tc>
          <w:tcPr>
            <w:tcW w:w="482" w:type="dxa"/>
            <w:tcMar>
              <w:top w:w="96" w:type="dxa"/>
              <w:left w:w="57" w:type="dxa"/>
              <w:bottom w:w="96" w:type="dxa"/>
              <w:right w:w="71" w:type="dxa"/>
            </w:tcMar>
          </w:tcPr>
          <w:p w14:paraId="465FBA3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w:t>
            </w:r>
          </w:p>
        </w:tc>
        <w:tc>
          <w:tcPr>
            <w:tcW w:w="340" w:type="dxa"/>
            <w:tcMar>
              <w:top w:w="96" w:type="dxa"/>
              <w:left w:w="57" w:type="dxa"/>
              <w:bottom w:w="96" w:type="dxa"/>
              <w:right w:w="71" w:type="dxa"/>
            </w:tcMar>
          </w:tcPr>
          <w:p w14:paraId="6178460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5E2401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239514A6" w14:textId="77777777" w:rsidTr="001726E8">
        <w:trPr>
          <w:trHeight w:val="283"/>
        </w:trPr>
        <w:tc>
          <w:tcPr>
            <w:tcW w:w="1417" w:type="dxa"/>
            <w:tcMar>
              <w:top w:w="96" w:type="dxa"/>
              <w:left w:w="113" w:type="dxa"/>
              <w:bottom w:w="96" w:type="dxa"/>
              <w:right w:w="0" w:type="dxa"/>
            </w:tcMar>
          </w:tcPr>
          <w:p w14:paraId="66CED378"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University Hospital Geelong</w:t>
            </w:r>
          </w:p>
        </w:tc>
        <w:tc>
          <w:tcPr>
            <w:tcW w:w="340" w:type="dxa"/>
            <w:tcMar>
              <w:top w:w="96" w:type="dxa"/>
              <w:left w:w="57" w:type="dxa"/>
              <w:bottom w:w="96" w:type="dxa"/>
              <w:right w:w="71" w:type="dxa"/>
            </w:tcMar>
          </w:tcPr>
          <w:p w14:paraId="2793858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6175505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2,840</w:t>
            </w:r>
          </w:p>
        </w:tc>
        <w:tc>
          <w:tcPr>
            <w:tcW w:w="482" w:type="dxa"/>
            <w:shd w:val="solid" w:color="CBFFC6" w:fill="auto"/>
            <w:tcMar>
              <w:top w:w="96" w:type="dxa"/>
              <w:left w:w="57" w:type="dxa"/>
              <w:bottom w:w="96" w:type="dxa"/>
              <w:right w:w="71" w:type="dxa"/>
            </w:tcMar>
          </w:tcPr>
          <w:p w14:paraId="6C983F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w:t>
            </w:r>
          </w:p>
        </w:tc>
        <w:tc>
          <w:tcPr>
            <w:tcW w:w="482" w:type="dxa"/>
            <w:tcMar>
              <w:top w:w="96" w:type="dxa"/>
              <w:left w:w="57" w:type="dxa"/>
              <w:bottom w:w="96" w:type="dxa"/>
              <w:right w:w="71" w:type="dxa"/>
            </w:tcMar>
          </w:tcPr>
          <w:p w14:paraId="27D44A4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22.2%</w:t>
            </w:r>
          </w:p>
        </w:tc>
        <w:tc>
          <w:tcPr>
            <w:tcW w:w="482" w:type="dxa"/>
            <w:tcMar>
              <w:top w:w="96" w:type="dxa"/>
              <w:left w:w="57" w:type="dxa"/>
              <w:bottom w:w="96" w:type="dxa"/>
              <w:right w:w="71" w:type="dxa"/>
            </w:tcMar>
          </w:tcPr>
          <w:p w14:paraId="16335A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32.4%</w:t>
            </w:r>
          </w:p>
        </w:tc>
        <w:tc>
          <w:tcPr>
            <w:tcW w:w="482" w:type="dxa"/>
            <w:shd w:val="solid" w:color="FFD1D1" w:fill="auto"/>
            <w:tcMar>
              <w:top w:w="96" w:type="dxa"/>
              <w:left w:w="57" w:type="dxa"/>
              <w:bottom w:w="96" w:type="dxa"/>
              <w:right w:w="71" w:type="dxa"/>
            </w:tcMar>
          </w:tcPr>
          <w:p w14:paraId="4B122B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6.0%</w:t>
            </w:r>
          </w:p>
        </w:tc>
        <w:tc>
          <w:tcPr>
            <w:tcW w:w="482" w:type="dxa"/>
            <w:shd w:val="solid" w:color="FFD1D1" w:fill="auto"/>
            <w:tcMar>
              <w:top w:w="96" w:type="dxa"/>
              <w:left w:w="57" w:type="dxa"/>
              <w:bottom w:w="96" w:type="dxa"/>
              <w:right w:w="71" w:type="dxa"/>
            </w:tcMar>
          </w:tcPr>
          <w:p w14:paraId="13149BA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w:t>
            </w:r>
          </w:p>
        </w:tc>
        <w:tc>
          <w:tcPr>
            <w:tcW w:w="482" w:type="dxa"/>
            <w:shd w:val="solid" w:color="CBFFC6" w:fill="auto"/>
            <w:tcMar>
              <w:top w:w="96" w:type="dxa"/>
              <w:left w:w="57" w:type="dxa"/>
              <w:bottom w:w="96" w:type="dxa"/>
              <w:right w:w="71" w:type="dxa"/>
            </w:tcMar>
          </w:tcPr>
          <w:p w14:paraId="18A4AF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20.5%</w:t>
            </w:r>
          </w:p>
        </w:tc>
        <w:tc>
          <w:tcPr>
            <w:tcW w:w="482" w:type="dxa"/>
            <w:tcMar>
              <w:top w:w="96" w:type="dxa"/>
              <w:left w:w="57" w:type="dxa"/>
              <w:bottom w:w="96" w:type="dxa"/>
              <w:right w:w="71" w:type="dxa"/>
            </w:tcMar>
          </w:tcPr>
          <w:p w14:paraId="00EA23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87.3%</w:t>
            </w:r>
          </w:p>
        </w:tc>
        <w:tc>
          <w:tcPr>
            <w:tcW w:w="482" w:type="dxa"/>
            <w:shd w:val="solid" w:color="FFD1D1" w:fill="auto"/>
            <w:tcMar>
              <w:top w:w="96" w:type="dxa"/>
              <w:left w:w="57" w:type="dxa"/>
              <w:bottom w:w="96" w:type="dxa"/>
              <w:right w:w="71" w:type="dxa"/>
            </w:tcMar>
          </w:tcPr>
          <w:p w14:paraId="3152E74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16.6%</w:t>
            </w:r>
          </w:p>
        </w:tc>
        <w:tc>
          <w:tcPr>
            <w:tcW w:w="482" w:type="dxa"/>
            <w:shd w:val="solid" w:color="FFD1D1" w:fill="auto"/>
            <w:tcMar>
              <w:top w:w="96" w:type="dxa"/>
              <w:left w:w="57" w:type="dxa"/>
              <w:bottom w:w="96" w:type="dxa"/>
              <w:right w:w="71" w:type="dxa"/>
            </w:tcMar>
          </w:tcPr>
          <w:p w14:paraId="548083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27.5%</w:t>
            </w:r>
          </w:p>
        </w:tc>
        <w:tc>
          <w:tcPr>
            <w:tcW w:w="482" w:type="dxa"/>
            <w:tcMar>
              <w:top w:w="96" w:type="dxa"/>
              <w:left w:w="57" w:type="dxa"/>
              <w:bottom w:w="96" w:type="dxa"/>
              <w:right w:w="71" w:type="dxa"/>
            </w:tcMar>
          </w:tcPr>
          <w:p w14:paraId="6138843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17.4%</w:t>
            </w:r>
          </w:p>
        </w:tc>
        <w:tc>
          <w:tcPr>
            <w:tcW w:w="482" w:type="dxa"/>
            <w:shd w:val="solid" w:color="CBFFC6" w:fill="auto"/>
            <w:tcMar>
              <w:top w:w="96" w:type="dxa"/>
              <w:left w:w="57" w:type="dxa"/>
              <w:bottom w:w="96" w:type="dxa"/>
              <w:right w:w="71" w:type="dxa"/>
            </w:tcMar>
          </w:tcPr>
          <w:p w14:paraId="5034C5C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30.1%</w:t>
            </w:r>
          </w:p>
        </w:tc>
        <w:tc>
          <w:tcPr>
            <w:tcW w:w="482" w:type="dxa"/>
            <w:tcMar>
              <w:top w:w="96" w:type="dxa"/>
              <w:left w:w="57" w:type="dxa"/>
              <w:bottom w:w="96" w:type="dxa"/>
              <w:right w:w="71" w:type="dxa"/>
            </w:tcMar>
          </w:tcPr>
          <w:p w14:paraId="1393A1E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53.2%</w:t>
            </w:r>
          </w:p>
        </w:tc>
        <w:tc>
          <w:tcPr>
            <w:tcW w:w="482" w:type="dxa"/>
            <w:tcMar>
              <w:top w:w="96" w:type="dxa"/>
              <w:left w:w="57" w:type="dxa"/>
              <w:bottom w:w="96" w:type="dxa"/>
              <w:right w:w="71" w:type="dxa"/>
            </w:tcMar>
          </w:tcPr>
          <w:p w14:paraId="21B61EF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shd w:val="solid" w:color="FFD1D1" w:fill="auto"/>
            <w:tcMar>
              <w:top w:w="96" w:type="dxa"/>
              <w:left w:w="57" w:type="dxa"/>
              <w:bottom w:w="96" w:type="dxa"/>
              <w:right w:w="71" w:type="dxa"/>
            </w:tcMar>
          </w:tcPr>
          <w:p w14:paraId="62CF991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w:t>
            </w:r>
          </w:p>
        </w:tc>
        <w:tc>
          <w:tcPr>
            <w:tcW w:w="482" w:type="dxa"/>
            <w:shd w:val="solid" w:color="FFD1D1" w:fill="auto"/>
            <w:tcMar>
              <w:top w:w="96" w:type="dxa"/>
              <w:left w:w="57" w:type="dxa"/>
              <w:bottom w:w="96" w:type="dxa"/>
              <w:right w:w="71" w:type="dxa"/>
            </w:tcMar>
          </w:tcPr>
          <w:p w14:paraId="5131D9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5.8%</w:t>
            </w:r>
          </w:p>
        </w:tc>
        <w:tc>
          <w:tcPr>
            <w:tcW w:w="482" w:type="dxa"/>
            <w:tcMar>
              <w:top w:w="96" w:type="dxa"/>
              <w:left w:w="57" w:type="dxa"/>
              <w:bottom w:w="96" w:type="dxa"/>
              <w:right w:w="71" w:type="dxa"/>
            </w:tcMar>
          </w:tcPr>
          <w:p w14:paraId="0063C0E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26.2%</w:t>
            </w:r>
          </w:p>
        </w:tc>
        <w:tc>
          <w:tcPr>
            <w:tcW w:w="482" w:type="dxa"/>
            <w:tcMar>
              <w:top w:w="96" w:type="dxa"/>
              <w:left w:w="57" w:type="dxa"/>
              <w:bottom w:w="96" w:type="dxa"/>
              <w:right w:w="71" w:type="dxa"/>
            </w:tcMar>
          </w:tcPr>
          <w:p w14:paraId="0DEBFF5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96.5%</w:t>
            </w:r>
          </w:p>
        </w:tc>
        <w:tc>
          <w:tcPr>
            <w:tcW w:w="482" w:type="dxa"/>
            <w:tcMar>
              <w:top w:w="96" w:type="dxa"/>
              <w:left w:w="57" w:type="dxa"/>
              <w:bottom w:w="96" w:type="dxa"/>
              <w:right w:w="71" w:type="dxa"/>
            </w:tcMar>
          </w:tcPr>
          <w:p w14:paraId="31AF60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26.2%</w:t>
            </w:r>
          </w:p>
        </w:tc>
        <w:tc>
          <w:tcPr>
            <w:tcW w:w="482" w:type="dxa"/>
            <w:tcMar>
              <w:top w:w="96" w:type="dxa"/>
              <w:left w:w="57" w:type="dxa"/>
              <w:bottom w:w="96" w:type="dxa"/>
              <w:right w:w="71" w:type="dxa"/>
            </w:tcMar>
          </w:tcPr>
          <w:p w14:paraId="301724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79.8%</w:t>
            </w:r>
          </w:p>
        </w:tc>
        <w:tc>
          <w:tcPr>
            <w:tcW w:w="482" w:type="dxa"/>
            <w:shd w:val="solid" w:color="CBFFC6" w:fill="auto"/>
            <w:tcMar>
              <w:top w:w="96" w:type="dxa"/>
              <w:left w:w="57" w:type="dxa"/>
              <w:bottom w:w="96" w:type="dxa"/>
              <w:right w:w="71" w:type="dxa"/>
            </w:tcMar>
          </w:tcPr>
          <w:p w14:paraId="02EF28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94.5%</w:t>
            </w:r>
          </w:p>
        </w:tc>
        <w:tc>
          <w:tcPr>
            <w:tcW w:w="482" w:type="dxa"/>
            <w:tcMar>
              <w:top w:w="96" w:type="dxa"/>
              <w:left w:w="57" w:type="dxa"/>
              <w:bottom w:w="96" w:type="dxa"/>
              <w:right w:w="71" w:type="dxa"/>
            </w:tcMar>
          </w:tcPr>
          <w:p w14:paraId="2C01ED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6109EC6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67.0%</w:t>
            </w:r>
          </w:p>
        </w:tc>
        <w:tc>
          <w:tcPr>
            <w:tcW w:w="482" w:type="dxa"/>
            <w:tcMar>
              <w:top w:w="96" w:type="dxa"/>
              <w:left w:w="57" w:type="dxa"/>
              <w:bottom w:w="96" w:type="dxa"/>
              <w:right w:w="71" w:type="dxa"/>
            </w:tcMar>
          </w:tcPr>
          <w:p w14:paraId="54BF61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83.3%</w:t>
            </w:r>
          </w:p>
        </w:tc>
        <w:tc>
          <w:tcPr>
            <w:tcW w:w="482" w:type="dxa"/>
            <w:tcMar>
              <w:top w:w="96" w:type="dxa"/>
              <w:left w:w="57" w:type="dxa"/>
              <w:bottom w:w="96" w:type="dxa"/>
              <w:right w:w="71" w:type="dxa"/>
            </w:tcMar>
          </w:tcPr>
          <w:p w14:paraId="4D1D46A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94.9%</w:t>
            </w:r>
          </w:p>
        </w:tc>
        <w:tc>
          <w:tcPr>
            <w:tcW w:w="482" w:type="dxa"/>
            <w:shd w:val="solid" w:color="CBFFC6" w:fill="auto"/>
            <w:tcMar>
              <w:top w:w="96" w:type="dxa"/>
              <w:left w:w="57" w:type="dxa"/>
              <w:bottom w:w="96" w:type="dxa"/>
              <w:right w:w="71" w:type="dxa"/>
            </w:tcMar>
          </w:tcPr>
          <w:p w14:paraId="772D127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83.1%</w:t>
            </w:r>
          </w:p>
        </w:tc>
        <w:tc>
          <w:tcPr>
            <w:tcW w:w="482" w:type="dxa"/>
            <w:tcMar>
              <w:top w:w="96" w:type="dxa"/>
              <w:left w:w="57" w:type="dxa"/>
              <w:bottom w:w="96" w:type="dxa"/>
              <w:right w:w="71" w:type="dxa"/>
            </w:tcMar>
          </w:tcPr>
          <w:p w14:paraId="172970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340" w:type="dxa"/>
            <w:tcMar>
              <w:top w:w="96" w:type="dxa"/>
              <w:left w:w="57" w:type="dxa"/>
              <w:bottom w:w="96" w:type="dxa"/>
              <w:right w:w="71" w:type="dxa"/>
            </w:tcMar>
          </w:tcPr>
          <w:p w14:paraId="2BD5D3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451076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r>
      <w:tr w:rsidR="00D6403A" w:rsidRPr="0004279D" w14:paraId="175D6AB4" w14:textId="77777777" w:rsidTr="001726E8">
        <w:trPr>
          <w:trHeight w:val="283"/>
        </w:trPr>
        <w:tc>
          <w:tcPr>
            <w:tcW w:w="1417" w:type="dxa"/>
            <w:tcMar>
              <w:top w:w="96" w:type="dxa"/>
              <w:left w:w="113" w:type="dxa"/>
              <w:bottom w:w="96" w:type="dxa"/>
              <w:right w:w="0" w:type="dxa"/>
            </w:tcMar>
          </w:tcPr>
          <w:p w14:paraId="2945DBE7"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Box Hill Hospital</w:t>
            </w:r>
          </w:p>
        </w:tc>
        <w:tc>
          <w:tcPr>
            <w:tcW w:w="340" w:type="dxa"/>
            <w:tcMar>
              <w:top w:w="96" w:type="dxa"/>
              <w:left w:w="57" w:type="dxa"/>
              <w:bottom w:w="96" w:type="dxa"/>
              <w:right w:w="71" w:type="dxa"/>
            </w:tcMar>
          </w:tcPr>
          <w:p w14:paraId="7811FE3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655260E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2,595</w:t>
            </w:r>
          </w:p>
        </w:tc>
        <w:tc>
          <w:tcPr>
            <w:tcW w:w="482" w:type="dxa"/>
            <w:shd w:val="solid" w:color="CBFFC6" w:fill="auto"/>
            <w:tcMar>
              <w:top w:w="96" w:type="dxa"/>
              <w:left w:w="57" w:type="dxa"/>
              <w:bottom w:w="96" w:type="dxa"/>
              <w:right w:w="71" w:type="dxa"/>
            </w:tcMar>
          </w:tcPr>
          <w:p w14:paraId="245BEDA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w:t>
            </w:r>
          </w:p>
        </w:tc>
        <w:tc>
          <w:tcPr>
            <w:tcW w:w="482" w:type="dxa"/>
            <w:tcMar>
              <w:top w:w="96" w:type="dxa"/>
              <w:left w:w="57" w:type="dxa"/>
              <w:bottom w:w="96" w:type="dxa"/>
              <w:right w:w="71" w:type="dxa"/>
            </w:tcMar>
          </w:tcPr>
          <w:p w14:paraId="75B9364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17.7%</w:t>
            </w:r>
          </w:p>
        </w:tc>
        <w:tc>
          <w:tcPr>
            <w:tcW w:w="482" w:type="dxa"/>
            <w:tcMar>
              <w:top w:w="96" w:type="dxa"/>
              <w:left w:w="57" w:type="dxa"/>
              <w:bottom w:w="96" w:type="dxa"/>
              <w:right w:w="71" w:type="dxa"/>
            </w:tcMar>
          </w:tcPr>
          <w:p w14:paraId="5D63F90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35.5%</w:t>
            </w:r>
          </w:p>
        </w:tc>
        <w:tc>
          <w:tcPr>
            <w:tcW w:w="482" w:type="dxa"/>
            <w:tcMar>
              <w:top w:w="96" w:type="dxa"/>
              <w:left w:w="57" w:type="dxa"/>
              <w:bottom w:w="96" w:type="dxa"/>
              <w:right w:w="71" w:type="dxa"/>
            </w:tcMar>
          </w:tcPr>
          <w:p w14:paraId="5F54E35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w:t>
            </w:r>
          </w:p>
        </w:tc>
        <w:tc>
          <w:tcPr>
            <w:tcW w:w="482" w:type="dxa"/>
            <w:tcMar>
              <w:top w:w="96" w:type="dxa"/>
              <w:left w:w="57" w:type="dxa"/>
              <w:bottom w:w="96" w:type="dxa"/>
              <w:right w:w="71" w:type="dxa"/>
            </w:tcMar>
          </w:tcPr>
          <w:p w14:paraId="56A29F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w:t>
            </w:r>
          </w:p>
        </w:tc>
        <w:tc>
          <w:tcPr>
            <w:tcW w:w="482" w:type="dxa"/>
            <w:tcMar>
              <w:top w:w="96" w:type="dxa"/>
              <w:left w:w="57" w:type="dxa"/>
              <w:bottom w:w="96" w:type="dxa"/>
              <w:right w:w="71" w:type="dxa"/>
            </w:tcMar>
          </w:tcPr>
          <w:p w14:paraId="37CC01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27.5%</w:t>
            </w:r>
          </w:p>
        </w:tc>
        <w:tc>
          <w:tcPr>
            <w:tcW w:w="482" w:type="dxa"/>
            <w:shd w:val="solid" w:color="CBFFC6" w:fill="auto"/>
            <w:tcMar>
              <w:top w:w="96" w:type="dxa"/>
              <w:left w:w="57" w:type="dxa"/>
              <w:bottom w:w="96" w:type="dxa"/>
              <w:right w:w="71" w:type="dxa"/>
            </w:tcMar>
          </w:tcPr>
          <w:p w14:paraId="2874AFA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94.1%</w:t>
            </w:r>
          </w:p>
        </w:tc>
        <w:tc>
          <w:tcPr>
            <w:tcW w:w="482" w:type="dxa"/>
            <w:shd w:val="solid" w:color="FFD1D1" w:fill="auto"/>
            <w:tcMar>
              <w:top w:w="96" w:type="dxa"/>
              <w:left w:w="57" w:type="dxa"/>
              <w:bottom w:w="96" w:type="dxa"/>
              <w:right w:w="71" w:type="dxa"/>
            </w:tcMar>
          </w:tcPr>
          <w:p w14:paraId="1F849A9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13.8%</w:t>
            </w:r>
          </w:p>
        </w:tc>
        <w:tc>
          <w:tcPr>
            <w:tcW w:w="482" w:type="dxa"/>
            <w:tcMar>
              <w:top w:w="96" w:type="dxa"/>
              <w:left w:w="57" w:type="dxa"/>
              <w:bottom w:w="96" w:type="dxa"/>
              <w:right w:w="71" w:type="dxa"/>
            </w:tcMar>
          </w:tcPr>
          <w:p w14:paraId="3D2AD69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19.7%</w:t>
            </w:r>
          </w:p>
        </w:tc>
        <w:tc>
          <w:tcPr>
            <w:tcW w:w="482" w:type="dxa"/>
            <w:tcMar>
              <w:top w:w="96" w:type="dxa"/>
              <w:left w:w="57" w:type="dxa"/>
              <w:bottom w:w="96" w:type="dxa"/>
              <w:right w:w="71" w:type="dxa"/>
            </w:tcMar>
          </w:tcPr>
          <w:p w14:paraId="2F781D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22.6%</w:t>
            </w:r>
          </w:p>
        </w:tc>
        <w:tc>
          <w:tcPr>
            <w:tcW w:w="482" w:type="dxa"/>
            <w:tcMar>
              <w:top w:w="96" w:type="dxa"/>
              <w:left w:w="57" w:type="dxa"/>
              <w:bottom w:w="96" w:type="dxa"/>
              <w:right w:w="71" w:type="dxa"/>
            </w:tcMar>
          </w:tcPr>
          <w:p w14:paraId="2E0BCBA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21.8%</w:t>
            </w:r>
          </w:p>
        </w:tc>
        <w:tc>
          <w:tcPr>
            <w:tcW w:w="482" w:type="dxa"/>
            <w:shd w:val="solid" w:color="CBFFC6" w:fill="auto"/>
            <w:tcMar>
              <w:top w:w="96" w:type="dxa"/>
              <w:left w:w="57" w:type="dxa"/>
              <w:bottom w:w="96" w:type="dxa"/>
              <w:right w:w="71" w:type="dxa"/>
            </w:tcMar>
          </w:tcPr>
          <w:p w14:paraId="158FE4F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71.0%</w:t>
            </w:r>
          </w:p>
        </w:tc>
        <w:tc>
          <w:tcPr>
            <w:tcW w:w="482" w:type="dxa"/>
            <w:tcMar>
              <w:top w:w="96" w:type="dxa"/>
              <w:left w:w="57" w:type="dxa"/>
              <w:bottom w:w="96" w:type="dxa"/>
              <w:right w:w="71" w:type="dxa"/>
            </w:tcMar>
          </w:tcPr>
          <w:p w14:paraId="4C4E91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shd w:val="solid" w:color="FFD1D1" w:fill="auto"/>
            <w:tcMar>
              <w:top w:w="96" w:type="dxa"/>
              <w:left w:w="57" w:type="dxa"/>
              <w:bottom w:w="96" w:type="dxa"/>
              <w:right w:w="71" w:type="dxa"/>
            </w:tcMar>
          </w:tcPr>
          <w:p w14:paraId="7D40D03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w:t>
            </w:r>
          </w:p>
        </w:tc>
        <w:tc>
          <w:tcPr>
            <w:tcW w:w="482" w:type="dxa"/>
            <w:tcMar>
              <w:top w:w="96" w:type="dxa"/>
              <w:left w:w="57" w:type="dxa"/>
              <w:bottom w:w="96" w:type="dxa"/>
              <w:right w:w="71" w:type="dxa"/>
            </w:tcMar>
          </w:tcPr>
          <w:p w14:paraId="3A7FD04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4.3%</w:t>
            </w:r>
          </w:p>
        </w:tc>
        <w:tc>
          <w:tcPr>
            <w:tcW w:w="482" w:type="dxa"/>
            <w:shd w:val="solid" w:color="CBFFC6" w:fill="auto"/>
            <w:tcMar>
              <w:top w:w="96" w:type="dxa"/>
              <w:left w:w="57" w:type="dxa"/>
              <w:bottom w:w="96" w:type="dxa"/>
              <w:right w:w="71" w:type="dxa"/>
            </w:tcMar>
          </w:tcPr>
          <w:p w14:paraId="5465092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42.5%</w:t>
            </w:r>
          </w:p>
        </w:tc>
        <w:tc>
          <w:tcPr>
            <w:tcW w:w="482" w:type="dxa"/>
            <w:shd w:val="solid" w:color="CBFFC6" w:fill="auto"/>
            <w:tcMar>
              <w:top w:w="96" w:type="dxa"/>
              <w:left w:w="57" w:type="dxa"/>
              <w:bottom w:w="96" w:type="dxa"/>
              <w:right w:w="71" w:type="dxa"/>
            </w:tcMar>
          </w:tcPr>
          <w:p w14:paraId="431E130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97.6%</w:t>
            </w:r>
          </w:p>
        </w:tc>
        <w:tc>
          <w:tcPr>
            <w:tcW w:w="482" w:type="dxa"/>
            <w:tcMar>
              <w:top w:w="96" w:type="dxa"/>
              <w:left w:w="57" w:type="dxa"/>
              <w:bottom w:w="96" w:type="dxa"/>
              <w:right w:w="71" w:type="dxa"/>
            </w:tcMar>
          </w:tcPr>
          <w:p w14:paraId="73CE0F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20.0%</w:t>
            </w:r>
          </w:p>
        </w:tc>
        <w:tc>
          <w:tcPr>
            <w:tcW w:w="482" w:type="dxa"/>
            <w:tcMar>
              <w:top w:w="96" w:type="dxa"/>
              <w:left w:w="57" w:type="dxa"/>
              <w:bottom w:w="96" w:type="dxa"/>
              <w:right w:w="71" w:type="dxa"/>
            </w:tcMar>
          </w:tcPr>
          <w:p w14:paraId="43270EF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84.1%</w:t>
            </w:r>
          </w:p>
        </w:tc>
        <w:tc>
          <w:tcPr>
            <w:tcW w:w="482" w:type="dxa"/>
            <w:tcMar>
              <w:top w:w="96" w:type="dxa"/>
              <w:left w:w="57" w:type="dxa"/>
              <w:bottom w:w="96" w:type="dxa"/>
              <w:right w:w="71" w:type="dxa"/>
            </w:tcMar>
          </w:tcPr>
          <w:p w14:paraId="4C754F5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78.8%</w:t>
            </w:r>
          </w:p>
        </w:tc>
        <w:tc>
          <w:tcPr>
            <w:tcW w:w="482" w:type="dxa"/>
            <w:shd w:val="solid" w:color="FFD1D1" w:fill="auto"/>
            <w:tcMar>
              <w:top w:w="96" w:type="dxa"/>
              <w:left w:w="57" w:type="dxa"/>
              <w:bottom w:w="96" w:type="dxa"/>
              <w:right w:w="71" w:type="dxa"/>
            </w:tcMar>
          </w:tcPr>
          <w:p w14:paraId="4B71153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tcMar>
              <w:top w:w="96" w:type="dxa"/>
              <w:left w:w="57" w:type="dxa"/>
              <w:bottom w:w="96" w:type="dxa"/>
              <w:right w:w="71" w:type="dxa"/>
            </w:tcMar>
          </w:tcPr>
          <w:p w14:paraId="4C46E42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66.3%</w:t>
            </w:r>
          </w:p>
        </w:tc>
        <w:tc>
          <w:tcPr>
            <w:tcW w:w="482" w:type="dxa"/>
            <w:tcMar>
              <w:top w:w="96" w:type="dxa"/>
              <w:left w:w="57" w:type="dxa"/>
              <w:bottom w:w="96" w:type="dxa"/>
              <w:right w:w="71" w:type="dxa"/>
            </w:tcMar>
          </w:tcPr>
          <w:p w14:paraId="56AC50F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89.3%</w:t>
            </w:r>
          </w:p>
        </w:tc>
        <w:tc>
          <w:tcPr>
            <w:tcW w:w="482" w:type="dxa"/>
            <w:shd w:val="solid" w:color="CBFFC6" w:fill="auto"/>
            <w:tcMar>
              <w:top w:w="96" w:type="dxa"/>
              <w:left w:w="57" w:type="dxa"/>
              <w:bottom w:w="96" w:type="dxa"/>
              <w:right w:w="71" w:type="dxa"/>
            </w:tcMar>
          </w:tcPr>
          <w:p w14:paraId="2BABCE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95.2%</w:t>
            </w:r>
          </w:p>
        </w:tc>
        <w:tc>
          <w:tcPr>
            <w:tcW w:w="482" w:type="dxa"/>
            <w:tcMar>
              <w:top w:w="96" w:type="dxa"/>
              <w:left w:w="57" w:type="dxa"/>
              <w:bottom w:w="96" w:type="dxa"/>
              <w:right w:w="71" w:type="dxa"/>
            </w:tcMar>
          </w:tcPr>
          <w:p w14:paraId="790CC83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83.0%</w:t>
            </w:r>
          </w:p>
        </w:tc>
        <w:tc>
          <w:tcPr>
            <w:tcW w:w="482" w:type="dxa"/>
            <w:tcMar>
              <w:top w:w="96" w:type="dxa"/>
              <w:left w:w="57" w:type="dxa"/>
              <w:bottom w:w="96" w:type="dxa"/>
              <w:right w:w="71" w:type="dxa"/>
            </w:tcMar>
          </w:tcPr>
          <w:p w14:paraId="7A6B1E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w:t>
            </w:r>
          </w:p>
        </w:tc>
        <w:tc>
          <w:tcPr>
            <w:tcW w:w="340" w:type="dxa"/>
            <w:tcMar>
              <w:top w:w="96" w:type="dxa"/>
              <w:left w:w="57" w:type="dxa"/>
              <w:bottom w:w="96" w:type="dxa"/>
              <w:right w:w="71" w:type="dxa"/>
            </w:tcMar>
          </w:tcPr>
          <w:p w14:paraId="7A8E8F0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4A115E5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5384145B" w14:textId="77777777" w:rsidTr="001726E8">
        <w:trPr>
          <w:trHeight w:val="283"/>
        </w:trPr>
        <w:tc>
          <w:tcPr>
            <w:tcW w:w="1417" w:type="dxa"/>
            <w:tcMar>
              <w:top w:w="96" w:type="dxa"/>
              <w:left w:w="113" w:type="dxa"/>
              <w:bottom w:w="96" w:type="dxa"/>
              <w:right w:w="0" w:type="dxa"/>
            </w:tcMar>
          </w:tcPr>
          <w:p w14:paraId="75D34438"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lastRenderedPageBreak/>
              <w:t>Bendigo Hospital</w:t>
            </w:r>
          </w:p>
        </w:tc>
        <w:tc>
          <w:tcPr>
            <w:tcW w:w="340" w:type="dxa"/>
            <w:tcMar>
              <w:top w:w="96" w:type="dxa"/>
              <w:left w:w="57" w:type="dxa"/>
              <w:bottom w:w="96" w:type="dxa"/>
              <w:right w:w="71" w:type="dxa"/>
            </w:tcMar>
          </w:tcPr>
          <w:p w14:paraId="44ED07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5444221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1,905</w:t>
            </w:r>
          </w:p>
        </w:tc>
        <w:tc>
          <w:tcPr>
            <w:tcW w:w="482" w:type="dxa"/>
            <w:tcMar>
              <w:top w:w="96" w:type="dxa"/>
              <w:left w:w="57" w:type="dxa"/>
              <w:bottom w:w="96" w:type="dxa"/>
              <w:right w:w="71" w:type="dxa"/>
            </w:tcMar>
          </w:tcPr>
          <w:p w14:paraId="54DCBF9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19.9%</w:t>
            </w:r>
          </w:p>
        </w:tc>
        <w:tc>
          <w:tcPr>
            <w:tcW w:w="482" w:type="dxa"/>
            <w:tcMar>
              <w:top w:w="96" w:type="dxa"/>
              <w:left w:w="57" w:type="dxa"/>
              <w:bottom w:w="96" w:type="dxa"/>
              <w:right w:w="71" w:type="dxa"/>
            </w:tcMar>
          </w:tcPr>
          <w:p w14:paraId="33AF11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19.2%</w:t>
            </w:r>
          </w:p>
        </w:tc>
        <w:tc>
          <w:tcPr>
            <w:tcW w:w="482" w:type="dxa"/>
            <w:tcMar>
              <w:top w:w="96" w:type="dxa"/>
              <w:left w:w="57" w:type="dxa"/>
              <w:bottom w:w="96" w:type="dxa"/>
              <w:right w:w="71" w:type="dxa"/>
            </w:tcMar>
          </w:tcPr>
          <w:p w14:paraId="5E522D1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34.1%</w:t>
            </w:r>
          </w:p>
        </w:tc>
        <w:tc>
          <w:tcPr>
            <w:tcW w:w="482" w:type="dxa"/>
            <w:shd w:val="solid" w:color="FFD1D1" w:fill="auto"/>
            <w:tcMar>
              <w:top w:w="96" w:type="dxa"/>
              <w:left w:w="57" w:type="dxa"/>
              <w:bottom w:w="96" w:type="dxa"/>
              <w:right w:w="71" w:type="dxa"/>
            </w:tcMar>
          </w:tcPr>
          <w:p w14:paraId="1197BF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5.8%</w:t>
            </w:r>
          </w:p>
        </w:tc>
        <w:tc>
          <w:tcPr>
            <w:tcW w:w="482" w:type="dxa"/>
            <w:tcMar>
              <w:top w:w="96" w:type="dxa"/>
              <w:left w:w="57" w:type="dxa"/>
              <w:bottom w:w="96" w:type="dxa"/>
              <w:right w:w="71" w:type="dxa"/>
            </w:tcMar>
          </w:tcPr>
          <w:p w14:paraId="05934D9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w:t>
            </w:r>
          </w:p>
        </w:tc>
        <w:tc>
          <w:tcPr>
            <w:tcW w:w="482" w:type="dxa"/>
            <w:shd w:val="solid" w:color="FFD1D1" w:fill="auto"/>
            <w:tcMar>
              <w:top w:w="96" w:type="dxa"/>
              <w:left w:w="57" w:type="dxa"/>
              <w:bottom w:w="96" w:type="dxa"/>
              <w:right w:w="71" w:type="dxa"/>
            </w:tcMar>
          </w:tcPr>
          <w:p w14:paraId="7F15229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32.9%</w:t>
            </w:r>
          </w:p>
        </w:tc>
        <w:tc>
          <w:tcPr>
            <w:tcW w:w="482" w:type="dxa"/>
            <w:shd w:val="solid" w:color="CBFFC6" w:fill="auto"/>
            <w:tcMar>
              <w:top w:w="96" w:type="dxa"/>
              <w:left w:w="57" w:type="dxa"/>
              <w:bottom w:w="96" w:type="dxa"/>
              <w:right w:w="71" w:type="dxa"/>
            </w:tcMar>
          </w:tcPr>
          <w:p w14:paraId="68DC57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94.1%</w:t>
            </w:r>
          </w:p>
        </w:tc>
        <w:tc>
          <w:tcPr>
            <w:tcW w:w="482" w:type="dxa"/>
            <w:tcMar>
              <w:top w:w="96" w:type="dxa"/>
              <w:left w:w="57" w:type="dxa"/>
              <w:bottom w:w="96" w:type="dxa"/>
              <w:right w:w="71" w:type="dxa"/>
            </w:tcMar>
          </w:tcPr>
          <w:p w14:paraId="68153A7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w:t>
            </w:r>
          </w:p>
        </w:tc>
        <w:tc>
          <w:tcPr>
            <w:tcW w:w="482" w:type="dxa"/>
            <w:shd w:val="solid" w:color="CBFFC6" w:fill="auto"/>
            <w:tcMar>
              <w:top w:w="96" w:type="dxa"/>
              <w:left w:w="57" w:type="dxa"/>
              <w:bottom w:w="96" w:type="dxa"/>
              <w:right w:w="71" w:type="dxa"/>
            </w:tcMar>
          </w:tcPr>
          <w:p w14:paraId="116FC75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9.8%</w:t>
            </w:r>
          </w:p>
        </w:tc>
        <w:tc>
          <w:tcPr>
            <w:tcW w:w="482" w:type="dxa"/>
            <w:shd w:val="solid" w:color="CBFFC6" w:fill="auto"/>
            <w:tcMar>
              <w:top w:w="96" w:type="dxa"/>
              <w:left w:w="57" w:type="dxa"/>
              <w:bottom w:w="96" w:type="dxa"/>
              <w:right w:w="71" w:type="dxa"/>
            </w:tcMar>
          </w:tcPr>
          <w:p w14:paraId="083EF04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11.1%</w:t>
            </w:r>
          </w:p>
        </w:tc>
        <w:tc>
          <w:tcPr>
            <w:tcW w:w="482" w:type="dxa"/>
            <w:tcMar>
              <w:top w:w="96" w:type="dxa"/>
              <w:left w:w="57" w:type="dxa"/>
              <w:bottom w:w="96" w:type="dxa"/>
              <w:right w:w="71" w:type="dxa"/>
            </w:tcMar>
          </w:tcPr>
          <w:p w14:paraId="7193C86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27.4%</w:t>
            </w:r>
          </w:p>
        </w:tc>
        <w:tc>
          <w:tcPr>
            <w:tcW w:w="482" w:type="dxa"/>
            <w:shd w:val="solid" w:color="CBFFC6" w:fill="auto"/>
            <w:tcMar>
              <w:top w:w="96" w:type="dxa"/>
              <w:left w:w="57" w:type="dxa"/>
              <w:bottom w:w="96" w:type="dxa"/>
              <w:right w:w="71" w:type="dxa"/>
            </w:tcMar>
          </w:tcPr>
          <w:p w14:paraId="4D7CDD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62.5%</w:t>
            </w:r>
          </w:p>
        </w:tc>
        <w:tc>
          <w:tcPr>
            <w:tcW w:w="482" w:type="dxa"/>
            <w:tcMar>
              <w:top w:w="96" w:type="dxa"/>
              <w:left w:w="57" w:type="dxa"/>
              <w:bottom w:w="96" w:type="dxa"/>
              <w:right w:w="71" w:type="dxa"/>
            </w:tcMar>
          </w:tcPr>
          <w:p w14:paraId="4A3C2B9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0161B3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shd w:val="solid" w:color="FFD1D1" w:fill="auto"/>
            <w:tcMar>
              <w:top w:w="96" w:type="dxa"/>
              <w:left w:w="57" w:type="dxa"/>
              <w:bottom w:w="96" w:type="dxa"/>
              <w:right w:w="71" w:type="dxa"/>
            </w:tcMar>
          </w:tcPr>
          <w:p w14:paraId="1C2B2A1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w:t>
            </w:r>
          </w:p>
        </w:tc>
        <w:tc>
          <w:tcPr>
            <w:tcW w:w="482" w:type="dxa"/>
            <w:tcMar>
              <w:top w:w="96" w:type="dxa"/>
              <w:left w:w="57" w:type="dxa"/>
              <w:bottom w:w="96" w:type="dxa"/>
              <w:right w:w="71" w:type="dxa"/>
            </w:tcMar>
          </w:tcPr>
          <w:p w14:paraId="3EFA816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20.5%</w:t>
            </w:r>
          </w:p>
        </w:tc>
        <w:tc>
          <w:tcPr>
            <w:tcW w:w="482" w:type="dxa"/>
            <w:tcMar>
              <w:top w:w="96" w:type="dxa"/>
              <w:left w:w="57" w:type="dxa"/>
              <w:bottom w:w="96" w:type="dxa"/>
              <w:right w:w="71" w:type="dxa"/>
            </w:tcMar>
          </w:tcPr>
          <w:p w14:paraId="2B4267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94.3%</w:t>
            </w:r>
          </w:p>
        </w:tc>
        <w:tc>
          <w:tcPr>
            <w:tcW w:w="482" w:type="dxa"/>
            <w:tcMar>
              <w:top w:w="96" w:type="dxa"/>
              <w:left w:w="57" w:type="dxa"/>
              <w:bottom w:w="96" w:type="dxa"/>
              <w:right w:w="71" w:type="dxa"/>
            </w:tcMar>
          </w:tcPr>
          <w:p w14:paraId="2D879D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25.8%</w:t>
            </w:r>
          </w:p>
        </w:tc>
        <w:tc>
          <w:tcPr>
            <w:tcW w:w="482" w:type="dxa"/>
            <w:tcMar>
              <w:top w:w="96" w:type="dxa"/>
              <w:left w:w="57" w:type="dxa"/>
              <w:bottom w:w="96" w:type="dxa"/>
              <w:right w:w="71" w:type="dxa"/>
            </w:tcMar>
          </w:tcPr>
          <w:p w14:paraId="469F6E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82.0%</w:t>
            </w:r>
          </w:p>
        </w:tc>
        <w:tc>
          <w:tcPr>
            <w:tcW w:w="482" w:type="dxa"/>
            <w:tcMar>
              <w:top w:w="96" w:type="dxa"/>
              <w:left w:w="57" w:type="dxa"/>
              <w:bottom w:w="96" w:type="dxa"/>
              <w:right w:w="71" w:type="dxa"/>
            </w:tcMar>
          </w:tcPr>
          <w:p w14:paraId="6D4DF3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78.5%</w:t>
            </w:r>
          </w:p>
        </w:tc>
        <w:tc>
          <w:tcPr>
            <w:tcW w:w="482" w:type="dxa"/>
            <w:tcMar>
              <w:top w:w="96" w:type="dxa"/>
              <w:left w:w="57" w:type="dxa"/>
              <w:bottom w:w="96" w:type="dxa"/>
              <w:right w:w="71" w:type="dxa"/>
            </w:tcMar>
          </w:tcPr>
          <w:p w14:paraId="6282EB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tcMar>
              <w:top w:w="96" w:type="dxa"/>
              <w:left w:w="57" w:type="dxa"/>
              <w:bottom w:w="96" w:type="dxa"/>
              <w:right w:w="71" w:type="dxa"/>
            </w:tcMar>
          </w:tcPr>
          <w:p w14:paraId="5392BA9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70.0%</w:t>
            </w:r>
          </w:p>
        </w:tc>
        <w:tc>
          <w:tcPr>
            <w:tcW w:w="482" w:type="dxa"/>
            <w:tcMar>
              <w:top w:w="96" w:type="dxa"/>
              <w:left w:w="57" w:type="dxa"/>
              <w:bottom w:w="96" w:type="dxa"/>
              <w:right w:w="71" w:type="dxa"/>
            </w:tcMar>
          </w:tcPr>
          <w:p w14:paraId="3F0DFC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83.8%</w:t>
            </w:r>
          </w:p>
        </w:tc>
        <w:tc>
          <w:tcPr>
            <w:tcW w:w="482" w:type="dxa"/>
            <w:tcMar>
              <w:top w:w="96" w:type="dxa"/>
              <w:left w:w="57" w:type="dxa"/>
              <w:bottom w:w="96" w:type="dxa"/>
              <w:right w:w="71" w:type="dxa"/>
            </w:tcMar>
          </w:tcPr>
          <w:p w14:paraId="16A3DC1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94.2%</w:t>
            </w:r>
          </w:p>
        </w:tc>
        <w:tc>
          <w:tcPr>
            <w:tcW w:w="482" w:type="dxa"/>
            <w:shd w:val="solid" w:color="CBFFC6" w:fill="auto"/>
            <w:tcMar>
              <w:top w:w="96" w:type="dxa"/>
              <w:left w:w="57" w:type="dxa"/>
              <w:bottom w:w="96" w:type="dxa"/>
              <w:right w:w="71" w:type="dxa"/>
            </w:tcMar>
          </w:tcPr>
          <w:p w14:paraId="273FCE6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83.3%</w:t>
            </w:r>
          </w:p>
        </w:tc>
        <w:tc>
          <w:tcPr>
            <w:tcW w:w="482" w:type="dxa"/>
            <w:tcMar>
              <w:top w:w="96" w:type="dxa"/>
              <w:left w:w="57" w:type="dxa"/>
              <w:bottom w:w="96" w:type="dxa"/>
              <w:right w:w="71" w:type="dxa"/>
            </w:tcMar>
          </w:tcPr>
          <w:p w14:paraId="55DF04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w:t>
            </w:r>
          </w:p>
        </w:tc>
        <w:tc>
          <w:tcPr>
            <w:tcW w:w="340" w:type="dxa"/>
            <w:tcMar>
              <w:top w:w="96" w:type="dxa"/>
              <w:left w:w="57" w:type="dxa"/>
              <w:bottom w:w="96" w:type="dxa"/>
              <w:right w:w="71" w:type="dxa"/>
            </w:tcMar>
          </w:tcPr>
          <w:p w14:paraId="67BDEC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7C368B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0181CDB4" w14:textId="77777777" w:rsidTr="001726E8">
        <w:trPr>
          <w:trHeight w:val="283"/>
        </w:trPr>
        <w:tc>
          <w:tcPr>
            <w:tcW w:w="1417" w:type="dxa"/>
            <w:tcMar>
              <w:top w:w="96" w:type="dxa"/>
              <w:left w:w="113" w:type="dxa"/>
              <w:bottom w:w="96" w:type="dxa"/>
              <w:right w:w="0" w:type="dxa"/>
            </w:tcMar>
          </w:tcPr>
          <w:p w14:paraId="0D0DB6B6"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Albury Wodonga Health [Wodonga]</w:t>
            </w:r>
          </w:p>
        </w:tc>
        <w:tc>
          <w:tcPr>
            <w:tcW w:w="340" w:type="dxa"/>
            <w:tcMar>
              <w:top w:w="96" w:type="dxa"/>
              <w:left w:w="57" w:type="dxa"/>
              <w:bottom w:w="96" w:type="dxa"/>
              <w:right w:w="71" w:type="dxa"/>
            </w:tcMar>
          </w:tcPr>
          <w:p w14:paraId="62271AD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113C8E5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1,745</w:t>
            </w:r>
          </w:p>
        </w:tc>
        <w:tc>
          <w:tcPr>
            <w:tcW w:w="482" w:type="dxa"/>
            <w:tcMar>
              <w:top w:w="96" w:type="dxa"/>
              <w:left w:w="57" w:type="dxa"/>
              <w:bottom w:w="96" w:type="dxa"/>
              <w:right w:w="71" w:type="dxa"/>
            </w:tcMar>
          </w:tcPr>
          <w:p w14:paraId="5B2D148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w:t>
            </w:r>
          </w:p>
        </w:tc>
        <w:tc>
          <w:tcPr>
            <w:tcW w:w="482" w:type="dxa"/>
            <w:shd w:val="solid" w:color="CBFFC6" w:fill="auto"/>
            <w:tcMar>
              <w:top w:w="96" w:type="dxa"/>
              <w:left w:w="57" w:type="dxa"/>
              <w:bottom w:w="96" w:type="dxa"/>
              <w:right w:w="71" w:type="dxa"/>
            </w:tcMar>
          </w:tcPr>
          <w:p w14:paraId="6B78EA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13.0%</w:t>
            </w:r>
          </w:p>
        </w:tc>
        <w:tc>
          <w:tcPr>
            <w:tcW w:w="482" w:type="dxa"/>
            <w:tcMar>
              <w:top w:w="96" w:type="dxa"/>
              <w:left w:w="57" w:type="dxa"/>
              <w:bottom w:w="96" w:type="dxa"/>
              <w:right w:w="71" w:type="dxa"/>
            </w:tcMar>
          </w:tcPr>
          <w:p w14:paraId="18C0E6A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34.6%</w:t>
            </w:r>
          </w:p>
        </w:tc>
        <w:tc>
          <w:tcPr>
            <w:tcW w:w="482" w:type="dxa"/>
            <w:tcMar>
              <w:top w:w="96" w:type="dxa"/>
              <w:left w:w="57" w:type="dxa"/>
              <w:bottom w:w="96" w:type="dxa"/>
              <w:right w:w="71" w:type="dxa"/>
            </w:tcMar>
          </w:tcPr>
          <w:p w14:paraId="3B5DA9D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482" w:type="dxa"/>
            <w:tcMar>
              <w:top w:w="96" w:type="dxa"/>
              <w:left w:w="57" w:type="dxa"/>
              <w:bottom w:w="96" w:type="dxa"/>
              <w:right w:w="71" w:type="dxa"/>
            </w:tcMar>
          </w:tcPr>
          <w:p w14:paraId="1349DC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6.0%</w:t>
            </w:r>
          </w:p>
        </w:tc>
        <w:tc>
          <w:tcPr>
            <w:tcW w:w="482" w:type="dxa"/>
            <w:tcMar>
              <w:top w:w="96" w:type="dxa"/>
              <w:left w:w="57" w:type="dxa"/>
              <w:bottom w:w="96" w:type="dxa"/>
              <w:right w:w="71" w:type="dxa"/>
            </w:tcMar>
          </w:tcPr>
          <w:p w14:paraId="139BE45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26.9%</w:t>
            </w:r>
          </w:p>
        </w:tc>
        <w:tc>
          <w:tcPr>
            <w:tcW w:w="482" w:type="dxa"/>
            <w:tcMar>
              <w:top w:w="96" w:type="dxa"/>
              <w:left w:w="57" w:type="dxa"/>
              <w:bottom w:w="96" w:type="dxa"/>
              <w:right w:w="71" w:type="dxa"/>
            </w:tcMar>
          </w:tcPr>
          <w:p w14:paraId="5E9414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83.1%</w:t>
            </w:r>
          </w:p>
        </w:tc>
        <w:tc>
          <w:tcPr>
            <w:tcW w:w="482" w:type="dxa"/>
            <w:tcMar>
              <w:top w:w="96" w:type="dxa"/>
              <w:left w:w="57" w:type="dxa"/>
              <w:bottom w:w="96" w:type="dxa"/>
              <w:right w:w="71" w:type="dxa"/>
            </w:tcMar>
          </w:tcPr>
          <w:p w14:paraId="71EC211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11.3%</w:t>
            </w:r>
          </w:p>
        </w:tc>
        <w:tc>
          <w:tcPr>
            <w:tcW w:w="482" w:type="dxa"/>
            <w:shd w:val="solid" w:color="CBFFC6" w:fill="auto"/>
            <w:tcMar>
              <w:top w:w="96" w:type="dxa"/>
              <w:left w:w="57" w:type="dxa"/>
              <w:bottom w:w="96" w:type="dxa"/>
              <w:right w:w="71" w:type="dxa"/>
            </w:tcMar>
          </w:tcPr>
          <w:p w14:paraId="0ABDB9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w:t>
            </w:r>
          </w:p>
        </w:tc>
        <w:tc>
          <w:tcPr>
            <w:tcW w:w="482" w:type="dxa"/>
            <w:shd w:val="solid" w:color="FFD1D1" w:fill="auto"/>
            <w:tcMar>
              <w:top w:w="96" w:type="dxa"/>
              <w:left w:w="57" w:type="dxa"/>
              <w:bottom w:w="96" w:type="dxa"/>
              <w:right w:w="71" w:type="dxa"/>
            </w:tcMar>
          </w:tcPr>
          <w:p w14:paraId="2B78ED6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24.3%</w:t>
            </w:r>
          </w:p>
        </w:tc>
        <w:tc>
          <w:tcPr>
            <w:tcW w:w="482" w:type="dxa"/>
            <w:tcMar>
              <w:top w:w="96" w:type="dxa"/>
              <w:left w:w="57" w:type="dxa"/>
              <w:bottom w:w="96" w:type="dxa"/>
              <w:right w:w="71" w:type="dxa"/>
            </w:tcMar>
          </w:tcPr>
          <w:p w14:paraId="593916E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22.8%</w:t>
            </w:r>
          </w:p>
        </w:tc>
        <w:tc>
          <w:tcPr>
            <w:tcW w:w="482" w:type="dxa"/>
            <w:tcMar>
              <w:top w:w="96" w:type="dxa"/>
              <w:left w:w="57" w:type="dxa"/>
              <w:bottom w:w="96" w:type="dxa"/>
              <w:right w:w="71" w:type="dxa"/>
            </w:tcMar>
          </w:tcPr>
          <w:p w14:paraId="7E30B7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54.8%</w:t>
            </w:r>
          </w:p>
        </w:tc>
        <w:tc>
          <w:tcPr>
            <w:tcW w:w="482" w:type="dxa"/>
            <w:tcMar>
              <w:top w:w="96" w:type="dxa"/>
              <w:left w:w="57" w:type="dxa"/>
              <w:bottom w:w="96" w:type="dxa"/>
              <w:right w:w="71" w:type="dxa"/>
            </w:tcMar>
          </w:tcPr>
          <w:p w14:paraId="2E09B31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45280FC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tcMar>
              <w:top w:w="96" w:type="dxa"/>
              <w:left w:w="57" w:type="dxa"/>
              <w:bottom w:w="96" w:type="dxa"/>
              <w:right w:w="71" w:type="dxa"/>
            </w:tcMar>
          </w:tcPr>
          <w:p w14:paraId="2CF16B3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482" w:type="dxa"/>
            <w:tcMar>
              <w:top w:w="96" w:type="dxa"/>
              <w:left w:w="57" w:type="dxa"/>
              <w:bottom w:w="96" w:type="dxa"/>
              <w:right w:w="71" w:type="dxa"/>
            </w:tcMar>
          </w:tcPr>
          <w:p w14:paraId="44AB83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25.4%</w:t>
            </w:r>
          </w:p>
        </w:tc>
        <w:tc>
          <w:tcPr>
            <w:tcW w:w="482" w:type="dxa"/>
            <w:shd w:val="solid" w:color="FFD1D1" w:fill="auto"/>
            <w:tcMar>
              <w:top w:w="96" w:type="dxa"/>
              <w:left w:w="57" w:type="dxa"/>
              <w:bottom w:w="96" w:type="dxa"/>
              <w:right w:w="71" w:type="dxa"/>
            </w:tcMar>
          </w:tcPr>
          <w:p w14:paraId="02E1F51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93.2%</w:t>
            </w:r>
          </w:p>
        </w:tc>
        <w:tc>
          <w:tcPr>
            <w:tcW w:w="482" w:type="dxa"/>
            <w:tcMar>
              <w:top w:w="96" w:type="dxa"/>
              <w:left w:w="57" w:type="dxa"/>
              <w:bottom w:w="96" w:type="dxa"/>
              <w:right w:w="71" w:type="dxa"/>
            </w:tcMar>
          </w:tcPr>
          <w:p w14:paraId="3184306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28.7%</w:t>
            </w:r>
          </w:p>
        </w:tc>
        <w:tc>
          <w:tcPr>
            <w:tcW w:w="482" w:type="dxa"/>
            <w:shd w:val="solid" w:color="CBFFC6" w:fill="auto"/>
            <w:tcMar>
              <w:top w:w="96" w:type="dxa"/>
              <w:left w:w="57" w:type="dxa"/>
              <w:bottom w:w="96" w:type="dxa"/>
              <w:right w:w="71" w:type="dxa"/>
            </w:tcMar>
          </w:tcPr>
          <w:p w14:paraId="37427A8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87.5%</w:t>
            </w:r>
          </w:p>
        </w:tc>
        <w:tc>
          <w:tcPr>
            <w:tcW w:w="482" w:type="dxa"/>
            <w:tcMar>
              <w:top w:w="96" w:type="dxa"/>
              <w:left w:w="57" w:type="dxa"/>
              <w:bottom w:w="96" w:type="dxa"/>
              <w:right w:w="71" w:type="dxa"/>
            </w:tcMar>
          </w:tcPr>
          <w:p w14:paraId="0C62542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79.9%</w:t>
            </w:r>
          </w:p>
        </w:tc>
        <w:tc>
          <w:tcPr>
            <w:tcW w:w="482" w:type="dxa"/>
            <w:tcMar>
              <w:top w:w="96" w:type="dxa"/>
              <w:left w:w="57" w:type="dxa"/>
              <w:bottom w:w="96" w:type="dxa"/>
              <w:right w:w="71" w:type="dxa"/>
            </w:tcMar>
          </w:tcPr>
          <w:p w14:paraId="3341F80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04D461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87.0%</w:t>
            </w:r>
          </w:p>
        </w:tc>
        <w:tc>
          <w:tcPr>
            <w:tcW w:w="482" w:type="dxa"/>
            <w:tcMar>
              <w:top w:w="96" w:type="dxa"/>
              <w:left w:w="57" w:type="dxa"/>
              <w:bottom w:w="96" w:type="dxa"/>
              <w:right w:w="71" w:type="dxa"/>
            </w:tcMar>
          </w:tcPr>
          <w:p w14:paraId="62A3F6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82.6%</w:t>
            </w:r>
          </w:p>
        </w:tc>
        <w:tc>
          <w:tcPr>
            <w:tcW w:w="482" w:type="dxa"/>
            <w:tcMar>
              <w:top w:w="96" w:type="dxa"/>
              <w:left w:w="57" w:type="dxa"/>
              <w:bottom w:w="96" w:type="dxa"/>
              <w:right w:w="71" w:type="dxa"/>
            </w:tcMar>
          </w:tcPr>
          <w:p w14:paraId="47333D1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91.1%</w:t>
            </w:r>
          </w:p>
        </w:tc>
        <w:tc>
          <w:tcPr>
            <w:tcW w:w="482" w:type="dxa"/>
            <w:shd w:val="solid" w:color="FFD1D1" w:fill="auto"/>
            <w:tcMar>
              <w:top w:w="96" w:type="dxa"/>
              <w:left w:w="57" w:type="dxa"/>
              <w:bottom w:w="96" w:type="dxa"/>
              <w:right w:w="71" w:type="dxa"/>
            </w:tcMar>
          </w:tcPr>
          <w:p w14:paraId="13BBCA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59.5%</w:t>
            </w:r>
          </w:p>
        </w:tc>
        <w:tc>
          <w:tcPr>
            <w:tcW w:w="482" w:type="dxa"/>
            <w:tcMar>
              <w:top w:w="96" w:type="dxa"/>
              <w:left w:w="57" w:type="dxa"/>
              <w:bottom w:w="96" w:type="dxa"/>
              <w:right w:w="71" w:type="dxa"/>
            </w:tcMar>
          </w:tcPr>
          <w:p w14:paraId="264D3DE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340" w:type="dxa"/>
            <w:tcMar>
              <w:top w:w="96" w:type="dxa"/>
              <w:left w:w="57" w:type="dxa"/>
              <w:bottom w:w="96" w:type="dxa"/>
              <w:right w:w="71" w:type="dxa"/>
            </w:tcMar>
          </w:tcPr>
          <w:p w14:paraId="7C4D5EE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340" w:type="dxa"/>
            <w:tcMar>
              <w:top w:w="96" w:type="dxa"/>
              <w:left w:w="57" w:type="dxa"/>
              <w:bottom w:w="96" w:type="dxa"/>
              <w:right w:w="71" w:type="dxa"/>
            </w:tcMar>
          </w:tcPr>
          <w:p w14:paraId="3F3F7B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090F5561" w14:textId="77777777" w:rsidTr="001726E8">
        <w:trPr>
          <w:trHeight w:val="283"/>
        </w:trPr>
        <w:tc>
          <w:tcPr>
            <w:tcW w:w="1417" w:type="dxa"/>
            <w:tcMar>
              <w:top w:w="96" w:type="dxa"/>
              <w:left w:w="113" w:type="dxa"/>
              <w:bottom w:w="96" w:type="dxa"/>
              <w:right w:w="0" w:type="dxa"/>
            </w:tcMar>
          </w:tcPr>
          <w:p w14:paraId="6BBD1202"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Ballarat Base Hospital</w:t>
            </w:r>
          </w:p>
        </w:tc>
        <w:tc>
          <w:tcPr>
            <w:tcW w:w="340" w:type="dxa"/>
            <w:tcMar>
              <w:top w:w="96" w:type="dxa"/>
              <w:left w:w="57" w:type="dxa"/>
              <w:bottom w:w="96" w:type="dxa"/>
              <w:right w:w="71" w:type="dxa"/>
            </w:tcMar>
          </w:tcPr>
          <w:p w14:paraId="4F68C99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020A9CC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1,616</w:t>
            </w:r>
          </w:p>
        </w:tc>
        <w:tc>
          <w:tcPr>
            <w:tcW w:w="482" w:type="dxa"/>
            <w:tcMar>
              <w:top w:w="96" w:type="dxa"/>
              <w:left w:w="57" w:type="dxa"/>
              <w:bottom w:w="96" w:type="dxa"/>
              <w:right w:w="71" w:type="dxa"/>
            </w:tcMar>
          </w:tcPr>
          <w:p w14:paraId="6C2CEF2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16.7%</w:t>
            </w:r>
          </w:p>
        </w:tc>
        <w:tc>
          <w:tcPr>
            <w:tcW w:w="482" w:type="dxa"/>
            <w:tcMar>
              <w:top w:w="96" w:type="dxa"/>
              <w:left w:w="57" w:type="dxa"/>
              <w:bottom w:w="96" w:type="dxa"/>
              <w:right w:w="71" w:type="dxa"/>
            </w:tcMar>
          </w:tcPr>
          <w:p w14:paraId="12DFB7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18.3%</w:t>
            </w:r>
          </w:p>
        </w:tc>
        <w:tc>
          <w:tcPr>
            <w:tcW w:w="482" w:type="dxa"/>
            <w:tcMar>
              <w:top w:w="96" w:type="dxa"/>
              <w:left w:w="57" w:type="dxa"/>
              <w:bottom w:w="96" w:type="dxa"/>
              <w:right w:w="71" w:type="dxa"/>
            </w:tcMar>
          </w:tcPr>
          <w:p w14:paraId="2B846FC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35.9%</w:t>
            </w:r>
          </w:p>
        </w:tc>
        <w:tc>
          <w:tcPr>
            <w:tcW w:w="482" w:type="dxa"/>
            <w:tcMar>
              <w:top w:w="96" w:type="dxa"/>
              <w:left w:w="57" w:type="dxa"/>
              <w:bottom w:w="96" w:type="dxa"/>
              <w:right w:w="71" w:type="dxa"/>
            </w:tcMar>
          </w:tcPr>
          <w:p w14:paraId="12C010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w:t>
            </w:r>
          </w:p>
        </w:tc>
        <w:tc>
          <w:tcPr>
            <w:tcW w:w="482" w:type="dxa"/>
            <w:shd w:val="solid" w:color="FFD1D1" w:fill="auto"/>
            <w:tcMar>
              <w:top w:w="96" w:type="dxa"/>
              <w:left w:w="57" w:type="dxa"/>
              <w:bottom w:w="96" w:type="dxa"/>
              <w:right w:w="71" w:type="dxa"/>
            </w:tcMar>
          </w:tcPr>
          <w:p w14:paraId="6D4548E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6.7%</w:t>
            </w:r>
          </w:p>
        </w:tc>
        <w:tc>
          <w:tcPr>
            <w:tcW w:w="482" w:type="dxa"/>
            <w:shd w:val="solid" w:color="CBFFC6" w:fill="auto"/>
            <w:tcMar>
              <w:top w:w="96" w:type="dxa"/>
              <w:left w:w="57" w:type="dxa"/>
              <w:bottom w:w="96" w:type="dxa"/>
              <w:right w:w="71" w:type="dxa"/>
            </w:tcMar>
          </w:tcPr>
          <w:p w14:paraId="160B8A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20.5%</w:t>
            </w:r>
          </w:p>
        </w:tc>
        <w:tc>
          <w:tcPr>
            <w:tcW w:w="482" w:type="dxa"/>
            <w:tcMar>
              <w:top w:w="96" w:type="dxa"/>
              <w:left w:w="57" w:type="dxa"/>
              <w:bottom w:w="96" w:type="dxa"/>
              <w:right w:w="71" w:type="dxa"/>
            </w:tcMar>
          </w:tcPr>
          <w:p w14:paraId="53D8F1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90.6%</w:t>
            </w:r>
          </w:p>
        </w:tc>
        <w:tc>
          <w:tcPr>
            <w:tcW w:w="482" w:type="dxa"/>
            <w:tcMar>
              <w:top w:w="96" w:type="dxa"/>
              <w:left w:w="57" w:type="dxa"/>
              <w:bottom w:w="96" w:type="dxa"/>
              <w:right w:w="71" w:type="dxa"/>
            </w:tcMar>
          </w:tcPr>
          <w:p w14:paraId="44B3C93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11.7%</w:t>
            </w:r>
          </w:p>
        </w:tc>
        <w:tc>
          <w:tcPr>
            <w:tcW w:w="482" w:type="dxa"/>
            <w:tcMar>
              <w:top w:w="96" w:type="dxa"/>
              <w:left w:w="57" w:type="dxa"/>
              <w:bottom w:w="96" w:type="dxa"/>
              <w:right w:w="71" w:type="dxa"/>
            </w:tcMar>
          </w:tcPr>
          <w:p w14:paraId="403AB6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15.4%</w:t>
            </w:r>
          </w:p>
        </w:tc>
        <w:tc>
          <w:tcPr>
            <w:tcW w:w="482" w:type="dxa"/>
            <w:tcMar>
              <w:top w:w="96" w:type="dxa"/>
              <w:left w:w="57" w:type="dxa"/>
              <w:bottom w:w="96" w:type="dxa"/>
              <w:right w:w="71" w:type="dxa"/>
            </w:tcMar>
          </w:tcPr>
          <w:p w14:paraId="2776E6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13.3%</w:t>
            </w:r>
          </w:p>
        </w:tc>
        <w:tc>
          <w:tcPr>
            <w:tcW w:w="482" w:type="dxa"/>
            <w:shd w:val="solid" w:color="CBFFC6" w:fill="auto"/>
            <w:tcMar>
              <w:top w:w="96" w:type="dxa"/>
              <w:left w:w="57" w:type="dxa"/>
              <w:bottom w:w="96" w:type="dxa"/>
              <w:right w:w="71" w:type="dxa"/>
            </w:tcMar>
          </w:tcPr>
          <w:p w14:paraId="177A311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30.3%</w:t>
            </w:r>
          </w:p>
        </w:tc>
        <w:tc>
          <w:tcPr>
            <w:tcW w:w="482" w:type="dxa"/>
            <w:tcMar>
              <w:top w:w="96" w:type="dxa"/>
              <w:left w:w="57" w:type="dxa"/>
              <w:bottom w:w="96" w:type="dxa"/>
              <w:right w:w="71" w:type="dxa"/>
            </w:tcMar>
          </w:tcPr>
          <w:p w14:paraId="45BAE6B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50.0%</w:t>
            </w:r>
          </w:p>
        </w:tc>
        <w:tc>
          <w:tcPr>
            <w:tcW w:w="482" w:type="dxa"/>
            <w:tcMar>
              <w:top w:w="96" w:type="dxa"/>
              <w:left w:w="57" w:type="dxa"/>
              <w:bottom w:w="96" w:type="dxa"/>
              <w:right w:w="71" w:type="dxa"/>
            </w:tcMar>
          </w:tcPr>
          <w:p w14:paraId="2E32221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shd w:val="solid" w:color="FFD1D1" w:fill="auto"/>
            <w:tcMar>
              <w:top w:w="96" w:type="dxa"/>
              <w:left w:w="57" w:type="dxa"/>
              <w:bottom w:w="96" w:type="dxa"/>
              <w:right w:w="71" w:type="dxa"/>
            </w:tcMar>
          </w:tcPr>
          <w:p w14:paraId="5452D93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w:t>
            </w:r>
          </w:p>
        </w:tc>
        <w:tc>
          <w:tcPr>
            <w:tcW w:w="482" w:type="dxa"/>
            <w:shd w:val="solid" w:color="FFD1D1" w:fill="auto"/>
            <w:tcMar>
              <w:top w:w="96" w:type="dxa"/>
              <w:left w:w="57" w:type="dxa"/>
              <w:bottom w:w="96" w:type="dxa"/>
              <w:right w:w="71" w:type="dxa"/>
            </w:tcMar>
          </w:tcPr>
          <w:p w14:paraId="096425C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w:t>
            </w:r>
          </w:p>
        </w:tc>
        <w:tc>
          <w:tcPr>
            <w:tcW w:w="482" w:type="dxa"/>
            <w:tcMar>
              <w:top w:w="96" w:type="dxa"/>
              <w:left w:w="57" w:type="dxa"/>
              <w:bottom w:w="96" w:type="dxa"/>
              <w:right w:w="71" w:type="dxa"/>
            </w:tcMar>
          </w:tcPr>
          <w:p w14:paraId="6209A3A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26.7%</w:t>
            </w:r>
          </w:p>
        </w:tc>
        <w:tc>
          <w:tcPr>
            <w:tcW w:w="482" w:type="dxa"/>
            <w:shd w:val="solid" w:color="FFD1D1" w:fill="auto"/>
            <w:tcMar>
              <w:top w:w="96" w:type="dxa"/>
              <w:left w:w="57" w:type="dxa"/>
              <w:bottom w:w="96" w:type="dxa"/>
              <w:right w:w="71" w:type="dxa"/>
            </w:tcMar>
          </w:tcPr>
          <w:p w14:paraId="26D8E4A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93.8%</w:t>
            </w:r>
          </w:p>
        </w:tc>
        <w:tc>
          <w:tcPr>
            <w:tcW w:w="482" w:type="dxa"/>
            <w:tcMar>
              <w:top w:w="96" w:type="dxa"/>
              <w:left w:w="57" w:type="dxa"/>
              <w:bottom w:w="96" w:type="dxa"/>
              <w:right w:w="71" w:type="dxa"/>
            </w:tcMar>
          </w:tcPr>
          <w:p w14:paraId="69C905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19.7%</w:t>
            </w:r>
          </w:p>
        </w:tc>
        <w:tc>
          <w:tcPr>
            <w:tcW w:w="482" w:type="dxa"/>
            <w:tcMar>
              <w:top w:w="96" w:type="dxa"/>
              <w:left w:w="57" w:type="dxa"/>
              <w:bottom w:w="96" w:type="dxa"/>
              <w:right w:w="71" w:type="dxa"/>
            </w:tcMar>
          </w:tcPr>
          <w:p w14:paraId="5FF0849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83.9%</w:t>
            </w:r>
          </w:p>
        </w:tc>
        <w:tc>
          <w:tcPr>
            <w:tcW w:w="482" w:type="dxa"/>
            <w:shd w:val="solid" w:color="CBFFC6" w:fill="auto"/>
            <w:tcMar>
              <w:top w:w="96" w:type="dxa"/>
              <w:left w:w="57" w:type="dxa"/>
              <w:bottom w:w="96" w:type="dxa"/>
              <w:right w:w="71" w:type="dxa"/>
            </w:tcMar>
          </w:tcPr>
          <w:p w14:paraId="291B0C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93.2%</w:t>
            </w:r>
          </w:p>
        </w:tc>
        <w:tc>
          <w:tcPr>
            <w:tcW w:w="482" w:type="dxa"/>
            <w:shd w:val="solid" w:color="FFD1D1" w:fill="auto"/>
            <w:tcMar>
              <w:top w:w="96" w:type="dxa"/>
              <w:left w:w="57" w:type="dxa"/>
              <w:bottom w:w="96" w:type="dxa"/>
              <w:right w:w="71" w:type="dxa"/>
            </w:tcMar>
          </w:tcPr>
          <w:p w14:paraId="0DB43E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w:t>
            </w:r>
          </w:p>
        </w:tc>
        <w:tc>
          <w:tcPr>
            <w:tcW w:w="482" w:type="dxa"/>
            <w:tcMar>
              <w:top w:w="96" w:type="dxa"/>
              <w:left w:w="57" w:type="dxa"/>
              <w:bottom w:w="96" w:type="dxa"/>
              <w:right w:w="71" w:type="dxa"/>
            </w:tcMar>
          </w:tcPr>
          <w:p w14:paraId="56C0C63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63.5%</w:t>
            </w:r>
          </w:p>
        </w:tc>
        <w:tc>
          <w:tcPr>
            <w:tcW w:w="482" w:type="dxa"/>
            <w:tcMar>
              <w:top w:w="96" w:type="dxa"/>
              <w:left w:w="57" w:type="dxa"/>
              <w:bottom w:w="96" w:type="dxa"/>
              <w:right w:w="71" w:type="dxa"/>
            </w:tcMar>
          </w:tcPr>
          <w:p w14:paraId="3C801A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83.3%</w:t>
            </w:r>
          </w:p>
        </w:tc>
        <w:tc>
          <w:tcPr>
            <w:tcW w:w="482" w:type="dxa"/>
            <w:shd w:val="solid" w:color="CBFFC6" w:fill="auto"/>
            <w:tcMar>
              <w:top w:w="96" w:type="dxa"/>
              <w:left w:w="57" w:type="dxa"/>
              <w:bottom w:w="96" w:type="dxa"/>
              <w:right w:w="71" w:type="dxa"/>
            </w:tcMar>
          </w:tcPr>
          <w:p w14:paraId="1992B0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96.4%</w:t>
            </w:r>
          </w:p>
        </w:tc>
        <w:tc>
          <w:tcPr>
            <w:tcW w:w="482" w:type="dxa"/>
            <w:shd w:val="solid" w:color="CBFFC6" w:fill="auto"/>
            <w:tcMar>
              <w:top w:w="96" w:type="dxa"/>
              <w:left w:w="57" w:type="dxa"/>
              <w:bottom w:w="96" w:type="dxa"/>
              <w:right w:w="71" w:type="dxa"/>
            </w:tcMar>
          </w:tcPr>
          <w:p w14:paraId="2B8AFFA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83.1%</w:t>
            </w:r>
          </w:p>
        </w:tc>
        <w:tc>
          <w:tcPr>
            <w:tcW w:w="482" w:type="dxa"/>
            <w:shd w:val="solid" w:color="FFD1D1" w:fill="auto"/>
            <w:tcMar>
              <w:top w:w="96" w:type="dxa"/>
              <w:left w:w="57" w:type="dxa"/>
              <w:bottom w:w="96" w:type="dxa"/>
              <w:right w:w="71" w:type="dxa"/>
            </w:tcMar>
          </w:tcPr>
          <w:p w14:paraId="0E7DEC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w:t>
            </w:r>
          </w:p>
        </w:tc>
        <w:tc>
          <w:tcPr>
            <w:tcW w:w="340" w:type="dxa"/>
            <w:tcMar>
              <w:top w:w="96" w:type="dxa"/>
              <w:left w:w="57" w:type="dxa"/>
              <w:bottom w:w="96" w:type="dxa"/>
              <w:right w:w="71" w:type="dxa"/>
            </w:tcMar>
          </w:tcPr>
          <w:p w14:paraId="0FF347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031CF5D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r>
      <w:tr w:rsidR="00D6403A" w:rsidRPr="0004279D" w14:paraId="31771AB7" w14:textId="77777777" w:rsidTr="001726E8">
        <w:trPr>
          <w:trHeight w:val="283"/>
        </w:trPr>
        <w:tc>
          <w:tcPr>
            <w:tcW w:w="1417" w:type="dxa"/>
            <w:tcMar>
              <w:top w:w="96" w:type="dxa"/>
              <w:left w:w="113" w:type="dxa"/>
              <w:bottom w:w="96" w:type="dxa"/>
              <w:right w:w="0" w:type="dxa"/>
            </w:tcMar>
          </w:tcPr>
          <w:p w14:paraId="2C4B26C9"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Shepparton Hospital</w:t>
            </w:r>
          </w:p>
        </w:tc>
        <w:tc>
          <w:tcPr>
            <w:tcW w:w="340" w:type="dxa"/>
            <w:tcMar>
              <w:top w:w="96" w:type="dxa"/>
              <w:left w:w="57" w:type="dxa"/>
              <w:bottom w:w="96" w:type="dxa"/>
              <w:right w:w="71" w:type="dxa"/>
            </w:tcMar>
          </w:tcPr>
          <w:p w14:paraId="5A1BAE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730225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916</w:t>
            </w:r>
          </w:p>
        </w:tc>
        <w:tc>
          <w:tcPr>
            <w:tcW w:w="482" w:type="dxa"/>
            <w:tcMar>
              <w:top w:w="96" w:type="dxa"/>
              <w:left w:w="57" w:type="dxa"/>
              <w:bottom w:w="96" w:type="dxa"/>
              <w:right w:w="71" w:type="dxa"/>
            </w:tcMar>
          </w:tcPr>
          <w:p w14:paraId="346B3B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w:t>
            </w:r>
          </w:p>
        </w:tc>
        <w:tc>
          <w:tcPr>
            <w:tcW w:w="482" w:type="dxa"/>
            <w:tcMar>
              <w:top w:w="96" w:type="dxa"/>
              <w:left w:w="57" w:type="dxa"/>
              <w:bottom w:w="96" w:type="dxa"/>
              <w:right w:w="71" w:type="dxa"/>
            </w:tcMar>
          </w:tcPr>
          <w:p w14:paraId="10E3FF6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23.1%</w:t>
            </w:r>
          </w:p>
        </w:tc>
        <w:tc>
          <w:tcPr>
            <w:tcW w:w="482" w:type="dxa"/>
            <w:tcMar>
              <w:top w:w="96" w:type="dxa"/>
              <w:left w:w="57" w:type="dxa"/>
              <w:bottom w:w="96" w:type="dxa"/>
              <w:right w:w="71" w:type="dxa"/>
            </w:tcMar>
          </w:tcPr>
          <w:p w14:paraId="15CABB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37.5%</w:t>
            </w:r>
          </w:p>
        </w:tc>
        <w:tc>
          <w:tcPr>
            <w:tcW w:w="482" w:type="dxa"/>
            <w:tcMar>
              <w:top w:w="96" w:type="dxa"/>
              <w:left w:w="57" w:type="dxa"/>
              <w:bottom w:w="96" w:type="dxa"/>
              <w:right w:w="71" w:type="dxa"/>
            </w:tcMar>
          </w:tcPr>
          <w:p w14:paraId="1D7FAC5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482" w:type="dxa"/>
            <w:tcMar>
              <w:top w:w="96" w:type="dxa"/>
              <w:left w:w="57" w:type="dxa"/>
              <w:bottom w:w="96" w:type="dxa"/>
              <w:right w:w="71" w:type="dxa"/>
            </w:tcMar>
          </w:tcPr>
          <w:p w14:paraId="4602A6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4.6%</w:t>
            </w:r>
          </w:p>
        </w:tc>
        <w:tc>
          <w:tcPr>
            <w:tcW w:w="482" w:type="dxa"/>
            <w:tcMar>
              <w:top w:w="96" w:type="dxa"/>
              <w:left w:w="57" w:type="dxa"/>
              <w:bottom w:w="96" w:type="dxa"/>
              <w:right w:w="71" w:type="dxa"/>
            </w:tcMar>
          </w:tcPr>
          <w:p w14:paraId="6EBE09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27.4%</w:t>
            </w:r>
          </w:p>
        </w:tc>
        <w:tc>
          <w:tcPr>
            <w:tcW w:w="482" w:type="dxa"/>
            <w:tcMar>
              <w:top w:w="96" w:type="dxa"/>
              <w:left w:w="57" w:type="dxa"/>
              <w:bottom w:w="96" w:type="dxa"/>
              <w:right w:w="71" w:type="dxa"/>
            </w:tcMar>
          </w:tcPr>
          <w:p w14:paraId="0B7137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89.2%</w:t>
            </w:r>
          </w:p>
        </w:tc>
        <w:tc>
          <w:tcPr>
            <w:tcW w:w="482" w:type="dxa"/>
            <w:shd w:val="solid" w:color="FFD1D1" w:fill="auto"/>
            <w:tcMar>
              <w:top w:w="96" w:type="dxa"/>
              <w:left w:w="57" w:type="dxa"/>
              <w:bottom w:w="96" w:type="dxa"/>
              <w:right w:w="71" w:type="dxa"/>
            </w:tcMar>
          </w:tcPr>
          <w:p w14:paraId="115C44C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23.7%</w:t>
            </w:r>
          </w:p>
        </w:tc>
        <w:tc>
          <w:tcPr>
            <w:tcW w:w="482" w:type="dxa"/>
            <w:shd w:val="solid" w:color="FFD1D1" w:fill="auto"/>
            <w:tcMar>
              <w:top w:w="96" w:type="dxa"/>
              <w:left w:w="57" w:type="dxa"/>
              <w:bottom w:w="96" w:type="dxa"/>
              <w:right w:w="71" w:type="dxa"/>
            </w:tcMar>
          </w:tcPr>
          <w:p w14:paraId="1BC665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27.3%</w:t>
            </w:r>
          </w:p>
        </w:tc>
        <w:tc>
          <w:tcPr>
            <w:tcW w:w="482" w:type="dxa"/>
            <w:shd w:val="solid" w:color="FFD1D1" w:fill="auto"/>
            <w:tcMar>
              <w:top w:w="96" w:type="dxa"/>
              <w:left w:w="57" w:type="dxa"/>
              <w:bottom w:w="96" w:type="dxa"/>
              <w:right w:w="71" w:type="dxa"/>
            </w:tcMar>
          </w:tcPr>
          <w:p w14:paraId="25251B2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33.3%</w:t>
            </w:r>
          </w:p>
        </w:tc>
        <w:tc>
          <w:tcPr>
            <w:tcW w:w="482" w:type="dxa"/>
            <w:tcMar>
              <w:top w:w="96" w:type="dxa"/>
              <w:left w:w="57" w:type="dxa"/>
              <w:bottom w:w="96" w:type="dxa"/>
              <w:right w:w="71" w:type="dxa"/>
            </w:tcMar>
          </w:tcPr>
          <w:p w14:paraId="1B8EDDB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19.1%</w:t>
            </w:r>
          </w:p>
        </w:tc>
        <w:tc>
          <w:tcPr>
            <w:tcW w:w="482" w:type="dxa"/>
            <w:tcMar>
              <w:top w:w="96" w:type="dxa"/>
              <w:left w:w="57" w:type="dxa"/>
              <w:bottom w:w="96" w:type="dxa"/>
              <w:right w:w="71" w:type="dxa"/>
            </w:tcMar>
          </w:tcPr>
          <w:p w14:paraId="52DD75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50.0%</w:t>
            </w:r>
          </w:p>
        </w:tc>
        <w:tc>
          <w:tcPr>
            <w:tcW w:w="482" w:type="dxa"/>
            <w:tcMar>
              <w:top w:w="96" w:type="dxa"/>
              <w:left w:w="57" w:type="dxa"/>
              <w:bottom w:w="96" w:type="dxa"/>
              <w:right w:w="71" w:type="dxa"/>
            </w:tcMar>
          </w:tcPr>
          <w:p w14:paraId="14E601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w:t>
            </w:r>
          </w:p>
        </w:tc>
        <w:tc>
          <w:tcPr>
            <w:tcW w:w="482" w:type="dxa"/>
            <w:tcMar>
              <w:top w:w="96" w:type="dxa"/>
              <w:left w:w="57" w:type="dxa"/>
              <w:bottom w:w="96" w:type="dxa"/>
              <w:right w:w="71" w:type="dxa"/>
            </w:tcMar>
          </w:tcPr>
          <w:p w14:paraId="56DBA6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482" w:type="dxa"/>
            <w:shd w:val="solid" w:color="CBFFC6" w:fill="auto"/>
            <w:tcMar>
              <w:top w:w="96" w:type="dxa"/>
              <w:left w:w="57" w:type="dxa"/>
              <w:bottom w:w="96" w:type="dxa"/>
              <w:right w:w="71" w:type="dxa"/>
            </w:tcMar>
          </w:tcPr>
          <w:p w14:paraId="439B464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482" w:type="dxa"/>
            <w:tcMar>
              <w:top w:w="96" w:type="dxa"/>
              <w:left w:w="57" w:type="dxa"/>
              <w:bottom w:w="96" w:type="dxa"/>
              <w:right w:w="71" w:type="dxa"/>
            </w:tcMar>
          </w:tcPr>
          <w:p w14:paraId="36E45EB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28.0%</w:t>
            </w:r>
          </w:p>
        </w:tc>
        <w:tc>
          <w:tcPr>
            <w:tcW w:w="482" w:type="dxa"/>
            <w:shd w:val="solid" w:color="FFD1D1" w:fill="auto"/>
            <w:tcMar>
              <w:top w:w="96" w:type="dxa"/>
              <w:left w:w="57" w:type="dxa"/>
              <w:bottom w:w="96" w:type="dxa"/>
              <w:right w:w="71" w:type="dxa"/>
            </w:tcMar>
          </w:tcPr>
          <w:p w14:paraId="7212B0E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93.7%</w:t>
            </w:r>
          </w:p>
        </w:tc>
        <w:tc>
          <w:tcPr>
            <w:tcW w:w="482" w:type="dxa"/>
            <w:shd w:val="solid" w:color="FFD1D1" w:fill="auto"/>
            <w:tcMar>
              <w:top w:w="96" w:type="dxa"/>
              <w:left w:w="57" w:type="dxa"/>
              <w:bottom w:w="96" w:type="dxa"/>
              <w:right w:w="71" w:type="dxa"/>
            </w:tcMar>
          </w:tcPr>
          <w:p w14:paraId="521881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46.4%</w:t>
            </w:r>
          </w:p>
        </w:tc>
        <w:tc>
          <w:tcPr>
            <w:tcW w:w="482" w:type="dxa"/>
            <w:shd w:val="solid" w:color="FFD1D1" w:fill="auto"/>
            <w:tcMar>
              <w:top w:w="96" w:type="dxa"/>
              <w:left w:w="57" w:type="dxa"/>
              <w:bottom w:w="96" w:type="dxa"/>
              <w:right w:w="71" w:type="dxa"/>
            </w:tcMar>
          </w:tcPr>
          <w:p w14:paraId="111E9D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69.3%</w:t>
            </w:r>
          </w:p>
        </w:tc>
        <w:tc>
          <w:tcPr>
            <w:tcW w:w="482" w:type="dxa"/>
            <w:tcMar>
              <w:top w:w="96" w:type="dxa"/>
              <w:left w:w="57" w:type="dxa"/>
              <w:bottom w:w="96" w:type="dxa"/>
              <w:right w:w="71" w:type="dxa"/>
            </w:tcMar>
          </w:tcPr>
          <w:p w14:paraId="5E84F2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81.1%</w:t>
            </w:r>
          </w:p>
        </w:tc>
        <w:tc>
          <w:tcPr>
            <w:tcW w:w="482" w:type="dxa"/>
            <w:tcMar>
              <w:top w:w="96" w:type="dxa"/>
              <w:left w:w="57" w:type="dxa"/>
              <w:bottom w:w="96" w:type="dxa"/>
              <w:right w:w="71" w:type="dxa"/>
            </w:tcMar>
          </w:tcPr>
          <w:p w14:paraId="2D5BEC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shd w:val="solid" w:color="CBFFC6" w:fill="auto"/>
            <w:tcMar>
              <w:top w:w="96" w:type="dxa"/>
              <w:left w:w="57" w:type="dxa"/>
              <w:bottom w:w="96" w:type="dxa"/>
              <w:right w:w="71" w:type="dxa"/>
            </w:tcMar>
          </w:tcPr>
          <w:p w14:paraId="3A7FE88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56.0%</w:t>
            </w:r>
          </w:p>
        </w:tc>
        <w:tc>
          <w:tcPr>
            <w:tcW w:w="482" w:type="dxa"/>
            <w:tcMar>
              <w:top w:w="96" w:type="dxa"/>
              <w:left w:w="57" w:type="dxa"/>
              <w:bottom w:w="96" w:type="dxa"/>
              <w:right w:w="71" w:type="dxa"/>
            </w:tcMar>
          </w:tcPr>
          <w:p w14:paraId="5807E0F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86.3%</w:t>
            </w:r>
          </w:p>
        </w:tc>
        <w:tc>
          <w:tcPr>
            <w:tcW w:w="482" w:type="dxa"/>
            <w:tcMar>
              <w:top w:w="96" w:type="dxa"/>
              <w:left w:w="57" w:type="dxa"/>
              <w:bottom w:w="96" w:type="dxa"/>
              <w:right w:w="71" w:type="dxa"/>
            </w:tcMar>
          </w:tcPr>
          <w:p w14:paraId="414DB1A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91.7%</w:t>
            </w:r>
          </w:p>
        </w:tc>
        <w:tc>
          <w:tcPr>
            <w:tcW w:w="482" w:type="dxa"/>
            <w:tcMar>
              <w:top w:w="96" w:type="dxa"/>
              <w:left w:w="57" w:type="dxa"/>
              <w:bottom w:w="96" w:type="dxa"/>
              <w:right w:w="71" w:type="dxa"/>
            </w:tcMar>
          </w:tcPr>
          <w:p w14:paraId="5CA62D2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73.9%</w:t>
            </w:r>
          </w:p>
        </w:tc>
        <w:tc>
          <w:tcPr>
            <w:tcW w:w="482" w:type="dxa"/>
            <w:tcMar>
              <w:top w:w="96" w:type="dxa"/>
              <w:left w:w="57" w:type="dxa"/>
              <w:bottom w:w="96" w:type="dxa"/>
              <w:right w:w="71" w:type="dxa"/>
            </w:tcMar>
          </w:tcPr>
          <w:p w14:paraId="6E1F6CA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340" w:type="dxa"/>
            <w:tcMar>
              <w:top w:w="96" w:type="dxa"/>
              <w:left w:w="57" w:type="dxa"/>
              <w:bottom w:w="96" w:type="dxa"/>
              <w:right w:w="71" w:type="dxa"/>
            </w:tcMar>
          </w:tcPr>
          <w:p w14:paraId="469794E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w:t>
            </w:r>
          </w:p>
        </w:tc>
        <w:tc>
          <w:tcPr>
            <w:tcW w:w="340" w:type="dxa"/>
            <w:tcMar>
              <w:top w:w="96" w:type="dxa"/>
              <w:left w:w="57" w:type="dxa"/>
              <w:bottom w:w="96" w:type="dxa"/>
              <w:right w:w="71" w:type="dxa"/>
            </w:tcMar>
          </w:tcPr>
          <w:p w14:paraId="4037A3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r>
      <w:tr w:rsidR="00D6403A" w:rsidRPr="0004279D" w14:paraId="38C74C50" w14:textId="77777777" w:rsidTr="001726E8">
        <w:trPr>
          <w:trHeight w:val="283"/>
        </w:trPr>
        <w:tc>
          <w:tcPr>
            <w:tcW w:w="1417" w:type="dxa"/>
            <w:tcMar>
              <w:top w:w="96" w:type="dxa"/>
              <w:left w:w="113" w:type="dxa"/>
              <w:bottom w:w="96" w:type="dxa"/>
              <w:right w:w="0" w:type="dxa"/>
            </w:tcMar>
          </w:tcPr>
          <w:p w14:paraId="4148B506"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Latrobe Regional Hospital</w:t>
            </w:r>
          </w:p>
        </w:tc>
        <w:tc>
          <w:tcPr>
            <w:tcW w:w="340" w:type="dxa"/>
            <w:tcMar>
              <w:top w:w="96" w:type="dxa"/>
              <w:left w:w="57" w:type="dxa"/>
              <w:bottom w:w="96" w:type="dxa"/>
              <w:right w:w="71" w:type="dxa"/>
            </w:tcMar>
          </w:tcPr>
          <w:p w14:paraId="1D55792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482" w:type="dxa"/>
            <w:tcMar>
              <w:top w:w="96" w:type="dxa"/>
              <w:left w:w="57" w:type="dxa"/>
              <w:bottom w:w="96" w:type="dxa"/>
              <w:right w:w="71" w:type="dxa"/>
            </w:tcMar>
          </w:tcPr>
          <w:p w14:paraId="73159C1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898</w:t>
            </w:r>
          </w:p>
        </w:tc>
        <w:tc>
          <w:tcPr>
            <w:tcW w:w="482" w:type="dxa"/>
            <w:shd w:val="solid" w:color="CBFFC6" w:fill="auto"/>
            <w:tcMar>
              <w:top w:w="96" w:type="dxa"/>
              <w:left w:w="57" w:type="dxa"/>
              <w:bottom w:w="96" w:type="dxa"/>
              <w:right w:w="71" w:type="dxa"/>
            </w:tcMar>
          </w:tcPr>
          <w:p w14:paraId="1F111C4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w:t>
            </w:r>
          </w:p>
        </w:tc>
        <w:tc>
          <w:tcPr>
            <w:tcW w:w="482" w:type="dxa"/>
            <w:tcMar>
              <w:top w:w="96" w:type="dxa"/>
              <w:left w:w="57" w:type="dxa"/>
              <w:bottom w:w="96" w:type="dxa"/>
              <w:right w:w="71" w:type="dxa"/>
            </w:tcMar>
          </w:tcPr>
          <w:p w14:paraId="6E76C36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20.3%</w:t>
            </w:r>
          </w:p>
        </w:tc>
        <w:tc>
          <w:tcPr>
            <w:tcW w:w="482" w:type="dxa"/>
            <w:shd w:val="solid" w:color="FFD1D1" w:fill="auto"/>
            <w:tcMar>
              <w:top w:w="96" w:type="dxa"/>
              <w:left w:w="57" w:type="dxa"/>
              <w:bottom w:w="96" w:type="dxa"/>
              <w:right w:w="71" w:type="dxa"/>
            </w:tcMar>
          </w:tcPr>
          <w:p w14:paraId="5D33510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43.9%</w:t>
            </w:r>
          </w:p>
        </w:tc>
        <w:tc>
          <w:tcPr>
            <w:tcW w:w="482" w:type="dxa"/>
            <w:tcMar>
              <w:top w:w="96" w:type="dxa"/>
              <w:left w:w="57" w:type="dxa"/>
              <w:bottom w:w="96" w:type="dxa"/>
              <w:right w:w="71" w:type="dxa"/>
            </w:tcMar>
          </w:tcPr>
          <w:p w14:paraId="14B8A19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w:t>
            </w:r>
          </w:p>
        </w:tc>
        <w:tc>
          <w:tcPr>
            <w:tcW w:w="482" w:type="dxa"/>
            <w:tcMar>
              <w:top w:w="96" w:type="dxa"/>
              <w:left w:w="57" w:type="dxa"/>
              <w:bottom w:w="96" w:type="dxa"/>
              <w:right w:w="71" w:type="dxa"/>
            </w:tcMar>
          </w:tcPr>
          <w:p w14:paraId="0A1CA1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w:t>
            </w:r>
          </w:p>
        </w:tc>
        <w:tc>
          <w:tcPr>
            <w:tcW w:w="482" w:type="dxa"/>
            <w:shd w:val="solid" w:color="CBFFC6" w:fill="auto"/>
            <w:tcMar>
              <w:top w:w="96" w:type="dxa"/>
              <w:left w:w="57" w:type="dxa"/>
              <w:bottom w:w="96" w:type="dxa"/>
              <w:right w:w="71" w:type="dxa"/>
            </w:tcMar>
          </w:tcPr>
          <w:p w14:paraId="076334A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20.4%</w:t>
            </w:r>
          </w:p>
        </w:tc>
        <w:tc>
          <w:tcPr>
            <w:tcW w:w="482" w:type="dxa"/>
            <w:tcMar>
              <w:top w:w="96" w:type="dxa"/>
              <w:left w:w="57" w:type="dxa"/>
              <w:bottom w:w="96" w:type="dxa"/>
              <w:right w:w="71" w:type="dxa"/>
            </w:tcMar>
          </w:tcPr>
          <w:p w14:paraId="03E8803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88.4%</w:t>
            </w:r>
          </w:p>
        </w:tc>
        <w:tc>
          <w:tcPr>
            <w:tcW w:w="482" w:type="dxa"/>
            <w:shd w:val="solid" w:color="FFD1D1" w:fill="auto"/>
            <w:tcMar>
              <w:top w:w="96" w:type="dxa"/>
              <w:left w:w="57" w:type="dxa"/>
              <w:bottom w:w="96" w:type="dxa"/>
              <w:right w:w="71" w:type="dxa"/>
            </w:tcMar>
          </w:tcPr>
          <w:p w14:paraId="098B1C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20.9%</w:t>
            </w:r>
          </w:p>
        </w:tc>
        <w:tc>
          <w:tcPr>
            <w:tcW w:w="482" w:type="dxa"/>
            <w:tcMar>
              <w:top w:w="96" w:type="dxa"/>
              <w:left w:w="57" w:type="dxa"/>
              <w:bottom w:w="96" w:type="dxa"/>
              <w:right w:w="71" w:type="dxa"/>
            </w:tcMar>
          </w:tcPr>
          <w:p w14:paraId="38E1F9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21.1%</w:t>
            </w:r>
          </w:p>
        </w:tc>
        <w:tc>
          <w:tcPr>
            <w:tcW w:w="482" w:type="dxa"/>
            <w:shd w:val="solid" w:color="CBFFC6" w:fill="auto"/>
            <w:tcMar>
              <w:top w:w="96" w:type="dxa"/>
              <w:left w:w="57" w:type="dxa"/>
              <w:bottom w:w="96" w:type="dxa"/>
              <w:right w:w="71" w:type="dxa"/>
            </w:tcMar>
          </w:tcPr>
          <w:p w14:paraId="501C6E1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10.3%</w:t>
            </w:r>
          </w:p>
        </w:tc>
        <w:tc>
          <w:tcPr>
            <w:tcW w:w="482" w:type="dxa"/>
            <w:shd w:val="solid" w:color="CBFFC6" w:fill="auto"/>
            <w:tcMar>
              <w:top w:w="96" w:type="dxa"/>
              <w:left w:w="57" w:type="dxa"/>
              <w:bottom w:w="96" w:type="dxa"/>
              <w:right w:w="71" w:type="dxa"/>
            </w:tcMar>
          </w:tcPr>
          <w:p w14:paraId="6DB776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27.5%</w:t>
            </w:r>
          </w:p>
        </w:tc>
        <w:tc>
          <w:tcPr>
            <w:tcW w:w="482" w:type="dxa"/>
            <w:tcMar>
              <w:top w:w="96" w:type="dxa"/>
              <w:left w:w="57" w:type="dxa"/>
              <w:bottom w:w="96" w:type="dxa"/>
              <w:right w:w="71" w:type="dxa"/>
            </w:tcMar>
          </w:tcPr>
          <w:p w14:paraId="323D09F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57.9%</w:t>
            </w:r>
          </w:p>
        </w:tc>
        <w:tc>
          <w:tcPr>
            <w:tcW w:w="482" w:type="dxa"/>
            <w:tcMar>
              <w:top w:w="96" w:type="dxa"/>
              <w:left w:w="57" w:type="dxa"/>
              <w:bottom w:w="96" w:type="dxa"/>
              <w:right w:w="71" w:type="dxa"/>
            </w:tcMar>
          </w:tcPr>
          <w:p w14:paraId="6AB51B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40FD5E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w:t>
            </w:r>
          </w:p>
        </w:tc>
        <w:tc>
          <w:tcPr>
            <w:tcW w:w="482" w:type="dxa"/>
            <w:tcMar>
              <w:top w:w="96" w:type="dxa"/>
              <w:left w:w="57" w:type="dxa"/>
              <w:bottom w:w="96" w:type="dxa"/>
              <w:right w:w="71" w:type="dxa"/>
            </w:tcMar>
          </w:tcPr>
          <w:p w14:paraId="53180F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4.0%</w:t>
            </w:r>
          </w:p>
        </w:tc>
        <w:tc>
          <w:tcPr>
            <w:tcW w:w="482" w:type="dxa"/>
            <w:shd w:val="solid" w:color="FFD1D1" w:fill="auto"/>
            <w:tcMar>
              <w:top w:w="96" w:type="dxa"/>
              <w:left w:w="57" w:type="dxa"/>
              <w:bottom w:w="96" w:type="dxa"/>
              <w:right w:w="71" w:type="dxa"/>
            </w:tcMar>
          </w:tcPr>
          <w:p w14:paraId="5D1C9B4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19.7%</w:t>
            </w:r>
          </w:p>
        </w:tc>
        <w:tc>
          <w:tcPr>
            <w:tcW w:w="482" w:type="dxa"/>
            <w:shd w:val="solid" w:color="FFD1D1" w:fill="auto"/>
            <w:tcMar>
              <w:top w:w="96" w:type="dxa"/>
              <w:left w:w="57" w:type="dxa"/>
              <w:bottom w:w="96" w:type="dxa"/>
              <w:right w:w="71" w:type="dxa"/>
            </w:tcMar>
          </w:tcPr>
          <w:p w14:paraId="2D7D11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90.0%</w:t>
            </w:r>
          </w:p>
        </w:tc>
        <w:tc>
          <w:tcPr>
            <w:tcW w:w="482" w:type="dxa"/>
            <w:tcMar>
              <w:top w:w="96" w:type="dxa"/>
              <w:left w:w="57" w:type="dxa"/>
              <w:bottom w:w="96" w:type="dxa"/>
              <w:right w:w="71" w:type="dxa"/>
            </w:tcMar>
          </w:tcPr>
          <w:p w14:paraId="3224F6C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28.7%</w:t>
            </w:r>
          </w:p>
        </w:tc>
        <w:tc>
          <w:tcPr>
            <w:tcW w:w="482" w:type="dxa"/>
            <w:shd w:val="solid" w:color="FFD1D1" w:fill="auto"/>
            <w:tcMar>
              <w:top w:w="96" w:type="dxa"/>
              <w:left w:w="57" w:type="dxa"/>
              <w:bottom w:w="96" w:type="dxa"/>
              <w:right w:w="71" w:type="dxa"/>
            </w:tcMar>
          </w:tcPr>
          <w:p w14:paraId="4F1D0A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67.7%</w:t>
            </w:r>
          </w:p>
        </w:tc>
        <w:tc>
          <w:tcPr>
            <w:tcW w:w="482" w:type="dxa"/>
            <w:tcMar>
              <w:top w:w="96" w:type="dxa"/>
              <w:left w:w="57" w:type="dxa"/>
              <w:bottom w:w="96" w:type="dxa"/>
              <w:right w:w="71" w:type="dxa"/>
            </w:tcMar>
          </w:tcPr>
          <w:p w14:paraId="282A117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82.0%</w:t>
            </w:r>
          </w:p>
        </w:tc>
        <w:tc>
          <w:tcPr>
            <w:tcW w:w="482" w:type="dxa"/>
            <w:shd w:val="solid" w:color="FFD1D1" w:fill="auto"/>
            <w:tcMar>
              <w:top w:w="96" w:type="dxa"/>
              <w:left w:w="57" w:type="dxa"/>
              <w:bottom w:w="96" w:type="dxa"/>
              <w:right w:w="71" w:type="dxa"/>
            </w:tcMar>
          </w:tcPr>
          <w:p w14:paraId="70ED11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tcMar>
              <w:top w:w="96" w:type="dxa"/>
              <w:left w:w="57" w:type="dxa"/>
              <w:bottom w:w="96" w:type="dxa"/>
              <w:right w:w="71" w:type="dxa"/>
            </w:tcMar>
          </w:tcPr>
          <w:p w14:paraId="51C214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57.5%</w:t>
            </w:r>
          </w:p>
        </w:tc>
        <w:tc>
          <w:tcPr>
            <w:tcW w:w="482" w:type="dxa"/>
            <w:tcMar>
              <w:top w:w="96" w:type="dxa"/>
              <w:left w:w="57" w:type="dxa"/>
              <w:bottom w:w="96" w:type="dxa"/>
              <w:right w:w="71" w:type="dxa"/>
            </w:tcMar>
          </w:tcPr>
          <w:p w14:paraId="1D8B235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85.8%</w:t>
            </w:r>
          </w:p>
        </w:tc>
        <w:tc>
          <w:tcPr>
            <w:tcW w:w="482" w:type="dxa"/>
            <w:shd w:val="solid" w:color="FFD1D1" w:fill="auto"/>
            <w:tcMar>
              <w:top w:w="96" w:type="dxa"/>
              <w:left w:w="57" w:type="dxa"/>
              <w:bottom w:w="96" w:type="dxa"/>
              <w:right w:w="71" w:type="dxa"/>
            </w:tcMar>
          </w:tcPr>
          <w:p w14:paraId="7DD6680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89.7%</w:t>
            </w:r>
          </w:p>
        </w:tc>
        <w:tc>
          <w:tcPr>
            <w:tcW w:w="482" w:type="dxa"/>
            <w:shd w:val="solid" w:color="FFD1D1" w:fill="auto"/>
            <w:tcMar>
              <w:top w:w="96" w:type="dxa"/>
              <w:left w:w="57" w:type="dxa"/>
              <w:bottom w:w="96" w:type="dxa"/>
              <w:right w:w="71" w:type="dxa"/>
            </w:tcMar>
          </w:tcPr>
          <w:p w14:paraId="256309E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66.3%</w:t>
            </w:r>
          </w:p>
        </w:tc>
        <w:tc>
          <w:tcPr>
            <w:tcW w:w="482" w:type="dxa"/>
            <w:tcMar>
              <w:top w:w="96" w:type="dxa"/>
              <w:left w:w="57" w:type="dxa"/>
              <w:bottom w:w="96" w:type="dxa"/>
              <w:right w:w="71" w:type="dxa"/>
            </w:tcMar>
          </w:tcPr>
          <w:p w14:paraId="637F9F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w:t>
            </w:r>
          </w:p>
        </w:tc>
        <w:tc>
          <w:tcPr>
            <w:tcW w:w="340" w:type="dxa"/>
            <w:tcMar>
              <w:top w:w="96" w:type="dxa"/>
              <w:left w:w="57" w:type="dxa"/>
              <w:bottom w:w="96" w:type="dxa"/>
              <w:right w:w="71" w:type="dxa"/>
            </w:tcMar>
          </w:tcPr>
          <w:p w14:paraId="3218229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340" w:type="dxa"/>
            <w:tcMar>
              <w:top w:w="96" w:type="dxa"/>
              <w:left w:w="57" w:type="dxa"/>
              <w:bottom w:w="96" w:type="dxa"/>
              <w:right w:w="71" w:type="dxa"/>
            </w:tcMar>
          </w:tcPr>
          <w:p w14:paraId="62F3A9D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r>
      <w:tr w:rsidR="00D6403A" w:rsidRPr="0004279D" w14:paraId="1E83FEF2" w14:textId="77777777" w:rsidTr="001726E8">
        <w:trPr>
          <w:trHeight w:val="283"/>
        </w:trPr>
        <w:tc>
          <w:tcPr>
            <w:tcW w:w="1417" w:type="dxa"/>
            <w:tcMar>
              <w:top w:w="96" w:type="dxa"/>
              <w:left w:w="113" w:type="dxa"/>
              <w:bottom w:w="96" w:type="dxa"/>
              <w:right w:w="0" w:type="dxa"/>
            </w:tcMar>
          </w:tcPr>
          <w:p w14:paraId="50C75D2C"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Werribee Mercy Hospital</w:t>
            </w:r>
          </w:p>
        </w:tc>
        <w:tc>
          <w:tcPr>
            <w:tcW w:w="340" w:type="dxa"/>
            <w:tcMar>
              <w:top w:w="96" w:type="dxa"/>
              <w:left w:w="57" w:type="dxa"/>
              <w:bottom w:w="96" w:type="dxa"/>
              <w:right w:w="71" w:type="dxa"/>
            </w:tcMar>
          </w:tcPr>
          <w:p w14:paraId="0B4E3F1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53D75AF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3,836</w:t>
            </w:r>
          </w:p>
        </w:tc>
        <w:tc>
          <w:tcPr>
            <w:tcW w:w="482" w:type="dxa"/>
            <w:shd w:val="solid" w:color="CBFFC6" w:fill="auto"/>
            <w:tcMar>
              <w:top w:w="96" w:type="dxa"/>
              <w:left w:w="57" w:type="dxa"/>
              <w:bottom w:w="96" w:type="dxa"/>
              <w:right w:w="71" w:type="dxa"/>
            </w:tcMar>
          </w:tcPr>
          <w:p w14:paraId="07C9175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w:t>
            </w:r>
          </w:p>
        </w:tc>
        <w:tc>
          <w:tcPr>
            <w:tcW w:w="482" w:type="dxa"/>
            <w:tcMar>
              <w:top w:w="96" w:type="dxa"/>
              <w:left w:w="57" w:type="dxa"/>
              <w:bottom w:w="96" w:type="dxa"/>
              <w:right w:w="71" w:type="dxa"/>
            </w:tcMar>
          </w:tcPr>
          <w:p w14:paraId="489015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25.0%</w:t>
            </w:r>
          </w:p>
        </w:tc>
        <w:tc>
          <w:tcPr>
            <w:tcW w:w="482" w:type="dxa"/>
            <w:shd w:val="solid" w:color="FFD1D1" w:fill="auto"/>
            <w:tcMar>
              <w:top w:w="96" w:type="dxa"/>
              <w:left w:w="57" w:type="dxa"/>
              <w:bottom w:w="96" w:type="dxa"/>
              <w:right w:w="71" w:type="dxa"/>
            </w:tcMar>
          </w:tcPr>
          <w:p w14:paraId="5A8D2DF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41.7%</w:t>
            </w:r>
          </w:p>
        </w:tc>
        <w:tc>
          <w:tcPr>
            <w:tcW w:w="482" w:type="dxa"/>
            <w:shd w:val="solid" w:color="FFD1D1" w:fill="auto"/>
            <w:tcMar>
              <w:top w:w="96" w:type="dxa"/>
              <w:left w:w="57" w:type="dxa"/>
              <w:bottom w:w="96" w:type="dxa"/>
              <w:right w:w="71" w:type="dxa"/>
            </w:tcMar>
          </w:tcPr>
          <w:p w14:paraId="752A440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w:t>
            </w:r>
          </w:p>
        </w:tc>
        <w:tc>
          <w:tcPr>
            <w:tcW w:w="482" w:type="dxa"/>
            <w:tcMar>
              <w:top w:w="96" w:type="dxa"/>
              <w:left w:w="57" w:type="dxa"/>
              <w:bottom w:w="96" w:type="dxa"/>
              <w:right w:w="71" w:type="dxa"/>
            </w:tcMar>
          </w:tcPr>
          <w:p w14:paraId="717FFF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w:t>
            </w:r>
          </w:p>
        </w:tc>
        <w:tc>
          <w:tcPr>
            <w:tcW w:w="482" w:type="dxa"/>
            <w:tcMar>
              <w:top w:w="96" w:type="dxa"/>
              <w:left w:w="57" w:type="dxa"/>
              <w:bottom w:w="96" w:type="dxa"/>
              <w:right w:w="71" w:type="dxa"/>
            </w:tcMar>
          </w:tcPr>
          <w:p w14:paraId="567F9E7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30.7%</w:t>
            </w:r>
          </w:p>
        </w:tc>
        <w:tc>
          <w:tcPr>
            <w:tcW w:w="482" w:type="dxa"/>
            <w:tcMar>
              <w:top w:w="96" w:type="dxa"/>
              <w:left w:w="57" w:type="dxa"/>
              <w:bottom w:w="96" w:type="dxa"/>
              <w:right w:w="71" w:type="dxa"/>
            </w:tcMar>
          </w:tcPr>
          <w:p w14:paraId="78EFB5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91.3%</w:t>
            </w:r>
          </w:p>
        </w:tc>
        <w:tc>
          <w:tcPr>
            <w:tcW w:w="482" w:type="dxa"/>
            <w:tcMar>
              <w:top w:w="96" w:type="dxa"/>
              <w:left w:w="57" w:type="dxa"/>
              <w:bottom w:w="96" w:type="dxa"/>
              <w:right w:w="71" w:type="dxa"/>
            </w:tcMar>
          </w:tcPr>
          <w:p w14:paraId="1F0F90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w:t>
            </w:r>
          </w:p>
        </w:tc>
        <w:tc>
          <w:tcPr>
            <w:tcW w:w="482" w:type="dxa"/>
            <w:tcMar>
              <w:top w:w="96" w:type="dxa"/>
              <w:left w:w="57" w:type="dxa"/>
              <w:bottom w:w="96" w:type="dxa"/>
              <w:right w:w="71" w:type="dxa"/>
            </w:tcMar>
          </w:tcPr>
          <w:p w14:paraId="3325902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20.8%</w:t>
            </w:r>
          </w:p>
        </w:tc>
        <w:tc>
          <w:tcPr>
            <w:tcW w:w="482" w:type="dxa"/>
            <w:shd w:val="solid" w:color="CBFFC6" w:fill="auto"/>
            <w:tcMar>
              <w:top w:w="96" w:type="dxa"/>
              <w:left w:w="57" w:type="dxa"/>
              <w:bottom w:w="96" w:type="dxa"/>
              <w:right w:w="71" w:type="dxa"/>
            </w:tcMar>
          </w:tcPr>
          <w:p w14:paraId="4318E69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10.1%</w:t>
            </w:r>
          </w:p>
        </w:tc>
        <w:tc>
          <w:tcPr>
            <w:tcW w:w="482" w:type="dxa"/>
            <w:shd w:val="solid" w:color="CBFFC6" w:fill="auto"/>
            <w:tcMar>
              <w:top w:w="96" w:type="dxa"/>
              <w:left w:w="57" w:type="dxa"/>
              <w:bottom w:w="96" w:type="dxa"/>
              <w:right w:w="71" w:type="dxa"/>
            </w:tcMar>
          </w:tcPr>
          <w:p w14:paraId="2D53ED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33.4%</w:t>
            </w:r>
          </w:p>
        </w:tc>
        <w:tc>
          <w:tcPr>
            <w:tcW w:w="482" w:type="dxa"/>
            <w:shd w:val="solid" w:color="FFD1D1" w:fill="auto"/>
            <w:tcMar>
              <w:top w:w="96" w:type="dxa"/>
              <w:left w:w="57" w:type="dxa"/>
              <w:bottom w:w="96" w:type="dxa"/>
              <w:right w:w="71" w:type="dxa"/>
            </w:tcMar>
          </w:tcPr>
          <w:p w14:paraId="07D79AD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49.1%</w:t>
            </w:r>
          </w:p>
        </w:tc>
        <w:tc>
          <w:tcPr>
            <w:tcW w:w="482" w:type="dxa"/>
            <w:tcMar>
              <w:top w:w="96" w:type="dxa"/>
              <w:left w:w="57" w:type="dxa"/>
              <w:bottom w:w="96" w:type="dxa"/>
              <w:right w:w="71" w:type="dxa"/>
            </w:tcMar>
          </w:tcPr>
          <w:p w14:paraId="755CB0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tcMar>
              <w:top w:w="96" w:type="dxa"/>
              <w:left w:w="57" w:type="dxa"/>
              <w:bottom w:w="96" w:type="dxa"/>
              <w:right w:w="71" w:type="dxa"/>
            </w:tcMar>
          </w:tcPr>
          <w:p w14:paraId="7FE383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shd w:val="solid" w:color="FFD1D1" w:fill="auto"/>
            <w:tcMar>
              <w:top w:w="96" w:type="dxa"/>
              <w:left w:w="57" w:type="dxa"/>
              <w:bottom w:w="96" w:type="dxa"/>
              <w:right w:w="71" w:type="dxa"/>
            </w:tcMar>
          </w:tcPr>
          <w:p w14:paraId="562AAC8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w:t>
            </w:r>
          </w:p>
        </w:tc>
        <w:tc>
          <w:tcPr>
            <w:tcW w:w="482" w:type="dxa"/>
            <w:tcMar>
              <w:top w:w="96" w:type="dxa"/>
              <w:left w:w="57" w:type="dxa"/>
              <w:bottom w:w="96" w:type="dxa"/>
              <w:right w:w="71" w:type="dxa"/>
            </w:tcMar>
          </w:tcPr>
          <w:p w14:paraId="3E2AB18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24.3%</w:t>
            </w:r>
          </w:p>
        </w:tc>
        <w:tc>
          <w:tcPr>
            <w:tcW w:w="482" w:type="dxa"/>
            <w:tcMar>
              <w:top w:w="96" w:type="dxa"/>
              <w:left w:w="57" w:type="dxa"/>
              <w:bottom w:w="96" w:type="dxa"/>
              <w:right w:w="71" w:type="dxa"/>
            </w:tcMar>
          </w:tcPr>
          <w:p w14:paraId="06E88D9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96.2%</w:t>
            </w:r>
          </w:p>
        </w:tc>
        <w:tc>
          <w:tcPr>
            <w:tcW w:w="482" w:type="dxa"/>
            <w:tcMar>
              <w:top w:w="96" w:type="dxa"/>
              <w:left w:w="57" w:type="dxa"/>
              <w:bottom w:w="96" w:type="dxa"/>
              <w:right w:w="71" w:type="dxa"/>
            </w:tcMar>
          </w:tcPr>
          <w:p w14:paraId="228D7B2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33.2%</w:t>
            </w:r>
          </w:p>
        </w:tc>
        <w:tc>
          <w:tcPr>
            <w:tcW w:w="482" w:type="dxa"/>
            <w:tcMar>
              <w:top w:w="96" w:type="dxa"/>
              <w:left w:w="57" w:type="dxa"/>
              <w:bottom w:w="96" w:type="dxa"/>
              <w:right w:w="71" w:type="dxa"/>
            </w:tcMar>
          </w:tcPr>
          <w:p w14:paraId="28BA6D1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72.8%</w:t>
            </w:r>
          </w:p>
        </w:tc>
        <w:tc>
          <w:tcPr>
            <w:tcW w:w="482" w:type="dxa"/>
            <w:shd w:val="solid" w:color="FFD1D1" w:fill="auto"/>
            <w:tcMar>
              <w:top w:w="96" w:type="dxa"/>
              <w:left w:w="57" w:type="dxa"/>
              <w:bottom w:w="96" w:type="dxa"/>
              <w:right w:w="71" w:type="dxa"/>
            </w:tcMar>
          </w:tcPr>
          <w:p w14:paraId="12F7269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55.1%</w:t>
            </w:r>
          </w:p>
        </w:tc>
        <w:tc>
          <w:tcPr>
            <w:tcW w:w="482" w:type="dxa"/>
            <w:tcMar>
              <w:top w:w="96" w:type="dxa"/>
              <w:left w:w="57" w:type="dxa"/>
              <w:bottom w:w="96" w:type="dxa"/>
              <w:right w:w="71" w:type="dxa"/>
            </w:tcMar>
          </w:tcPr>
          <w:p w14:paraId="2E8FC9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5D3F214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68.4%</w:t>
            </w:r>
          </w:p>
        </w:tc>
        <w:tc>
          <w:tcPr>
            <w:tcW w:w="482" w:type="dxa"/>
            <w:shd w:val="solid" w:color="CBFFC6" w:fill="auto"/>
            <w:tcMar>
              <w:top w:w="96" w:type="dxa"/>
              <w:left w:w="57" w:type="dxa"/>
              <w:bottom w:w="96" w:type="dxa"/>
              <w:right w:w="71" w:type="dxa"/>
            </w:tcMar>
          </w:tcPr>
          <w:p w14:paraId="59ECC1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80.3%</w:t>
            </w:r>
          </w:p>
        </w:tc>
        <w:tc>
          <w:tcPr>
            <w:tcW w:w="482" w:type="dxa"/>
            <w:shd w:val="solid" w:color="FFD1D1" w:fill="auto"/>
            <w:tcMar>
              <w:top w:w="96" w:type="dxa"/>
              <w:left w:w="57" w:type="dxa"/>
              <w:bottom w:w="96" w:type="dxa"/>
              <w:right w:w="71" w:type="dxa"/>
            </w:tcMar>
          </w:tcPr>
          <w:p w14:paraId="6AD14FC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87.6%</w:t>
            </w:r>
          </w:p>
        </w:tc>
        <w:tc>
          <w:tcPr>
            <w:tcW w:w="482" w:type="dxa"/>
            <w:shd w:val="solid" w:color="FFD1D1" w:fill="auto"/>
            <w:tcMar>
              <w:top w:w="96" w:type="dxa"/>
              <w:left w:w="57" w:type="dxa"/>
              <w:bottom w:w="96" w:type="dxa"/>
              <w:right w:w="71" w:type="dxa"/>
            </w:tcMar>
          </w:tcPr>
          <w:p w14:paraId="7AEEFA4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63.4%</w:t>
            </w:r>
          </w:p>
        </w:tc>
        <w:tc>
          <w:tcPr>
            <w:tcW w:w="482" w:type="dxa"/>
            <w:tcMar>
              <w:top w:w="96" w:type="dxa"/>
              <w:left w:w="57" w:type="dxa"/>
              <w:bottom w:w="96" w:type="dxa"/>
              <w:right w:w="71" w:type="dxa"/>
            </w:tcMar>
          </w:tcPr>
          <w:p w14:paraId="3D05815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w:t>
            </w:r>
          </w:p>
        </w:tc>
        <w:tc>
          <w:tcPr>
            <w:tcW w:w="340" w:type="dxa"/>
            <w:tcMar>
              <w:top w:w="96" w:type="dxa"/>
              <w:left w:w="57" w:type="dxa"/>
              <w:bottom w:w="96" w:type="dxa"/>
              <w:right w:w="71" w:type="dxa"/>
            </w:tcMar>
          </w:tcPr>
          <w:p w14:paraId="173FBBF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340" w:type="dxa"/>
            <w:tcMar>
              <w:top w:w="96" w:type="dxa"/>
              <w:left w:w="57" w:type="dxa"/>
              <w:bottom w:w="96" w:type="dxa"/>
              <w:right w:w="71" w:type="dxa"/>
            </w:tcMar>
          </w:tcPr>
          <w:p w14:paraId="031A2ED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0052578C" w14:textId="77777777" w:rsidTr="001726E8">
        <w:trPr>
          <w:trHeight w:val="283"/>
        </w:trPr>
        <w:tc>
          <w:tcPr>
            <w:tcW w:w="1417" w:type="dxa"/>
            <w:tcMar>
              <w:top w:w="96" w:type="dxa"/>
              <w:left w:w="113" w:type="dxa"/>
              <w:bottom w:w="96" w:type="dxa"/>
              <w:right w:w="0" w:type="dxa"/>
            </w:tcMar>
          </w:tcPr>
          <w:p w14:paraId="48D841AA"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Casey Hospital</w:t>
            </w:r>
          </w:p>
        </w:tc>
        <w:tc>
          <w:tcPr>
            <w:tcW w:w="340" w:type="dxa"/>
            <w:tcMar>
              <w:top w:w="96" w:type="dxa"/>
              <w:left w:w="57" w:type="dxa"/>
              <w:bottom w:w="96" w:type="dxa"/>
              <w:right w:w="71" w:type="dxa"/>
            </w:tcMar>
          </w:tcPr>
          <w:p w14:paraId="2B5BE6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7FABA0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2,566</w:t>
            </w:r>
          </w:p>
        </w:tc>
        <w:tc>
          <w:tcPr>
            <w:tcW w:w="482" w:type="dxa"/>
            <w:shd w:val="solid" w:color="CBFFC6" w:fill="auto"/>
            <w:tcMar>
              <w:top w:w="96" w:type="dxa"/>
              <w:left w:w="57" w:type="dxa"/>
              <w:bottom w:w="96" w:type="dxa"/>
              <w:right w:w="71" w:type="dxa"/>
            </w:tcMar>
          </w:tcPr>
          <w:p w14:paraId="7637668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w:t>
            </w:r>
          </w:p>
        </w:tc>
        <w:tc>
          <w:tcPr>
            <w:tcW w:w="482" w:type="dxa"/>
            <w:shd w:val="solid" w:color="CBFFC6" w:fill="auto"/>
            <w:tcMar>
              <w:top w:w="96" w:type="dxa"/>
              <w:left w:w="57" w:type="dxa"/>
              <w:bottom w:w="96" w:type="dxa"/>
              <w:right w:w="71" w:type="dxa"/>
            </w:tcMar>
          </w:tcPr>
          <w:p w14:paraId="4665CB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14.3%</w:t>
            </w:r>
          </w:p>
        </w:tc>
        <w:tc>
          <w:tcPr>
            <w:tcW w:w="482" w:type="dxa"/>
            <w:tcMar>
              <w:top w:w="96" w:type="dxa"/>
              <w:left w:w="57" w:type="dxa"/>
              <w:bottom w:w="96" w:type="dxa"/>
              <w:right w:w="71" w:type="dxa"/>
            </w:tcMar>
          </w:tcPr>
          <w:p w14:paraId="4A41669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36.1%</w:t>
            </w:r>
          </w:p>
        </w:tc>
        <w:tc>
          <w:tcPr>
            <w:tcW w:w="482" w:type="dxa"/>
            <w:tcMar>
              <w:top w:w="96" w:type="dxa"/>
              <w:left w:w="57" w:type="dxa"/>
              <w:bottom w:w="96" w:type="dxa"/>
              <w:right w:w="71" w:type="dxa"/>
            </w:tcMar>
          </w:tcPr>
          <w:p w14:paraId="4A0A2BF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w:t>
            </w:r>
          </w:p>
        </w:tc>
        <w:tc>
          <w:tcPr>
            <w:tcW w:w="482" w:type="dxa"/>
            <w:shd w:val="solid" w:color="FFD1D1" w:fill="auto"/>
            <w:tcMar>
              <w:top w:w="96" w:type="dxa"/>
              <w:left w:w="57" w:type="dxa"/>
              <w:bottom w:w="96" w:type="dxa"/>
              <w:right w:w="71" w:type="dxa"/>
            </w:tcMar>
          </w:tcPr>
          <w:p w14:paraId="03456C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w:t>
            </w:r>
          </w:p>
        </w:tc>
        <w:tc>
          <w:tcPr>
            <w:tcW w:w="482" w:type="dxa"/>
            <w:tcMar>
              <w:top w:w="96" w:type="dxa"/>
              <w:left w:w="57" w:type="dxa"/>
              <w:bottom w:w="96" w:type="dxa"/>
              <w:right w:w="71" w:type="dxa"/>
            </w:tcMar>
          </w:tcPr>
          <w:p w14:paraId="19619A6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23.0%</w:t>
            </w:r>
          </w:p>
        </w:tc>
        <w:tc>
          <w:tcPr>
            <w:tcW w:w="482" w:type="dxa"/>
            <w:shd w:val="solid" w:color="CBFFC6" w:fill="auto"/>
            <w:tcMar>
              <w:top w:w="96" w:type="dxa"/>
              <w:left w:w="57" w:type="dxa"/>
              <w:bottom w:w="96" w:type="dxa"/>
              <w:right w:w="71" w:type="dxa"/>
            </w:tcMar>
          </w:tcPr>
          <w:p w14:paraId="506CA0E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93.4%</w:t>
            </w:r>
          </w:p>
        </w:tc>
        <w:tc>
          <w:tcPr>
            <w:tcW w:w="482" w:type="dxa"/>
            <w:shd w:val="solid" w:color="CBFFC6" w:fill="auto"/>
            <w:tcMar>
              <w:top w:w="96" w:type="dxa"/>
              <w:left w:w="57" w:type="dxa"/>
              <w:bottom w:w="96" w:type="dxa"/>
              <w:right w:w="71" w:type="dxa"/>
            </w:tcMar>
          </w:tcPr>
          <w:p w14:paraId="7265C60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w:t>
            </w:r>
          </w:p>
        </w:tc>
        <w:tc>
          <w:tcPr>
            <w:tcW w:w="482" w:type="dxa"/>
            <w:tcMar>
              <w:top w:w="96" w:type="dxa"/>
              <w:left w:w="57" w:type="dxa"/>
              <w:bottom w:w="96" w:type="dxa"/>
              <w:right w:w="71" w:type="dxa"/>
            </w:tcMar>
          </w:tcPr>
          <w:p w14:paraId="456C2F3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22.9%</w:t>
            </w:r>
          </w:p>
        </w:tc>
        <w:tc>
          <w:tcPr>
            <w:tcW w:w="482" w:type="dxa"/>
            <w:tcMar>
              <w:top w:w="96" w:type="dxa"/>
              <w:left w:w="57" w:type="dxa"/>
              <w:bottom w:w="96" w:type="dxa"/>
              <w:right w:w="71" w:type="dxa"/>
            </w:tcMar>
          </w:tcPr>
          <w:p w14:paraId="625C8E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20.9%</w:t>
            </w:r>
          </w:p>
        </w:tc>
        <w:tc>
          <w:tcPr>
            <w:tcW w:w="482" w:type="dxa"/>
            <w:tcMar>
              <w:top w:w="96" w:type="dxa"/>
              <w:left w:w="57" w:type="dxa"/>
              <w:bottom w:w="96" w:type="dxa"/>
              <w:right w:w="71" w:type="dxa"/>
            </w:tcMar>
          </w:tcPr>
          <w:p w14:paraId="13D85F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26.1%</w:t>
            </w:r>
          </w:p>
        </w:tc>
        <w:tc>
          <w:tcPr>
            <w:tcW w:w="482" w:type="dxa"/>
            <w:tcMar>
              <w:top w:w="96" w:type="dxa"/>
              <w:left w:w="57" w:type="dxa"/>
              <w:bottom w:w="96" w:type="dxa"/>
              <w:right w:w="71" w:type="dxa"/>
            </w:tcMar>
          </w:tcPr>
          <w:p w14:paraId="6EDC2C1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52.5%</w:t>
            </w:r>
          </w:p>
        </w:tc>
        <w:tc>
          <w:tcPr>
            <w:tcW w:w="482" w:type="dxa"/>
            <w:tcMar>
              <w:top w:w="96" w:type="dxa"/>
              <w:left w:w="57" w:type="dxa"/>
              <w:bottom w:w="96" w:type="dxa"/>
              <w:right w:w="71" w:type="dxa"/>
            </w:tcMar>
          </w:tcPr>
          <w:p w14:paraId="0F956FC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w:t>
            </w:r>
          </w:p>
        </w:tc>
        <w:tc>
          <w:tcPr>
            <w:tcW w:w="482" w:type="dxa"/>
            <w:tcMar>
              <w:top w:w="96" w:type="dxa"/>
              <w:left w:w="57" w:type="dxa"/>
              <w:bottom w:w="96" w:type="dxa"/>
              <w:right w:w="71" w:type="dxa"/>
            </w:tcMar>
          </w:tcPr>
          <w:p w14:paraId="72EE59A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w:t>
            </w:r>
          </w:p>
        </w:tc>
        <w:tc>
          <w:tcPr>
            <w:tcW w:w="482" w:type="dxa"/>
            <w:tcMar>
              <w:top w:w="96" w:type="dxa"/>
              <w:left w:w="57" w:type="dxa"/>
              <w:bottom w:w="96" w:type="dxa"/>
              <w:right w:w="71" w:type="dxa"/>
            </w:tcMar>
          </w:tcPr>
          <w:p w14:paraId="3CF1F0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w:t>
            </w:r>
          </w:p>
        </w:tc>
        <w:tc>
          <w:tcPr>
            <w:tcW w:w="482" w:type="dxa"/>
            <w:shd w:val="solid" w:color="CBFFC6" w:fill="auto"/>
            <w:tcMar>
              <w:top w:w="96" w:type="dxa"/>
              <w:left w:w="57" w:type="dxa"/>
              <w:bottom w:w="96" w:type="dxa"/>
              <w:right w:w="71" w:type="dxa"/>
            </w:tcMar>
          </w:tcPr>
          <w:p w14:paraId="28AFA4A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44.1%</w:t>
            </w:r>
          </w:p>
        </w:tc>
        <w:tc>
          <w:tcPr>
            <w:tcW w:w="482" w:type="dxa"/>
            <w:tcMar>
              <w:top w:w="96" w:type="dxa"/>
              <w:left w:w="57" w:type="dxa"/>
              <w:bottom w:w="96" w:type="dxa"/>
              <w:right w:w="71" w:type="dxa"/>
            </w:tcMar>
          </w:tcPr>
          <w:p w14:paraId="754BFBF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96.5%</w:t>
            </w:r>
          </w:p>
        </w:tc>
        <w:tc>
          <w:tcPr>
            <w:tcW w:w="482" w:type="dxa"/>
            <w:tcMar>
              <w:top w:w="96" w:type="dxa"/>
              <w:left w:w="57" w:type="dxa"/>
              <w:bottom w:w="96" w:type="dxa"/>
              <w:right w:w="71" w:type="dxa"/>
            </w:tcMar>
          </w:tcPr>
          <w:p w14:paraId="7F0D60F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20.4%</w:t>
            </w:r>
          </w:p>
        </w:tc>
        <w:tc>
          <w:tcPr>
            <w:tcW w:w="482" w:type="dxa"/>
            <w:tcMar>
              <w:top w:w="96" w:type="dxa"/>
              <w:left w:w="57" w:type="dxa"/>
              <w:bottom w:w="96" w:type="dxa"/>
              <w:right w:w="71" w:type="dxa"/>
            </w:tcMar>
          </w:tcPr>
          <w:p w14:paraId="3F4E76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73.1%</w:t>
            </w:r>
          </w:p>
        </w:tc>
        <w:tc>
          <w:tcPr>
            <w:tcW w:w="482" w:type="dxa"/>
            <w:shd w:val="solid" w:color="CBFFC6" w:fill="auto"/>
            <w:tcMar>
              <w:top w:w="96" w:type="dxa"/>
              <w:left w:w="57" w:type="dxa"/>
              <w:bottom w:w="96" w:type="dxa"/>
              <w:right w:w="71" w:type="dxa"/>
            </w:tcMar>
          </w:tcPr>
          <w:p w14:paraId="4035DBD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91.0%</w:t>
            </w:r>
          </w:p>
        </w:tc>
        <w:tc>
          <w:tcPr>
            <w:tcW w:w="482" w:type="dxa"/>
            <w:shd w:val="solid" w:color="FFD1D1" w:fill="auto"/>
            <w:tcMar>
              <w:top w:w="96" w:type="dxa"/>
              <w:left w:w="57" w:type="dxa"/>
              <w:bottom w:w="96" w:type="dxa"/>
              <w:right w:w="71" w:type="dxa"/>
            </w:tcMar>
          </w:tcPr>
          <w:p w14:paraId="6D3F63E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w:t>
            </w:r>
          </w:p>
        </w:tc>
        <w:tc>
          <w:tcPr>
            <w:tcW w:w="482" w:type="dxa"/>
            <w:shd w:val="solid" w:color="FFD1D1" w:fill="auto"/>
            <w:tcMar>
              <w:top w:w="96" w:type="dxa"/>
              <w:left w:w="57" w:type="dxa"/>
              <w:bottom w:w="96" w:type="dxa"/>
              <w:right w:w="71" w:type="dxa"/>
            </w:tcMar>
          </w:tcPr>
          <w:p w14:paraId="33E77EF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77.7%</w:t>
            </w:r>
          </w:p>
        </w:tc>
        <w:tc>
          <w:tcPr>
            <w:tcW w:w="482" w:type="dxa"/>
            <w:tcMar>
              <w:top w:w="96" w:type="dxa"/>
              <w:left w:w="57" w:type="dxa"/>
              <w:bottom w:w="96" w:type="dxa"/>
              <w:right w:w="71" w:type="dxa"/>
            </w:tcMar>
          </w:tcPr>
          <w:p w14:paraId="52FF781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91.8%</w:t>
            </w:r>
          </w:p>
        </w:tc>
        <w:tc>
          <w:tcPr>
            <w:tcW w:w="482" w:type="dxa"/>
            <w:tcMar>
              <w:top w:w="96" w:type="dxa"/>
              <w:left w:w="57" w:type="dxa"/>
              <w:bottom w:w="96" w:type="dxa"/>
              <w:right w:w="71" w:type="dxa"/>
            </w:tcMar>
          </w:tcPr>
          <w:p w14:paraId="2DADFAF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93.6%</w:t>
            </w:r>
          </w:p>
        </w:tc>
        <w:tc>
          <w:tcPr>
            <w:tcW w:w="482" w:type="dxa"/>
            <w:tcMar>
              <w:top w:w="96" w:type="dxa"/>
              <w:left w:w="57" w:type="dxa"/>
              <w:bottom w:w="96" w:type="dxa"/>
              <w:right w:w="71" w:type="dxa"/>
            </w:tcMar>
          </w:tcPr>
          <w:p w14:paraId="0680D66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77.8%</w:t>
            </w:r>
          </w:p>
        </w:tc>
        <w:tc>
          <w:tcPr>
            <w:tcW w:w="482" w:type="dxa"/>
            <w:tcMar>
              <w:top w:w="96" w:type="dxa"/>
              <w:left w:w="57" w:type="dxa"/>
              <w:bottom w:w="96" w:type="dxa"/>
              <w:right w:w="71" w:type="dxa"/>
            </w:tcMar>
          </w:tcPr>
          <w:p w14:paraId="17AEFC8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w:t>
            </w:r>
          </w:p>
        </w:tc>
        <w:tc>
          <w:tcPr>
            <w:tcW w:w="340" w:type="dxa"/>
            <w:tcMar>
              <w:top w:w="96" w:type="dxa"/>
              <w:left w:w="57" w:type="dxa"/>
              <w:bottom w:w="96" w:type="dxa"/>
              <w:right w:w="71" w:type="dxa"/>
            </w:tcMar>
          </w:tcPr>
          <w:p w14:paraId="2F19795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7F51CDD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009FD5EA" w14:textId="77777777" w:rsidTr="001726E8">
        <w:trPr>
          <w:trHeight w:val="283"/>
        </w:trPr>
        <w:tc>
          <w:tcPr>
            <w:tcW w:w="1417" w:type="dxa"/>
            <w:tcMar>
              <w:top w:w="96" w:type="dxa"/>
              <w:left w:w="113" w:type="dxa"/>
              <w:bottom w:w="96" w:type="dxa"/>
              <w:right w:w="0" w:type="dxa"/>
            </w:tcMar>
          </w:tcPr>
          <w:p w14:paraId="71F55060"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Dandenong Hospital</w:t>
            </w:r>
          </w:p>
        </w:tc>
        <w:tc>
          <w:tcPr>
            <w:tcW w:w="340" w:type="dxa"/>
            <w:tcMar>
              <w:top w:w="96" w:type="dxa"/>
              <w:left w:w="57" w:type="dxa"/>
              <w:bottom w:w="96" w:type="dxa"/>
              <w:right w:w="71" w:type="dxa"/>
            </w:tcMar>
          </w:tcPr>
          <w:p w14:paraId="6B196DC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49948F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2,525</w:t>
            </w:r>
          </w:p>
        </w:tc>
        <w:tc>
          <w:tcPr>
            <w:tcW w:w="482" w:type="dxa"/>
            <w:shd w:val="solid" w:color="CBFFC6" w:fill="auto"/>
            <w:tcMar>
              <w:top w:w="96" w:type="dxa"/>
              <w:left w:w="57" w:type="dxa"/>
              <w:bottom w:w="96" w:type="dxa"/>
              <w:right w:w="71" w:type="dxa"/>
            </w:tcMar>
          </w:tcPr>
          <w:p w14:paraId="6352349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482" w:type="dxa"/>
            <w:tcMar>
              <w:top w:w="96" w:type="dxa"/>
              <w:left w:w="57" w:type="dxa"/>
              <w:bottom w:w="96" w:type="dxa"/>
              <w:right w:w="71" w:type="dxa"/>
            </w:tcMar>
          </w:tcPr>
          <w:p w14:paraId="63B827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19.5%</w:t>
            </w:r>
          </w:p>
        </w:tc>
        <w:tc>
          <w:tcPr>
            <w:tcW w:w="482" w:type="dxa"/>
            <w:tcMar>
              <w:top w:w="96" w:type="dxa"/>
              <w:left w:w="57" w:type="dxa"/>
              <w:bottom w:w="96" w:type="dxa"/>
              <w:right w:w="71" w:type="dxa"/>
            </w:tcMar>
          </w:tcPr>
          <w:p w14:paraId="2ACF23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31.0%</w:t>
            </w:r>
          </w:p>
        </w:tc>
        <w:tc>
          <w:tcPr>
            <w:tcW w:w="482" w:type="dxa"/>
            <w:shd w:val="solid" w:color="FFD1D1" w:fill="auto"/>
            <w:tcMar>
              <w:top w:w="96" w:type="dxa"/>
              <w:left w:w="57" w:type="dxa"/>
              <w:bottom w:w="96" w:type="dxa"/>
              <w:right w:w="71" w:type="dxa"/>
            </w:tcMar>
          </w:tcPr>
          <w:p w14:paraId="6797773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w:t>
            </w:r>
          </w:p>
        </w:tc>
        <w:tc>
          <w:tcPr>
            <w:tcW w:w="482" w:type="dxa"/>
            <w:shd w:val="solid" w:color="FFD1D1" w:fill="auto"/>
            <w:tcMar>
              <w:top w:w="96" w:type="dxa"/>
              <w:left w:w="57" w:type="dxa"/>
              <w:bottom w:w="96" w:type="dxa"/>
              <w:right w:w="71" w:type="dxa"/>
            </w:tcMar>
          </w:tcPr>
          <w:p w14:paraId="38C53FA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7.4%</w:t>
            </w:r>
          </w:p>
        </w:tc>
        <w:tc>
          <w:tcPr>
            <w:tcW w:w="482" w:type="dxa"/>
            <w:shd w:val="solid" w:color="FFD1D1" w:fill="auto"/>
            <w:tcMar>
              <w:top w:w="96" w:type="dxa"/>
              <w:left w:w="57" w:type="dxa"/>
              <w:bottom w:w="96" w:type="dxa"/>
              <w:right w:w="71" w:type="dxa"/>
            </w:tcMar>
          </w:tcPr>
          <w:p w14:paraId="0227351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32.0%</w:t>
            </w:r>
          </w:p>
        </w:tc>
        <w:tc>
          <w:tcPr>
            <w:tcW w:w="482" w:type="dxa"/>
            <w:shd w:val="solid" w:color="CBFFC6" w:fill="auto"/>
            <w:tcMar>
              <w:top w:w="96" w:type="dxa"/>
              <w:left w:w="57" w:type="dxa"/>
              <w:bottom w:w="96" w:type="dxa"/>
              <w:right w:w="71" w:type="dxa"/>
            </w:tcMar>
          </w:tcPr>
          <w:p w14:paraId="352BB9B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94.6%</w:t>
            </w:r>
          </w:p>
        </w:tc>
        <w:tc>
          <w:tcPr>
            <w:tcW w:w="482" w:type="dxa"/>
            <w:shd w:val="solid" w:color="CBFFC6" w:fill="auto"/>
            <w:tcMar>
              <w:top w:w="96" w:type="dxa"/>
              <w:left w:w="57" w:type="dxa"/>
              <w:bottom w:w="96" w:type="dxa"/>
              <w:right w:w="71" w:type="dxa"/>
            </w:tcMar>
          </w:tcPr>
          <w:p w14:paraId="6981B5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w:t>
            </w:r>
          </w:p>
        </w:tc>
        <w:tc>
          <w:tcPr>
            <w:tcW w:w="482" w:type="dxa"/>
            <w:shd w:val="solid" w:color="FFD1D1" w:fill="auto"/>
            <w:tcMar>
              <w:top w:w="96" w:type="dxa"/>
              <w:left w:w="57" w:type="dxa"/>
              <w:bottom w:w="96" w:type="dxa"/>
              <w:right w:w="71" w:type="dxa"/>
            </w:tcMar>
          </w:tcPr>
          <w:p w14:paraId="302822A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30.4%</w:t>
            </w:r>
          </w:p>
        </w:tc>
        <w:tc>
          <w:tcPr>
            <w:tcW w:w="482" w:type="dxa"/>
            <w:shd w:val="solid" w:color="FFD1D1" w:fill="auto"/>
            <w:tcMar>
              <w:top w:w="96" w:type="dxa"/>
              <w:left w:w="57" w:type="dxa"/>
              <w:bottom w:w="96" w:type="dxa"/>
              <w:right w:w="71" w:type="dxa"/>
            </w:tcMar>
          </w:tcPr>
          <w:p w14:paraId="0EC769A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27.3%</w:t>
            </w:r>
          </w:p>
        </w:tc>
        <w:tc>
          <w:tcPr>
            <w:tcW w:w="482" w:type="dxa"/>
            <w:tcMar>
              <w:top w:w="96" w:type="dxa"/>
              <w:left w:w="57" w:type="dxa"/>
              <w:bottom w:w="96" w:type="dxa"/>
              <w:right w:w="71" w:type="dxa"/>
            </w:tcMar>
          </w:tcPr>
          <w:p w14:paraId="132D93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25.5%</w:t>
            </w:r>
          </w:p>
        </w:tc>
        <w:tc>
          <w:tcPr>
            <w:tcW w:w="482" w:type="dxa"/>
            <w:tcMar>
              <w:top w:w="96" w:type="dxa"/>
              <w:left w:w="57" w:type="dxa"/>
              <w:bottom w:w="96" w:type="dxa"/>
              <w:right w:w="71" w:type="dxa"/>
            </w:tcMar>
          </w:tcPr>
          <w:p w14:paraId="568608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55.8%</w:t>
            </w:r>
          </w:p>
        </w:tc>
        <w:tc>
          <w:tcPr>
            <w:tcW w:w="482" w:type="dxa"/>
            <w:tcMar>
              <w:top w:w="96" w:type="dxa"/>
              <w:left w:w="57" w:type="dxa"/>
              <w:bottom w:w="96" w:type="dxa"/>
              <w:right w:w="71" w:type="dxa"/>
            </w:tcMar>
          </w:tcPr>
          <w:p w14:paraId="6F0384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w:t>
            </w:r>
          </w:p>
        </w:tc>
        <w:tc>
          <w:tcPr>
            <w:tcW w:w="482" w:type="dxa"/>
            <w:tcMar>
              <w:top w:w="96" w:type="dxa"/>
              <w:left w:w="57" w:type="dxa"/>
              <w:bottom w:w="96" w:type="dxa"/>
              <w:right w:w="71" w:type="dxa"/>
            </w:tcMar>
          </w:tcPr>
          <w:p w14:paraId="750037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482" w:type="dxa"/>
            <w:tcMar>
              <w:top w:w="96" w:type="dxa"/>
              <w:left w:w="57" w:type="dxa"/>
              <w:bottom w:w="96" w:type="dxa"/>
              <w:right w:w="71" w:type="dxa"/>
            </w:tcMar>
          </w:tcPr>
          <w:p w14:paraId="246906E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w:t>
            </w:r>
          </w:p>
        </w:tc>
        <w:tc>
          <w:tcPr>
            <w:tcW w:w="482" w:type="dxa"/>
            <w:shd w:val="solid" w:color="CBFFC6" w:fill="auto"/>
            <w:tcMar>
              <w:top w:w="96" w:type="dxa"/>
              <w:left w:w="57" w:type="dxa"/>
              <w:bottom w:w="96" w:type="dxa"/>
              <w:right w:w="71" w:type="dxa"/>
            </w:tcMar>
          </w:tcPr>
          <w:p w14:paraId="6C3A2F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44.4%</w:t>
            </w:r>
          </w:p>
        </w:tc>
        <w:tc>
          <w:tcPr>
            <w:tcW w:w="482" w:type="dxa"/>
            <w:shd w:val="solid" w:color="CBFFC6" w:fill="auto"/>
            <w:tcMar>
              <w:top w:w="96" w:type="dxa"/>
              <w:left w:w="57" w:type="dxa"/>
              <w:bottom w:w="96" w:type="dxa"/>
              <w:right w:w="71" w:type="dxa"/>
            </w:tcMar>
          </w:tcPr>
          <w:p w14:paraId="0F4960B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97.2%</w:t>
            </w:r>
          </w:p>
        </w:tc>
        <w:tc>
          <w:tcPr>
            <w:tcW w:w="482" w:type="dxa"/>
            <w:tcMar>
              <w:top w:w="96" w:type="dxa"/>
              <w:left w:w="57" w:type="dxa"/>
              <w:bottom w:w="96" w:type="dxa"/>
              <w:right w:w="71" w:type="dxa"/>
            </w:tcMar>
          </w:tcPr>
          <w:p w14:paraId="0D0FDC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20.2%</w:t>
            </w:r>
          </w:p>
        </w:tc>
        <w:tc>
          <w:tcPr>
            <w:tcW w:w="482" w:type="dxa"/>
            <w:tcMar>
              <w:top w:w="96" w:type="dxa"/>
              <w:left w:w="57" w:type="dxa"/>
              <w:bottom w:w="96" w:type="dxa"/>
              <w:right w:w="71" w:type="dxa"/>
            </w:tcMar>
          </w:tcPr>
          <w:p w14:paraId="3482E93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73.2%</w:t>
            </w:r>
          </w:p>
        </w:tc>
        <w:tc>
          <w:tcPr>
            <w:tcW w:w="482" w:type="dxa"/>
            <w:shd w:val="solid" w:color="CBFFC6" w:fill="auto"/>
            <w:tcMar>
              <w:top w:w="96" w:type="dxa"/>
              <w:left w:w="57" w:type="dxa"/>
              <w:bottom w:w="96" w:type="dxa"/>
              <w:right w:w="71" w:type="dxa"/>
            </w:tcMar>
          </w:tcPr>
          <w:p w14:paraId="1D3A81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96.0%</w:t>
            </w:r>
          </w:p>
        </w:tc>
        <w:tc>
          <w:tcPr>
            <w:tcW w:w="482" w:type="dxa"/>
            <w:tcMar>
              <w:top w:w="96" w:type="dxa"/>
              <w:left w:w="57" w:type="dxa"/>
              <w:bottom w:w="96" w:type="dxa"/>
              <w:right w:w="71" w:type="dxa"/>
            </w:tcMar>
          </w:tcPr>
          <w:p w14:paraId="687E82D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586F651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75.6%</w:t>
            </w:r>
          </w:p>
        </w:tc>
        <w:tc>
          <w:tcPr>
            <w:tcW w:w="482" w:type="dxa"/>
            <w:tcMar>
              <w:top w:w="96" w:type="dxa"/>
              <w:left w:w="57" w:type="dxa"/>
              <w:bottom w:w="96" w:type="dxa"/>
              <w:right w:w="71" w:type="dxa"/>
            </w:tcMar>
          </w:tcPr>
          <w:p w14:paraId="44856F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90.8%</w:t>
            </w:r>
          </w:p>
        </w:tc>
        <w:tc>
          <w:tcPr>
            <w:tcW w:w="482" w:type="dxa"/>
            <w:tcMar>
              <w:top w:w="96" w:type="dxa"/>
              <w:left w:w="57" w:type="dxa"/>
              <w:bottom w:w="96" w:type="dxa"/>
              <w:right w:w="71" w:type="dxa"/>
            </w:tcMar>
          </w:tcPr>
          <w:p w14:paraId="4E0DCD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93.9%</w:t>
            </w:r>
          </w:p>
        </w:tc>
        <w:tc>
          <w:tcPr>
            <w:tcW w:w="482" w:type="dxa"/>
            <w:tcMar>
              <w:top w:w="96" w:type="dxa"/>
              <w:left w:w="57" w:type="dxa"/>
              <w:bottom w:w="96" w:type="dxa"/>
              <w:right w:w="71" w:type="dxa"/>
            </w:tcMar>
          </w:tcPr>
          <w:p w14:paraId="0297401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82.9%</w:t>
            </w:r>
          </w:p>
        </w:tc>
        <w:tc>
          <w:tcPr>
            <w:tcW w:w="482" w:type="dxa"/>
            <w:tcMar>
              <w:top w:w="96" w:type="dxa"/>
              <w:left w:w="57" w:type="dxa"/>
              <w:bottom w:w="96" w:type="dxa"/>
              <w:right w:w="71" w:type="dxa"/>
            </w:tcMar>
          </w:tcPr>
          <w:p w14:paraId="7F832DB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w:t>
            </w:r>
          </w:p>
        </w:tc>
        <w:tc>
          <w:tcPr>
            <w:tcW w:w="340" w:type="dxa"/>
            <w:tcMar>
              <w:top w:w="96" w:type="dxa"/>
              <w:left w:w="57" w:type="dxa"/>
              <w:bottom w:w="96" w:type="dxa"/>
              <w:right w:w="71" w:type="dxa"/>
            </w:tcMar>
          </w:tcPr>
          <w:p w14:paraId="667E950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21276D7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r>
      <w:tr w:rsidR="00D6403A" w:rsidRPr="0004279D" w14:paraId="634EF03F" w14:textId="77777777" w:rsidTr="001726E8">
        <w:trPr>
          <w:trHeight w:val="283"/>
        </w:trPr>
        <w:tc>
          <w:tcPr>
            <w:tcW w:w="1417" w:type="dxa"/>
            <w:tcMar>
              <w:top w:w="96" w:type="dxa"/>
              <w:left w:w="113" w:type="dxa"/>
              <w:bottom w:w="96" w:type="dxa"/>
              <w:right w:w="0" w:type="dxa"/>
            </w:tcMar>
          </w:tcPr>
          <w:p w14:paraId="0EDE1766"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Angliss Hospital</w:t>
            </w:r>
          </w:p>
        </w:tc>
        <w:tc>
          <w:tcPr>
            <w:tcW w:w="340" w:type="dxa"/>
            <w:tcMar>
              <w:top w:w="96" w:type="dxa"/>
              <w:left w:w="57" w:type="dxa"/>
              <w:bottom w:w="96" w:type="dxa"/>
              <w:right w:w="71" w:type="dxa"/>
            </w:tcMar>
          </w:tcPr>
          <w:p w14:paraId="793470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6BBACF4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2,295</w:t>
            </w:r>
          </w:p>
        </w:tc>
        <w:tc>
          <w:tcPr>
            <w:tcW w:w="482" w:type="dxa"/>
            <w:shd w:val="solid" w:color="CBFFC6" w:fill="auto"/>
            <w:tcMar>
              <w:top w:w="96" w:type="dxa"/>
              <w:left w:w="57" w:type="dxa"/>
              <w:bottom w:w="96" w:type="dxa"/>
              <w:right w:w="71" w:type="dxa"/>
            </w:tcMar>
          </w:tcPr>
          <w:p w14:paraId="78AF2D2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w:t>
            </w:r>
          </w:p>
        </w:tc>
        <w:tc>
          <w:tcPr>
            <w:tcW w:w="482" w:type="dxa"/>
            <w:tcMar>
              <w:top w:w="96" w:type="dxa"/>
              <w:left w:w="57" w:type="dxa"/>
              <w:bottom w:w="96" w:type="dxa"/>
              <w:right w:w="71" w:type="dxa"/>
            </w:tcMar>
          </w:tcPr>
          <w:p w14:paraId="736471A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20.6%</w:t>
            </w:r>
          </w:p>
        </w:tc>
        <w:tc>
          <w:tcPr>
            <w:tcW w:w="482" w:type="dxa"/>
            <w:tcMar>
              <w:top w:w="96" w:type="dxa"/>
              <w:left w:w="57" w:type="dxa"/>
              <w:bottom w:w="96" w:type="dxa"/>
              <w:right w:w="71" w:type="dxa"/>
            </w:tcMar>
          </w:tcPr>
          <w:p w14:paraId="6F692C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33.2%</w:t>
            </w:r>
          </w:p>
        </w:tc>
        <w:tc>
          <w:tcPr>
            <w:tcW w:w="482" w:type="dxa"/>
            <w:shd w:val="solid" w:color="FFD1D1" w:fill="auto"/>
            <w:tcMar>
              <w:top w:w="96" w:type="dxa"/>
              <w:left w:w="57" w:type="dxa"/>
              <w:bottom w:w="96" w:type="dxa"/>
              <w:right w:w="71" w:type="dxa"/>
            </w:tcMar>
          </w:tcPr>
          <w:p w14:paraId="30D539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6.0%</w:t>
            </w:r>
          </w:p>
        </w:tc>
        <w:tc>
          <w:tcPr>
            <w:tcW w:w="482" w:type="dxa"/>
            <w:shd w:val="solid" w:color="FFD1D1" w:fill="auto"/>
            <w:tcMar>
              <w:top w:w="96" w:type="dxa"/>
              <w:left w:w="57" w:type="dxa"/>
              <w:bottom w:w="96" w:type="dxa"/>
              <w:right w:w="71" w:type="dxa"/>
            </w:tcMar>
          </w:tcPr>
          <w:p w14:paraId="7F0F82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7.0%</w:t>
            </w:r>
          </w:p>
        </w:tc>
        <w:tc>
          <w:tcPr>
            <w:tcW w:w="482" w:type="dxa"/>
            <w:tcMar>
              <w:top w:w="96" w:type="dxa"/>
              <w:left w:w="57" w:type="dxa"/>
              <w:bottom w:w="96" w:type="dxa"/>
              <w:right w:w="71" w:type="dxa"/>
            </w:tcMar>
          </w:tcPr>
          <w:p w14:paraId="110542D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24.9%</w:t>
            </w:r>
          </w:p>
        </w:tc>
        <w:tc>
          <w:tcPr>
            <w:tcW w:w="482" w:type="dxa"/>
            <w:shd w:val="solid" w:color="CBFFC6" w:fill="auto"/>
            <w:tcMar>
              <w:top w:w="96" w:type="dxa"/>
              <w:left w:w="57" w:type="dxa"/>
              <w:bottom w:w="96" w:type="dxa"/>
              <w:right w:w="71" w:type="dxa"/>
            </w:tcMar>
          </w:tcPr>
          <w:p w14:paraId="11E13D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93.0%</w:t>
            </w:r>
          </w:p>
        </w:tc>
        <w:tc>
          <w:tcPr>
            <w:tcW w:w="482" w:type="dxa"/>
            <w:tcMar>
              <w:top w:w="96" w:type="dxa"/>
              <w:left w:w="57" w:type="dxa"/>
              <w:bottom w:w="96" w:type="dxa"/>
              <w:right w:w="71" w:type="dxa"/>
            </w:tcMar>
          </w:tcPr>
          <w:p w14:paraId="08F3798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w:t>
            </w:r>
          </w:p>
        </w:tc>
        <w:tc>
          <w:tcPr>
            <w:tcW w:w="482" w:type="dxa"/>
            <w:shd w:val="solid" w:color="FFD1D1" w:fill="auto"/>
            <w:tcMar>
              <w:top w:w="96" w:type="dxa"/>
              <w:left w:w="57" w:type="dxa"/>
              <w:bottom w:w="96" w:type="dxa"/>
              <w:right w:w="71" w:type="dxa"/>
            </w:tcMar>
          </w:tcPr>
          <w:p w14:paraId="7F89F5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25.0%</w:t>
            </w:r>
          </w:p>
        </w:tc>
        <w:tc>
          <w:tcPr>
            <w:tcW w:w="482" w:type="dxa"/>
            <w:shd w:val="solid" w:color="CBFFC6" w:fill="auto"/>
            <w:tcMar>
              <w:top w:w="96" w:type="dxa"/>
              <w:left w:w="57" w:type="dxa"/>
              <w:bottom w:w="96" w:type="dxa"/>
              <w:right w:w="71" w:type="dxa"/>
            </w:tcMar>
          </w:tcPr>
          <w:p w14:paraId="6AA1D7B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w:t>
            </w:r>
          </w:p>
        </w:tc>
        <w:tc>
          <w:tcPr>
            <w:tcW w:w="482" w:type="dxa"/>
            <w:tcMar>
              <w:top w:w="96" w:type="dxa"/>
              <w:left w:w="57" w:type="dxa"/>
              <w:bottom w:w="96" w:type="dxa"/>
              <w:right w:w="71" w:type="dxa"/>
            </w:tcMar>
          </w:tcPr>
          <w:p w14:paraId="5DDC7A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24.2%</w:t>
            </w:r>
          </w:p>
        </w:tc>
        <w:tc>
          <w:tcPr>
            <w:tcW w:w="482" w:type="dxa"/>
            <w:shd w:val="solid" w:color="CBFFC6" w:fill="auto"/>
            <w:tcMar>
              <w:top w:w="96" w:type="dxa"/>
              <w:left w:w="57" w:type="dxa"/>
              <w:bottom w:w="96" w:type="dxa"/>
              <w:right w:w="71" w:type="dxa"/>
            </w:tcMar>
          </w:tcPr>
          <w:p w14:paraId="6E61664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77.2%</w:t>
            </w:r>
          </w:p>
        </w:tc>
        <w:tc>
          <w:tcPr>
            <w:tcW w:w="482" w:type="dxa"/>
            <w:tcMar>
              <w:top w:w="96" w:type="dxa"/>
              <w:left w:w="57" w:type="dxa"/>
              <w:bottom w:w="96" w:type="dxa"/>
              <w:right w:w="71" w:type="dxa"/>
            </w:tcMar>
          </w:tcPr>
          <w:p w14:paraId="299D289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482" w:type="dxa"/>
            <w:tcMar>
              <w:top w:w="96" w:type="dxa"/>
              <w:left w:w="57" w:type="dxa"/>
              <w:bottom w:w="96" w:type="dxa"/>
              <w:right w:w="71" w:type="dxa"/>
            </w:tcMar>
          </w:tcPr>
          <w:p w14:paraId="0D2A829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tcMar>
              <w:top w:w="96" w:type="dxa"/>
              <w:left w:w="57" w:type="dxa"/>
              <w:bottom w:w="96" w:type="dxa"/>
              <w:right w:w="71" w:type="dxa"/>
            </w:tcMar>
          </w:tcPr>
          <w:p w14:paraId="32DFD57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w:t>
            </w:r>
          </w:p>
        </w:tc>
        <w:tc>
          <w:tcPr>
            <w:tcW w:w="482" w:type="dxa"/>
            <w:shd w:val="solid" w:color="CBFFC6" w:fill="auto"/>
            <w:tcMar>
              <w:top w:w="96" w:type="dxa"/>
              <w:left w:w="57" w:type="dxa"/>
              <w:bottom w:w="96" w:type="dxa"/>
              <w:right w:w="71" w:type="dxa"/>
            </w:tcMar>
          </w:tcPr>
          <w:p w14:paraId="500DC3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38.9%</w:t>
            </w:r>
          </w:p>
        </w:tc>
        <w:tc>
          <w:tcPr>
            <w:tcW w:w="482" w:type="dxa"/>
            <w:tcMar>
              <w:top w:w="96" w:type="dxa"/>
              <w:left w:w="57" w:type="dxa"/>
              <w:bottom w:w="96" w:type="dxa"/>
              <w:right w:w="71" w:type="dxa"/>
            </w:tcMar>
          </w:tcPr>
          <w:p w14:paraId="3B159E5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96.0%</w:t>
            </w:r>
          </w:p>
        </w:tc>
        <w:tc>
          <w:tcPr>
            <w:tcW w:w="482" w:type="dxa"/>
            <w:shd w:val="solid" w:color="CBFFC6" w:fill="auto"/>
            <w:tcMar>
              <w:top w:w="96" w:type="dxa"/>
              <w:left w:w="57" w:type="dxa"/>
              <w:bottom w:w="96" w:type="dxa"/>
              <w:right w:w="71" w:type="dxa"/>
            </w:tcMar>
          </w:tcPr>
          <w:p w14:paraId="4768870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14.1%</w:t>
            </w:r>
          </w:p>
        </w:tc>
        <w:tc>
          <w:tcPr>
            <w:tcW w:w="482" w:type="dxa"/>
            <w:tcMar>
              <w:top w:w="96" w:type="dxa"/>
              <w:left w:w="57" w:type="dxa"/>
              <w:bottom w:w="96" w:type="dxa"/>
              <w:right w:w="71" w:type="dxa"/>
            </w:tcMar>
          </w:tcPr>
          <w:p w14:paraId="101141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73.2%</w:t>
            </w:r>
          </w:p>
        </w:tc>
        <w:tc>
          <w:tcPr>
            <w:tcW w:w="482" w:type="dxa"/>
            <w:tcMar>
              <w:top w:w="96" w:type="dxa"/>
              <w:left w:w="57" w:type="dxa"/>
              <w:bottom w:w="96" w:type="dxa"/>
              <w:right w:w="71" w:type="dxa"/>
            </w:tcMar>
          </w:tcPr>
          <w:p w14:paraId="0115638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86.8%</w:t>
            </w:r>
          </w:p>
        </w:tc>
        <w:tc>
          <w:tcPr>
            <w:tcW w:w="482" w:type="dxa"/>
            <w:tcMar>
              <w:top w:w="96" w:type="dxa"/>
              <w:left w:w="57" w:type="dxa"/>
              <w:bottom w:w="96" w:type="dxa"/>
              <w:right w:w="71" w:type="dxa"/>
            </w:tcMar>
          </w:tcPr>
          <w:p w14:paraId="2C9741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tcMar>
              <w:top w:w="96" w:type="dxa"/>
              <w:left w:w="57" w:type="dxa"/>
              <w:bottom w:w="96" w:type="dxa"/>
              <w:right w:w="71" w:type="dxa"/>
            </w:tcMar>
          </w:tcPr>
          <w:p w14:paraId="41B8AC1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77.3%</w:t>
            </w:r>
          </w:p>
        </w:tc>
        <w:tc>
          <w:tcPr>
            <w:tcW w:w="482" w:type="dxa"/>
            <w:tcMar>
              <w:top w:w="96" w:type="dxa"/>
              <w:left w:w="57" w:type="dxa"/>
              <w:bottom w:w="96" w:type="dxa"/>
              <w:right w:w="71" w:type="dxa"/>
            </w:tcMar>
          </w:tcPr>
          <w:p w14:paraId="64AE8C2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86.7%</w:t>
            </w:r>
          </w:p>
        </w:tc>
        <w:tc>
          <w:tcPr>
            <w:tcW w:w="482" w:type="dxa"/>
            <w:tcMar>
              <w:top w:w="96" w:type="dxa"/>
              <w:left w:w="57" w:type="dxa"/>
              <w:bottom w:w="96" w:type="dxa"/>
              <w:right w:w="71" w:type="dxa"/>
            </w:tcMar>
          </w:tcPr>
          <w:p w14:paraId="17430F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94.7%</w:t>
            </w:r>
          </w:p>
        </w:tc>
        <w:tc>
          <w:tcPr>
            <w:tcW w:w="482" w:type="dxa"/>
            <w:tcMar>
              <w:top w:w="96" w:type="dxa"/>
              <w:left w:w="57" w:type="dxa"/>
              <w:bottom w:w="96" w:type="dxa"/>
              <w:right w:w="71" w:type="dxa"/>
            </w:tcMar>
          </w:tcPr>
          <w:p w14:paraId="02B4AED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76.0%</w:t>
            </w:r>
          </w:p>
        </w:tc>
        <w:tc>
          <w:tcPr>
            <w:tcW w:w="482" w:type="dxa"/>
            <w:tcMar>
              <w:top w:w="96" w:type="dxa"/>
              <w:left w:w="57" w:type="dxa"/>
              <w:bottom w:w="96" w:type="dxa"/>
              <w:right w:w="71" w:type="dxa"/>
            </w:tcMar>
          </w:tcPr>
          <w:p w14:paraId="68A3E51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340" w:type="dxa"/>
            <w:tcMar>
              <w:top w:w="96" w:type="dxa"/>
              <w:left w:w="57" w:type="dxa"/>
              <w:bottom w:w="96" w:type="dxa"/>
              <w:right w:w="71" w:type="dxa"/>
            </w:tcMar>
          </w:tcPr>
          <w:p w14:paraId="72996B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02B135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0C88F686" w14:textId="77777777" w:rsidTr="001726E8">
        <w:trPr>
          <w:trHeight w:val="283"/>
        </w:trPr>
        <w:tc>
          <w:tcPr>
            <w:tcW w:w="1417" w:type="dxa"/>
            <w:tcMar>
              <w:top w:w="96" w:type="dxa"/>
              <w:left w:w="113" w:type="dxa"/>
              <w:bottom w:w="96" w:type="dxa"/>
              <w:right w:w="0" w:type="dxa"/>
            </w:tcMar>
          </w:tcPr>
          <w:p w14:paraId="66639DDE"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The Women’s at Sandringham</w:t>
            </w:r>
          </w:p>
        </w:tc>
        <w:tc>
          <w:tcPr>
            <w:tcW w:w="340" w:type="dxa"/>
            <w:tcMar>
              <w:top w:w="96" w:type="dxa"/>
              <w:left w:w="57" w:type="dxa"/>
              <w:bottom w:w="96" w:type="dxa"/>
              <w:right w:w="71" w:type="dxa"/>
            </w:tcMar>
          </w:tcPr>
          <w:p w14:paraId="16AC3D9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68C3B1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1,563</w:t>
            </w:r>
          </w:p>
        </w:tc>
        <w:tc>
          <w:tcPr>
            <w:tcW w:w="482" w:type="dxa"/>
            <w:tcMar>
              <w:top w:w="96" w:type="dxa"/>
              <w:left w:w="57" w:type="dxa"/>
              <w:bottom w:w="96" w:type="dxa"/>
              <w:right w:w="71" w:type="dxa"/>
            </w:tcMar>
          </w:tcPr>
          <w:p w14:paraId="368DDC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w:t>
            </w:r>
          </w:p>
        </w:tc>
        <w:tc>
          <w:tcPr>
            <w:tcW w:w="482" w:type="dxa"/>
            <w:shd w:val="solid" w:color="CBFFC6" w:fill="auto"/>
            <w:tcMar>
              <w:top w:w="96" w:type="dxa"/>
              <w:left w:w="57" w:type="dxa"/>
              <w:bottom w:w="96" w:type="dxa"/>
              <w:right w:w="71" w:type="dxa"/>
            </w:tcMar>
          </w:tcPr>
          <w:p w14:paraId="7B5B14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14.7%</w:t>
            </w:r>
          </w:p>
        </w:tc>
        <w:tc>
          <w:tcPr>
            <w:tcW w:w="482" w:type="dxa"/>
            <w:shd w:val="solid" w:color="CBFFC6" w:fill="auto"/>
            <w:tcMar>
              <w:top w:w="96" w:type="dxa"/>
              <w:left w:w="57" w:type="dxa"/>
              <w:bottom w:w="96" w:type="dxa"/>
              <w:right w:w="71" w:type="dxa"/>
            </w:tcMar>
          </w:tcPr>
          <w:p w14:paraId="703C04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23.5%</w:t>
            </w:r>
          </w:p>
        </w:tc>
        <w:tc>
          <w:tcPr>
            <w:tcW w:w="482" w:type="dxa"/>
            <w:shd w:val="solid" w:color="FFD1D1" w:fill="auto"/>
            <w:tcMar>
              <w:top w:w="96" w:type="dxa"/>
              <w:left w:w="57" w:type="dxa"/>
              <w:bottom w:w="96" w:type="dxa"/>
              <w:right w:w="71" w:type="dxa"/>
            </w:tcMar>
          </w:tcPr>
          <w:p w14:paraId="498969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5.4%</w:t>
            </w:r>
          </w:p>
        </w:tc>
        <w:tc>
          <w:tcPr>
            <w:tcW w:w="482" w:type="dxa"/>
            <w:tcMar>
              <w:top w:w="96" w:type="dxa"/>
              <w:left w:w="57" w:type="dxa"/>
              <w:bottom w:w="96" w:type="dxa"/>
              <w:right w:w="71" w:type="dxa"/>
            </w:tcMar>
          </w:tcPr>
          <w:p w14:paraId="3798A0D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w:t>
            </w:r>
          </w:p>
        </w:tc>
        <w:tc>
          <w:tcPr>
            <w:tcW w:w="482" w:type="dxa"/>
            <w:tcMar>
              <w:top w:w="96" w:type="dxa"/>
              <w:left w:w="57" w:type="dxa"/>
              <w:bottom w:w="96" w:type="dxa"/>
              <w:right w:w="71" w:type="dxa"/>
            </w:tcMar>
          </w:tcPr>
          <w:p w14:paraId="755EF5A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30.2%</w:t>
            </w:r>
          </w:p>
        </w:tc>
        <w:tc>
          <w:tcPr>
            <w:tcW w:w="482" w:type="dxa"/>
            <w:tcMar>
              <w:top w:w="96" w:type="dxa"/>
              <w:left w:w="57" w:type="dxa"/>
              <w:bottom w:w="96" w:type="dxa"/>
              <w:right w:w="71" w:type="dxa"/>
            </w:tcMar>
          </w:tcPr>
          <w:p w14:paraId="5701EA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88.4%</w:t>
            </w:r>
          </w:p>
        </w:tc>
        <w:tc>
          <w:tcPr>
            <w:tcW w:w="482" w:type="dxa"/>
            <w:shd w:val="solid" w:color="CBFFC6" w:fill="auto"/>
            <w:tcMar>
              <w:top w:w="96" w:type="dxa"/>
              <w:left w:w="57" w:type="dxa"/>
              <w:bottom w:w="96" w:type="dxa"/>
              <w:right w:w="71" w:type="dxa"/>
            </w:tcMar>
          </w:tcPr>
          <w:p w14:paraId="7F9573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w:t>
            </w:r>
          </w:p>
        </w:tc>
        <w:tc>
          <w:tcPr>
            <w:tcW w:w="482" w:type="dxa"/>
            <w:tcMar>
              <w:top w:w="96" w:type="dxa"/>
              <w:left w:w="57" w:type="dxa"/>
              <w:bottom w:w="96" w:type="dxa"/>
              <w:right w:w="71" w:type="dxa"/>
            </w:tcMar>
          </w:tcPr>
          <w:p w14:paraId="238EF1F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19.0%</w:t>
            </w:r>
          </w:p>
        </w:tc>
        <w:tc>
          <w:tcPr>
            <w:tcW w:w="482" w:type="dxa"/>
            <w:shd w:val="solid" w:color="FFD1D1" w:fill="auto"/>
            <w:tcMar>
              <w:top w:w="96" w:type="dxa"/>
              <w:left w:w="57" w:type="dxa"/>
              <w:bottom w:w="96" w:type="dxa"/>
              <w:right w:w="71" w:type="dxa"/>
            </w:tcMar>
          </w:tcPr>
          <w:p w14:paraId="3DE5A11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30.3%</w:t>
            </w:r>
          </w:p>
        </w:tc>
        <w:tc>
          <w:tcPr>
            <w:tcW w:w="482" w:type="dxa"/>
            <w:shd w:val="solid" w:color="FFD1D1" w:fill="auto"/>
            <w:tcMar>
              <w:top w:w="96" w:type="dxa"/>
              <w:left w:w="57" w:type="dxa"/>
              <w:bottom w:w="96" w:type="dxa"/>
              <w:right w:w="71" w:type="dxa"/>
            </w:tcMar>
          </w:tcPr>
          <w:p w14:paraId="2D62D6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w:t>
            </w:r>
          </w:p>
        </w:tc>
        <w:tc>
          <w:tcPr>
            <w:tcW w:w="482" w:type="dxa"/>
            <w:tcMar>
              <w:top w:w="96" w:type="dxa"/>
              <w:left w:w="57" w:type="dxa"/>
              <w:bottom w:w="96" w:type="dxa"/>
              <w:right w:w="71" w:type="dxa"/>
            </w:tcMar>
          </w:tcPr>
          <w:p w14:paraId="43CE23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644741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shd w:val="solid" w:color="FFD1D1" w:fill="auto"/>
            <w:tcMar>
              <w:top w:w="96" w:type="dxa"/>
              <w:left w:w="57" w:type="dxa"/>
              <w:bottom w:w="96" w:type="dxa"/>
              <w:right w:w="71" w:type="dxa"/>
            </w:tcMar>
          </w:tcPr>
          <w:p w14:paraId="1B2582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w:t>
            </w:r>
          </w:p>
        </w:tc>
        <w:tc>
          <w:tcPr>
            <w:tcW w:w="482" w:type="dxa"/>
            <w:shd w:val="solid" w:color="FFD1D1" w:fill="auto"/>
            <w:tcMar>
              <w:top w:w="96" w:type="dxa"/>
              <w:left w:w="57" w:type="dxa"/>
              <w:bottom w:w="96" w:type="dxa"/>
              <w:right w:w="71" w:type="dxa"/>
            </w:tcMar>
          </w:tcPr>
          <w:p w14:paraId="090D1A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7.9%</w:t>
            </w:r>
          </w:p>
        </w:tc>
        <w:tc>
          <w:tcPr>
            <w:tcW w:w="482" w:type="dxa"/>
            <w:tcMar>
              <w:top w:w="96" w:type="dxa"/>
              <w:left w:w="57" w:type="dxa"/>
              <w:bottom w:w="96" w:type="dxa"/>
              <w:right w:w="71" w:type="dxa"/>
            </w:tcMar>
          </w:tcPr>
          <w:p w14:paraId="56AD80F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23.5%</w:t>
            </w:r>
          </w:p>
        </w:tc>
        <w:tc>
          <w:tcPr>
            <w:tcW w:w="482" w:type="dxa"/>
            <w:shd w:val="solid" w:color="CBFFC6" w:fill="auto"/>
            <w:tcMar>
              <w:top w:w="96" w:type="dxa"/>
              <w:left w:w="57" w:type="dxa"/>
              <w:bottom w:w="96" w:type="dxa"/>
              <w:right w:w="71" w:type="dxa"/>
            </w:tcMar>
          </w:tcPr>
          <w:p w14:paraId="5938B96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98.0%</w:t>
            </w:r>
          </w:p>
        </w:tc>
        <w:tc>
          <w:tcPr>
            <w:tcW w:w="482" w:type="dxa"/>
            <w:shd w:val="solid" w:color="CBFFC6" w:fill="auto"/>
            <w:tcMar>
              <w:top w:w="96" w:type="dxa"/>
              <w:left w:w="57" w:type="dxa"/>
              <w:bottom w:w="96" w:type="dxa"/>
              <w:right w:w="71" w:type="dxa"/>
            </w:tcMar>
          </w:tcPr>
          <w:p w14:paraId="702D77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13.6%</w:t>
            </w:r>
          </w:p>
        </w:tc>
        <w:tc>
          <w:tcPr>
            <w:tcW w:w="482" w:type="dxa"/>
            <w:shd w:val="solid" w:color="CBFFC6" w:fill="auto"/>
            <w:tcMar>
              <w:top w:w="96" w:type="dxa"/>
              <w:left w:w="57" w:type="dxa"/>
              <w:bottom w:w="96" w:type="dxa"/>
              <w:right w:w="71" w:type="dxa"/>
            </w:tcMar>
          </w:tcPr>
          <w:p w14:paraId="1B3D881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95.6%</w:t>
            </w:r>
          </w:p>
        </w:tc>
        <w:tc>
          <w:tcPr>
            <w:tcW w:w="482" w:type="dxa"/>
            <w:tcMar>
              <w:top w:w="96" w:type="dxa"/>
              <w:left w:w="57" w:type="dxa"/>
              <w:bottom w:w="96" w:type="dxa"/>
              <w:right w:w="71" w:type="dxa"/>
            </w:tcMar>
          </w:tcPr>
          <w:p w14:paraId="2299B35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74.4%</w:t>
            </w:r>
          </w:p>
        </w:tc>
        <w:tc>
          <w:tcPr>
            <w:tcW w:w="482" w:type="dxa"/>
            <w:shd w:val="solid" w:color="FFD1D1" w:fill="auto"/>
            <w:tcMar>
              <w:top w:w="96" w:type="dxa"/>
              <w:left w:w="57" w:type="dxa"/>
              <w:bottom w:w="96" w:type="dxa"/>
              <w:right w:w="71" w:type="dxa"/>
            </w:tcMar>
          </w:tcPr>
          <w:p w14:paraId="7D81EF2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w:t>
            </w:r>
          </w:p>
        </w:tc>
        <w:tc>
          <w:tcPr>
            <w:tcW w:w="482" w:type="dxa"/>
            <w:tcMar>
              <w:top w:w="96" w:type="dxa"/>
              <w:left w:w="57" w:type="dxa"/>
              <w:bottom w:w="96" w:type="dxa"/>
              <w:right w:w="71" w:type="dxa"/>
            </w:tcMar>
          </w:tcPr>
          <w:p w14:paraId="7CC100E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67.1%</w:t>
            </w:r>
          </w:p>
        </w:tc>
        <w:tc>
          <w:tcPr>
            <w:tcW w:w="482" w:type="dxa"/>
            <w:tcMar>
              <w:top w:w="96" w:type="dxa"/>
              <w:left w:w="57" w:type="dxa"/>
              <w:bottom w:w="96" w:type="dxa"/>
              <w:right w:w="71" w:type="dxa"/>
            </w:tcMar>
          </w:tcPr>
          <w:p w14:paraId="134DD99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86.1%</w:t>
            </w:r>
          </w:p>
        </w:tc>
        <w:tc>
          <w:tcPr>
            <w:tcW w:w="482" w:type="dxa"/>
            <w:shd w:val="solid" w:color="CBFFC6" w:fill="auto"/>
            <w:tcMar>
              <w:top w:w="96" w:type="dxa"/>
              <w:left w:w="57" w:type="dxa"/>
              <w:bottom w:w="96" w:type="dxa"/>
              <w:right w:w="71" w:type="dxa"/>
            </w:tcMar>
          </w:tcPr>
          <w:p w14:paraId="2CA07C8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96.4%</w:t>
            </w:r>
          </w:p>
        </w:tc>
        <w:tc>
          <w:tcPr>
            <w:tcW w:w="482" w:type="dxa"/>
            <w:shd w:val="solid" w:color="CBFFC6" w:fill="auto"/>
            <w:tcMar>
              <w:top w:w="96" w:type="dxa"/>
              <w:left w:w="57" w:type="dxa"/>
              <w:bottom w:w="96" w:type="dxa"/>
              <w:right w:w="71" w:type="dxa"/>
            </w:tcMar>
          </w:tcPr>
          <w:p w14:paraId="23D6DD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83.5%</w:t>
            </w:r>
          </w:p>
        </w:tc>
        <w:tc>
          <w:tcPr>
            <w:tcW w:w="482" w:type="dxa"/>
            <w:tcMar>
              <w:top w:w="96" w:type="dxa"/>
              <w:left w:w="57" w:type="dxa"/>
              <w:bottom w:w="96" w:type="dxa"/>
              <w:right w:w="71" w:type="dxa"/>
            </w:tcMar>
          </w:tcPr>
          <w:p w14:paraId="0506E9B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w:t>
            </w:r>
          </w:p>
        </w:tc>
        <w:tc>
          <w:tcPr>
            <w:tcW w:w="340" w:type="dxa"/>
            <w:tcMar>
              <w:top w:w="96" w:type="dxa"/>
              <w:left w:w="57" w:type="dxa"/>
              <w:bottom w:w="96" w:type="dxa"/>
              <w:right w:w="71" w:type="dxa"/>
            </w:tcMar>
          </w:tcPr>
          <w:p w14:paraId="7541FEA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c>
          <w:tcPr>
            <w:tcW w:w="340" w:type="dxa"/>
            <w:tcMar>
              <w:top w:w="96" w:type="dxa"/>
              <w:left w:w="57" w:type="dxa"/>
              <w:bottom w:w="96" w:type="dxa"/>
              <w:right w:w="71" w:type="dxa"/>
            </w:tcMar>
          </w:tcPr>
          <w:p w14:paraId="7FD43F2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r>
      <w:tr w:rsidR="00D6403A" w:rsidRPr="0004279D" w14:paraId="12D1B80F" w14:textId="77777777" w:rsidTr="001726E8">
        <w:trPr>
          <w:trHeight w:val="283"/>
        </w:trPr>
        <w:tc>
          <w:tcPr>
            <w:tcW w:w="1417" w:type="dxa"/>
            <w:tcMar>
              <w:top w:w="96" w:type="dxa"/>
              <w:left w:w="113" w:type="dxa"/>
              <w:bottom w:w="96" w:type="dxa"/>
              <w:right w:w="0" w:type="dxa"/>
            </w:tcMar>
          </w:tcPr>
          <w:p w14:paraId="7D661D4F"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West Gippsland Hospital</w:t>
            </w:r>
          </w:p>
        </w:tc>
        <w:tc>
          <w:tcPr>
            <w:tcW w:w="340" w:type="dxa"/>
            <w:tcMar>
              <w:top w:w="96" w:type="dxa"/>
              <w:left w:w="57" w:type="dxa"/>
              <w:bottom w:w="96" w:type="dxa"/>
              <w:right w:w="71" w:type="dxa"/>
            </w:tcMar>
          </w:tcPr>
          <w:p w14:paraId="517F6D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20973B2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994</w:t>
            </w:r>
          </w:p>
        </w:tc>
        <w:tc>
          <w:tcPr>
            <w:tcW w:w="482" w:type="dxa"/>
            <w:shd w:val="solid" w:color="FFD1D1" w:fill="auto"/>
            <w:tcMar>
              <w:top w:w="96" w:type="dxa"/>
              <w:left w:w="57" w:type="dxa"/>
              <w:bottom w:w="96" w:type="dxa"/>
              <w:right w:w="71" w:type="dxa"/>
            </w:tcMar>
          </w:tcPr>
          <w:p w14:paraId="64C642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26.3%</w:t>
            </w:r>
          </w:p>
        </w:tc>
        <w:tc>
          <w:tcPr>
            <w:tcW w:w="482" w:type="dxa"/>
            <w:tcMar>
              <w:top w:w="96" w:type="dxa"/>
              <w:left w:w="57" w:type="dxa"/>
              <w:bottom w:w="96" w:type="dxa"/>
              <w:right w:w="71" w:type="dxa"/>
            </w:tcMar>
          </w:tcPr>
          <w:p w14:paraId="24F047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19.3%</w:t>
            </w:r>
          </w:p>
        </w:tc>
        <w:tc>
          <w:tcPr>
            <w:tcW w:w="482" w:type="dxa"/>
            <w:tcMar>
              <w:top w:w="96" w:type="dxa"/>
              <w:left w:w="57" w:type="dxa"/>
              <w:bottom w:w="96" w:type="dxa"/>
              <w:right w:w="71" w:type="dxa"/>
            </w:tcMar>
          </w:tcPr>
          <w:p w14:paraId="30FFD11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29.9%</w:t>
            </w:r>
          </w:p>
        </w:tc>
        <w:tc>
          <w:tcPr>
            <w:tcW w:w="482" w:type="dxa"/>
            <w:shd w:val="solid" w:color="CBFFC6" w:fill="auto"/>
            <w:tcMar>
              <w:top w:w="96" w:type="dxa"/>
              <w:left w:w="57" w:type="dxa"/>
              <w:bottom w:w="96" w:type="dxa"/>
              <w:right w:w="71" w:type="dxa"/>
            </w:tcMar>
          </w:tcPr>
          <w:p w14:paraId="6104AFE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0.6%</w:t>
            </w:r>
          </w:p>
        </w:tc>
        <w:tc>
          <w:tcPr>
            <w:tcW w:w="482" w:type="dxa"/>
            <w:tcMar>
              <w:top w:w="96" w:type="dxa"/>
              <w:left w:w="57" w:type="dxa"/>
              <w:bottom w:w="96" w:type="dxa"/>
              <w:right w:w="71" w:type="dxa"/>
            </w:tcMar>
          </w:tcPr>
          <w:p w14:paraId="0BDDF1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w:t>
            </w:r>
          </w:p>
        </w:tc>
        <w:tc>
          <w:tcPr>
            <w:tcW w:w="482" w:type="dxa"/>
            <w:tcMar>
              <w:top w:w="96" w:type="dxa"/>
              <w:left w:w="57" w:type="dxa"/>
              <w:bottom w:w="96" w:type="dxa"/>
              <w:right w:w="71" w:type="dxa"/>
            </w:tcMar>
          </w:tcPr>
          <w:p w14:paraId="5C90976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20.9%</w:t>
            </w:r>
          </w:p>
        </w:tc>
        <w:tc>
          <w:tcPr>
            <w:tcW w:w="482" w:type="dxa"/>
            <w:shd w:val="solid" w:color="CBFFC6" w:fill="auto"/>
            <w:tcMar>
              <w:top w:w="96" w:type="dxa"/>
              <w:left w:w="57" w:type="dxa"/>
              <w:bottom w:w="96" w:type="dxa"/>
              <w:right w:w="71" w:type="dxa"/>
            </w:tcMar>
          </w:tcPr>
          <w:p w14:paraId="320E761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94.5%</w:t>
            </w:r>
          </w:p>
        </w:tc>
        <w:tc>
          <w:tcPr>
            <w:tcW w:w="482" w:type="dxa"/>
            <w:shd w:val="solid" w:color="FFD1D1" w:fill="auto"/>
            <w:tcMar>
              <w:top w:w="96" w:type="dxa"/>
              <w:left w:w="57" w:type="dxa"/>
              <w:bottom w:w="96" w:type="dxa"/>
              <w:right w:w="71" w:type="dxa"/>
            </w:tcMar>
          </w:tcPr>
          <w:p w14:paraId="6FD5E28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16.5%</w:t>
            </w:r>
          </w:p>
        </w:tc>
        <w:tc>
          <w:tcPr>
            <w:tcW w:w="482" w:type="dxa"/>
            <w:tcMar>
              <w:top w:w="96" w:type="dxa"/>
              <w:left w:w="57" w:type="dxa"/>
              <w:bottom w:w="96" w:type="dxa"/>
              <w:right w:w="71" w:type="dxa"/>
            </w:tcMar>
          </w:tcPr>
          <w:p w14:paraId="7B5FD3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264923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27.3%</w:t>
            </w:r>
          </w:p>
        </w:tc>
        <w:tc>
          <w:tcPr>
            <w:tcW w:w="482" w:type="dxa"/>
            <w:shd w:val="solid" w:color="CBFFC6" w:fill="auto"/>
            <w:tcMar>
              <w:top w:w="96" w:type="dxa"/>
              <w:left w:w="57" w:type="dxa"/>
              <w:bottom w:w="96" w:type="dxa"/>
              <w:right w:w="71" w:type="dxa"/>
            </w:tcMar>
          </w:tcPr>
          <w:p w14:paraId="5EDC91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38.6%</w:t>
            </w:r>
          </w:p>
        </w:tc>
        <w:tc>
          <w:tcPr>
            <w:tcW w:w="482" w:type="dxa"/>
            <w:tcMar>
              <w:top w:w="96" w:type="dxa"/>
              <w:left w:w="57" w:type="dxa"/>
              <w:bottom w:w="96" w:type="dxa"/>
              <w:right w:w="71" w:type="dxa"/>
            </w:tcMar>
          </w:tcPr>
          <w:p w14:paraId="4EBB22E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59.3%</w:t>
            </w:r>
          </w:p>
        </w:tc>
        <w:tc>
          <w:tcPr>
            <w:tcW w:w="482" w:type="dxa"/>
            <w:tcMar>
              <w:top w:w="96" w:type="dxa"/>
              <w:left w:w="57" w:type="dxa"/>
              <w:bottom w:w="96" w:type="dxa"/>
              <w:right w:w="71" w:type="dxa"/>
            </w:tcMar>
          </w:tcPr>
          <w:p w14:paraId="7C36B56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9DB42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w:t>
            </w:r>
          </w:p>
        </w:tc>
        <w:tc>
          <w:tcPr>
            <w:tcW w:w="482" w:type="dxa"/>
            <w:shd w:val="solid" w:color="FFD1D1" w:fill="auto"/>
            <w:tcMar>
              <w:top w:w="96" w:type="dxa"/>
              <w:left w:w="57" w:type="dxa"/>
              <w:bottom w:w="96" w:type="dxa"/>
              <w:right w:w="71" w:type="dxa"/>
            </w:tcMar>
          </w:tcPr>
          <w:p w14:paraId="4B811D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5.1%</w:t>
            </w:r>
          </w:p>
        </w:tc>
        <w:tc>
          <w:tcPr>
            <w:tcW w:w="482" w:type="dxa"/>
            <w:tcMar>
              <w:top w:w="96" w:type="dxa"/>
              <w:left w:w="57" w:type="dxa"/>
              <w:bottom w:w="96" w:type="dxa"/>
              <w:right w:w="71" w:type="dxa"/>
            </w:tcMar>
          </w:tcPr>
          <w:p w14:paraId="335677B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33.3%</w:t>
            </w:r>
          </w:p>
        </w:tc>
        <w:tc>
          <w:tcPr>
            <w:tcW w:w="482" w:type="dxa"/>
            <w:tcMar>
              <w:top w:w="96" w:type="dxa"/>
              <w:left w:w="57" w:type="dxa"/>
              <w:bottom w:w="96" w:type="dxa"/>
              <w:right w:w="71" w:type="dxa"/>
            </w:tcMar>
          </w:tcPr>
          <w:p w14:paraId="173C9A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95.0%</w:t>
            </w:r>
          </w:p>
        </w:tc>
        <w:tc>
          <w:tcPr>
            <w:tcW w:w="482" w:type="dxa"/>
            <w:tcMar>
              <w:top w:w="96" w:type="dxa"/>
              <w:left w:w="57" w:type="dxa"/>
              <w:bottom w:w="96" w:type="dxa"/>
              <w:right w:w="71" w:type="dxa"/>
            </w:tcMar>
          </w:tcPr>
          <w:p w14:paraId="0B03D2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25.9%</w:t>
            </w:r>
          </w:p>
        </w:tc>
        <w:tc>
          <w:tcPr>
            <w:tcW w:w="482" w:type="dxa"/>
            <w:tcMar>
              <w:top w:w="96" w:type="dxa"/>
              <w:left w:w="57" w:type="dxa"/>
              <w:bottom w:w="96" w:type="dxa"/>
              <w:right w:w="71" w:type="dxa"/>
            </w:tcMar>
          </w:tcPr>
          <w:p w14:paraId="2CC169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82.5%</w:t>
            </w:r>
          </w:p>
        </w:tc>
        <w:tc>
          <w:tcPr>
            <w:tcW w:w="482" w:type="dxa"/>
            <w:tcMar>
              <w:top w:w="96" w:type="dxa"/>
              <w:left w:w="57" w:type="dxa"/>
              <w:bottom w:w="96" w:type="dxa"/>
              <w:right w:w="71" w:type="dxa"/>
            </w:tcMar>
          </w:tcPr>
          <w:p w14:paraId="1304EB6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89.7%</w:t>
            </w:r>
          </w:p>
        </w:tc>
        <w:tc>
          <w:tcPr>
            <w:tcW w:w="482" w:type="dxa"/>
            <w:shd w:val="solid" w:color="FFD1D1" w:fill="auto"/>
            <w:tcMar>
              <w:top w:w="96" w:type="dxa"/>
              <w:left w:w="57" w:type="dxa"/>
              <w:bottom w:w="96" w:type="dxa"/>
              <w:right w:w="71" w:type="dxa"/>
            </w:tcMar>
          </w:tcPr>
          <w:p w14:paraId="3EC70FD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tcMar>
              <w:top w:w="96" w:type="dxa"/>
              <w:left w:w="57" w:type="dxa"/>
              <w:bottom w:w="96" w:type="dxa"/>
              <w:right w:w="71" w:type="dxa"/>
            </w:tcMar>
          </w:tcPr>
          <w:p w14:paraId="75B804B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71.2%</w:t>
            </w:r>
          </w:p>
        </w:tc>
        <w:tc>
          <w:tcPr>
            <w:tcW w:w="482" w:type="dxa"/>
            <w:tcMar>
              <w:top w:w="96" w:type="dxa"/>
              <w:left w:w="57" w:type="dxa"/>
              <w:bottom w:w="96" w:type="dxa"/>
              <w:right w:w="71" w:type="dxa"/>
            </w:tcMar>
          </w:tcPr>
          <w:p w14:paraId="2F990D1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85.7%</w:t>
            </w:r>
          </w:p>
        </w:tc>
        <w:tc>
          <w:tcPr>
            <w:tcW w:w="482" w:type="dxa"/>
            <w:tcMar>
              <w:top w:w="96" w:type="dxa"/>
              <w:left w:w="57" w:type="dxa"/>
              <w:bottom w:w="96" w:type="dxa"/>
              <w:right w:w="71" w:type="dxa"/>
            </w:tcMar>
          </w:tcPr>
          <w:p w14:paraId="1D97D8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94.6%</w:t>
            </w:r>
          </w:p>
        </w:tc>
        <w:tc>
          <w:tcPr>
            <w:tcW w:w="482" w:type="dxa"/>
            <w:tcMar>
              <w:top w:w="96" w:type="dxa"/>
              <w:left w:w="57" w:type="dxa"/>
              <w:bottom w:w="96" w:type="dxa"/>
              <w:right w:w="71" w:type="dxa"/>
            </w:tcMar>
          </w:tcPr>
          <w:p w14:paraId="655AED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78.6%</w:t>
            </w:r>
          </w:p>
        </w:tc>
        <w:tc>
          <w:tcPr>
            <w:tcW w:w="482" w:type="dxa"/>
            <w:shd w:val="solid" w:color="FFD1D1" w:fill="auto"/>
            <w:tcMar>
              <w:top w:w="96" w:type="dxa"/>
              <w:left w:w="57" w:type="dxa"/>
              <w:bottom w:w="96" w:type="dxa"/>
              <w:right w:w="71" w:type="dxa"/>
            </w:tcMar>
          </w:tcPr>
          <w:p w14:paraId="6C6604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4.8%</w:t>
            </w:r>
          </w:p>
        </w:tc>
        <w:tc>
          <w:tcPr>
            <w:tcW w:w="340" w:type="dxa"/>
            <w:tcMar>
              <w:top w:w="96" w:type="dxa"/>
              <w:left w:w="57" w:type="dxa"/>
              <w:bottom w:w="96" w:type="dxa"/>
              <w:right w:w="71" w:type="dxa"/>
            </w:tcMar>
          </w:tcPr>
          <w:p w14:paraId="20BFAC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340" w:type="dxa"/>
            <w:tcMar>
              <w:top w:w="96" w:type="dxa"/>
              <w:left w:w="57" w:type="dxa"/>
              <w:bottom w:w="96" w:type="dxa"/>
              <w:right w:w="71" w:type="dxa"/>
            </w:tcMar>
          </w:tcPr>
          <w:p w14:paraId="7452429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r>
      <w:tr w:rsidR="00D6403A" w:rsidRPr="0004279D" w14:paraId="477F9730" w14:textId="77777777" w:rsidTr="001726E8">
        <w:trPr>
          <w:trHeight w:val="283"/>
        </w:trPr>
        <w:tc>
          <w:tcPr>
            <w:tcW w:w="1417" w:type="dxa"/>
            <w:tcMar>
              <w:top w:w="96" w:type="dxa"/>
              <w:left w:w="113" w:type="dxa"/>
              <w:bottom w:w="96" w:type="dxa"/>
              <w:right w:w="0" w:type="dxa"/>
            </w:tcMar>
          </w:tcPr>
          <w:p w14:paraId="128ECE3A"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Mildura Base Public Hospital</w:t>
            </w:r>
          </w:p>
        </w:tc>
        <w:tc>
          <w:tcPr>
            <w:tcW w:w="340" w:type="dxa"/>
            <w:tcMar>
              <w:top w:w="96" w:type="dxa"/>
              <w:left w:w="57" w:type="dxa"/>
              <w:bottom w:w="96" w:type="dxa"/>
              <w:right w:w="71" w:type="dxa"/>
            </w:tcMar>
          </w:tcPr>
          <w:p w14:paraId="0B8A321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4FB00D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853</w:t>
            </w:r>
          </w:p>
        </w:tc>
        <w:tc>
          <w:tcPr>
            <w:tcW w:w="482" w:type="dxa"/>
            <w:tcMar>
              <w:top w:w="96" w:type="dxa"/>
              <w:left w:w="57" w:type="dxa"/>
              <w:bottom w:w="96" w:type="dxa"/>
              <w:right w:w="71" w:type="dxa"/>
            </w:tcMar>
          </w:tcPr>
          <w:p w14:paraId="2FF5232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13.6%</w:t>
            </w:r>
          </w:p>
        </w:tc>
        <w:tc>
          <w:tcPr>
            <w:tcW w:w="482" w:type="dxa"/>
            <w:shd w:val="solid" w:color="CBFFC6" w:fill="auto"/>
            <w:tcMar>
              <w:top w:w="96" w:type="dxa"/>
              <w:left w:w="57" w:type="dxa"/>
              <w:bottom w:w="96" w:type="dxa"/>
              <w:right w:w="71" w:type="dxa"/>
            </w:tcMar>
          </w:tcPr>
          <w:p w14:paraId="6A52596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13.3%</w:t>
            </w:r>
          </w:p>
        </w:tc>
        <w:tc>
          <w:tcPr>
            <w:tcW w:w="482" w:type="dxa"/>
            <w:tcMar>
              <w:top w:w="96" w:type="dxa"/>
              <w:left w:w="57" w:type="dxa"/>
              <w:bottom w:w="96" w:type="dxa"/>
              <w:right w:w="71" w:type="dxa"/>
            </w:tcMar>
          </w:tcPr>
          <w:p w14:paraId="743D5E4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32.1%</w:t>
            </w:r>
          </w:p>
        </w:tc>
        <w:tc>
          <w:tcPr>
            <w:tcW w:w="482" w:type="dxa"/>
            <w:tcMar>
              <w:top w:w="96" w:type="dxa"/>
              <w:left w:w="57" w:type="dxa"/>
              <w:bottom w:w="96" w:type="dxa"/>
              <w:right w:w="71" w:type="dxa"/>
            </w:tcMar>
          </w:tcPr>
          <w:p w14:paraId="7157702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w:t>
            </w:r>
          </w:p>
        </w:tc>
        <w:tc>
          <w:tcPr>
            <w:tcW w:w="482" w:type="dxa"/>
            <w:shd w:val="solid" w:color="FFD1D1" w:fill="auto"/>
            <w:tcMar>
              <w:top w:w="96" w:type="dxa"/>
              <w:left w:w="57" w:type="dxa"/>
              <w:bottom w:w="96" w:type="dxa"/>
              <w:right w:w="71" w:type="dxa"/>
            </w:tcMar>
          </w:tcPr>
          <w:p w14:paraId="4277AE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10.3%</w:t>
            </w:r>
          </w:p>
        </w:tc>
        <w:tc>
          <w:tcPr>
            <w:tcW w:w="482" w:type="dxa"/>
            <w:tcMar>
              <w:top w:w="96" w:type="dxa"/>
              <w:left w:w="57" w:type="dxa"/>
              <w:bottom w:w="96" w:type="dxa"/>
              <w:right w:w="71" w:type="dxa"/>
            </w:tcMar>
          </w:tcPr>
          <w:p w14:paraId="046FBA8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24.8%</w:t>
            </w:r>
          </w:p>
        </w:tc>
        <w:tc>
          <w:tcPr>
            <w:tcW w:w="482" w:type="dxa"/>
            <w:tcMar>
              <w:top w:w="96" w:type="dxa"/>
              <w:left w:w="57" w:type="dxa"/>
              <w:bottom w:w="96" w:type="dxa"/>
              <w:right w:w="71" w:type="dxa"/>
            </w:tcMar>
          </w:tcPr>
          <w:p w14:paraId="4D53911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82.1%</w:t>
            </w:r>
          </w:p>
        </w:tc>
        <w:tc>
          <w:tcPr>
            <w:tcW w:w="482" w:type="dxa"/>
            <w:tcMar>
              <w:top w:w="96" w:type="dxa"/>
              <w:left w:w="57" w:type="dxa"/>
              <w:bottom w:w="96" w:type="dxa"/>
              <w:right w:w="71" w:type="dxa"/>
            </w:tcMar>
          </w:tcPr>
          <w:p w14:paraId="19F1836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11.4%</w:t>
            </w:r>
          </w:p>
        </w:tc>
        <w:tc>
          <w:tcPr>
            <w:tcW w:w="482" w:type="dxa"/>
            <w:shd w:val="solid" w:color="FFD1D1" w:fill="auto"/>
            <w:tcMar>
              <w:top w:w="96" w:type="dxa"/>
              <w:left w:w="57" w:type="dxa"/>
              <w:bottom w:w="96" w:type="dxa"/>
              <w:right w:w="71" w:type="dxa"/>
            </w:tcMar>
          </w:tcPr>
          <w:p w14:paraId="614B10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26.1%</w:t>
            </w:r>
          </w:p>
        </w:tc>
        <w:tc>
          <w:tcPr>
            <w:tcW w:w="482" w:type="dxa"/>
            <w:tcMar>
              <w:top w:w="96" w:type="dxa"/>
              <w:left w:w="57" w:type="dxa"/>
              <w:bottom w:w="96" w:type="dxa"/>
              <w:right w:w="71" w:type="dxa"/>
            </w:tcMar>
          </w:tcPr>
          <w:p w14:paraId="17B6E30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20.0%</w:t>
            </w:r>
          </w:p>
        </w:tc>
        <w:tc>
          <w:tcPr>
            <w:tcW w:w="482" w:type="dxa"/>
            <w:tcMar>
              <w:top w:w="96" w:type="dxa"/>
              <w:left w:w="57" w:type="dxa"/>
              <w:bottom w:w="96" w:type="dxa"/>
              <w:right w:w="71" w:type="dxa"/>
            </w:tcMar>
          </w:tcPr>
          <w:p w14:paraId="5E2FAA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21.0%</w:t>
            </w:r>
          </w:p>
        </w:tc>
        <w:tc>
          <w:tcPr>
            <w:tcW w:w="482" w:type="dxa"/>
            <w:shd w:val="solid" w:color="FFD1D1" w:fill="auto"/>
            <w:tcMar>
              <w:top w:w="96" w:type="dxa"/>
              <w:left w:w="57" w:type="dxa"/>
              <w:bottom w:w="96" w:type="dxa"/>
              <w:right w:w="71" w:type="dxa"/>
            </w:tcMar>
          </w:tcPr>
          <w:p w14:paraId="65B95E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41.2%</w:t>
            </w:r>
          </w:p>
        </w:tc>
        <w:tc>
          <w:tcPr>
            <w:tcW w:w="482" w:type="dxa"/>
            <w:tcMar>
              <w:top w:w="96" w:type="dxa"/>
              <w:left w:w="57" w:type="dxa"/>
              <w:bottom w:w="96" w:type="dxa"/>
              <w:right w:w="71" w:type="dxa"/>
            </w:tcMar>
          </w:tcPr>
          <w:p w14:paraId="1369875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527B0B5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482" w:type="dxa"/>
            <w:tcMar>
              <w:top w:w="96" w:type="dxa"/>
              <w:left w:w="57" w:type="dxa"/>
              <w:bottom w:w="96" w:type="dxa"/>
              <w:right w:w="71" w:type="dxa"/>
            </w:tcMar>
          </w:tcPr>
          <w:p w14:paraId="556E316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w:t>
            </w:r>
          </w:p>
        </w:tc>
        <w:tc>
          <w:tcPr>
            <w:tcW w:w="482" w:type="dxa"/>
            <w:shd w:val="solid" w:color="FFD1D1" w:fill="auto"/>
            <w:tcMar>
              <w:top w:w="96" w:type="dxa"/>
              <w:left w:w="57" w:type="dxa"/>
              <w:bottom w:w="96" w:type="dxa"/>
              <w:right w:w="71" w:type="dxa"/>
            </w:tcMar>
          </w:tcPr>
          <w:p w14:paraId="7F6992A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12.3%</w:t>
            </w:r>
          </w:p>
        </w:tc>
        <w:tc>
          <w:tcPr>
            <w:tcW w:w="482" w:type="dxa"/>
            <w:shd w:val="solid" w:color="FFD1D1" w:fill="auto"/>
            <w:tcMar>
              <w:top w:w="96" w:type="dxa"/>
              <w:left w:w="57" w:type="dxa"/>
              <w:bottom w:w="96" w:type="dxa"/>
              <w:right w:w="71" w:type="dxa"/>
            </w:tcMar>
          </w:tcPr>
          <w:p w14:paraId="102D16B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93.0%</w:t>
            </w:r>
          </w:p>
        </w:tc>
        <w:tc>
          <w:tcPr>
            <w:tcW w:w="482" w:type="dxa"/>
            <w:tcMar>
              <w:top w:w="96" w:type="dxa"/>
              <w:left w:w="57" w:type="dxa"/>
              <w:bottom w:w="96" w:type="dxa"/>
              <w:right w:w="71" w:type="dxa"/>
            </w:tcMar>
          </w:tcPr>
          <w:p w14:paraId="2CCE68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24.7%</w:t>
            </w:r>
          </w:p>
        </w:tc>
        <w:tc>
          <w:tcPr>
            <w:tcW w:w="482" w:type="dxa"/>
            <w:tcMar>
              <w:top w:w="96" w:type="dxa"/>
              <w:left w:w="57" w:type="dxa"/>
              <w:bottom w:w="96" w:type="dxa"/>
              <w:right w:w="71" w:type="dxa"/>
            </w:tcMar>
          </w:tcPr>
          <w:p w14:paraId="0598D69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74.1%</w:t>
            </w:r>
          </w:p>
        </w:tc>
        <w:tc>
          <w:tcPr>
            <w:tcW w:w="482" w:type="dxa"/>
            <w:shd w:val="solid" w:color="FFD1D1" w:fill="auto"/>
            <w:tcMar>
              <w:top w:w="96" w:type="dxa"/>
              <w:left w:w="57" w:type="dxa"/>
              <w:bottom w:w="96" w:type="dxa"/>
              <w:right w:w="71" w:type="dxa"/>
            </w:tcMar>
          </w:tcPr>
          <w:p w14:paraId="536C906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44.3%</w:t>
            </w:r>
          </w:p>
        </w:tc>
        <w:tc>
          <w:tcPr>
            <w:tcW w:w="482" w:type="dxa"/>
            <w:shd w:val="solid" w:color="FFD1D1" w:fill="auto"/>
            <w:tcMar>
              <w:top w:w="96" w:type="dxa"/>
              <w:left w:w="57" w:type="dxa"/>
              <w:bottom w:w="96" w:type="dxa"/>
              <w:right w:w="71" w:type="dxa"/>
            </w:tcMar>
          </w:tcPr>
          <w:p w14:paraId="06ECB8C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tcMar>
              <w:top w:w="96" w:type="dxa"/>
              <w:left w:w="57" w:type="dxa"/>
              <w:bottom w:w="96" w:type="dxa"/>
              <w:right w:w="71" w:type="dxa"/>
            </w:tcMar>
          </w:tcPr>
          <w:p w14:paraId="427A743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EC8BFA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266DAF4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89.6%</w:t>
            </w:r>
          </w:p>
        </w:tc>
        <w:tc>
          <w:tcPr>
            <w:tcW w:w="482" w:type="dxa"/>
            <w:tcMar>
              <w:top w:w="96" w:type="dxa"/>
              <w:left w:w="57" w:type="dxa"/>
              <w:bottom w:w="96" w:type="dxa"/>
              <w:right w:w="71" w:type="dxa"/>
            </w:tcMar>
          </w:tcPr>
          <w:p w14:paraId="58E92A0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71.9%</w:t>
            </w:r>
          </w:p>
        </w:tc>
        <w:tc>
          <w:tcPr>
            <w:tcW w:w="482" w:type="dxa"/>
            <w:tcMar>
              <w:top w:w="96" w:type="dxa"/>
              <w:left w:w="57" w:type="dxa"/>
              <w:bottom w:w="96" w:type="dxa"/>
              <w:right w:w="71" w:type="dxa"/>
            </w:tcMar>
          </w:tcPr>
          <w:p w14:paraId="03FD369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w:t>
            </w:r>
          </w:p>
        </w:tc>
        <w:tc>
          <w:tcPr>
            <w:tcW w:w="340" w:type="dxa"/>
            <w:tcMar>
              <w:top w:w="96" w:type="dxa"/>
              <w:left w:w="57" w:type="dxa"/>
              <w:bottom w:w="96" w:type="dxa"/>
              <w:right w:w="71" w:type="dxa"/>
            </w:tcMar>
          </w:tcPr>
          <w:p w14:paraId="24240A9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w:t>
            </w:r>
          </w:p>
        </w:tc>
        <w:tc>
          <w:tcPr>
            <w:tcW w:w="340" w:type="dxa"/>
            <w:tcMar>
              <w:top w:w="96" w:type="dxa"/>
              <w:left w:w="57" w:type="dxa"/>
              <w:bottom w:w="96" w:type="dxa"/>
              <w:right w:w="71" w:type="dxa"/>
            </w:tcMar>
          </w:tcPr>
          <w:p w14:paraId="15B7CE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r>
      <w:tr w:rsidR="00D6403A" w:rsidRPr="0004279D" w14:paraId="222A2470" w14:textId="77777777" w:rsidTr="001726E8">
        <w:trPr>
          <w:trHeight w:val="283"/>
        </w:trPr>
        <w:tc>
          <w:tcPr>
            <w:tcW w:w="1417" w:type="dxa"/>
            <w:tcMar>
              <w:top w:w="96" w:type="dxa"/>
              <w:left w:w="113" w:type="dxa"/>
              <w:bottom w:w="96" w:type="dxa"/>
              <w:right w:w="0" w:type="dxa"/>
            </w:tcMar>
          </w:tcPr>
          <w:p w14:paraId="04D7E0F6"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Warrnambool Base Hospital</w:t>
            </w:r>
          </w:p>
        </w:tc>
        <w:tc>
          <w:tcPr>
            <w:tcW w:w="340" w:type="dxa"/>
            <w:tcMar>
              <w:top w:w="96" w:type="dxa"/>
              <w:left w:w="57" w:type="dxa"/>
              <w:bottom w:w="96" w:type="dxa"/>
              <w:right w:w="71" w:type="dxa"/>
            </w:tcMar>
          </w:tcPr>
          <w:p w14:paraId="68DDECA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24CC676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760</w:t>
            </w:r>
          </w:p>
        </w:tc>
        <w:tc>
          <w:tcPr>
            <w:tcW w:w="482" w:type="dxa"/>
            <w:tcMar>
              <w:top w:w="96" w:type="dxa"/>
              <w:left w:w="57" w:type="dxa"/>
              <w:bottom w:w="96" w:type="dxa"/>
              <w:right w:w="71" w:type="dxa"/>
            </w:tcMar>
          </w:tcPr>
          <w:p w14:paraId="50A6F49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22.9%</w:t>
            </w:r>
          </w:p>
        </w:tc>
        <w:tc>
          <w:tcPr>
            <w:tcW w:w="482" w:type="dxa"/>
            <w:shd w:val="solid" w:color="CBFFC6" w:fill="auto"/>
            <w:tcMar>
              <w:top w:w="96" w:type="dxa"/>
              <w:left w:w="57" w:type="dxa"/>
              <w:bottom w:w="96" w:type="dxa"/>
              <w:right w:w="71" w:type="dxa"/>
            </w:tcMar>
          </w:tcPr>
          <w:p w14:paraId="3002247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7.9%</w:t>
            </w:r>
          </w:p>
        </w:tc>
        <w:tc>
          <w:tcPr>
            <w:tcW w:w="482" w:type="dxa"/>
            <w:shd w:val="solid" w:color="CBFFC6" w:fill="auto"/>
            <w:tcMar>
              <w:top w:w="96" w:type="dxa"/>
              <w:left w:w="57" w:type="dxa"/>
              <w:bottom w:w="96" w:type="dxa"/>
              <w:right w:w="71" w:type="dxa"/>
            </w:tcMar>
          </w:tcPr>
          <w:p w14:paraId="5D3DBA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22.9%</w:t>
            </w:r>
          </w:p>
        </w:tc>
        <w:tc>
          <w:tcPr>
            <w:tcW w:w="482" w:type="dxa"/>
            <w:tcMar>
              <w:top w:w="96" w:type="dxa"/>
              <w:left w:w="57" w:type="dxa"/>
              <w:bottom w:w="96" w:type="dxa"/>
              <w:right w:w="71" w:type="dxa"/>
            </w:tcMar>
          </w:tcPr>
          <w:p w14:paraId="2423EA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w:t>
            </w:r>
          </w:p>
        </w:tc>
        <w:tc>
          <w:tcPr>
            <w:tcW w:w="482" w:type="dxa"/>
            <w:shd w:val="solid" w:color="FFD1D1" w:fill="auto"/>
            <w:tcMar>
              <w:top w:w="96" w:type="dxa"/>
              <w:left w:w="57" w:type="dxa"/>
              <w:bottom w:w="96" w:type="dxa"/>
              <w:right w:w="71" w:type="dxa"/>
            </w:tcMar>
          </w:tcPr>
          <w:p w14:paraId="10DD04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w:t>
            </w:r>
          </w:p>
        </w:tc>
        <w:tc>
          <w:tcPr>
            <w:tcW w:w="482" w:type="dxa"/>
            <w:tcMar>
              <w:top w:w="96" w:type="dxa"/>
              <w:left w:w="57" w:type="dxa"/>
              <w:bottom w:w="96" w:type="dxa"/>
              <w:right w:w="71" w:type="dxa"/>
            </w:tcMar>
          </w:tcPr>
          <w:p w14:paraId="0A09C36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21.2%</w:t>
            </w:r>
          </w:p>
        </w:tc>
        <w:tc>
          <w:tcPr>
            <w:tcW w:w="482" w:type="dxa"/>
            <w:tcMar>
              <w:top w:w="96" w:type="dxa"/>
              <w:left w:w="57" w:type="dxa"/>
              <w:bottom w:w="96" w:type="dxa"/>
              <w:right w:w="71" w:type="dxa"/>
            </w:tcMar>
          </w:tcPr>
          <w:p w14:paraId="339B379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84.5%</w:t>
            </w:r>
          </w:p>
        </w:tc>
        <w:tc>
          <w:tcPr>
            <w:tcW w:w="482" w:type="dxa"/>
            <w:tcMar>
              <w:top w:w="96" w:type="dxa"/>
              <w:left w:w="57" w:type="dxa"/>
              <w:bottom w:w="96" w:type="dxa"/>
              <w:right w:w="71" w:type="dxa"/>
            </w:tcMar>
          </w:tcPr>
          <w:p w14:paraId="64B0738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11.7%</w:t>
            </w:r>
          </w:p>
        </w:tc>
        <w:tc>
          <w:tcPr>
            <w:tcW w:w="482" w:type="dxa"/>
            <w:shd w:val="solid" w:color="CBFFC6" w:fill="auto"/>
            <w:tcMar>
              <w:top w:w="96" w:type="dxa"/>
              <w:left w:w="57" w:type="dxa"/>
              <w:bottom w:w="96" w:type="dxa"/>
              <w:right w:w="71" w:type="dxa"/>
            </w:tcMar>
          </w:tcPr>
          <w:p w14:paraId="604CA31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771960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12.5%</w:t>
            </w:r>
          </w:p>
        </w:tc>
        <w:tc>
          <w:tcPr>
            <w:tcW w:w="482" w:type="dxa"/>
            <w:shd w:val="solid" w:color="CBFFC6" w:fill="auto"/>
            <w:tcMar>
              <w:top w:w="96" w:type="dxa"/>
              <w:left w:w="57" w:type="dxa"/>
              <w:bottom w:w="96" w:type="dxa"/>
              <w:right w:w="71" w:type="dxa"/>
            </w:tcMar>
          </w:tcPr>
          <w:p w14:paraId="23A382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36.2%</w:t>
            </w:r>
          </w:p>
        </w:tc>
        <w:tc>
          <w:tcPr>
            <w:tcW w:w="482" w:type="dxa"/>
            <w:shd w:val="solid" w:color="CBFFC6" w:fill="auto"/>
            <w:tcMar>
              <w:top w:w="96" w:type="dxa"/>
              <w:left w:w="57" w:type="dxa"/>
              <w:bottom w:w="96" w:type="dxa"/>
              <w:right w:w="71" w:type="dxa"/>
            </w:tcMar>
          </w:tcPr>
          <w:p w14:paraId="52C69D6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64.7%</w:t>
            </w:r>
          </w:p>
        </w:tc>
        <w:tc>
          <w:tcPr>
            <w:tcW w:w="482" w:type="dxa"/>
            <w:tcMar>
              <w:top w:w="96" w:type="dxa"/>
              <w:left w:w="57" w:type="dxa"/>
              <w:bottom w:w="96" w:type="dxa"/>
              <w:right w:w="71" w:type="dxa"/>
            </w:tcMar>
          </w:tcPr>
          <w:p w14:paraId="2890EE6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shd w:val="solid" w:color="FFD1D1" w:fill="auto"/>
            <w:tcMar>
              <w:top w:w="96" w:type="dxa"/>
              <w:left w:w="57" w:type="dxa"/>
              <w:bottom w:w="96" w:type="dxa"/>
              <w:right w:w="71" w:type="dxa"/>
            </w:tcMar>
          </w:tcPr>
          <w:p w14:paraId="5B15CC0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w:t>
            </w:r>
          </w:p>
        </w:tc>
        <w:tc>
          <w:tcPr>
            <w:tcW w:w="482" w:type="dxa"/>
            <w:shd w:val="solid" w:color="FFD1D1" w:fill="auto"/>
            <w:tcMar>
              <w:top w:w="96" w:type="dxa"/>
              <w:left w:w="57" w:type="dxa"/>
              <w:bottom w:w="96" w:type="dxa"/>
              <w:right w:w="71" w:type="dxa"/>
            </w:tcMar>
          </w:tcPr>
          <w:p w14:paraId="6E417C7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w:t>
            </w:r>
          </w:p>
        </w:tc>
        <w:tc>
          <w:tcPr>
            <w:tcW w:w="482" w:type="dxa"/>
            <w:tcMar>
              <w:top w:w="96" w:type="dxa"/>
              <w:left w:w="57" w:type="dxa"/>
              <w:bottom w:w="96" w:type="dxa"/>
              <w:right w:w="71" w:type="dxa"/>
            </w:tcMar>
          </w:tcPr>
          <w:p w14:paraId="614FC8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29.1%</w:t>
            </w:r>
          </w:p>
        </w:tc>
        <w:tc>
          <w:tcPr>
            <w:tcW w:w="482" w:type="dxa"/>
            <w:shd w:val="solid" w:color="CBFFC6" w:fill="auto"/>
            <w:tcMar>
              <w:top w:w="96" w:type="dxa"/>
              <w:left w:w="57" w:type="dxa"/>
              <w:bottom w:w="96" w:type="dxa"/>
              <w:right w:w="71" w:type="dxa"/>
            </w:tcMar>
          </w:tcPr>
          <w:p w14:paraId="4CCF95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97.4%</w:t>
            </w:r>
          </w:p>
        </w:tc>
        <w:tc>
          <w:tcPr>
            <w:tcW w:w="482" w:type="dxa"/>
            <w:tcMar>
              <w:top w:w="96" w:type="dxa"/>
              <w:left w:w="57" w:type="dxa"/>
              <w:bottom w:w="96" w:type="dxa"/>
              <w:right w:w="71" w:type="dxa"/>
            </w:tcMar>
          </w:tcPr>
          <w:p w14:paraId="52B211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21.4%</w:t>
            </w:r>
          </w:p>
        </w:tc>
        <w:tc>
          <w:tcPr>
            <w:tcW w:w="482" w:type="dxa"/>
            <w:tcMar>
              <w:top w:w="96" w:type="dxa"/>
              <w:left w:w="57" w:type="dxa"/>
              <w:bottom w:w="96" w:type="dxa"/>
              <w:right w:w="71" w:type="dxa"/>
            </w:tcMar>
          </w:tcPr>
          <w:p w14:paraId="145D8C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82.8%</w:t>
            </w:r>
          </w:p>
        </w:tc>
        <w:tc>
          <w:tcPr>
            <w:tcW w:w="482" w:type="dxa"/>
            <w:tcMar>
              <w:top w:w="96" w:type="dxa"/>
              <w:left w:w="57" w:type="dxa"/>
              <w:bottom w:w="96" w:type="dxa"/>
              <w:right w:w="71" w:type="dxa"/>
            </w:tcMar>
          </w:tcPr>
          <w:p w14:paraId="63EB30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78.8%</w:t>
            </w:r>
          </w:p>
        </w:tc>
        <w:tc>
          <w:tcPr>
            <w:tcW w:w="482" w:type="dxa"/>
            <w:tcMar>
              <w:top w:w="96" w:type="dxa"/>
              <w:left w:w="57" w:type="dxa"/>
              <w:bottom w:w="96" w:type="dxa"/>
              <w:right w:w="71" w:type="dxa"/>
            </w:tcMar>
          </w:tcPr>
          <w:p w14:paraId="50B176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43273C1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72.1%</w:t>
            </w:r>
          </w:p>
        </w:tc>
        <w:tc>
          <w:tcPr>
            <w:tcW w:w="482" w:type="dxa"/>
            <w:tcMar>
              <w:top w:w="96" w:type="dxa"/>
              <w:left w:w="57" w:type="dxa"/>
              <w:bottom w:w="96" w:type="dxa"/>
              <w:right w:w="71" w:type="dxa"/>
            </w:tcMar>
          </w:tcPr>
          <w:p w14:paraId="5338F8E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90.0%</w:t>
            </w:r>
          </w:p>
        </w:tc>
        <w:tc>
          <w:tcPr>
            <w:tcW w:w="482" w:type="dxa"/>
            <w:shd w:val="solid" w:color="FFD1D1" w:fill="auto"/>
            <w:tcMar>
              <w:top w:w="96" w:type="dxa"/>
              <w:left w:w="57" w:type="dxa"/>
              <w:bottom w:w="96" w:type="dxa"/>
              <w:right w:w="71" w:type="dxa"/>
            </w:tcMar>
          </w:tcPr>
          <w:p w14:paraId="4BB07D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89.0%</w:t>
            </w:r>
          </w:p>
        </w:tc>
        <w:tc>
          <w:tcPr>
            <w:tcW w:w="482" w:type="dxa"/>
            <w:tcMar>
              <w:top w:w="96" w:type="dxa"/>
              <w:left w:w="57" w:type="dxa"/>
              <w:bottom w:w="96" w:type="dxa"/>
              <w:right w:w="71" w:type="dxa"/>
            </w:tcMar>
          </w:tcPr>
          <w:p w14:paraId="4CDA8FD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80.9%</w:t>
            </w:r>
          </w:p>
        </w:tc>
        <w:tc>
          <w:tcPr>
            <w:tcW w:w="482" w:type="dxa"/>
            <w:tcMar>
              <w:top w:w="96" w:type="dxa"/>
              <w:left w:w="57" w:type="dxa"/>
              <w:bottom w:w="96" w:type="dxa"/>
              <w:right w:w="71" w:type="dxa"/>
            </w:tcMar>
          </w:tcPr>
          <w:p w14:paraId="77CCCF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340" w:type="dxa"/>
            <w:tcMar>
              <w:top w:w="96" w:type="dxa"/>
              <w:left w:w="57" w:type="dxa"/>
              <w:bottom w:w="96" w:type="dxa"/>
              <w:right w:w="71" w:type="dxa"/>
            </w:tcMar>
          </w:tcPr>
          <w:p w14:paraId="074D854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43FED4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r>
      <w:tr w:rsidR="00D6403A" w:rsidRPr="0004279D" w14:paraId="6B97B47E" w14:textId="77777777" w:rsidTr="001726E8">
        <w:trPr>
          <w:trHeight w:val="283"/>
        </w:trPr>
        <w:tc>
          <w:tcPr>
            <w:tcW w:w="1417" w:type="dxa"/>
            <w:tcMar>
              <w:top w:w="96" w:type="dxa"/>
              <w:left w:w="113" w:type="dxa"/>
              <w:bottom w:w="96" w:type="dxa"/>
              <w:right w:w="0" w:type="dxa"/>
            </w:tcMar>
          </w:tcPr>
          <w:p w14:paraId="45C4A78A"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Northeast Health Wangaratta</w:t>
            </w:r>
          </w:p>
        </w:tc>
        <w:tc>
          <w:tcPr>
            <w:tcW w:w="340" w:type="dxa"/>
            <w:tcMar>
              <w:top w:w="96" w:type="dxa"/>
              <w:left w:w="57" w:type="dxa"/>
              <w:bottom w:w="96" w:type="dxa"/>
              <w:right w:w="71" w:type="dxa"/>
            </w:tcMar>
          </w:tcPr>
          <w:p w14:paraId="245C449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02BFCDB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748</w:t>
            </w:r>
          </w:p>
        </w:tc>
        <w:tc>
          <w:tcPr>
            <w:tcW w:w="482" w:type="dxa"/>
            <w:shd w:val="solid" w:color="CBFFC6" w:fill="auto"/>
            <w:tcMar>
              <w:top w:w="96" w:type="dxa"/>
              <w:left w:w="57" w:type="dxa"/>
              <w:bottom w:w="96" w:type="dxa"/>
              <w:right w:w="71" w:type="dxa"/>
            </w:tcMar>
          </w:tcPr>
          <w:p w14:paraId="13449BB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4A15621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21.6%</w:t>
            </w:r>
          </w:p>
        </w:tc>
        <w:tc>
          <w:tcPr>
            <w:tcW w:w="482" w:type="dxa"/>
            <w:tcMar>
              <w:top w:w="96" w:type="dxa"/>
              <w:left w:w="57" w:type="dxa"/>
              <w:bottom w:w="96" w:type="dxa"/>
              <w:right w:w="71" w:type="dxa"/>
            </w:tcMar>
          </w:tcPr>
          <w:p w14:paraId="3161E5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30.1%</w:t>
            </w:r>
          </w:p>
        </w:tc>
        <w:tc>
          <w:tcPr>
            <w:tcW w:w="482" w:type="dxa"/>
            <w:shd w:val="solid" w:color="FFD1D1" w:fill="auto"/>
            <w:tcMar>
              <w:top w:w="96" w:type="dxa"/>
              <w:left w:w="57" w:type="dxa"/>
              <w:bottom w:w="96" w:type="dxa"/>
              <w:right w:w="71" w:type="dxa"/>
            </w:tcMar>
          </w:tcPr>
          <w:p w14:paraId="13B5E4D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w:t>
            </w:r>
          </w:p>
        </w:tc>
        <w:tc>
          <w:tcPr>
            <w:tcW w:w="482" w:type="dxa"/>
            <w:shd w:val="solid" w:color="FFD1D1" w:fill="auto"/>
            <w:tcMar>
              <w:top w:w="96" w:type="dxa"/>
              <w:left w:w="57" w:type="dxa"/>
              <w:bottom w:w="96" w:type="dxa"/>
              <w:right w:w="71" w:type="dxa"/>
            </w:tcMar>
          </w:tcPr>
          <w:p w14:paraId="4418B3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13.7%</w:t>
            </w:r>
          </w:p>
        </w:tc>
        <w:tc>
          <w:tcPr>
            <w:tcW w:w="482" w:type="dxa"/>
            <w:shd w:val="solid" w:color="CBFFC6" w:fill="auto"/>
            <w:tcMar>
              <w:top w:w="96" w:type="dxa"/>
              <w:left w:w="57" w:type="dxa"/>
              <w:bottom w:w="96" w:type="dxa"/>
              <w:right w:w="71" w:type="dxa"/>
            </w:tcMar>
          </w:tcPr>
          <w:p w14:paraId="02A31E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14.5%</w:t>
            </w:r>
          </w:p>
        </w:tc>
        <w:tc>
          <w:tcPr>
            <w:tcW w:w="482" w:type="dxa"/>
            <w:tcMar>
              <w:top w:w="96" w:type="dxa"/>
              <w:left w:w="57" w:type="dxa"/>
              <w:bottom w:w="96" w:type="dxa"/>
              <w:right w:w="71" w:type="dxa"/>
            </w:tcMar>
          </w:tcPr>
          <w:p w14:paraId="46C323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89.0%</w:t>
            </w:r>
          </w:p>
        </w:tc>
        <w:tc>
          <w:tcPr>
            <w:tcW w:w="482" w:type="dxa"/>
            <w:shd w:val="solid" w:color="FFD1D1" w:fill="auto"/>
            <w:tcMar>
              <w:top w:w="96" w:type="dxa"/>
              <w:left w:w="57" w:type="dxa"/>
              <w:bottom w:w="96" w:type="dxa"/>
              <w:right w:w="71" w:type="dxa"/>
            </w:tcMar>
          </w:tcPr>
          <w:p w14:paraId="4741004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19.7%</w:t>
            </w:r>
          </w:p>
        </w:tc>
        <w:tc>
          <w:tcPr>
            <w:tcW w:w="482" w:type="dxa"/>
            <w:tcMar>
              <w:top w:w="96" w:type="dxa"/>
              <w:left w:w="57" w:type="dxa"/>
              <w:bottom w:w="96" w:type="dxa"/>
              <w:right w:w="71" w:type="dxa"/>
            </w:tcMar>
          </w:tcPr>
          <w:p w14:paraId="23B3C8D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14.3%</w:t>
            </w:r>
          </w:p>
        </w:tc>
        <w:tc>
          <w:tcPr>
            <w:tcW w:w="482" w:type="dxa"/>
            <w:tcMar>
              <w:top w:w="96" w:type="dxa"/>
              <w:left w:w="57" w:type="dxa"/>
              <w:bottom w:w="96" w:type="dxa"/>
              <w:right w:w="71" w:type="dxa"/>
            </w:tcMar>
          </w:tcPr>
          <w:p w14:paraId="432C599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775B0E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26.4%</w:t>
            </w:r>
          </w:p>
        </w:tc>
        <w:tc>
          <w:tcPr>
            <w:tcW w:w="482" w:type="dxa"/>
            <w:tcMar>
              <w:top w:w="96" w:type="dxa"/>
              <w:left w:w="57" w:type="dxa"/>
              <w:bottom w:w="96" w:type="dxa"/>
              <w:right w:w="71" w:type="dxa"/>
            </w:tcMar>
          </w:tcPr>
          <w:p w14:paraId="191046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50.0%</w:t>
            </w:r>
          </w:p>
        </w:tc>
        <w:tc>
          <w:tcPr>
            <w:tcW w:w="482" w:type="dxa"/>
            <w:tcMar>
              <w:top w:w="96" w:type="dxa"/>
              <w:left w:w="57" w:type="dxa"/>
              <w:bottom w:w="96" w:type="dxa"/>
              <w:right w:w="71" w:type="dxa"/>
            </w:tcMar>
          </w:tcPr>
          <w:p w14:paraId="206D089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11EE96B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w:t>
            </w:r>
          </w:p>
        </w:tc>
        <w:tc>
          <w:tcPr>
            <w:tcW w:w="482" w:type="dxa"/>
            <w:tcMar>
              <w:top w:w="96" w:type="dxa"/>
              <w:left w:w="57" w:type="dxa"/>
              <w:bottom w:w="96" w:type="dxa"/>
              <w:right w:w="71" w:type="dxa"/>
            </w:tcMar>
          </w:tcPr>
          <w:p w14:paraId="0919B85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w:t>
            </w:r>
          </w:p>
        </w:tc>
        <w:tc>
          <w:tcPr>
            <w:tcW w:w="482" w:type="dxa"/>
            <w:tcMar>
              <w:top w:w="96" w:type="dxa"/>
              <w:left w:w="57" w:type="dxa"/>
              <w:bottom w:w="96" w:type="dxa"/>
              <w:right w:w="71" w:type="dxa"/>
            </w:tcMar>
          </w:tcPr>
          <w:p w14:paraId="3AC28A3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25.0%</w:t>
            </w:r>
          </w:p>
        </w:tc>
        <w:tc>
          <w:tcPr>
            <w:tcW w:w="482" w:type="dxa"/>
            <w:tcMar>
              <w:top w:w="96" w:type="dxa"/>
              <w:left w:w="57" w:type="dxa"/>
              <w:bottom w:w="96" w:type="dxa"/>
              <w:right w:w="71" w:type="dxa"/>
            </w:tcMar>
          </w:tcPr>
          <w:p w14:paraId="543E71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95.3%</w:t>
            </w:r>
          </w:p>
        </w:tc>
        <w:tc>
          <w:tcPr>
            <w:tcW w:w="482" w:type="dxa"/>
            <w:shd w:val="solid" w:color="CBFFC6" w:fill="auto"/>
            <w:tcMar>
              <w:top w:w="96" w:type="dxa"/>
              <w:left w:w="57" w:type="dxa"/>
              <w:bottom w:w="96" w:type="dxa"/>
              <w:right w:w="71" w:type="dxa"/>
            </w:tcMar>
          </w:tcPr>
          <w:p w14:paraId="7A87859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17.2%</w:t>
            </w:r>
          </w:p>
        </w:tc>
        <w:tc>
          <w:tcPr>
            <w:tcW w:w="482" w:type="dxa"/>
            <w:shd w:val="solid" w:color="CBFFC6" w:fill="auto"/>
            <w:tcMar>
              <w:top w:w="96" w:type="dxa"/>
              <w:left w:w="57" w:type="dxa"/>
              <w:bottom w:w="96" w:type="dxa"/>
              <w:right w:w="71" w:type="dxa"/>
            </w:tcMar>
          </w:tcPr>
          <w:p w14:paraId="3C1DA4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86.7%</w:t>
            </w:r>
          </w:p>
        </w:tc>
        <w:tc>
          <w:tcPr>
            <w:tcW w:w="482" w:type="dxa"/>
            <w:shd w:val="solid" w:color="CBFFC6" w:fill="auto"/>
            <w:tcMar>
              <w:top w:w="96" w:type="dxa"/>
              <w:left w:w="57" w:type="dxa"/>
              <w:bottom w:w="96" w:type="dxa"/>
              <w:right w:w="71" w:type="dxa"/>
            </w:tcMar>
          </w:tcPr>
          <w:p w14:paraId="583B27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93.6%</w:t>
            </w:r>
          </w:p>
        </w:tc>
        <w:tc>
          <w:tcPr>
            <w:tcW w:w="482" w:type="dxa"/>
            <w:tcMar>
              <w:top w:w="96" w:type="dxa"/>
              <w:left w:w="57" w:type="dxa"/>
              <w:bottom w:w="96" w:type="dxa"/>
              <w:right w:w="71" w:type="dxa"/>
            </w:tcMar>
          </w:tcPr>
          <w:p w14:paraId="705B8B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02FCA0A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66.7%</w:t>
            </w:r>
          </w:p>
        </w:tc>
        <w:tc>
          <w:tcPr>
            <w:tcW w:w="482" w:type="dxa"/>
            <w:tcMar>
              <w:top w:w="96" w:type="dxa"/>
              <w:left w:w="57" w:type="dxa"/>
              <w:bottom w:w="96" w:type="dxa"/>
              <w:right w:w="71" w:type="dxa"/>
            </w:tcMar>
          </w:tcPr>
          <w:p w14:paraId="30AD0F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84.9%</w:t>
            </w:r>
          </w:p>
        </w:tc>
        <w:tc>
          <w:tcPr>
            <w:tcW w:w="482" w:type="dxa"/>
            <w:shd w:val="solid" w:color="CBFFC6" w:fill="auto"/>
            <w:tcMar>
              <w:top w:w="96" w:type="dxa"/>
              <w:left w:w="57" w:type="dxa"/>
              <w:bottom w:w="96" w:type="dxa"/>
              <w:right w:w="71" w:type="dxa"/>
            </w:tcMar>
          </w:tcPr>
          <w:p w14:paraId="7A3C38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97.7%</w:t>
            </w:r>
          </w:p>
        </w:tc>
        <w:tc>
          <w:tcPr>
            <w:tcW w:w="482" w:type="dxa"/>
            <w:shd w:val="solid" w:color="CBFFC6" w:fill="auto"/>
            <w:tcMar>
              <w:top w:w="96" w:type="dxa"/>
              <w:left w:w="57" w:type="dxa"/>
              <w:bottom w:w="96" w:type="dxa"/>
              <w:right w:w="71" w:type="dxa"/>
            </w:tcMar>
          </w:tcPr>
          <w:p w14:paraId="73638C5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91.8%</w:t>
            </w:r>
          </w:p>
        </w:tc>
        <w:tc>
          <w:tcPr>
            <w:tcW w:w="482" w:type="dxa"/>
            <w:shd w:val="solid" w:color="FFD1D1" w:fill="auto"/>
            <w:tcMar>
              <w:top w:w="96" w:type="dxa"/>
              <w:left w:w="57" w:type="dxa"/>
              <w:bottom w:w="96" w:type="dxa"/>
              <w:right w:w="71" w:type="dxa"/>
            </w:tcMar>
          </w:tcPr>
          <w:p w14:paraId="4D0CC4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w:t>
            </w:r>
          </w:p>
        </w:tc>
        <w:tc>
          <w:tcPr>
            <w:tcW w:w="340" w:type="dxa"/>
            <w:tcMar>
              <w:top w:w="96" w:type="dxa"/>
              <w:left w:w="57" w:type="dxa"/>
              <w:bottom w:w="96" w:type="dxa"/>
              <w:right w:w="71" w:type="dxa"/>
            </w:tcMar>
          </w:tcPr>
          <w:p w14:paraId="7DCF88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1DA55AC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r>
      <w:tr w:rsidR="00D6403A" w:rsidRPr="0004279D" w14:paraId="2E82F0FD" w14:textId="77777777" w:rsidTr="001726E8">
        <w:trPr>
          <w:trHeight w:val="283"/>
        </w:trPr>
        <w:tc>
          <w:tcPr>
            <w:tcW w:w="1417" w:type="dxa"/>
            <w:tcMar>
              <w:top w:w="96" w:type="dxa"/>
              <w:left w:w="113" w:type="dxa"/>
              <w:bottom w:w="96" w:type="dxa"/>
              <w:right w:w="0" w:type="dxa"/>
            </w:tcMar>
          </w:tcPr>
          <w:p w14:paraId="35F434D1"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Sale Hospital</w:t>
            </w:r>
          </w:p>
        </w:tc>
        <w:tc>
          <w:tcPr>
            <w:tcW w:w="340" w:type="dxa"/>
            <w:tcMar>
              <w:top w:w="96" w:type="dxa"/>
              <w:left w:w="57" w:type="dxa"/>
              <w:bottom w:w="96" w:type="dxa"/>
              <w:right w:w="71" w:type="dxa"/>
            </w:tcMar>
          </w:tcPr>
          <w:p w14:paraId="749B174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7CD816F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447</w:t>
            </w:r>
          </w:p>
        </w:tc>
        <w:tc>
          <w:tcPr>
            <w:tcW w:w="482" w:type="dxa"/>
            <w:tcMar>
              <w:top w:w="96" w:type="dxa"/>
              <w:left w:w="57" w:type="dxa"/>
              <w:bottom w:w="96" w:type="dxa"/>
              <w:right w:w="71" w:type="dxa"/>
            </w:tcMar>
          </w:tcPr>
          <w:p w14:paraId="08F4FEF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w:t>
            </w:r>
          </w:p>
        </w:tc>
        <w:tc>
          <w:tcPr>
            <w:tcW w:w="482" w:type="dxa"/>
            <w:shd w:val="solid" w:color="CBFFC6" w:fill="auto"/>
            <w:tcMar>
              <w:top w:w="96" w:type="dxa"/>
              <w:left w:w="57" w:type="dxa"/>
              <w:bottom w:w="96" w:type="dxa"/>
              <w:right w:w="71" w:type="dxa"/>
            </w:tcMar>
          </w:tcPr>
          <w:p w14:paraId="39E6BE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14.1%</w:t>
            </w:r>
          </w:p>
        </w:tc>
        <w:tc>
          <w:tcPr>
            <w:tcW w:w="482" w:type="dxa"/>
            <w:tcMar>
              <w:top w:w="96" w:type="dxa"/>
              <w:left w:w="57" w:type="dxa"/>
              <w:bottom w:w="96" w:type="dxa"/>
              <w:right w:w="71" w:type="dxa"/>
            </w:tcMar>
          </w:tcPr>
          <w:p w14:paraId="6427DE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30.2%</w:t>
            </w:r>
          </w:p>
        </w:tc>
        <w:tc>
          <w:tcPr>
            <w:tcW w:w="482" w:type="dxa"/>
            <w:shd w:val="solid" w:color="CBFFC6" w:fill="auto"/>
            <w:tcMar>
              <w:top w:w="96" w:type="dxa"/>
              <w:left w:w="57" w:type="dxa"/>
              <w:bottom w:w="96" w:type="dxa"/>
              <w:right w:w="71" w:type="dxa"/>
            </w:tcMar>
          </w:tcPr>
          <w:p w14:paraId="6886AA6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1143E0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w:t>
            </w:r>
          </w:p>
        </w:tc>
        <w:tc>
          <w:tcPr>
            <w:tcW w:w="482" w:type="dxa"/>
            <w:tcMar>
              <w:top w:w="96" w:type="dxa"/>
              <w:left w:w="57" w:type="dxa"/>
              <w:bottom w:w="96" w:type="dxa"/>
              <w:right w:w="71" w:type="dxa"/>
            </w:tcMar>
          </w:tcPr>
          <w:p w14:paraId="7412DDF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25.4%</w:t>
            </w:r>
          </w:p>
        </w:tc>
        <w:tc>
          <w:tcPr>
            <w:tcW w:w="482" w:type="dxa"/>
            <w:tcMar>
              <w:top w:w="96" w:type="dxa"/>
              <w:left w:w="57" w:type="dxa"/>
              <w:bottom w:w="96" w:type="dxa"/>
              <w:right w:w="71" w:type="dxa"/>
            </w:tcMar>
          </w:tcPr>
          <w:p w14:paraId="12DA95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85.3%</w:t>
            </w:r>
          </w:p>
        </w:tc>
        <w:tc>
          <w:tcPr>
            <w:tcW w:w="482" w:type="dxa"/>
            <w:shd w:val="solid" w:color="CBFFC6" w:fill="auto"/>
            <w:tcMar>
              <w:top w:w="96" w:type="dxa"/>
              <w:left w:w="57" w:type="dxa"/>
              <w:bottom w:w="96" w:type="dxa"/>
              <w:right w:w="71" w:type="dxa"/>
            </w:tcMar>
          </w:tcPr>
          <w:p w14:paraId="66AD611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w:t>
            </w:r>
          </w:p>
        </w:tc>
        <w:tc>
          <w:tcPr>
            <w:tcW w:w="482" w:type="dxa"/>
            <w:tcMar>
              <w:top w:w="96" w:type="dxa"/>
              <w:left w:w="57" w:type="dxa"/>
              <w:bottom w:w="96" w:type="dxa"/>
              <w:right w:w="71" w:type="dxa"/>
            </w:tcMar>
          </w:tcPr>
          <w:p w14:paraId="2471CB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C897CF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018ACA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22.5%</w:t>
            </w:r>
          </w:p>
        </w:tc>
        <w:tc>
          <w:tcPr>
            <w:tcW w:w="482" w:type="dxa"/>
            <w:tcMar>
              <w:top w:w="96" w:type="dxa"/>
              <w:left w:w="57" w:type="dxa"/>
              <w:bottom w:w="96" w:type="dxa"/>
              <w:right w:w="71" w:type="dxa"/>
            </w:tcMar>
          </w:tcPr>
          <w:p w14:paraId="4488272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653176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w:t>
            </w:r>
          </w:p>
        </w:tc>
        <w:tc>
          <w:tcPr>
            <w:tcW w:w="482" w:type="dxa"/>
            <w:tcMar>
              <w:top w:w="96" w:type="dxa"/>
              <w:left w:w="57" w:type="dxa"/>
              <w:bottom w:w="96" w:type="dxa"/>
              <w:right w:w="71" w:type="dxa"/>
            </w:tcMar>
          </w:tcPr>
          <w:p w14:paraId="2CB4AE1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w:t>
            </w:r>
          </w:p>
        </w:tc>
        <w:tc>
          <w:tcPr>
            <w:tcW w:w="482" w:type="dxa"/>
            <w:tcMar>
              <w:top w:w="96" w:type="dxa"/>
              <w:left w:w="57" w:type="dxa"/>
              <w:bottom w:w="96" w:type="dxa"/>
              <w:right w:w="71" w:type="dxa"/>
            </w:tcMar>
          </w:tcPr>
          <w:p w14:paraId="2A88927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w:t>
            </w:r>
          </w:p>
        </w:tc>
        <w:tc>
          <w:tcPr>
            <w:tcW w:w="482" w:type="dxa"/>
            <w:tcMar>
              <w:top w:w="96" w:type="dxa"/>
              <w:left w:w="57" w:type="dxa"/>
              <w:bottom w:w="96" w:type="dxa"/>
              <w:right w:w="71" w:type="dxa"/>
            </w:tcMar>
          </w:tcPr>
          <w:p w14:paraId="546873D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27.9%</w:t>
            </w:r>
          </w:p>
        </w:tc>
        <w:tc>
          <w:tcPr>
            <w:tcW w:w="482" w:type="dxa"/>
            <w:shd w:val="solid" w:color="FFD1D1" w:fill="auto"/>
            <w:tcMar>
              <w:top w:w="96" w:type="dxa"/>
              <w:left w:w="57" w:type="dxa"/>
              <w:bottom w:w="96" w:type="dxa"/>
              <w:right w:w="71" w:type="dxa"/>
            </w:tcMar>
          </w:tcPr>
          <w:p w14:paraId="4631D6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92.5%</w:t>
            </w:r>
          </w:p>
        </w:tc>
        <w:tc>
          <w:tcPr>
            <w:tcW w:w="482" w:type="dxa"/>
            <w:tcMar>
              <w:top w:w="96" w:type="dxa"/>
              <w:left w:w="57" w:type="dxa"/>
              <w:bottom w:w="96" w:type="dxa"/>
              <w:right w:w="71" w:type="dxa"/>
            </w:tcMar>
          </w:tcPr>
          <w:p w14:paraId="010A576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20.5%</w:t>
            </w:r>
          </w:p>
        </w:tc>
        <w:tc>
          <w:tcPr>
            <w:tcW w:w="482" w:type="dxa"/>
            <w:tcMar>
              <w:top w:w="96" w:type="dxa"/>
              <w:left w:w="57" w:type="dxa"/>
              <w:bottom w:w="96" w:type="dxa"/>
              <w:right w:w="71" w:type="dxa"/>
            </w:tcMar>
          </w:tcPr>
          <w:p w14:paraId="04C8F2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83.9%</w:t>
            </w:r>
          </w:p>
        </w:tc>
        <w:tc>
          <w:tcPr>
            <w:tcW w:w="482" w:type="dxa"/>
            <w:tcMar>
              <w:top w:w="96" w:type="dxa"/>
              <w:left w:w="57" w:type="dxa"/>
              <w:bottom w:w="96" w:type="dxa"/>
              <w:right w:w="71" w:type="dxa"/>
            </w:tcMar>
          </w:tcPr>
          <w:p w14:paraId="2C09F74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83.2%</w:t>
            </w:r>
          </w:p>
        </w:tc>
        <w:tc>
          <w:tcPr>
            <w:tcW w:w="482" w:type="dxa"/>
            <w:tcMar>
              <w:top w:w="96" w:type="dxa"/>
              <w:left w:w="57" w:type="dxa"/>
              <w:bottom w:w="96" w:type="dxa"/>
              <w:right w:w="71" w:type="dxa"/>
            </w:tcMar>
          </w:tcPr>
          <w:p w14:paraId="15611BE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49790A3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79.0%</w:t>
            </w:r>
          </w:p>
        </w:tc>
        <w:tc>
          <w:tcPr>
            <w:tcW w:w="482" w:type="dxa"/>
            <w:tcMar>
              <w:top w:w="96" w:type="dxa"/>
              <w:left w:w="57" w:type="dxa"/>
              <w:bottom w:w="96" w:type="dxa"/>
              <w:right w:w="71" w:type="dxa"/>
            </w:tcMar>
          </w:tcPr>
          <w:p w14:paraId="438970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77.8%</w:t>
            </w:r>
          </w:p>
        </w:tc>
        <w:tc>
          <w:tcPr>
            <w:tcW w:w="482" w:type="dxa"/>
            <w:tcMar>
              <w:top w:w="96" w:type="dxa"/>
              <w:left w:w="57" w:type="dxa"/>
              <w:bottom w:w="96" w:type="dxa"/>
              <w:right w:w="71" w:type="dxa"/>
            </w:tcMar>
          </w:tcPr>
          <w:p w14:paraId="0AB94D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93.4%</w:t>
            </w:r>
          </w:p>
        </w:tc>
        <w:tc>
          <w:tcPr>
            <w:tcW w:w="482" w:type="dxa"/>
            <w:tcMar>
              <w:top w:w="96" w:type="dxa"/>
              <w:left w:w="57" w:type="dxa"/>
              <w:bottom w:w="96" w:type="dxa"/>
              <w:right w:w="71" w:type="dxa"/>
            </w:tcMar>
          </w:tcPr>
          <w:p w14:paraId="01CCD63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73.7%</w:t>
            </w:r>
          </w:p>
        </w:tc>
        <w:tc>
          <w:tcPr>
            <w:tcW w:w="482" w:type="dxa"/>
            <w:shd w:val="solid" w:color="FFD1D1" w:fill="auto"/>
            <w:tcMar>
              <w:top w:w="96" w:type="dxa"/>
              <w:left w:w="57" w:type="dxa"/>
              <w:bottom w:w="96" w:type="dxa"/>
              <w:right w:w="71" w:type="dxa"/>
            </w:tcMar>
          </w:tcPr>
          <w:p w14:paraId="2A43D4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4.1%</w:t>
            </w:r>
          </w:p>
        </w:tc>
        <w:tc>
          <w:tcPr>
            <w:tcW w:w="340" w:type="dxa"/>
            <w:tcMar>
              <w:top w:w="96" w:type="dxa"/>
              <w:left w:w="57" w:type="dxa"/>
              <w:bottom w:w="96" w:type="dxa"/>
              <w:right w:w="71" w:type="dxa"/>
            </w:tcMar>
          </w:tcPr>
          <w:p w14:paraId="072AD4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111A06C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w:t>
            </w:r>
          </w:p>
        </w:tc>
      </w:tr>
      <w:tr w:rsidR="00D6403A" w:rsidRPr="0004279D" w14:paraId="4F8A9AD3" w14:textId="77777777" w:rsidTr="001726E8">
        <w:trPr>
          <w:trHeight w:val="283"/>
        </w:trPr>
        <w:tc>
          <w:tcPr>
            <w:tcW w:w="1417" w:type="dxa"/>
            <w:tcMar>
              <w:top w:w="96" w:type="dxa"/>
              <w:left w:w="113" w:type="dxa"/>
              <w:bottom w:w="96" w:type="dxa"/>
              <w:right w:w="0" w:type="dxa"/>
            </w:tcMar>
          </w:tcPr>
          <w:p w14:paraId="7063D494"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Wimmera Base Hospital</w:t>
            </w:r>
          </w:p>
        </w:tc>
        <w:tc>
          <w:tcPr>
            <w:tcW w:w="340" w:type="dxa"/>
            <w:tcMar>
              <w:top w:w="96" w:type="dxa"/>
              <w:left w:w="57" w:type="dxa"/>
              <w:bottom w:w="96" w:type="dxa"/>
              <w:right w:w="71" w:type="dxa"/>
            </w:tcMar>
          </w:tcPr>
          <w:p w14:paraId="40DF143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482" w:type="dxa"/>
            <w:tcMar>
              <w:top w:w="96" w:type="dxa"/>
              <w:left w:w="57" w:type="dxa"/>
              <w:bottom w:w="96" w:type="dxa"/>
              <w:right w:w="71" w:type="dxa"/>
            </w:tcMar>
          </w:tcPr>
          <w:p w14:paraId="49179C4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284</w:t>
            </w:r>
          </w:p>
        </w:tc>
        <w:tc>
          <w:tcPr>
            <w:tcW w:w="482" w:type="dxa"/>
            <w:shd w:val="solid" w:color="CBFFC6" w:fill="auto"/>
            <w:tcMar>
              <w:top w:w="96" w:type="dxa"/>
              <w:left w:w="57" w:type="dxa"/>
              <w:bottom w:w="96" w:type="dxa"/>
              <w:right w:w="71" w:type="dxa"/>
            </w:tcMar>
          </w:tcPr>
          <w:p w14:paraId="29D269B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FFD1D1" w:fill="auto"/>
            <w:tcMar>
              <w:top w:w="96" w:type="dxa"/>
              <w:left w:w="57" w:type="dxa"/>
              <w:bottom w:w="96" w:type="dxa"/>
              <w:right w:w="71" w:type="dxa"/>
            </w:tcMar>
          </w:tcPr>
          <w:p w14:paraId="082F68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36.4%</w:t>
            </w:r>
          </w:p>
        </w:tc>
        <w:tc>
          <w:tcPr>
            <w:tcW w:w="482" w:type="dxa"/>
            <w:tcMar>
              <w:top w:w="96" w:type="dxa"/>
              <w:left w:w="57" w:type="dxa"/>
              <w:bottom w:w="96" w:type="dxa"/>
              <w:right w:w="71" w:type="dxa"/>
            </w:tcMar>
          </w:tcPr>
          <w:p w14:paraId="1DD1851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37.0%</w:t>
            </w:r>
          </w:p>
        </w:tc>
        <w:tc>
          <w:tcPr>
            <w:tcW w:w="482" w:type="dxa"/>
            <w:tcMar>
              <w:top w:w="96" w:type="dxa"/>
              <w:left w:w="57" w:type="dxa"/>
              <w:bottom w:w="96" w:type="dxa"/>
              <w:right w:w="71" w:type="dxa"/>
            </w:tcMar>
          </w:tcPr>
          <w:p w14:paraId="09EB447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w:t>
            </w:r>
          </w:p>
        </w:tc>
        <w:tc>
          <w:tcPr>
            <w:tcW w:w="482" w:type="dxa"/>
            <w:shd w:val="solid" w:color="CBFFC6" w:fill="auto"/>
            <w:tcMar>
              <w:top w:w="96" w:type="dxa"/>
              <w:left w:w="57" w:type="dxa"/>
              <w:bottom w:w="96" w:type="dxa"/>
              <w:right w:w="71" w:type="dxa"/>
            </w:tcMar>
          </w:tcPr>
          <w:p w14:paraId="21AEF1F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4F85249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20.8%</w:t>
            </w:r>
          </w:p>
        </w:tc>
        <w:tc>
          <w:tcPr>
            <w:tcW w:w="482" w:type="dxa"/>
            <w:tcMar>
              <w:top w:w="96" w:type="dxa"/>
              <w:left w:w="57" w:type="dxa"/>
              <w:bottom w:w="96" w:type="dxa"/>
              <w:right w:w="71" w:type="dxa"/>
            </w:tcMar>
          </w:tcPr>
          <w:p w14:paraId="41D96D8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87.5%</w:t>
            </w:r>
          </w:p>
        </w:tc>
        <w:tc>
          <w:tcPr>
            <w:tcW w:w="482" w:type="dxa"/>
            <w:shd w:val="solid" w:color="FFD1D1" w:fill="auto"/>
            <w:tcMar>
              <w:top w:w="96" w:type="dxa"/>
              <w:left w:w="57" w:type="dxa"/>
              <w:bottom w:w="96" w:type="dxa"/>
              <w:right w:w="71" w:type="dxa"/>
            </w:tcMar>
          </w:tcPr>
          <w:p w14:paraId="4D4AADA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17.4%</w:t>
            </w:r>
          </w:p>
        </w:tc>
        <w:tc>
          <w:tcPr>
            <w:tcW w:w="482" w:type="dxa"/>
            <w:tcMar>
              <w:top w:w="96" w:type="dxa"/>
              <w:left w:w="57" w:type="dxa"/>
              <w:bottom w:w="96" w:type="dxa"/>
              <w:right w:w="71" w:type="dxa"/>
            </w:tcMar>
          </w:tcPr>
          <w:p w14:paraId="44F3C31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68F4B4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246BB8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25.8%</w:t>
            </w:r>
          </w:p>
        </w:tc>
        <w:tc>
          <w:tcPr>
            <w:tcW w:w="482" w:type="dxa"/>
            <w:tcMar>
              <w:top w:w="96" w:type="dxa"/>
              <w:left w:w="57" w:type="dxa"/>
              <w:bottom w:w="96" w:type="dxa"/>
              <w:right w:w="71" w:type="dxa"/>
            </w:tcMar>
          </w:tcPr>
          <w:p w14:paraId="7E96003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B94133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AB1933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tcMar>
              <w:top w:w="96" w:type="dxa"/>
              <w:left w:w="57" w:type="dxa"/>
              <w:bottom w:w="96" w:type="dxa"/>
              <w:right w:w="71" w:type="dxa"/>
            </w:tcMar>
          </w:tcPr>
          <w:p w14:paraId="6969C9A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w:t>
            </w:r>
          </w:p>
        </w:tc>
        <w:tc>
          <w:tcPr>
            <w:tcW w:w="482" w:type="dxa"/>
            <w:shd w:val="solid" w:color="FFD1D1" w:fill="auto"/>
            <w:tcMar>
              <w:top w:w="96" w:type="dxa"/>
              <w:left w:w="57" w:type="dxa"/>
              <w:bottom w:w="96" w:type="dxa"/>
              <w:right w:w="71" w:type="dxa"/>
            </w:tcMar>
          </w:tcPr>
          <w:p w14:paraId="1A6AAE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18.6%</w:t>
            </w:r>
          </w:p>
        </w:tc>
        <w:tc>
          <w:tcPr>
            <w:tcW w:w="482" w:type="dxa"/>
            <w:shd w:val="solid" w:color="FFD1D1" w:fill="auto"/>
            <w:tcMar>
              <w:top w:w="96" w:type="dxa"/>
              <w:left w:w="57" w:type="dxa"/>
              <w:bottom w:w="96" w:type="dxa"/>
              <w:right w:w="71" w:type="dxa"/>
            </w:tcMar>
          </w:tcPr>
          <w:p w14:paraId="09BF62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92.7%</w:t>
            </w:r>
          </w:p>
        </w:tc>
        <w:tc>
          <w:tcPr>
            <w:tcW w:w="482" w:type="dxa"/>
            <w:shd w:val="solid" w:color="CBFFC6" w:fill="auto"/>
            <w:tcMar>
              <w:top w:w="96" w:type="dxa"/>
              <w:left w:w="57" w:type="dxa"/>
              <w:bottom w:w="96" w:type="dxa"/>
              <w:right w:w="71" w:type="dxa"/>
            </w:tcMar>
          </w:tcPr>
          <w:p w14:paraId="0E33C04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17.0%</w:t>
            </w:r>
          </w:p>
        </w:tc>
        <w:tc>
          <w:tcPr>
            <w:tcW w:w="482" w:type="dxa"/>
            <w:shd w:val="solid" w:color="CBFFC6" w:fill="auto"/>
            <w:tcMar>
              <w:top w:w="96" w:type="dxa"/>
              <w:left w:w="57" w:type="dxa"/>
              <w:bottom w:w="96" w:type="dxa"/>
              <w:right w:w="71" w:type="dxa"/>
            </w:tcMar>
          </w:tcPr>
          <w:p w14:paraId="7263C7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91.3%</w:t>
            </w:r>
          </w:p>
        </w:tc>
        <w:tc>
          <w:tcPr>
            <w:tcW w:w="482" w:type="dxa"/>
            <w:tcMar>
              <w:top w:w="96" w:type="dxa"/>
              <w:left w:w="57" w:type="dxa"/>
              <w:bottom w:w="96" w:type="dxa"/>
              <w:right w:w="71" w:type="dxa"/>
            </w:tcMar>
          </w:tcPr>
          <w:p w14:paraId="78F3ACF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88.7%</w:t>
            </w:r>
          </w:p>
        </w:tc>
        <w:tc>
          <w:tcPr>
            <w:tcW w:w="482" w:type="dxa"/>
            <w:shd w:val="solid" w:color="CBFFC6" w:fill="auto"/>
            <w:tcMar>
              <w:top w:w="96" w:type="dxa"/>
              <w:left w:w="57" w:type="dxa"/>
              <w:bottom w:w="96" w:type="dxa"/>
              <w:right w:w="71" w:type="dxa"/>
            </w:tcMar>
          </w:tcPr>
          <w:p w14:paraId="373EE5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0.4%</w:t>
            </w:r>
          </w:p>
        </w:tc>
        <w:tc>
          <w:tcPr>
            <w:tcW w:w="482" w:type="dxa"/>
            <w:tcMar>
              <w:top w:w="96" w:type="dxa"/>
              <w:left w:w="57" w:type="dxa"/>
              <w:bottom w:w="96" w:type="dxa"/>
              <w:right w:w="71" w:type="dxa"/>
            </w:tcMar>
          </w:tcPr>
          <w:p w14:paraId="02E910C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65.0%</w:t>
            </w:r>
          </w:p>
        </w:tc>
        <w:tc>
          <w:tcPr>
            <w:tcW w:w="482" w:type="dxa"/>
            <w:tcMar>
              <w:top w:w="96" w:type="dxa"/>
              <w:left w:w="57" w:type="dxa"/>
              <w:bottom w:w="96" w:type="dxa"/>
              <w:right w:w="71" w:type="dxa"/>
            </w:tcMar>
          </w:tcPr>
          <w:p w14:paraId="4234C0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89.5%</w:t>
            </w:r>
          </w:p>
        </w:tc>
        <w:tc>
          <w:tcPr>
            <w:tcW w:w="482" w:type="dxa"/>
            <w:tcMar>
              <w:top w:w="96" w:type="dxa"/>
              <w:left w:w="57" w:type="dxa"/>
              <w:bottom w:w="96" w:type="dxa"/>
              <w:right w:w="71" w:type="dxa"/>
            </w:tcMar>
          </w:tcPr>
          <w:p w14:paraId="7CC19A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91.9%</w:t>
            </w:r>
          </w:p>
        </w:tc>
        <w:tc>
          <w:tcPr>
            <w:tcW w:w="482" w:type="dxa"/>
            <w:shd w:val="solid" w:color="FFD1D1" w:fill="auto"/>
            <w:tcMar>
              <w:top w:w="96" w:type="dxa"/>
              <w:left w:w="57" w:type="dxa"/>
              <w:bottom w:w="96" w:type="dxa"/>
              <w:right w:w="71" w:type="dxa"/>
            </w:tcMar>
          </w:tcPr>
          <w:p w14:paraId="2A4738A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66.4%</w:t>
            </w:r>
          </w:p>
        </w:tc>
        <w:tc>
          <w:tcPr>
            <w:tcW w:w="482" w:type="dxa"/>
            <w:tcMar>
              <w:top w:w="96" w:type="dxa"/>
              <w:left w:w="57" w:type="dxa"/>
              <w:bottom w:w="96" w:type="dxa"/>
              <w:right w:w="71" w:type="dxa"/>
            </w:tcMar>
          </w:tcPr>
          <w:p w14:paraId="0956444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w:t>
            </w:r>
          </w:p>
        </w:tc>
        <w:tc>
          <w:tcPr>
            <w:tcW w:w="340" w:type="dxa"/>
            <w:tcMar>
              <w:top w:w="96" w:type="dxa"/>
              <w:left w:w="57" w:type="dxa"/>
              <w:bottom w:w="96" w:type="dxa"/>
              <w:right w:w="71" w:type="dxa"/>
            </w:tcMar>
          </w:tcPr>
          <w:p w14:paraId="4D8716B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527E3A2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r>
      <w:tr w:rsidR="00D6403A" w:rsidRPr="0004279D" w14:paraId="5734CC8C" w14:textId="77777777" w:rsidTr="001726E8">
        <w:trPr>
          <w:trHeight w:val="567"/>
        </w:trPr>
        <w:tc>
          <w:tcPr>
            <w:tcW w:w="1417" w:type="dxa"/>
            <w:tcMar>
              <w:top w:w="96" w:type="dxa"/>
              <w:left w:w="113" w:type="dxa"/>
              <w:bottom w:w="96" w:type="dxa"/>
              <w:right w:w="0" w:type="dxa"/>
            </w:tcMar>
          </w:tcPr>
          <w:p w14:paraId="13627FA0"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lastRenderedPageBreak/>
              <w:t xml:space="preserve">Bacchus Marsh and Melton Regional </w:t>
            </w:r>
          </w:p>
        </w:tc>
        <w:tc>
          <w:tcPr>
            <w:tcW w:w="340" w:type="dxa"/>
            <w:tcMar>
              <w:top w:w="96" w:type="dxa"/>
              <w:left w:w="57" w:type="dxa"/>
              <w:bottom w:w="96" w:type="dxa"/>
              <w:right w:w="71" w:type="dxa"/>
            </w:tcMar>
          </w:tcPr>
          <w:p w14:paraId="44C6D0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1A4BD4F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457</w:t>
            </w:r>
          </w:p>
        </w:tc>
        <w:tc>
          <w:tcPr>
            <w:tcW w:w="482" w:type="dxa"/>
            <w:shd w:val="solid" w:color="FFD1D1" w:fill="auto"/>
            <w:tcMar>
              <w:top w:w="96" w:type="dxa"/>
              <w:left w:w="57" w:type="dxa"/>
              <w:bottom w:w="96" w:type="dxa"/>
              <w:right w:w="71" w:type="dxa"/>
            </w:tcMar>
          </w:tcPr>
          <w:p w14:paraId="6A36193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37.9%</w:t>
            </w:r>
          </w:p>
        </w:tc>
        <w:tc>
          <w:tcPr>
            <w:tcW w:w="482" w:type="dxa"/>
            <w:tcMar>
              <w:top w:w="96" w:type="dxa"/>
              <w:left w:w="57" w:type="dxa"/>
              <w:bottom w:w="96" w:type="dxa"/>
              <w:right w:w="71" w:type="dxa"/>
            </w:tcMar>
          </w:tcPr>
          <w:p w14:paraId="38732F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24.4%</w:t>
            </w:r>
          </w:p>
        </w:tc>
        <w:tc>
          <w:tcPr>
            <w:tcW w:w="482" w:type="dxa"/>
            <w:shd w:val="solid" w:color="CBFFC6" w:fill="auto"/>
            <w:tcMar>
              <w:top w:w="96" w:type="dxa"/>
              <w:left w:w="57" w:type="dxa"/>
              <w:bottom w:w="96" w:type="dxa"/>
              <w:right w:w="71" w:type="dxa"/>
            </w:tcMar>
          </w:tcPr>
          <w:p w14:paraId="35F6C74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29.6%</w:t>
            </w:r>
          </w:p>
        </w:tc>
        <w:tc>
          <w:tcPr>
            <w:tcW w:w="482" w:type="dxa"/>
            <w:tcMar>
              <w:top w:w="96" w:type="dxa"/>
              <w:left w:w="57" w:type="dxa"/>
              <w:bottom w:w="96" w:type="dxa"/>
              <w:right w:w="71" w:type="dxa"/>
            </w:tcMar>
          </w:tcPr>
          <w:p w14:paraId="57477A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w:t>
            </w:r>
          </w:p>
        </w:tc>
        <w:tc>
          <w:tcPr>
            <w:tcW w:w="482" w:type="dxa"/>
            <w:shd w:val="solid" w:color="FFD1D1" w:fill="auto"/>
            <w:tcMar>
              <w:top w:w="96" w:type="dxa"/>
              <w:left w:w="57" w:type="dxa"/>
              <w:bottom w:w="96" w:type="dxa"/>
              <w:right w:w="71" w:type="dxa"/>
            </w:tcMar>
          </w:tcPr>
          <w:p w14:paraId="6C2448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w:t>
            </w:r>
          </w:p>
        </w:tc>
        <w:tc>
          <w:tcPr>
            <w:tcW w:w="482" w:type="dxa"/>
            <w:shd w:val="solid" w:color="FFD1D1" w:fill="auto"/>
            <w:tcMar>
              <w:top w:w="96" w:type="dxa"/>
              <w:left w:w="57" w:type="dxa"/>
              <w:bottom w:w="96" w:type="dxa"/>
              <w:right w:w="71" w:type="dxa"/>
            </w:tcMar>
          </w:tcPr>
          <w:p w14:paraId="46ED30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33.3%</w:t>
            </w:r>
          </w:p>
        </w:tc>
        <w:tc>
          <w:tcPr>
            <w:tcW w:w="482" w:type="dxa"/>
            <w:shd w:val="solid" w:color="CBFFC6" w:fill="auto"/>
            <w:tcMar>
              <w:top w:w="96" w:type="dxa"/>
              <w:left w:w="57" w:type="dxa"/>
              <w:bottom w:w="96" w:type="dxa"/>
              <w:right w:w="71" w:type="dxa"/>
            </w:tcMar>
          </w:tcPr>
          <w:p w14:paraId="1470625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96.0%</w:t>
            </w:r>
          </w:p>
        </w:tc>
        <w:tc>
          <w:tcPr>
            <w:tcW w:w="482" w:type="dxa"/>
            <w:tcMar>
              <w:top w:w="96" w:type="dxa"/>
              <w:left w:w="57" w:type="dxa"/>
              <w:bottom w:w="96" w:type="dxa"/>
              <w:right w:w="71" w:type="dxa"/>
            </w:tcMar>
          </w:tcPr>
          <w:p w14:paraId="36797E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w:t>
            </w:r>
          </w:p>
        </w:tc>
        <w:tc>
          <w:tcPr>
            <w:tcW w:w="482" w:type="dxa"/>
            <w:tcMar>
              <w:top w:w="96" w:type="dxa"/>
              <w:left w:w="57" w:type="dxa"/>
              <w:bottom w:w="96" w:type="dxa"/>
              <w:right w:w="71" w:type="dxa"/>
            </w:tcMar>
          </w:tcPr>
          <w:p w14:paraId="6DE82E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F5CEE6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2B3290C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3.9%</w:t>
            </w:r>
          </w:p>
        </w:tc>
        <w:tc>
          <w:tcPr>
            <w:tcW w:w="482" w:type="dxa"/>
            <w:tcMar>
              <w:top w:w="96" w:type="dxa"/>
              <w:left w:w="57" w:type="dxa"/>
              <w:bottom w:w="96" w:type="dxa"/>
              <w:right w:w="71" w:type="dxa"/>
            </w:tcMar>
          </w:tcPr>
          <w:p w14:paraId="4DE9E8E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198DD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070B41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tcMar>
              <w:top w:w="96" w:type="dxa"/>
              <w:left w:w="57" w:type="dxa"/>
              <w:bottom w:w="96" w:type="dxa"/>
              <w:right w:w="71" w:type="dxa"/>
            </w:tcMar>
          </w:tcPr>
          <w:p w14:paraId="7EB8B90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w:t>
            </w:r>
          </w:p>
        </w:tc>
        <w:tc>
          <w:tcPr>
            <w:tcW w:w="482" w:type="dxa"/>
            <w:tcMar>
              <w:top w:w="96" w:type="dxa"/>
              <w:left w:w="57" w:type="dxa"/>
              <w:bottom w:w="96" w:type="dxa"/>
              <w:right w:w="71" w:type="dxa"/>
            </w:tcMar>
          </w:tcPr>
          <w:p w14:paraId="0F9E4A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34.1%</w:t>
            </w:r>
          </w:p>
        </w:tc>
        <w:tc>
          <w:tcPr>
            <w:tcW w:w="482" w:type="dxa"/>
            <w:shd w:val="solid" w:color="FFD1D1" w:fill="auto"/>
            <w:tcMar>
              <w:top w:w="96" w:type="dxa"/>
              <w:left w:w="57" w:type="dxa"/>
              <w:bottom w:w="96" w:type="dxa"/>
              <w:right w:w="71" w:type="dxa"/>
            </w:tcMar>
          </w:tcPr>
          <w:p w14:paraId="469C44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93.7%</w:t>
            </w:r>
          </w:p>
        </w:tc>
        <w:tc>
          <w:tcPr>
            <w:tcW w:w="482" w:type="dxa"/>
            <w:tcMar>
              <w:top w:w="96" w:type="dxa"/>
              <w:left w:w="57" w:type="dxa"/>
              <w:bottom w:w="96" w:type="dxa"/>
              <w:right w:w="71" w:type="dxa"/>
            </w:tcMar>
          </w:tcPr>
          <w:p w14:paraId="73FABB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20.4%</w:t>
            </w:r>
          </w:p>
        </w:tc>
        <w:tc>
          <w:tcPr>
            <w:tcW w:w="482" w:type="dxa"/>
            <w:shd w:val="solid" w:color="CBFFC6" w:fill="auto"/>
            <w:tcMar>
              <w:top w:w="96" w:type="dxa"/>
              <w:left w:w="57" w:type="dxa"/>
              <w:bottom w:w="96" w:type="dxa"/>
              <w:right w:w="71" w:type="dxa"/>
            </w:tcMar>
          </w:tcPr>
          <w:p w14:paraId="74FBFC4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86.1%</w:t>
            </w:r>
          </w:p>
        </w:tc>
        <w:tc>
          <w:tcPr>
            <w:tcW w:w="482" w:type="dxa"/>
            <w:tcMar>
              <w:top w:w="96" w:type="dxa"/>
              <w:left w:w="57" w:type="dxa"/>
              <w:bottom w:w="96" w:type="dxa"/>
              <w:right w:w="71" w:type="dxa"/>
            </w:tcMar>
          </w:tcPr>
          <w:p w14:paraId="020926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75.0%</w:t>
            </w:r>
          </w:p>
        </w:tc>
        <w:tc>
          <w:tcPr>
            <w:tcW w:w="482" w:type="dxa"/>
            <w:tcMar>
              <w:top w:w="96" w:type="dxa"/>
              <w:left w:w="57" w:type="dxa"/>
              <w:bottom w:w="96" w:type="dxa"/>
              <w:right w:w="71" w:type="dxa"/>
            </w:tcMar>
          </w:tcPr>
          <w:p w14:paraId="3414E5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w:t>
            </w:r>
          </w:p>
        </w:tc>
        <w:tc>
          <w:tcPr>
            <w:tcW w:w="482" w:type="dxa"/>
            <w:tcMar>
              <w:top w:w="96" w:type="dxa"/>
              <w:left w:w="57" w:type="dxa"/>
              <w:bottom w:w="96" w:type="dxa"/>
              <w:right w:w="71" w:type="dxa"/>
            </w:tcMar>
          </w:tcPr>
          <w:p w14:paraId="20BD72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83.3%</w:t>
            </w:r>
          </w:p>
        </w:tc>
        <w:tc>
          <w:tcPr>
            <w:tcW w:w="482" w:type="dxa"/>
            <w:shd w:val="solid" w:color="FFD1D1" w:fill="auto"/>
            <w:tcMar>
              <w:top w:w="96" w:type="dxa"/>
              <w:left w:w="57" w:type="dxa"/>
              <w:bottom w:w="96" w:type="dxa"/>
              <w:right w:w="71" w:type="dxa"/>
            </w:tcMar>
          </w:tcPr>
          <w:p w14:paraId="1EDC95D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97.6%</w:t>
            </w:r>
          </w:p>
        </w:tc>
        <w:tc>
          <w:tcPr>
            <w:tcW w:w="482" w:type="dxa"/>
            <w:tcMar>
              <w:top w:w="96" w:type="dxa"/>
              <w:left w:w="57" w:type="dxa"/>
              <w:bottom w:w="96" w:type="dxa"/>
              <w:right w:w="71" w:type="dxa"/>
            </w:tcMar>
          </w:tcPr>
          <w:p w14:paraId="0F6E5BA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89.9%</w:t>
            </w:r>
          </w:p>
        </w:tc>
        <w:tc>
          <w:tcPr>
            <w:tcW w:w="482" w:type="dxa"/>
            <w:tcMar>
              <w:top w:w="96" w:type="dxa"/>
              <w:left w:w="57" w:type="dxa"/>
              <w:bottom w:w="96" w:type="dxa"/>
              <w:right w:w="71" w:type="dxa"/>
            </w:tcMar>
          </w:tcPr>
          <w:p w14:paraId="17BF3F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75.1%</w:t>
            </w:r>
          </w:p>
        </w:tc>
        <w:tc>
          <w:tcPr>
            <w:tcW w:w="482" w:type="dxa"/>
            <w:tcMar>
              <w:top w:w="96" w:type="dxa"/>
              <w:left w:w="57" w:type="dxa"/>
              <w:bottom w:w="96" w:type="dxa"/>
              <w:right w:w="71" w:type="dxa"/>
            </w:tcMar>
          </w:tcPr>
          <w:p w14:paraId="1EF235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340" w:type="dxa"/>
            <w:tcMar>
              <w:top w:w="96" w:type="dxa"/>
              <w:left w:w="57" w:type="dxa"/>
              <w:bottom w:w="96" w:type="dxa"/>
              <w:right w:w="71" w:type="dxa"/>
            </w:tcMar>
          </w:tcPr>
          <w:p w14:paraId="4D0AED4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340" w:type="dxa"/>
            <w:tcMar>
              <w:top w:w="96" w:type="dxa"/>
              <w:left w:w="57" w:type="dxa"/>
              <w:bottom w:w="96" w:type="dxa"/>
              <w:right w:w="71" w:type="dxa"/>
            </w:tcMar>
          </w:tcPr>
          <w:p w14:paraId="373DC1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r>
      <w:tr w:rsidR="00D6403A" w:rsidRPr="0004279D" w14:paraId="4C1BD4FA" w14:textId="77777777" w:rsidTr="001726E8">
        <w:trPr>
          <w:trHeight w:val="283"/>
        </w:trPr>
        <w:tc>
          <w:tcPr>
            <w:tcW w:w="1417" w:type="dxa"/>
            <w:tcMar>
              <w:top w:w="96" w:type="dxa"/>
              <w:left w:w="113" w:type="dxa"/>
              <w:bottom w:w="96" w:type="dxa"/>
              <w:right w:w="0" w:type="dxa"/>
            </w:tcMar>
          </w:tcPr>
          <w:p w14:paraId="1F980588"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Echuca Regional Hospital</w:t>
            </w:r>
          </w:p>
        </w:tc>
        <w:tc>
          <w:tcPr>
            <w:tcW w:w="340" w:type="dxa"/>
            <w:tcMar>
              <w:top w:w="96" w:type="dxa"/>
              <w:left w:w="57" w:type="dxa"/>
              <w:bottom w:w="96" w:type="dxa"/>
              <w:right w:w="71" w:type="dxa"/>
            </w:tcMar>
          </w:tcPr>
          <w:p w14:paraId="2618F0C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25D8AE0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457</w:t>
            </w:r>
          </w:p>
        </w:tc>
        <w:tc>
          <w:tcPr>
            <w:tcW w:w="482" w:type="dxa"/>
            <w:tcMar>
              <w:top w:w="96" w:type="dxa"/>
              <w:left w:w="57" w:type="dxa"/>
              <w:bottom w:w="96" w:type="dxa"/>
              <w:right w:w="71" w:type="dxa"/>
            </w:tcMar>
          </w:tcPr>
          <w:p w14:paraId="0498DF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15.1%</w:t>
            </w:r>
          </w:p>
        </w:tc>
        <w:tc>
          <w:tcPr>
            <w:tcW w:w="482" w:type="dxa"/>
            <w:tcMar>
              <w:top w:w="96" w:type="dxa"/>
              <w:left w:w="57" w:type="dxa"/>
              <w:bottom w:w="96" w:type="dxa"/>
              <w:right w:w="71" w:type="dxa"/>
            </w:tcMar>
          </w:tcPr>
          <w:p w14:paraId="77C1B6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15.6%</w:t>
            </w:r>
          </w:p>
        </w:tc>
        <w:tc>
          <w:tcPr>
            <w:tcW w:w="482" w:type="dxa"/>
            <w:shd w:val="solid" w:color="FFD1D1" w:fill="auto"/>
            <w:tcMar>
              <w:top w:w="96" w:type="dxa"/>
              <w:left w:w="57" w:type="dxa"/>
              <w:bottom w:w="96" w:type="dxa"/>
              <w:right w:w="71" w:type="dxa"/>
            </w:tcMar>
          </w:tcPr>
          <w:p w14:paraId="5D7FE6B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42.9%</w:t>
            </w:r>
          </w:p>
        </w:tc>
        <w:tc>
          <w:tcPr>
            <w:tcW w:w="482" w:type="dxa"/>
            <w:tcMar>
              <w:top w:w="96" w:type="dxa"/>
              <w:left w:w="57" w:type="dxa"/>
              <w:bottom w:w="96" w:type="dxa"/>
              <w:right w:w="71" w:type="dxa"/>
            </w:tcMar>
          </w:tcPr>
          <w:p w14:paraId="0EC2A4A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w:t>
            </w:r>
          </w:p>
        </w:tc>
        <w:tc>
          <w:tcPr>
            <w:tcW w:w="482" w:type="dxa"/>
            <w:shd w:val="solid" w:color="CBFFC6" w:fill="auto"/>
            <w:tcMar>
              <w:top w:w="96" w:type="dxa"/>
              <w:left w:w="57" w:type="dxa"/>
              <w:bottom w:w="96" w:type="dxa"/>
              <w:right w:w="71" w:type="dxa"/>
            </w:tcMar>
          </w:tcPr>
          <w:p w14:paraId="5C33F1B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w:t>
            </w:r>
          </w:p>
        </w:tc>
        <w:tc>
          <w:tcPr>
            <w:tcW w:w="482" w:type="dxa"/>
            <w:shd w:val="solid" w:color="CBFFC6" w:fill="auto"/>
            <w:tcMar>
              <w:top w:w="96" w:type="dxa"/>
              <w:left w:w="57" w:type="dxa"/>
              <w:bottom w:w="96" w:type="dxa"/>
              <w:right w:w="71" w:type="dxa"/>
            </w:tcMar>
          </w:tcPr>
          <w:p w14:paraId="4FCCB8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12.3%</w:t>
            </w:r>
          </w:p>
        </w:tc>
        <w:tc>
          <w:tcPr>
            <w:tcW w:w="482" w:type="dxa"/>
            <w:shd w:val="solid" w:color="FFD1D1" w:fill="auto"/>
            <w:tcMar>
              <w:top w:w="96" w:type="dxa"/>
              <w:left w:w="57" w:type="dxa"/>
              <w:bottom w:w="96" w:type="dxa"/>
              <w:right w:w="71" w:type="dxa"/>
            </w:tcMar>
          </w:tcPr>
          <w:p w14:paraId="7BDA303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71.8%</w:t>
            </w:r>
          </w:p>
        </w:tc>
        <w:tc>
          <w:tcPr>
            <w:tcW w:w="482" w:type="dxa"/>
            <w:shd w:val="solid" w:color="CBFFC6" w:fill="auto"/>
            <w:tcMar>
              <w:top w:w="96" w:type="dxa"/>
              <w:left w:w="57" w:type="dxa"/>
              <w:bottom w:w="96" w:type="dxa"/>
              <w:right w:w="71" w:type="dxa"/>
            </w:tcMar>
          </w:tcPr>
          <w:p w14:paraId="7C7994F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6.8%</w:t>
            </w:r>
          </w:p>
        </w:tc>
        <w:tc>
          <w:tcPr>
            <w:tcW w:w="482" w:type="dxa"/>
            <w:tcMar>
              <w:top w:w="96" w:type="dxa"/>
              <w:left w:w="57" w:type="dxa"/>
              <w:bottom w:w="96" w:type="dxa"/>
              <w:right w:w="71" w:type="dxa"/>
            </w:tcMar>
          </w:tcPr>
          <w:p w14:paraId="5F5484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86BE1F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DC894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25.5%</w:t>
            </w:r>
          </w:p>
        </w:tc>
        <w:tc>
          <w:tcPr>
            <w:tcW w:w="482" w:type="dxa"/>
            <w:tcMar>
              <w:top w:w="96" w:type="dxa"/>
              <w:left w:w="57" w:type="dxa"/>
              <w:bottom w:w="96" w:type="dxa"/>
              <w:right w:w="71" w:type="dxa"/>
            </w:tcMar>
          </w:tcPr>
          <w:p w14:paraId="43014EA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57.1%</w:t>
            </w:r>
          </w:p>
        </w:tc>
        <w:tc>
          <w:tcPr>
            <w:tcW w:w="482" w:type="dxa"/>
            <w:tcMar>
              <w:top w:w="96" w:type="dxa"/>
              <w:left w:w="57" w:type="dxa"/>
              <w:bottom w:w="96" w:type="dxa"/>
              <w:right w:w="71" w:type="dxa"/>
            </w:tcMar>
          </w:tcPr>
          <w:p w14:paraId="2433DA0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743F10B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3.7%</w:t>
            </w:r>
          </w:p>
        </w:tc>
        <w:tc>
          <w:tcPr>
            <w:tcW w:w="482" w:type="dxa"/>
            <w:shd w:val="solid" w:color="CBFFC6" w:fill="auto"/>
            <w:tcMar>
              <w:top w:w="96" w:type="dxa"/>
              <w:left w:w="57" w:type="dxa"/>
              <w:bottom w:w="96" w:type="dxa"/>
              <w:right w:w="71" w:type="dxa"/>
            </w:tcMar>
          </w:tcPr>
          <w:p w14:paraId="3270E05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w:t>
            </w:r>
          </w:p>
        </w:tc>
        <w:tc>
          <w:tcPr>
            <w:tcW w:w="482" w:type="dxa"/>
            <w:tcMar>
              <w:top w:w="96" w:type="dxa"/>
              <w:left w:w="57" w:type="dxa"/>
              <w:bottom w:w="96" w:type="dxa"/>
              <w:right w:w="71" w:type="dxa"/>
            </w:tcMar>
          </w:tcPr>
          <w:p w14:paraId="2F5C76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30.0%</w:t>
            </w:r>
          </w:p>
        </w:tc>
        <w:tc>
          <w:tcPr>
            <w:tcW w:w="482" w:type="dxa"/>
            <w:shd w:val="solid" w:color="FFD1D1" w:fill="auto"/>
            <w:tcMar>
              <w:top w:w="96" w:type="dxa"/>
              <w:left w:w="57" w:type="dxa"/>
              <w:bottom w:w="96" w:type="dxa"/>
              <w:right w:w="71" w:type="dxa"/>
            </w:tcMar>
          </w:tcPr>
          <w:p w14:paraId="0940ABD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93.2%</w:t>
            </w:r>
          </w:p>
        </w:tc>
        <w:tc>
          <w:tcPr>
            <w:tcW w:w="482" w:type="dxa"/>
            <w:tcMar>
              <w:top w:w="96" w:type="dxa"/>
              <w:left w:w="57" w:type="dxa"/>
              <w:bottom w:w="96" w:type="dxa"/>
              <w:right w:w="71" w:type="dxa"/>
            </w:tcMar>
          </w:tcPr>
          <w:p w14:paraId="110D93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21.5%</w:t>
            </w:r>
          </w:p>
        </w:tc>
        <w:tc>
          <w:tcPr>
            <w:tcW w:w="482" w:type="dxa"/>
            <w:tcMar>
              <w:top w:w="96" w:type="dxa"/>
              <w:left w:w="57" w:type="dxa"/>
              <w:bottom w:w="96" w:type="dxa"/>
              <w:right w:w="71" w:type="dxa"/>
            </w:tcMar>
          </w:tcPr>
          <w:p w14:paraId="50D11C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80.2%</w:t>
            </w:r>
          </w:p>
        </w:tc>
        <w:tc>
          <w:tcPr>
            <w:tcW w:w="482" w:type="dxa"/>
            <w:tcMar>
              <w:top w:w="96" w:type="dxa"/>
              <w:left w:w="57" w:type="dxa"/>
              <w:bottom w:w="96" w:type="dxa"/>
              <w:right w:w="71" w:type="dxa"/>
            </w:tcMar>
          </w:tcPr>
          <w:p w14:paraId="013281A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88.0%</w:t>
            </w:r>
          </w:p>
        </w:tc>
        <w:tc>
          <w:tcPr>
            <w:tcW w:w="482" w:type="dxa"/>
            <w:tcMar>
              <w:top w:w="96" w:type="dxa"/>
              <w:left w:w="57" w:type="dxa"/>
              <w:bottom w:w="96" w:type="dxa"/>
              <w:right w:w="71" w:type="dxa"/>
            </w:tcMar>
          </w:tcPr>
          <w:p w14:paraId="09A4A9F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0D18B7A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82.1%</w:t>
            </w:r>
          </w:p>
        </w:tc>
        <w:tc>
          <w:tcPr>
            <w:tcW w:w="482" w:type="dxa"/>
            <w:tcMar>
              <w:top w:w="96" w:type="dxa"/>
              <w:left w:w="57" w:type="dxa"/>
              <w:bottom w:w="96" w:type="dxa"/>
              <w:right w:w="71" w:type="dxa"/>
            </w:tcMar>
          </w:tcPr>
          <w:p w14:paraId="084A67F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92.3%</w:t>
            </w:r>
          </w:p>
        </w:tc>
        <w:tc>
          <w:tcPr>
            <w:tcW w:w="482" w:type="dxa"/>
            <w:shd w:val="solid" w:color="CBFFC6" w:fill="auto"/>
            <w:tcMar>
              <w:top w:w="96" w:type="dxa"/>
              <w:left w:w="57" w:type="dxa"/>
              <w:bottom w:w="96" w:type="dxa"/>
              <w:right w:w="71" w:type="dxa"/>
            </w:tcMar>
          </w:tcPr>
          <w:p w14:paraId="2983F65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96.9%</w:t>
            </w:r>
          </w:p>
        </w:tc>
        <w:tc>
          <w:tcPr>
            <w:tcW w:w="482" w:type="dxa"/>
            <w:shd w:val="solid" w:color="CBFFC6" w:fill="auto"/>
            <w:tcMar>
              <w:top w:w="96" w:type="dxa"/>
              <w:left w:w="57" w:type="dxa"/>
              <w:bottom w:w="96" w:type="dxa"/>
              <w:right w:w="71" w:type="dxa"/>
            </w:tcMar>
          </w:tcPr>
          <w:p w14:paraId="468F3E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86.0%</w:t>
            </w:r>
          </w:p>
        </w:tc>
        <w:tc>
          <w:tcPr>
            <w:tcW w:w="482" w:type="dxa"/>
            <w:shd w:val="solid" w:color="FFD1D1" w:fill="auto"/>
            <w:tcMar>
              <w:top w:w="96" w:type="dxa"/>
              <w:left w:w="57" w:type="dxa"/>
              <w:bottom w:w="96" w:type="dxa"/>
              <w:right w:w="71" w:type="dxa"/>
            </w:tcMar>
          </w:tcPr>
          <w:p w14:paraId="0066BEE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4.6%</w:t>
            </w:r>
          </w:p>
        </w:tc>
        <w:tc>
          <w:tcPr>
            <w:tcW w:w="340" w:type="dxa"/>
            <w:tcMar>
              <w:top w:w="96" w:type="dxa"/>
              <w:left w:w="57" w:type="dxa"/>
              <w:bottom w:w="96" w:type="dxa"/>
              <w:right w:w="71" w:type="dxa"/>
            </w:tcMar>
          </w:tcPr>
          <w:p w14:paraId="00B664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7046183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r>
      <w:tr w:rsidR="00D6403A" w:rsidRPr="0004279D" w14:paraId="33EAF08A" w14:textId="77777777" w:rsidTr="001726E8">
        <w:trPr>
          <w:trHeight w:val="283"/>
        </w:trPr>
        <w:tc>
          <w:tcPr>
            <w:tcW w:w="1417" w:type="dxa"/>
            <w:tcMar>
              <w:top w:w="96" w:type="dxa"/>
              <w:left w:w="113" w:type="dxa"/>
              <w:bottom w:w="96" w:type="dxa"/>
              <w:right w:w="0" w:type="dxa"/>
            </w:tcMar>
          </w:tcPr>
          <w:p w14:paraId="62C655B5"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Bairnsdale Regional Health Service</w:t>
            </w:r>
          </w:p>
        </w:tc>
        <w:tc>
          <w:tcPr>
            <w:tcW w:w="340" w:type="dxa"/>
            <w:tcMar>
              <w:top w:w="96" w:type="dxa"/>
              <w:left w:w="57" w:type="dxa"/>
              <w:bottom w:w="96" w:type="dxa"/>
              <w:right w:w="71" w:type="dxa"/>
            </w:tcMar>
          </w:tcPr>
          <w:p w14:paraId="6DD2E74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4EFE950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302</w:t>
            </w:r>
          </w:p>
        </w:tc>
        <w:tc>
          <w:tcPr>
            <w:tcW w:w="482" w:type="dxa"/>
            <w:shd w:val="solid" w:color="CBFFC6" w:fill="auto"/>
            <w:tcMar>
              <w:top w:w="96" w:type="dxa"/>
              <w:left w:w="57" w:type="dxa"/>
              <w:bottom w:w="96" w:type="dxa"/>
              <w:right w:w="71" w:type="dxa"/>
            </w:tcMar>
          </w:tcPr>
          <w:p w14:paraId="17A84D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5.3%</w:t>
            </w:r>
          </w:p>
        </w:tc>
        <w:tc>
          <w:tcPr>
            <w:tcW w:w="482" w:type="dxa"/>
            <w:tcMar>
              <w:top w:w="96" w:type="dxa"/>
              <w:left w:w="57" w:type="dxa"/>
              <w:bottom w:w="96" w:type="dxa"/>
              <w:right w:w="71" w:type="dxa"/>
            </w:tcMar>
          </w:tcPr>
          <w:p w14:paraId="2EBE12B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20.3%</w:t>
            </w:r>
          </w:p>
        </w:tc>
        <w:tc>
          <w:tcPr>
            <w:tcW w:w="482" w:type="dxa"/>
            <w:shd w:val="solid" w:color="FFD1D1" w:fill="auto"/>
            <w:tcMar>
              <w:top w:w="96" w:type="dxa"/>
              <w:left w:w="57" w:type="dxa"/>
              <w:bottom w:w="96" w:type="dxa"/>
              <w:right w:w="71" w:type="dxa"/>
            </w:tcMar>
          </w:tcPr>
          <w:p w14:paraId="4CE0840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42.1%</w:t>
            </w:r>
          </w:p>
        </w:tc>
        <w:tc>
          <w:tcPr>
            <w:tcW w:w="482" w:type="dxa"/>
            <w:shd w:val="solid" w:color="FFD1D1" w:fill="auto"/>
            <w:tcMar>
              <w:top w:w="96" w:type="dxa"/>
              <w:left w:w="57" w:type="dxa"/>
              <w:bottom w:w="96" w:type="dxa"/>
              <w:right w:w="71" w:type="dxa"/>
            </w:tcMar>
          </w:tcPr>
          <w:p w14:paraId="5C366F1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6.1%</w:t>
            </w:r>
          </w:p>
        </w:tc>
        <w:tc>
          <w:tcPr>
            <w:tcW w:w="482" w:type="dxa"/>
            <w:tcMar>
              <w:top w:w="96" w:type="dxa"/>
              <w:left w:w="57" w:type="dxa"/>
              <w:bottom w:w="96" w:type="dxa"/>
              <w:right w:w="71" w:type="dxa"/>
            </w:tcMar>
          </w:tcPr>
          <w:p w14:paraId="2F5192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w:t>
            </w:r>
          </w:p>
        </w:tc>
        <w:tc>
          <w:tcPr>
            <w:tcW w:w="482" w:type="dxa"/>
            <w:shd w:val="solid" w:color="CBFFC6" w:fill="auto"/>
            <w:tcMar>
              <w:top w:w="96" w:type="dxa"/>
              <w:left w:w="57" w:type="dxa"/>
              <w:bottom w:w="96" w:type="dxa"/>
              <w:right w:w="71" w:type="dxa"/>
            </w:tcMar>
          </w:tcPr>
          <w:p w14:paraId="67706E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12.2%</w:t>
            </w:r>
          </w:p>
        </w:tc>
        <w:tc>
          <w:tcPr>
            <w:tcW w:w="482" w:type="dxa"/>
            <w:shd w:val="solid" w:color="CBFFC6" w:fill="auto"/>
            <w:tcMar>
              <w:top w:w="96" w:type="dxa"/>
              <w:left w:w="57" w:type="dxa"/>
              <w:bottom w:w="96" w:type="dxa"/>
              <w:right w:w="71" w:type="dxa"/>
            </w:tcMar>
          </w:tcPr>
          <w:p w14:paraId="5F56F20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258EFA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482" w:type="dxa"/>
            <w:tcMar>
              <w:top w:w="96" w:type="dxa"/>
              <w:left w:w="57" w:type="dxa"/>
              <w:bottom w:w="96" w:type="dxa"/>
              <w:right w:w="71" w:type="dxa"/>
            </w:tcMar>
          </w:tcPr>
          <w:p w14:paraId="791FE30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754EE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04B29F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18.2%</w:t>
            </w:r>
          </w:p>
        </w:tc>
        <w:tc>
          <w:tcPr>
            <w:tcW w:w="482" w:type="dxa"/>
            <w:tcMar>
              <w:top w:w="96" w:type="dxa"/>
              <w:left w:w="57" w:type="dxa"/>
              <w:bottom w:w="96" w:type="dxa"/>
              <w:right w:w="71" w:type="dxa"/>
            </w:tcMar>
          </w:tcPr>
          <w:p w14:paraId="0E9560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3A3762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0F868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tcMar>
              <w:top w:w="96" w:type="dxa"/>
              <w:left w:w="57" w:type="dxa"/>
              <w:bottom w:w="96" w:type="dxa"/>
              <w:right w:w="71" w:type="dxa"/>
            </w:tcMar>
          </w:tcPr>
          <w:p w14:paraId="54C8D2D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w:t>
            </w:r>
          </w:p>
        </w:tc>
        <w:tc>
          <w:tcPr>
            <w:tcW w:w="482" w:type="dxa"/>
            <w:shd w:val="solid" w:color="FFD1D1" w:fill="auto"/>
            <w:tcMar>
              <w:top w:w="96" w:type="dxa"/>
              <w:left w:w="57" w:type="dxa"/>
              <w:bottom w:w="96" w:type="dxa"/>
              <w:right w:w="71" w:type="dxa"/>
            </w:tcMar>
          </w:tcPr>
          <w:p w14:paraId="374C48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14.7%</w:t>
            </w:r>
          </w:p>
        </w:tc>
        <w:tc>
          <w:tcPr>
            <w:tcW w:w="482" w:type="dxa"/>
            <w:tcMar>
              <w:top w:w="96" w:type="dxa"/>
              <w:left w:w="57" w:type="dxa"/>
              <w:bottom w:w="96" w:type="dxa"/>
              <w:right w:w="71" w:type="dxa"/>
            </w:tcMar>
          </w:tcPr>
          <w:p w14:paraId="047DEB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94.2%</w:t>
            </w:r>
          </w:p>
        </w:tc>
        <w:tc>
          <w:tcPr>
            <w:tcW w:w="482" w:type="dxa"/>
            <w:shd w:val="solid" w:color="CBFFC6" w:fill="auto"/>
            <w:tcMar>
              <w:top w:w="96" w:type="dxa"/>
              <w:left w:w="57" w:type="dxa"/>
              <w:bottom w:w="96" w:type="dxa"/>
              <w:right w:w="71" w:type="dxa"/>
            </w:tcMar>
          </w:tcPr>
          <w:p w14:paraId="6DCD705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10.8%</w:t>
            </w:r>
          </w:p>
        </w:tc>
        <w:tc>
          <w:tcPr>
            <w:tcW w:w="482" w:type="dxa"/>
            <w:shd w:val="solid" w:color="CBFFC6" w:fill="auto"/>
            <w:tcMar>
              <w:top w:w="96" w:type="dxa"/>
              <w:left w:w="57" w:type="dxa"/>
              <w:bottom w:w="96" w:type="dxa"/>
              <w:right w:w="71" w:type="dxa"/>
            </w:tcMar>
          </w:tcPr>
          <w:p w14:paraId="7D5BC69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88.8%</w:t>
            </w:r>
          </w:p>
        </w:tc>
        <w:tc>
          <w:tcPr>
            <w:tcW w:w="482" w:type="dxa"/>
            <w:shd w:val="solid" w:color="FFD1D1" w:fill="auto"/>
            <w:tcMar>
              <w:top w:w="96" w:type="dxa"/>
              <w:left w:w="57" w:type="dxa"/>
              <w:bottom w:w="96" w:type="dxa"/>
              <w:right w:w="71" w:type="dxa"/>
            </w:tcMar>
          </w:tcPr>
          <w:p w14:paraId="44DF95E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60.9%</w:t>
            </w:r>
          </w:p>
        </w:tc>
        <w:tc>
          <w:tcPr>
            <w:tcW w:w="482" w:type="dxa"/>
            <w:shd w:val="solid" w:color="FFD1D1" w:fill="auto"/>
            <w:tcMar>
              <w:top w:w="96" w:type="dxa"/>
              <w:left w:w="57" w:type="dxa"/>
              <w:bottom w:w="96" w:type="dxa"/>
              <w:right w:w="71" w:type="dxa"/>
            </w:tcMar>
          </w:tcPr>
          <w:p w14:paraId="5086BE8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w:t>
            </w:r>
          </w:p>
        </w:tc>
        <w:tc>
          <w:tcPr>
            <w:tcW w:w="482" w:type="dxa"/>
            <w:tcMar>
              <w:top w:w="96" w:type="dxa"/>
              <w:left w:w="57" w:type="dxa"/>
              <w:bottom w:w="96" w:type="dxa"/>
              <w:right w:w="71" w:type="dxa"/>
            </w:tcMar>
          </w:tcPr>
          <w:p w14:paraId="5C47DAF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63.8%</w:t>
            </w:r>
          </w:p>
        </w:tc>
        <w:tc>
          <w:tcPr>
            <w:tcW w:w="482" w:type="dxa"/>
            <w:tcMar>
              <w:top w:w="96" w:type="dxa"/>
              <w:left w:w="57" w:type="dxa"/>
              <w:bottom w:w="96" w:type="dxa"/>
              <w:right w:w="71" w:type="dxa"/>
            </w:tcMar>
          </w:tcPr>
          <w:p w14:paraId="4BA8301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78.3%</w:t>
            </w:r>
          </w:p>
        </w:tc>
        <w:tc>
          <w:tcPr>
            <w:tcW w:w="482" w:type="dxa"/>
            <w:tcMar>
              <w:top w:w="96" w:type="dxa"/>
              <w:left w:w="57" w:type="dxa"/>
              <w:bottom w:w="96" w:type="dxa"/>
              <w:right w:w="71" w:type="dxa"/>
            </w:tcMar>
          </w:tcPr>
          <w:p w14:paraId="0E49AD9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92.0%</w:t>
            </w:r>
          </w:p>
        </w:tc>
        <w:tc>
          <w:tcPr>
            <w:tcW w:w="482" w:type="dxa"/>
            <w:tcMar>
              <w:top w:w="96" w:type="dxa"/>
              <w:left w:w="57" w:type="dxa"/>
              <w:bottom w:w="96" w:type="dxa"/>
              <w:right w:w="71" w:type="dxa"/>
            </w:tcMar>
          </w:tcPr>
          <w:p w14:paraId="3B9515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76.7%</w:t>
            </w:r>
          </w:p>
        </w:tc>
        <w:tc>
          <w:tcPr>
            <w:tcW w:w="482" w:type="dxa"/>
            <w:shd w:val="solid" w:color="FFD1D1" w:fill="auto"/>
            <w:tcMar>
              <w:top w:w="96" w:type="dxa"/>
              <w:left w:w="57" w:type="dxa"/>
              <w:bottom w:w="96" w:type="dxa"/>
              <w:right w:w="71" w:type="dxa"/>
            </w:tcMar>
          </w:tcPr>
          <w:p w14:paraId="615591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w:t>
            </w:r>
          </w:p>
        </w:tc>
        <w:tc>
          <w:tcPr>
            <w:tcW w:w="340" w:type="dxa"/>
            <w:tcMar>
              <w:top w:w="96" w:type="dxa"/>
              <w:left w:w="57" w:type="dxa"/>
              <w:bottom w:w="96" w:type="dxa"/>
              <w:right w:w="71" w:type="dxa"/>
            </w:tcMar>
          </w:tcPr>
          <w:p w14:paraId="2AB9E10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37FB04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r>
      <w:tr w:rsidR="00D6403A" w:rsidRPr="0004279D" w14:paraId="0E6C09B4" w14:textId="77777777" w:rsidTr="001726E8">
        <w:trPr>
          <w:trHeight w:val="283"/>
        </w:trPr>
        <w:tc>
          <w:tcPr>
            <w:tcW w:w="1417" w:type="dxa"/>
            <w:tcMar>
              <w:top w:w="96" w:type="dxa"/>
              <w:left w:w="113" w:type="dxa"/>
              <w:bottom w:w="96" w:type="dxa"/>
              <w:right w:w="0" w:type="dxa"/>
            </w:tcMar>
          </w:tcPr>
          <w:p w14:paraId="571AAB02"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Kilmore District Health</w:t>
            </w:r>
          </w:p>
        </w:tc>
        <w:tc>
          <w:tcPr>
            <w:tcW w:w="340" w:type="dxa"/>
            <w:tcMar>
              <w:top w:w="96" w:type="dxa"/>
              <w:left w:w="57" w:type="dxa"/>
              <w:bottom w:w="96" w:type="dxa"/>
              <w:right w:w="71" w:type="dxa"/>
            </w:tcMar>
          </w:tcPr>
          <w:p w14:paraId="351F53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0DD3454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239</w:t>
            </w:r>
          </w:p>
        </w:tc>
        <w:tc>
          <w:tcPr>
            <w:tcW w:w="482" w:type="dxa"/>
            <w:shd w:val="solid" w:color="FFD1D1" w:fill="auto"/>
            <w:tcMar>
              <w:top w:w="96" w:type="dxa"/>
              <w:left w:w="57" w:type="dxa"/>
              <w:bottom w:w="96" w:type="dxa"/>
              <w:right w:w="71" w:type="dxa"/>
            </w:tcMar>
          </w:tcPr>
          <w:p w14:paraId="7D16286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25.0%</w:t>
            </w:r>
          </w:p>
        </w:tc>
        <w:tc>
          <w:tcPr>
            <w:tcW w:w="482" w:type="dxa"/>
            <w:shd w:val="solid" w:color="FFD1D1" w:fill="auto"/>
            <w:tcMar>
              <w:top w:w="96" w:type="dxa"/>
              <w:left w:w="57" w:type="dxa"/>
              <w:bottom w:w="96" w:type="dxa"/>
              <w:right w:w="71" w:type="dxa"/>
            </w:tcMar>
          </w:tcPr>
          <w:p w14:paraId="561825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29.7%</w:t>
            </w:r>
          </w:p>
        </w:tc>
        <w:tc>
          <w:tcPr>
            <w:tcW w:w="482" w:type="dxa"/>
            <w:shd w:val="solid" w:color="CBFFC6" w:fill="auto"/>
            <w:tcMar>
              <w:top w:w="96" w:type="dxa"/>
              <w:left w:w="57" w:type="dxa"/>
              <w:bottom w:w="96" w:type="dxa"/>
              <w:right w:w="71" w:type="dxa"/>
            </w:tcMar>
          </w:tcPr>
          <w:p w14:paraId="7755EB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29.3%</w:t>
            </w:r>
          </w:p>
        </w:tc>
        <w:tc>
          <w:tcPr>
            <w:tcW w:w="482" w:type="dxa"/>
            <w:shd w:val="solid" w:color="FFD1D1" w:fill="auto"/>
            <w:tcMar>
              <w:top w:w="96" w:type="dxa"/>
              <w:left w:w="57" w:type="dxa"/>
              <w:bottom w:w="96" w:type="dxa"/>
              <w:right w:w="71" w:type="dxa"/>
            </w:tcMar>
          </w:tcPr>
          <w:p w14:paraId="3646349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w:t>
            </w:r>
          </w:p>
        </w:tc>
        <w:tc>
          <w:tcPr>
            <w:tcW w:w="482" w:type="dxa"/>
            <w:shd w:val="solid" w:color="FFD1D1" w:fill="auto"/>
            <w:tcMar>
              <w:top w:w="96" w:type="dxa"/>
              <w:left w:w="57" w:type="dxa"/>
              <w:bottom w:w="96" w:type="dxa"/>
              <w:right w:w="71" w:type="dxa"/>
            </w:tcMar>
          </w:tcPr>
          <w:p w14:paraId="3E5C141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w:t>
            </w:r>
          </w:p>
        </w:tc>
        <w:tc>
          <w:tcPr>
            <w:tcW w:w="482" w:type="dxa"/>
            <w:shd w:val="solid" w:color="CBFFC6" w:fill="auto"/>
            <w:tcMar>
              <w:top w:w="96" w:type="dxa"/>
              <w:left w:w="57" w:type="dxa"/>
              <w:bottom w:w="96" w:type="dxa"/>
              <w:right w:w="71" w:type="dxa"/>
            </w:tcMar>
          </w:tcPr>
          <w:p w14:paraId="6D7AA52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w:t>
            </w:r>
          </w:p>
        </w:tc>
        <w:tc>
          <w:tcPr>
            <w:tcW w:w="482" w:type="dxa"/>
            <w:tcMar>
              <w:top w:w="96" w:type="dxa"/>
              <w:left w:w="57" w:type="dxa"/>
              <w:bottom w:w="96" w:type="dxa"/>
              <w:right w:w="71" w:type="dxa"/>
            </w:tcMar>
          </w:tcPr>
          <w:p w14:paraId="151E55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87.0%</w:t>
            </w:r>
          </w:p>
        </w:tc>
        <w:tc>
          <w:tcPr>
            <w:tcW w:w="482" w:type="dxa"/>
            <w:tcMar>
              <w:top w:w="96" w:type="dxa"/>
              <w:left w:w="57" w:type="dxa"/>
              <w:bottom w:w="96" w:type="dxa"/>
              <w:right w:w="71" w:type="dxa"/>
            </w:tcMar>
          </w:tcPr>
          <w:p w14:paraId="47C41B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w:t>
            </w:r>
          </w:p>
        </w:tc>
        <w:tc>
          <w:tcPr>
            <w:tcW w:w="482" w:type="dxa"/>
            <w:tcMar>
              <w:top w:w="96" w:type="dxa"/>
              <w:left w:w="57" w:type="dxa"/>
              <w:bottom w:w="96" w:type="dxa"/>
              <w:right w:w="71" w:type="dxa"/>
            </w:tcMar>
          </w:tcPr>
          <w:p w14:paraId="4954305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DD072D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0D39D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19.2%</w:t>
            </w:r>
          </w:p>
        </w:tc>
        <w:tc>
          <w:tcPr>
            <w:tcW w:w="482" w:type="dxa"/>
            <w:tcMar>
              <w:top w:w="96" w:type="dxa"/>
              <w:left w:w="57" w:type="dxa"/>
              <w:bottom w:w="96" w:type="dxa"/>
              <w:right w:w="71" w:type="dxa"/>
            </w:tcMar>
          </w:tcPr>
          <w:p w14:paraId="5160EFF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EE2B6A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A8583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w:t>
            </w:r>
          </w:p>
        </w:tc>
        <w:tc>
          <w:tcPr>
            <w:tcW w:w="482" w:type="dxa"/>
            <w:shd w:val="solid" w:color="CBFFC6" w:fill="auto"/>
            <w:tcMar>
              <w:top w:w="96" w:type="dxa"/>
              <w:left w:w="57" w:type="dxa"/>
              <w:bottom w:w="96" w:type="dxa"/>
              <w:right w:w="71" w:type="dxa"/>
            </w:tcMar>
          </w:tcPr>
          <w:p w14:paraId="5F1A46D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shd w:val="solid" w:color="FFD1D1" w:fill="auto"/>
            <w:tcMar>
              <w:top w:w="96" w:type="dxa"/>
              <w:left w:w="57" w:type="dxa"/>
              <w:bottom w:w="96" w:type="dxa"/>
              <w:right w:w="71" w:type="dxa"/>
            </w:tcMar>
          </w:tcPr>
          <w:p w14:paraId="0E1D682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18.5%</w:t>
            </w:r>
          </w:p>
        </w:tc>
        <w:tc>
          <w:tcPr>
            <w:tcW w:w="482" w:type="dxa"/>
            <w:shd w:val="solid" w:color="FFD1D1" w:fill="auto"/>
            <w:tcMar>
              <w:top w:w="96" w:type="dxa"/>
              <w:left w:w="57" w:type="dxa"/>
              <w:bottom w:w="96" w:type="dxa"/>
              <w:right w:w="71" w:type="dxa"/>
            </w:tcMar>
          </w:tcPr>
          <w:p w14:paraId="193147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91.5%</w:t>
            </w:r>
          </w:p>
        </w:tc>
        <w:tc>
          <w:tcPr>
            <w:tcW w:w="482" w:type="dxa"/>
            <w:shd w:val="solid" w:color="CBFFC6" w:fill="auto"/>
            <w:tcMar>
              <w:top w:w="96" w:type="dxa"/>
              <w:left w:w="57" w:type="dxa"/>
              <w:bottom w:w="96" w:type="dxa"/>
              <w:right w:w="71" w:type="dxa"/>
            </w:tcMar>
          </w:tcPr>
          <w:p w14:paraId="129C870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12.0%</w:t>
            </w:r>
          </w:p>
        </w:tc>
        <w:tc>
          <w:tcPr>
            <w:tcW w:w="482" w:type="dxa"/>
            <w:shd w:val="solid" w:color="CBFFC6" w:fill="auto"/>
            <w:tcMar>
              <w:top w:w="96" w:type="dxa"/>
              <w:left w:w="57" w:type="dxa"/>
              <w:bottom w:w="96" w:type="dxa"/>
              <w:right w:w="71" w:type="dxa"/>
            </w:tcMar>
          </w:tcPr>
          <w:p w14:paraId="19F5AF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90.7%</w:t>
            </w:r>
          </w:p>
        </w:tc>
        <w:tc>
          <w:tcPr>
            <w:tcW w:w="482" w:type="dxa"/>
            <w:shd w:val="solid" w:color="CBFFC6" w:fill="auto"/>
            <w:tcMar>
              <w:top w:w="96" w:type="dxa"/>
              <w:left w:w="57" w:type="dxa"/>
              <w:bottom w:w="96" w:type="dxa"/>
              <w:right w:w="71" w:type="dxa"/>
            </w:tcMar>
          </w:tcPr>
          <w:p w14:paraId="016245C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93.3%</w:t>
            </w:r>
          </w:p>
        </w:tc>
        <w:tc>
          <w:tcPr>
            <w:tcW w:w="482" w:type="dxa"/>
            <w:shd w:val="solid" w:color="FFD1D1" w:fill="auto"/>
            <w:tcMar>
              <w:top w:w="96" w:type="dxa"/>
              <w:left w:w="57" w:type="dxa"/>
              <w:bottom w:w="96" w:type="dxa"/>
              <w:right w:w="71" w:type="dxa"/>
            </w:tcMar>
          </w:tcPr>
          <w:p w14:paraId="321C0F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w:t>
            </w:r>
          </w:p>
        </w:tc>
        <w:tc>
          <w:tcPr>
            <w:tcW w:w="482" w:type="dxa"/>
            <w:tcMar>
              <w:top w:w="96" w:type="dxa"/>
              <w:left w:w="57" w:type="dxa"/>
              <w:bottom w:w="96" w:type="dxa"/>
              <w:right w:w="71" w:type="dxa"/>
            </w:tcMar>
          </w:tcPr>
          <w:p w14:paraId="797C45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82.4%</w:t>
            </w:r>
          </w:p>
        </w:tc>
        <w:tc>
          <w:tcPr>
            <w:tcW w:w="482" w:type="dxa"/>
            <w:tcMar>
              <w:top w:w="96" w:type="dxa"/>
              <w:left w:w="57" w:type="dxa"/>
              <w:bottom w:w="96" w:type="dxa"/>
              <w:right w:w="71" w:type="dxa"/>
            </w:tcMar>
          </w:tcPr>
          <w:p w14:paraId="2F84B6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115877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98.3%</w:t>
            </w:r>
          </w:p>
        </w:tc>
        <w:tc>
          <w:tcPr>
            <w:tcW w:w="482" w:type="dxa"/>
            <w:shd w:val="solid" w:color="FFD1D1" w:fill="auto"/>
            <w:tcMar>
              <w:top w:w="96" w:type="dxa"/>
              <w:left w:w="57" w:type="dxa"/>
              <w:bottom w:w="96" w:type="dxa"/>
              <w:right w:w="71" w:type="dxa"/>
            </w:tcMar>
          </w:tcPr>
          <w:p w14:paraId="09E791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69.5%</w:t>
            </w:r>
          </w:p>
        </w:tc>
        <w:tc>
          <w:tcPr>
            <w:tcW w:w="482" w:type="dxa"/>
            <w:shd w:val="solid" w:color="FFD1D1" w:fill="auto"/>
            <w:tcMar>
              <w:top w:w="96" w:type="dxa"/>
              <w:left w:w="57" w:type="dxa"/>
              <w:bottom w:w="96" w:type="dxa"/>
              <w:right w:w="71" w:type="dxa"/>
            </w:tcMar>
          </w:tcPr>
          <w:p w14:paraId="13B8A71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w:t>
            </w:r>
          </w:p>
        </w:tc>
        <w:tc>
          <w:tcPr>
            <w:tcW w:w="340" w:type="dxa"/>
            <w:tcMar>
              <w:top w:w="96" w:type="dxa"/>
              <w:left w:w="57" w:type="dxa"/>
              <w:bottom w:w="96" w:type="dxa"/>
              <w:right w:w="71" w:type="dxa"/>
            </w:tcMar>
          </w:tcPr>
          <w:p w14:paraId="2DEEE4F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40D38A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w:t>
            </w:r>
          </w:p>
        </w:tc>
      </w:tr>
      <w:tr w:rsidR="00D6403A" w:rsidRPr="0004279D" w14:paraId="2421F066" w14:textId="77777777" w:rsidTr="001726E8">
        <w:trPr>
          <w:trHeight w:val="283"/>
        </w:trPr>
        <w:tc>
          <w:tcPr>
            <w:tcW w:w="1417" w:type="dxa"/>
            <w:tcMar>
              <w:top w:w="96" w:type="dxa"/>
              <w:left w:w="113" w:type="dxa"/>
              <w:bottom w:w="96" w:type="dxa"/>
              <w:right w:w="0" w:type="dxa"/>
            </w:tcMar>
          </w:tcPr>
          <w:p w14:paraId="61BCFE4D"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Leongatha Hospital</w:t>
            </w:r>
          </w:p>
        </w:tc>
        <w:tc>
          <w:tcPr>
            <w:tcW w:w="340" w:type="dxa"/>
            <w:tcMar>
              <w:top w:w="96" w:type="dxa"/>
              <w:left w:w="57" w:type="dxa"/>
              <w:bottom w:w="96" w:type="dxa"/>
              <w:right w:w="71" w:type="dxa"/>
            </w:tcMar>
          </w:tcPr>
          <w:p w14:paraId="2A74CD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5E0A040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196</w:t>
            </w:r>
          </w:p>
        </w:tc>
        <w:tc>
          <w:tcPr>
            <w:tcW w:w="482" w:type="dxa"/>
            <w:shd w:val="solid" w:color="FFD1D1" w:fill="auto"/>
            <w:tcMar>
              <w:top w:w="96" w:type="dxa"/>
              <w:left w:w="57" w:type="dxa"/>
              <w:bottom w:w="96" w:type="dxa"/>
              <w:right w:w="71" w:type="dxa"/>
            </w:tcMar>
          </w:tcPr>
          <w:p w14:paraId="4149669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30.0%</w:t>
            </w:r>
          </w:p>
        </w:tc>
        <w:tc>
          <w:tcPr>
            <w:tcW w:w="482" w:type="dxa"/>
            <w:tcMar>
              <w:top w:w="96" w:type="dxa"/>
              <w:left w:w="57" w:type="dxa"/>
              <w:bottom w:w="96" w:type="dxa"/>
              <w:right w:w="71" w:type="dxa"/>
            </w:tcMar>
          </w:tcPr>
          <w:p w14:paraId="37F1BE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23.5%</w:t>
            </w:r>
          </w:p>
        </w:tc>
        <w:tc>
          <w:tcPr>
            <w:tcW w:w="482" w:type="dxa"/>
            <w:tcMar>
              <w:top w:w="96" w:type="dxa"/>
              <w:left w:w="57" w:type="dxa"/>
              <w:bottom w:w="96" w:type="dxa"/>
              <w:right w:w="71" w:type="dxa"/>
            </w:tcMar>
          </w:tcPr>
          <w:p w14:paraId="501A49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35.3%</w:t>
            </w:r>
          </w:p>
        </w:tc>
        <w:tc>
          <w:tcPr>
            <w:tcW w:w="482" w:type="dxa"/>
            <w:tcMar>
              <w:top w:w="96" w:type="dxa"/>
              <w:left w:w="57" w:type="dxa"/>
              <w:bottom w:w="96" w:type="dxa"/>
              <w:right w:w="71" w:type="dxa"/>
            </w:tcMar>
          </w:tcPr>
          <w:p w14:paraId="1B95A0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w:t>
            </w:r>
          </w:p>
        </w:tc>
        <w:tc>
          <w:tcPr>
            <w:tcW w:w="482" w:type="dxa"/>
            <w:shd w:val="solid" w:color="FFD1D1" w:fill="auto"/>
            <w:tcMar>
              <w:top w:w="96" w:type="dxa"/>
              <w:left w:w="57" w:type="dxa"/>
              <w:bottom w:w="96" w:type="dxa"/>
              <w:right w:w="71" w:type="dxa"/>
            </w:tcMar>
          </w:tcPr>
          <w:p w14:paraId="563DA7D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11.1%</w:t>
            </w:r>
          </w:p>
        </w:tc>
        <w:tc>
          <w:tcPr>
            <w:tcW w:w="482" w:type="dxa"/>
            <w:tcMar>
              <w:top w:w="96" w:type="dxa"/>
              <w:left w:w="57" w:type="dxa"/>
              <w:bottom w:w="96" w:type="dxa"/>
              <w:right w:w="71" w:type="dxa"/>
            </w:tcMar>
          </w:tcPr>
          <w:p w14:paraId="165D337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22.6%</w:t>
            </w:r>
          </w:p>
        </w:tc>
        <w:tc>
          <w:tcPr>
            <w:tcW w:w="482" w:type="dxa"/>
            <w:shd w:val="solid" w:color="FFD1D1" w:fill="auto"/>
            <w:tcMar>
              <w:top w:w="96" w:type="dxa"/>
              <w:left w:w="57" w:type="dxa"/>
              <w:bottom w:w="96" w:type="dxa"/>
              <w:right w:w="71" w:type="dxa"/>
            </w:tcMar>
          </w:tcPr>
          <w:p w14:paraId="108CD4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66.7%</w:t>
            </w:r>
          </w:p>
        </w:tc>
        <w:tc>
          <w:tcPr>
            <w:tcW w:w="482" w:type="dxa"/>
            <w:shd w:val="solid" w:color="FFD1D1" w:fill="auto"/>
            <w:tcMar>
              <w:top w:w="96" w:type="dxa"/>
              <w:left w:w="57" w:type="dxa"/>
              <w:bottom w:w="96" w:type="dxa"/>
              <w:right w:w="71" w:type="dxa"/>
            </w:tcMar>
          </w:tcPr>
          <w:p w14:paraId="05D3EF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12.4%</w:t>
            </w:r>
          </w:p>
        </w:tc>
        <w:tc>
          <w:tcPr>
            <w:tcW w:w="482" w:type="dxa"/>
            <w:tcMar>
              <w:top w:w="96" w:type="dxa"/>
              <w:left w:w="57" w:type="dxa"/>
              <w:bottom w:w="96" w:type="dxa"/>
              <w:right w:w="71" w:type="dxa"/>
            </w:tcMar>
          </w:tcPr>
          <w:p w14:paraId="2EA79D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F42D8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72660F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35.7%</w:t>
            </w:r>
          </w:p>
        </w:tc>
        <w:tc>
          <w:tcPr>
            <w:tcW w:w="482" w:type="dxa"/>
            <w:tcMar>
              <w:top w:w="96" w:type="dxa"/>
              <w:left w:w="57" w:type="dxa"/>
              <w:bottom w:w="96" w:type="dxa"/>
              <w:right w:w="71" w:type="dxa"/>
            </w:tcMar>
          </w:tcPr>
          <w:p w14:paraId="505B903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3B8F7A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4A02BCA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482" w:type="dxa"/>
            <w:shd w:val="solid" w:color="CBFFC6" w:fill="auto"/>
            <w:tcMar>
              <w:top w:w="96" w:type="dxa"/>
              <w:left w:w="57" w:type="dxa"/>
              <w:bottom w:w="96" w:type="dxa"/>
              <w:right w:w="71" w:type="dxa"/>
            </w:tcMar>
          </w:tcPr>
          <w:p w14:paraId="660C48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shd w:val="solid" w:color="FFD1D1" w:fill="auto"/>
            <w:tcMar>
              <w:top w:w="96" w:type="dxa"/>
              <w:left w:w="57" w:type="dxa"/>
              <w:bottom w:w="96" w:type="dxa"/>
              <w:right w:w="71" w:type="dxa"/>
            </w:tcMar>
          </w:tcPr>
          <w:p w14:paraId="0052D8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w:t>
            </w:r>
          </w:p>
        </w:tc>
        <w:tc>
          <w:tcPr>
            <w:tcW w:w="482" w:type="dxa"/>
            <w:tcMar>
              <w:top w:w="96" w:type="dxa"/>
              <w:left w:w="57" w:type="dxa"/>
              <w:bottom w:w="96" w:type="dxa"/>
              <w:right w:w="71" w:type="dxa"/>
            </w:tcMar>
          </w:tcPr>
          <w:p w14:paraId="0535D39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95.8%</w:t>
            </w:r>
          </w:p>
        </w:tc>
        <w:tc>
          <w:tcPr>
            <w:tcW w:w="482" w:type="dxa"/>
            <w:shd w:val="solid" w:color="CBFFC6" w:fill="auto"/>
            <w:tcMar>
              <w:top w:w="96" w:type="dxa"/>
              <w:left w:w="57" w:type="dxa"/>
              <w:bottom w:w="96" w:type="dxa"/>
              <w:right w:w="71" w:type="dxa"/>
            </w:tcMar>
          </w:tcPr>
          <w:p w14:paraId="7D0416C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17.9%</w:t>
            </w:r>
          </w:p>
        </w:tc>
        <w:tc>
          <w:tcPr>
            <w:tcW w:w="482" w:type="dxa"/>
            <w:shd w:val="solid" w:color="CBFFC6" w:fill="auto"/>
            <w:tcMar>
              <w:top w:w="96" w:type="dxa"/>
              <w:left w:w="57" w:type="dxa"/>
              <w:bottom w:w="96" w:type="dxa"/>
              <w:right w:w="71" w:type="dxa"/>
            </w:tcMar>
          </w:tcPr>
          <w:p w14:paraId="20EB02A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88.6%</w:t>
            </w:r>
          </w:p>
        </w:tc>
        <w:tc>
          <w:tcPr>
            <w:tcW w:w="482" w:type="dxa"/>
            <w:tcMar>
              <w:top w:w="96" w:type="dxa"/>
              <w:left w:w="57" w:type="dxa"/>
              <w:bottom w:w="96" w:type="dxa"/>
              <w:right w:w="71" w:type="dxa"/>
            </w:tcMar>
          </w:tcPr>
          <w:p w14:paraId="72D2C9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92.9%</w:t>
            </w:r>
          </w:p>
        </w:tc>
        <w:tc>
          <w:tcPr>
            <w:tcW w:w="482" w:type="dxa"/>
            <w:shd w:val="solid" w:color="FFD1D1" w:fill="auto"/>
            <w:tcMar>
              <w:top w:w="96" w:type="dxa"/>
              <w:left w:w="57" w:type="dxa"/>
              <w:bottom w:w="96" w:type="dxa"/>
              <w:right w:w="71" w:type="dxa"/>
            </w:tcMar>
          </w:tcPr>
          <w:p w14:paraId="1B7E346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w:t>
            </w:r>
          </w:p>
        </w:tc>
        <w:tc>
          <w:tcPr>
            <w:tcW w:w="482" w:type="dxa"/>
            <w:tcMar>
              <w:top w:w="96" w:type="dxa"/>
              <w:left w:w="57" w:type="dxa"/>
              <w:bottom w:w="96" w:type="dxa"/>
              <w:right w:w="71" w:type="dxa"/>
            </w:tcMar>
          </w:tcPr>
          <w:p w14:paraId="53ADED5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82.4%</w:t>
            </w:r>
          </w:p>
        </w:tc>
        <w:tc>
          <w:tcPr>
            <w:tcW w:w="482" w:type="dxa"/>
            <w:tcMar>
              <w:top w:w="96" w:type="dxa"/>
              <w:left w:w="57" w:type="dxa"/>
              <w:bottom w:w="96" w:type="dxa"/>
              <w:right w:w="71" w:type="dxa"/>
            </w:tcMar>
          </w:tcPr>
          <w:p w14:paraId="527843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tcMar>
              <w:top w:w="96" w:type="dxa"/>
              <w:left w:w="57" w:type="dxa"/>
              <w:bottom w:w="96" w:type="dxa"/>
              <w:right w:w="71" w:type="dxa"/>
            </w:tcMar>
          </w:tcPr>
          <w:p w14:paraId="6AB15F5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93.4%</w:t>
            </w:r>
          </w:p>
        </w:tc>
        <w:tc>
          <w:tcPr>
            <w:tcW w:w="482" w:type="dxa"/>
            <w:tcMar>
              <w:top w:w="96" w:type="dxa"/>
              <w:left w:w="57" w:type="dxa"/>
              <w:bottom w:w="96" w:type="dxa"/>
              <w:right w:w="71" w:type="dxa"/>
            </w:tcMar>
          </w:tcPr>
          <w:p w14:paraId="31A3F5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76.0%</w:t>
            </w:r>
          </w:p>
        </w:tc>
        <w:tc>
          <w:tcPr>
            <w:tcW w:w="482" w:type="dxa"/>
            <w:shd w:val="solid" w:color="FFD1D1" w:fill="auto"/>
            <w:tcMar>
              <w:top w:w="96" w:type="dxa"/>
              <w:left w:w="57" w:type="dxa"/>
              <w:bottom w:w="96" w:type="dxa"/>
              <w:right w:w="71" w:type="dxa"/>
            </w:tcMar>
          </w:tcPr>
          <w:p w14:paraId="7A18DDA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w:t>
            </w:r>
          </w:p>
        </w:tc>
        <w:tc>
          <w:tcPr>
            <w:tcW w:w="340" w:type="dxa"/>
            <w:tcMar>
              <w:top w:w="96" w:type="dxa"/>
              <w:left w:w="57" w:type="dxa"/>
              <w:bottom w:w="96" w:type="dxa"/>
              <w:right w:w="71" w:type="dxa"/>
            </w:tcMar>
          </w:tcPr>
          <w:p w14:paraId="26FD6F3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340" w:type="dxa"/>
            <w:tcMar>
              <w:top w:w="96" w:type="dxa"/>
              <w:left w:w="57" w:type="dxa"/>
              <w:bottom w:w="96" w:type="dxa"/>
              <w:right w:w="71" w:type="dxa"/>
            </w:tcMar>
          </w:tcPr>
          <w:p w14:paraId="63A09FD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r>
      <w:tr w:rsidR="00D6403A" w:rsidRPr="0004279D" w14:paraId="6A88E442" w14:textId="77777777" w:rsidTr="001726E8">
        <w:trPr>
          <w:trHeight w:val="283"/>
        </w:trPr>
        <w:tc>
          <w:tcPr>
            <w:tcW w:w="1417" w:type="dxa"/>
            <w:tcMar>
              <w:top w:w="96" w:type="dxa"/>
              <w:left w:w="113" w:type="dxa"/>
              <w:bottom w:w="96" w:type="dxa"/>
              <w:right w:w="0" w:type="dxa"/>
            </w:tcMar>
          </w:tcPr>
          <w:p w14:paraId="45105059"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Hamilton Base Hospital</w:t>
            </w:r>
          </w:p>
        </w:tc>
        <w:tc>
          <w:tcPr>
            <w:tcW w:w="340" w:type="dxa"/>
            <w:tcMar>
              <w:top w:w="96" w:type="dxa"/>
              <w:left w:w="57" w:type="dxa"/>
              <w:bottom w:w="96" w:type="dxa"/>
              <w:right w:w="71" w:type="dxa"/>
            </w:tcMar>
          </w:tcPr>
          <w:p w14:paraId="1DE731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4959A36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179</w:t>
            </w:r>
          </w:p>
        </w:tc>
        <w:tc>
          <w:tcPr>
            <w:tcW w:w="482" w:type="dxa"/>
            <w:tcMar>
              <w:top w:w="96" w:type="dxa"/>
              <w:left w:w="57" w:type="dxa"/>
              <w:bottom w:w="96" w:type="dxa"/>
              <w:right w:w="71" w:type="dxa"/>
            </w:tcMar>
          </w:tcPr>
          <w:p w14:paraId="0EDE1B2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79C584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31.6%</w:t>
            </w:r>
          </w:p>
        </w:tc>
        <w:tc>
          <w:tcPr>
            <w:tcW w:w="482" w:type="dxa"/>
            <w:tcMar>
              <w:top w:w="96" w:type="dxa"/>
              <w:left w:w="57" w:type="dxa"/>
              <w:bottom w:w="96" w:type="dxa"/>
              <w:right w:w="71" w:type="dxa"/>
            </w:tcMar>
          </w:tcPr>
          <w:p w14:paraId="2969FC3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41.2%</w:t>
            </w:r>
          </w:p>
        </w:tc>
        <w:tc>
          <w:tcPr>
            <w:tcW w:w="482" w:type="dxa"/>
            <w:shd w:val="solid" w:color="CBFFC6" w:fill="auto"/>
            <w:tcMar>
              <w:top w:w="96" w:type="dxa"/>
              <w:left w:w="57" w:type="dxa"/>
              <w:bottom w:w="96" w:type="dxa"/>
              <w:right w:w="71" w:type="dxa"/>
            </w:tcMar>
          </w:tcPr>
          <w:p w14:paraId="61FCAB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3546ADC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w:t>
            </w:r>
          </w:p>
        </w:tc>
        <w:tc>
          <w:tcPr>
            <w:tcW w:w="482" w:type="dxa"/>
            <w:tcMar>
              <w:top w:w="96" w:type="dxa"/>
              <w:left w:w="57" w:type="dxa"/>
              <w:bottom w:w="96" w:type="dxa"/>
              <w:right w:w="71" w:type="dxa"/>
            </w:tcMar>
          </w:tcPr>
          <w:p w14:paraId="738699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31.3%</w:t>
            </w:r>
          </w:p>
        </w:tc>
        <w:tc>
          <w:tcPr>
            <w:tcW w:w="482" w:type="dxa"/>
            <w:tcMar>
              <w:top w:w="96" w:type="dxa"/>
              <w:left w:w="57" w:type="dxa"/>
              <w:bottom w:w="96" w:type="dxa"/>
              <w:right w:w="71" w:type="dxa"/>
            </w:tcMar>
          </w:tcPr>
          <w:p w14:paraId="0DB49E5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82.4%</w:t>
            </w:r>
          </w:p>
        </w:tc>
        <w:tc>
          <w:tcPr>
            <w:tcW w:w="482" w:type="dxa"/>
            <w:shd w:val="solid" w:color="CBFFC6" w:fill="auto"/>
            <w:tcMar>
              <w:top w:w="96" w:type="dxa"/>
              <w:left w:w="57" w:type="dxa"/>
              <w:bottom w:w="96" w:type="dxa"/>
              <w:right w:w="71" w:type="dxa"/>
            </w:tcMar>
          </w:tcPr>
          <w:p w14:paraId="652AD78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w:t>
            </w:r>
          </w:p>
        </w:tc>
        <w:tc>
          <w:tcPr>
            <w:tcW w:w="482" w:type="dxa"/>
            <w:tcMar>
              <w:top w:w="96" w:type="dxa"/>
              <w:left w:w="57" w:type="dxa"/>
              <w:bottom w:w="96" w:type="dxa"/>
              <w:right w:w="71" w:type="dxa"/>
            </w:tcMar>
          </w:tcPr>
          <w:p w14:paraId="379C30A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E03A79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D4086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21.1%</w:t>
            </w:r>
          </w:p>
        </w:tc>
        <w:tc>
          <w:tcPr>
            <w:tcW w:w="482" w:type="dxa"/>
            <w:tcMar>
              <w:top w:w="96" w:type="dxa"/>
              <w:left w:w="57" w:type="dxa"/>
              <w:bottom w:w="96" w:type="dxa"/>
              <w:right w:w="71" w:type="dxa"/>
            </w:tcMar>
          </w:tcPr>
          <w:p w14:paraId="5F7961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EAD69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6DC1C97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w:t>
            </w:r>
          </w:p>
        </w:tc>
        <w:tc>
          <w:tcPr>
            <w:tcW w:w="482" w:type="dxa"/>
            <w:tcMar>
              <w:top w:w="96" w:type="dxa"/>
              <w:left w:w="57" w:type="dxa"/>
              <w:bottom w:w="96" w:type="dxa"/>
              <w:right w:w="71" w:type="dxa"/>
            </w:tcMar>
          </w:tcPr>
          <w:p w14:paraId="3E5B10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w:t>
            </w:r>
          </w:p>
        </w:tc>
        <w:tc>
          <w:tcPr>
            <w:tcW w:w="482" w:type="dxa"/>
            <w:shd w:val="solid" w:color="FFD1D1" w:fill="auto"/>
            <w:tcMar>
              <w:top w:w="96" w:type="dxa"/>
              <w:left w:w="57" w:type="dxa"/>
              <w:bottom w:w="96" w:type="dxa"/>
              <w:right w:w="71" w:type="dxa"/>
            </w:tcMar>
          </w:tcPr>
          <w:p w14:paraId="469608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16.0%</w:t>
            </w:r>
          </w:p>
        </w:tc>
        <w:tc>
          <w:tcPr>
            <w:tcW w:w="482" w:type="dxa"/>
            <w:tcMar>
              <w:top w:w="96" w:type="dxa"/>
              <w:left w:w="57" w:type="dxa"/>
              <w:bottom w:w="96" w:type="dxa"/>
              <w:right w:w="71" w:type="dxa"/>
            </w:tcMar>
          </w:tcPr>
          <w:p w14:paraId="04D885F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94.4%</w:t>
            </w:r>
          </w:p>
        </w:tc>
        <w:tc>
          <w:tcPr>
            <w:tcW w:w="482" w:type="dxa"/>
            <w:tcMar>
              <w:top w:w="96" w:type="dxa"/>
              <w:left w:w="57" w:type="dxa"/>
              <w:bottom w:w="96" w:type="dxa"/>
              <w:right w:w="71" w:type="dxa"/>
            </w:tcMar>
          </w:tcPr>
          <w:p w14:paraId="0197D40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24.3%</w:t>
            </w:r>
          </w:p>
        </w:tc>
        <w:tc>
          <w:tcPr>
            <w:tcW w:w="482" w:type="dxa"/>
            <w:shd w:val="solid" w:color="FFD1D1" w:fill="auto"/>
            <w:tcMar>
              <w:top w:w="96" w:type="dxa"/>
              <w:left w:w="57" w:type="dxa"/>
              <w:bottom w:w="96" w:type="dxa"/>
              <w:right w:w="71" w:type="dxa"/>
            </w:tcMar>
          </w:tcPr>
          <w:p w14:paraId="38AF04F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70.4%</w:t>
            </w:r>
          </w:p>
        </w:tc>
        <w:tc>
          <w:tcPr>
            <w:tcW w:w="482" w:type="dxa"/>
            <w:tcMar>
              <w:top w:w="96" w:type="dxa"/>
              <w:left w:w="57" w:type="dxa"/>
              <w:bottom w:w="96" w:type="dxa"/>
              <w:right w:w="71" w:type="dxa"/>
            </w:tcMar>
          </w:tcPr>
          <w:p w14:paraId="2D5D3B9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88.3%</w:t>
            </w:r>
          </w:p>
        </w:tc>
        <w:tc>
          <w:tcPr>
            <w:tcW w:w="482" w:type="dxa"/>
            <w:shd w:val="solid" w:color="CBFFC6" w:fill="auto"/>
            <w:tcMar>
              <w:top w:w="96" w:type="dxa"/>
              <w:left w:w="57" w:type="dxa"/>
              <w:bottom w:w="96" w:type="dxa"/>
              <w:right w:w="71" w:type="dxa"/>
            </w:tcMar>
          </w:tcPr>
          <w:p w14:paraId="6CC3CAF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0.6%</w:t>
            </w:r>
          </w:p>
        </w:tc>
        <w:tc>
          <w:tcPr>
            <w:tcW w:w="482" w:type="dxa"/>
            <w:tcMar>
              <w:top w:w="96" w:type="dxa"/>
              <w:left w:w="57" w:type="dxa"/>
              <w:bottom w:w="96" w:type="dxa"/>
              <w:right w:w="71" w:type="dxa"/>
            </w:tcMar>
          </w:tcPr>
          <w:p w14:paraId="2E4E985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91.6%</w:t>
            </w:r>
          </w:p>
        </w:tc>
        <w:tc>
          <w:tcPr>
            <w:tcW w:w="482" w:type="dxa"/>
            <w:tcMar>
              <w:top w:w="96" w:type="dxa"/>
              <w:left w:w="57" w:type="dxa"/>
              <w:bottom w:w="96" w:type="dxa"/>
              <w:right w:w="71" w:type="dxa"/>
            </w:tcMar>
          </w:tcPr>
          <w:p w14:paraId="1837DC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84.5%</w:t>
            </w:r>
          </w:p>
        </w:tc>
        <w:tc>
          <w:tcPr>
            <w:tcW w:w="482" w:type="dxa"/>
            <w:shd w:val="solid" w:color="CBFFC6" w:fill="auto"/>
            <w:tcMar>
              <w:top w:w="96" w:type="dxa"/>
              <w:left w:w="57" w:type="dxa"/>
              <w:bottom w:w="96" w:type="dxa"/>
              <w:right w:w="71" w:type="dxa"/>
            </w:tcMar>
          </w:tcPr>
          <w:p w14:paraId="321168F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97.8%</w:t>
            </w:r>
          </w:p>
        </w:tc>
        <w:tc>
          <w:tcPr>
            <w:tcW w:w="482" w:type="dxa"/>
            <w:shd w:val="solid" w:color="CBFFC6" w:fill="auto"/>
            <w:tcMar>
              <w:top w:w="96" w:type="dxa"/>
              <w:left w:w="57" w:type="dxa"/>
              <w:bottom w:w="96" w:type="dxa"/>
              <w:right w:w="71" w:type="dxa"/>
            </w:tcMar>
          </w:tcPr>
          <w:p w14:paraId="60F3C9B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88.3%</w:t>
            </w:r>
          </w:p>
        </w:tc>
        <w:tc>
          <w:tcPr>
            <w:tcW w:w="482" w:type="dxa"/>
            <w:tcMar>
              <w:top w:w="96" w:type="dxa"/>
              <w:left w:w="57" w:type="dxa"/>
              <w:bottom w:w="96" w:type="dxa"/>
              <w:right w:w="71" w:type="dxa"/>
            </w:tcMar>
          </w:tcPr>
          <w:p w14:paraId="038EDF2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340" w:type="dxa"/>
            <w:tcMar>
              <w:top w:w="96" w:type="dxa"/>
              <w:left w:w="57" w:type="dxa"/>
              <w:bottom w:w="96" w:type="dxa"/>
              <w:right w:w="71" w:type="dxa"/>
            </w:tcMar>
          </w:tcPr>
          <w:p w14:paraId="1B13BB4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5F0554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r>
      <w:tr w:rsidR="00D6403A" w:rsidRPr="0004279D" w14:paraId="7CAC09CD" w14:textId="77777777" w:rsidTr="001726E8">
        <w:trPr>
          <w:trHeight w:val="283"/>
        </w:trPr>
        <w:tc>
          <w:tcPr>
            <w:tcW w:w="1417" w:type="dxa"/>
            <w:tcMar>
              <w:top w:w="96" w:type="dxa"/>
              <w:left w:w="113" w:type="dxa"/>
              <w:bottom w:w="96" w:type="dxa"/>
              <w:right w:w="0" w:type="dxa"/>
            </w:tcMar>
          </w:tcPr>
          <w:p w14:paraId="20A9A5AC"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Bass Coast Health</w:t>
            </w:r>
          </w:p>
        </w:tc>
        <w:tc>
          <w:tcPr>
            <w:tcW w:w="340" w:type="dxa"/>
            <w:tcMar>
              <w:top w:w="96" w:type="dxa"/>
              <w:left w:w="57" w:type="dxa"/>
              <w:bottom w:w="96" w:type="dxa"/>
              <w:right w:w="71" w:type="dxa"/>
            </w:tcMar>
          </w:tcPr>
          <w:p w14:paraId="27458E5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3271F40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169</w:t>
            </w:r>
          </w:p>
        </w:tc>
        <w:tc>
          <w:tcPr>
            <w:tcW w:w="482" w:type="dxa"/>
            <w:tcMar>
              <w:top w:w="96" w:type="dxa"/>
              <w:left w:w="57" w:type="dxa"/>
              <w:bottom w:w="96" w:type="dxa"/>
              <w:right w:w="71" w:type="dxa"/>
            </w:tcMar>
          </w:tcPr>
          <w:p w14:paraId="58AA62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17.6%</w:t>
            </w:r>
          </w:p>
        </w:tc>
        <w:tc>
          <w:tcPr>
            <w:tcW w:w="482" w:type="dxa"/>
            <w:tcMar>
              <w:top w:w="96" w:type="dxa"/>
              <w:left w:w="57" w:type="dxa"/>
              <w:bottom w:w="96" w:type="dxa"/>
              <w:right w:w="71" w:type="dxa"/>
            </w:tcMar>
          </w:tcPr>
          <w:p w14:paraId="1B8E621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24.1%</w:t>
            </w:r>
          </w:p>
        </w:tc>
        <w:tc>
          <w:tcPr>
            <w:tcW w:w="482" w:type="dxa"/>
            <w:shd w:val="solid" w:color="CBFFC6" w:fill="auto"/>
            <w:tcMar>
              <w:top w:w="96" w:type="dxa"/>
              <w:left w:w="57" w:type="dxa"/>
              <w:bottom w:w="96" w:type="dxa"/>
              <w:right w:w="71" w:type="dxa"/>
            </w:tcMar>
          </w:tcPr>
          <w:p w14:paraId="4056B1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20.0%</w:t>
            </w:r>
          </w:p>
        </w:tc>
        <w:tc>
          <w:tcPr>
            <w:tcW w:w="482" w:type="dxa"/>
            <w:shd w:val="solid" w:color="FFD1D1" w:fill="auto"/>
            <w:tcMar>
              <w:top w:w="96" w:type="dxa"/>
              <w:left w:w="57" w:type="dxa"/>
              <w:bottom w:w="96" w:type="dxa"/>
              <w:right w:w="71" w:type="dxa"/>
            </w:tcMar>
          </w:tcPr>
          <w:p w14:paraId="58EBFE9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6.7%</w:t>
            </w:r>
          </w:p>
        </w:tc>
        <w:tc>
          <w:tcPr>
            <w:tcW w:w="482" w:type="dxa"/>
            <w:shd w:val="solid" w:color="CBFFC6" w:fill="auto"/>
            <w:tcMar>
              <w:top w:w="96" w:type="dxa"/>
              <w:left w:w="57" w:type="dxa"/>
              <w:bottom w:w="96" w:type="dxa"/>
              <w:right w:w="71" w:type="dxa"/>
            </w:tcMar>
          </w:tcPr>
          <w:p w14:paraId="7092A32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448AB14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30.0%</w:t>
            </w:r>
          </w:p>
        </w:tc>
        <w:tc>
          <w:tcPr>
            <w:tcW w:w="482" w:type="dxa"/>
            <w:tcMar>
              <w:top w:w="96" w:type="dxa"/>
              <w:left w:w="57" w:type="dxa"/>
              <w:bottom w:w="96" w:type="dxa"/>
              <w:right w:w="71" w:type="dxa"/>
            </w:tcMar>
          </w:tcPr>
          <w:p w14:paraId="17C049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80.0%</w:t>
            </w:r>
          </w:p>
        </w:tc>
        <w:tc>
          <w:tcPr>
            <w:tcW w:w="482" w:type="dxa"/>
            <w:tcMar>
              <w:top w:w="96" w:type="dxa"/>
              <w:left w:w="57" w:type="dxa"/>
              <w:bottom w:w="96" w:type="dxa"/>
              <w:right w:w="71" w:type="dxa"/>
            </w:tcMar>
          </w:tcPr>
          <w:p w14:paraId="46D89F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10.2%</w:t>
            </w:r>
          </w:p>
        </w:tc>
        <w:tc>
          <w:tcPr>
            <w:tcW w:w="482" w:type="dxa"/>
            <w:tcMar>
              <w:top w:w="96" w:type="dxa"/>
              <w:left w:w="57" w:type="dxa"/>
              <w:bottom w:w="96" w:type="dxa"/>
              <w:right w:w="71" w:type="dxa"/>
            </w:tcMar>
          </w:tcPr>
          <w:p w14:paraId="7F5FC6A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85418A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6D42BCC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35.0%</w:t>
            </w:r>
          </w:p>
        </w:tc>
        <w:tc>
          <w:tcPr>
            <w:tcW w:w="482" w:type="dxa"/>
            <w:tcMar>
              <w:top w:w="96" w:type="dxa"/>
              <w:left w:w="57" w:type="dxa"/>
              <w:bottom w:w="96" w:type="dxa"/>
              <w:right w:w="71" w:type="dxa"/>
            </w:tcMar>
          </w:tcPr>
          <w:p w14:paraId="3450C64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9D4782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0713280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4.0%</w:t>
            </w:r>
          </w:p>
        </w:tc>
        <w:tc>
          <w:tcPr>
            <w:tcW w:w="482" w:type="dxa"/>
            <w:shd w:val="solid" w:color="FFD1D1" w:fill="auto"/>
            <w:tcMar>
              <w:top w:w="96" w:type="dxa"/>
              <w:left w:w="57" w:type="dxa"/>
              <w:bottom w:w="96" w:type="dxa"/>
              <w:right w:w="71" w:type="dxa"/>
            </w:tcMar>
          </w:tcPr>
          <w:p w14:paraId="04F3213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5.9%</w:t>
            </w:r>
          </w:p>
        </w:tc>
        <w:tc>
          <w:tcPr>
            <w:tcW w:w="482" w:type="dxa"/>
            <w:tcMar>
              <w:top w:w="96" w:type="dxa"/>
              <w:left w:w="57" w:type="dxa"/>
              <w:bottom w:w="96" w:type="dxa"/>
              <w:right w:w="71" w:type="dxa"/>
            </w:tcMar>
          </w:tcPr>
          <w:p w14:paraId="7E4DBC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23.8%</w:t>
            </w:r>
          </w:p>
        </w:tc>
        <w:tc>
          <w:tcPr>
            <w:tcW w:w="482" w:type="dxa"/>
            <w:tcMar>
              <w:top w:w="96" w:type="dxa"/>
              <w:left w:w="57" w:type="dxa"/>
              <w:bottom w:w="96" w:type="dxa"/>
              <w:right w:w="71" w:type="dxa"/>
            </w:tcMar>
          </w:tcPr>
          <w:p w14:paraId="0744867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95.8%</w:t>
            </w:r>
          </w:p>
        </w:tc>
        <w:tc>
          <w:tcPr>
            <w:tcW w:w="482" w:type="dxa"/>
            <w:shd w:val="solid" w:color="CBFFC6" w:fill="auto"/>
            <w:tcMar>
              <w:top w:w="96" w:type="dxa"/>
              <w:left w:w="57" w:type="dxa"/>
              <w:bottom w:w="96" w:type="dxa"/>
              <w:right w:w="71" w:type="dxa"/>
            </w:tcMar>
          </w:tcPr>
          <w:p w14:paraId="6AE642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14.6%</w:t>
            </w:r>
          </w:p>
        </w:tc>
        <w:tc>
          <w:tcPr>
            <w:tcW w:w="482" w:type="dxa"/>
            <w:shd w:val="solid" w:color="CBFFC6" w:fill="auto"/>
            <w:tcMar>
              <w:top w:w="96" w:type="dxa"/>
              <w:left w:w="57" w:type="dxa"/>
              <w:bottom w:w="96" w:type="dxa"/>
              <w:right w:w="71" w:type="dxa"/>
            </w:tcMar>
          </w:tcPr>
          <w:p w14:paraId="1E9B348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85.4%</w:t>
            </w:r>
          </w:p>
        </w:tc>
        <w:tc>
          <w:tcPr>
            <w:tcW w:w="482" w:type="dxa"/>
            <w:shd w:val="solid" w:color="FFD1D1" w:fill="auto"/>
            <w:tcMar>
              <w:top w:w="96" w:type="dxa"/>
              <w:left w:w="57" w:type="dxa"/>
              <w:bottom w:w="96" w:type="dxa"/>
              <w:right w:w="71" w:type="dxa"/>
            </w:tcMar>
          </w:tcPr>
          <w:p w14:paraId="433A562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36.9%</w:t>
            </w:r>
          </w:p>
        </w:tc>
        <w:tc>
          <w:tcPr>
            <w:tcW w:w="482" w:type="dxa"/>
            <w:shd w:val="solid" w:color="CBFFC6" w:fill="auto"/>
            <w:tcMar>
              <w:top w:w="96" w:type="dxa"/>
              <w:left w:w="57" w:type="dxa"/>
              <w:bottom w:w="96" w:type="dxa"/>
              <w:right w:w="71" w:type="dxa"/>
            </w:tcMar>
          </w:tcPr>
          <w:p w14:paraId="300760A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0.6%</w:t>
            </w:r>
          </w:p>
        </w:tc>
        <w:tc>
          <w:tcPr>
            <w:tcW w:w="482" w:type="dxa"/>
            <w:tcMar>
              <w:top w:w="96" w:type="dxa"/>
              <w:left w:w="57" w:type="dxa"/>
              <w:bottom w:w="96" w:type="dxa"/>
              <w:right w:w="71" w:type="dxa"/>
            </w:tcMar>
          </w:tcPr>
          <w:p w14:paraId="261465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7922F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E3927B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94.7%</w:t>
            </w:r>
          </w:p>
        </w:tc>
        <w:tc>
          <w:tcPr>
            <w:tcW w:w="482" w:type="dxa"/>
            <w:tcMar>
              <w:top w:w="96" w:type="dxa"/>
              <w:left w:w="57" w:type="dxa"/>
              <w:bottom w:w="96" w:type="dxa"/>
              <w:right w:w="71" w:type="dxa"/>
            </w:tcMar>
          </w:tcPr>
          <w:p w14:paraId="31B6AD8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78.7%</w:t>
            </w:r>
          </w:p>
        </w:tc>
        <w:tc>
          <w:tcPr>
            <w:tcW w:w="482" w:type="dxa"/>
            <w:shd w:val="solid" w:color="FFD1D1" w:fill="auto"/>
            <w:tcMar>
              <w:top w:w="96" w:type="dxa"/>
              <w:left w:w="57" w:type="dxa"/>
              <w:bottom w:w="96" w:type="dxa"/>
              <w:right w:w="71" w:type="dxa"/>
            </w:tcMar>
          </w:tcPr>
          <w:p w14:paraId="482B86B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4.1%</w:t>
            </w:r>
          </w:p>
        </w:tc>
        <w:tc>
          <w:tcPr>
            <w:tcW w:w="340" w:type="dxa"/>
            <w:tcMar>
              <w:top w:w="96" w:type="dxa"/>
              <w:left w:w="57" w:type="dxa"/>
              <w:bottom w:w="96" w:type="dxa"/>
              <w:right w:w="71" w:type="dxa"/>
            </w:tcMar>
          </w:tcPr>
          <w:p w14:paraId="48DB9A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2BD099E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r>
      <w:tr w:rsidR="00D6403A" w:rsidRPr="0004279D" w14:paraId="3E4F6CC9" w14:textId="77777777" w:rsidTr="001726E8">
        <w:trPr>
          <w:trHeight w:val="283"/>
        </w:trPr>
        <w:tc>
          <w:tcPr>
            <w:tcW w:w="1417" w:type="dxa"/>
            <w:tcMar>
              <w:top w:w="96" w:type="dxa"/>
              <w:left w:w="113" w:type="dxa"/>
              <w:bottom w:w="96" w:type="dxa"/>
              <w:right w:w="0" w:type="dxa"/>
            </w:tcMar>
          </w:tcPr>
          <w:p w14:paraId="6F00FF19"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Swan Hill District Health [Swan Hill]</w:t>
            </w:r>
          </w:p>
        </w:tc>
        <w:tc>
          <w:tcPr>
            <w:tcW w:w="340" w:type="dxa"/>
            <w:tcMar>
              <w:top w:w="96" w:type="dxa"/>
              <w:left w:w="57" w:type="dxa"/>
              <w:bottom w:w="96" w:type="dxa"/>
              <w:right w:w="71" w:type="dxa"/>
            </w:tcMar>
          </w:tcPr>
          <w:p w14:paraId="144745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0D370E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163</w:t>
            </w:r>
          </w:p>
        </w:tc>
        <w:tc>
          <w:tcPr>
            <w:tcW w:w="482" w:type="dxa"/>
            <w:tcMar>
              <w:top w:w="96" w:type="dxa"/>
              <w:left w:w="57" w:type="dxa"/>
              <w:bottom w:w="96" w:type="dxa"/>
              <w:right w:w="71" w:type="dxa"/>
            </w:tcMar>
          </w:tcPr>
          <w:p w14:paraId="1431FF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D230A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20.0%</w:t>
            </w:r>
          </w:p>
        </w:tc>
        <w:tc>
          <w:tcPr>
            <w:tcW w:w="482" w:type="dxa"/>
            <w:shd w:val="solid" w:color="CBFFC6" w:fill="auto"/>
            <w:tcMar>
              <w:top w:w="96" w:type="dxa"/>
              <w:left w:w="57" w:type="dxa"/>
              <w:bottom w:w="96" w:type="dxa"/>
              <w:right w:w="71" w:type="dxa"/>
            </w:tcMar>
          </w:tcPr>
          <w:p w14:paraId="244CD05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12.5%</w:t>
            </w:r>
          </w:p>
        </w:tc>
        <w:tc>
          <w:tcPr>
            <w:tcW w:w="482" w:type="dxa"/>
            <w:shd w:val="solid" w:color="CBFFC6" w:fill="auto"/>
            <w:tcMar>
              <w:top w:w="96" w:type="dxa"/>
              <w:left w:w="57" w:type="dxa"/>
              <w:bottom w:w="96" w:type="dxa"/>
              <w:right w:w="71" w:type="dxa"/>
            </w:tcMar>
          </w:tcPr>
          <w:p w14:paraId="31E0FE4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FFD1D1" w:fill="auto"/>
            <w:tcMar>
              <w:top w:w="96" w:type="dxa"/>
              <w:left w:w="57" w:type="dxa"/>
              <w:bottom w:w="96" w:type="dxa"/>
              <w:right w:w="71" w:type="dxa"/>
            </w:tcMar>
          </w:tcPr>
          <w:p w14:paraId="1F86F8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w:t>
            </w:r>
          </w:p>
        </w:tc>
        <w:tc>
          <w:tcPr>
            <w:tcW w:w="482" w:type="dxa"/>
            <w:shd w:val="solid" w:color="CBFFC6" w:fill="auto"/>
            <w:tcMar>
              <w:top w:w="96" w:type="dxa"/>
              <w:left w:w="57" w:type="dxa"/>
              <w:bottom w:w="96" w:type="dxa"/>
              <w:right w:w="71" w:type="dxa"/>
            </w:tcMar>
          </w:tcPr>
          <w:p w14:paraId="17F26E6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14.3%</w:t>
            </w:r>
          </w:p>
        </w:tc>
        <w:tc>
          <w:tcPr>
            <w:tcW w:w="482" w:type="dxa"/>
            <w:shd w:val="solid" w:color="FFD1D1" w:fill="auto"/>
            <w:tcMar>
              <w:top w:w="96" w:type="dxa"/>
              <w:left w:w="57" w:type="dxa"/>
              <w:bottom w:w="96" w:type="dxa"/>
              <w:right w:w="71" w:type="dxa"/>
            </w:tcMar>
          </w:tcPr>
          <w:p w14:paraId="4A818F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64.3%</w:t>
            </w:r>
          </w:p>
        </w:tc>
        <w:tc>
          <w:tcPr>
            <w:tcW w:w="482" w:type="dxa"/>
            <w:tcMar>
              <w:top w:w="96" w:type="dxa"/>
              <w:left w:w="57" w:type="dxa"/>
              <w:bottom w:w="96" w:type="dxa"/>
              <w:right w:w="71" w:type="dxa"/>
            </w:tcMar>
          </w:tcPr>
          <w:p w14:paraId="6772A7A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w:t>
            </w:r>
          </w:p>
        </w:tc>
        <w:tc>
          <w:tcPr>
            <w:tcW w:w="482" w:type="dxa"/>
            <w:tcMar>
              <w:top w:w="96" w:type="dxa"/>
              <w:left w:w="57" w:type="dxa"/>
              <w:bottom w:w="96" w:type="dxa"/>
              <w:right w:w="71" w:type="dxa"/>
            </w:tcMar>
          </w:tcPr>
          <w:p w14:paraId="3496CBD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817FC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B4A600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F52A3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0502BE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EAFF4D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482" w:type="dxa"/>
            <w:shd w:val="solid" w:color="CBFFC6" w:fill="auto"/>
            <w:tcMar>
              <w:top w:w="96" w:type="dxa"/>
              <w:left w:w="57" w:type="dxa"/>
              <w:bottom w:w="96" w:type="dxa"/>
              <w:right w:w="71" w:type="dxa"/>
            </w:tcMar>
          </w:tcPr>
          <w:p w14:paraId="1F51768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shd w:val="solid" w:color="FFD1D1" w:fill="auto"/>
            <w:tcMar>
              <w:top w:w="96" w:type="dxa"/>
              <w:left w:w="57" w:type="dxa"/>
              <w:bottom w:w="96" w:type="dxa"/>
              <w:right w:w="71" w:type="dxa"/>
            </w:tcMar>
          </w:tcPr>
          <w:p w14:paraId="133C4A3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14.3%</w:t>
            </w:r>
          </w:p>
        </w:tc>
        <w:tc>
          <w:tcPr>
            <w:tcW w:w="482" w:type="dxa"/>
            <w:tcMar>
              <w:top w:w="96" w:type="dxa"/>
              <w:left w:w="57" w:type="dxa"/>
              <w:bottom w:w="96" w:type="dxa"/>
              <w:right w:w="71" w:type="dxa"/>
            </w:tcMar>
          </w:tcPr>
          <w:p w14:paraId="0AF81CE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95.6%</w:t>
            </w:r>
          </w:p>
        </w:tc>
        <w:tc>
          <w:tcPr>
            <w:tcW w:w="482" w:type="dxa"/>
            <w:tcMar>
              <w:top w:w="96" w:type="dxa"/>
              <w:left w:w="57" w:type="dxa"/>
              <w:bottom w:w="96" w:type="dxa"/>
              <w:right w:w="71" w:type="dxa"/>
            </w:tcMar>
          </w:tcPr>
          <w:p w14:paraId="6B79026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26.1%</w:t>
            </w:r>
          </w:p>
        </w:tc>
        <w:tc>
          <w:tcPr>
            <w:tcW w:w="482" w:type="dxa"/>
            <w:tcMar>
              <w:top w:w="96" w:type="dxa"/>
              <w:left w:w="57" w:type="dxa"/>
              <w:bottom w:w="96" w:type="dxa"/>
              <w:right w:w="71" w:type="dxa"/>
            </w:tcMar>
          </w:tcPr>
          <w:p w14:paraId="1C5F519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81.0%</w:t>
            </w:r>
          </w:p>
        </w:tc>
        <w:tc>
          <w:tcPr>
            <w:tcW w:w="482" w:type="dxa"/>
            <w:tcMar>
              <w:top w:w="96" w:type="dxa"/>
              <w:left w:w="57" w:type="dxa"/>
              <w:bottom w:w="96" w:type="dxa"/>
              <w:right w:w="71" w:type="dxa"/>
            </w:tcMar>
          </w:tcPr>
          <w:p w14:paraId="0FC9CBA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63.8%</w:t>
            </w:r>
          </w:p>
        </w:tc>
        <w:tc>
          <w:tcPr>
            <w:tcW w:w="482" w:type="dxa"/>
            <w:tcMar>
              <w:top w:w="96" w:type="dxa"/>
              <w:left w:w="57" w:type="dxa"/>
              <w:bottom w:w="96" w:type="dxa"/>
              <w:right w:w="71" w:type="dxa"/>
            </w:tcMar>
          </w:tcPr>
          <w:p w14:paraId="4B9759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08592E8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86.5%</w:t>
            </w:r>
          </w:p>
        </w:tc>
        <w:tc>
          <w:tcPr>
            <w:tcW w:w="482" w:type="dxa"/>
            <w:tcMar>
              <w:top w:w="96" w:type="dxa"/>
              <w:left w:w="57" w:type="dxa"/>
              <w:bottom w:w="96" w:type="dxa"/>
              <w:right w:w="71" w:type="dxa"/>
            </w:tcMar>
          </w:tcPr>
          <w:p w14:paraId="605AA6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10A871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96.9%</w:t>
            </w:r>
          </w:p>
        </w:tc>
        <w:tc>
          <w:tcPr>
            <w:tcW w:w="482" w:type="dxa"/>
            <w:shd w:val="solid" w:color="FFD1D1" w:fill="auto"/>
            <w:tcMar>
              <w:top w:w="96" w:type="dxa"/>
              <w:left w:w="57" w:type="dxa"/>
              <w:bottom w:w="96" w:type="dxa"/>
              <w:right w:w="71" w:type="dxa"/>
            </w:tcMar>
          </w:tcPr>
          <w:p w14:paraId="29046D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67.5%</w:t>
            </w:r>
          </w:p>
        </w:tc>
        <w:tc>
          <w:tcPr>
            <w:tcW w:w="482" w:type="dxa"/>
            <w:tcMar>
              <w:top w:w="96" w:type="dxa"/>
              <w:left w:w="57" w:type="dxa"/>
              <w:bottom w:w="96" w:type="dxa"/>
              <w:right w:w="71" w:type="dxa"/>
            </w:tcMar>
          </w:tcPr>
          <w:p w14:paraId="29F48ED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340" w:type="dxa"/>
            <w:tcMar>
              <w:top w:w="96" w:type="dxa"/>
              <w:left w:w="57" w:type="dxa"/>
              <w:bottom w:w="96" w:type="dxa"/>
              <w:right w:w="71" w:type="dxa"/>
            </w:tcMar>
          </w:tcPr>
          <w:p w14:paraId="26197BC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3AADF2F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r>
      <w:tr w:rsidR="00D6403A" w:rsidRPr="0004279D" w14:paraId="18660106" w14:textId="77777777" w:rsidTr="001726E8">
        <w:trPr>
          <w:trHeight w:val="283"/>
        </w:trPr>
        <w:tc>
          <w:tcPr>
            <w:tcW w:w="1417" w:type="dxa"/>
            <w:tcMar>
              <w:top w:w="96" w:type="dxa"/>
              <w:left w:w="113" w:type="dxa"/>
              <w:bottom w:w="96" w:type="dxa"/>
              <w:right w:w="0" w:type="dxa"/>
            </w:tcMar>
          </w:tcPr>
          <w:p w14:paraId="080D408D"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Colac Area Hospital</w:t>
            </w:r>
          </w:p>
        </w:tc>
        <w:tc>
          <w:tcPr>
            <w:tcW w:w="340" w:type="dxa"/>
            <w:tcMar>
              <w:top w:w="96" w:type="dxa"/>
              <w:left w:w="57" w:type="dxa"/>
              <w:bottom w:w="96" w:type="dxa"/>
              <w:right w:w="71" w:type="dxa"/>
            </w:tcMar>
          </w:tcPr>
          <w:p w14:paraId="7F7219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5746008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122</w:t>
            </w:r>
          </w:p>
        </w:tc>
        <w:tc>
          <w:tcPr>
            <w:tcW w:w="482" w:type="dxa"/>
            <w:shd w:val="solid" w:color="CBFFC6" w:fill="auto"/>
            <w:tcMar>
              <w:top w:w="96" w:type="dxa"/>
              <w:left w:w="57" w:type="dxa"/>
              <w:bottom w:w="96" w:type="dxa"/>
              <w:right w:w="71" w:type="dxa"/>
            </w:tcMar>
          </w:tcPr>
          <w:p w14:paraId="3390039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CBFFC6" w:fill="auto"/>
            <w:tcMar>
              <w:top w:w="96" w:type="dxa"/>
              <w:left w:w="57" w:type="dxa"/>
              <w:bottom w:w="96" w:type="dxa"/>
              <w:right w:w="71" w:type="dxa"/>
            </w:tcMar>
          </w:tcPr>
          <w:p w14:paraId="36E717B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w:t>
            </w:r>
          </w:p>
        </w:tc>
        <w:tc>
          <w:tcPr>
            <w:tcW w:w="482" w:type="dxa"/>
            <w:shd w:val="solid" w:color="FFD1D1" w:fill="auto"/>
            <w:tcMar>
              <w:top w:w="96" w:type="dxa"/>
              <w:left w:w="57" w:type="dxa"/>
              <w:bottom w:w="96" w:type="dxa"/>
              <w:right w:w="71" w:type="dxa"/>
            </w:tcMar>
          </w:tcPr>
          <w:p w14:paraId="5A86A3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42.1%</w:t>
            </w:r>
          </w:p>
        </w:tc>
        <w:tc>
          <w:tcPr>
            <w:tcW w:w="482" w:type="dxa"/>
            <w:tcMar>
              <w:top w:w="96" w:type="dxa"/>
              <w:left w:w="57" w:type="dxa"/>
              <w:bottom w:w="96" w:type="dxa"/>
              <w:right w:w="71" w:type="dxa"/>
            </w:tcMar>
          </w:tcPr>
          <w:p w14:paraId="7A4D5A0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w:t>
            </w:r>
          </w:p>
        </w:tc>
        <w:tc>
          <w:tcPr>
            <w:tcW w:w="482" w:type="dxa"/>
            <w:tcMar>
              <w:top w:w="96" w:type="dxa"/>
              <w:left w:w="57" w:type="dxa"/>
              <w:bottom w:w="96" w:type="dxa"/>
              <w:right w:w="71" w:type="dxa"/>
            </w:tcMar>
          </w:tcPr>
          <w:p w14:paraId="04839ED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4870EE3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15.4%</w:t>
            </w:r>
          </w:p>
        </w:tc>
        <w:tc>
          <w:tcPr>
            <w:tcW w:w="482" w:type="dxa"/>
            <w:tcMar>
              <w:top w:w="96" w:type="dxa"/>
              <w:left w:w="57" w:type="dxa"/>
              <w:bottom w:w="96" w:type="dxa"/>
              <w:right w:w="71" w:type="dxa"/>
            </w:tcMar>
          </w:tcPr>
          <w:p w14:paraId="2F6FFE4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67B20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9.9%</w:t>
            </w:r>
          </w:p>
        </w:tc>
        <w:tc>
          <w:tcPr>
            <w:tcW w:w="482" w:type="dxa"/>
            <w:tcMar>
              <w:top w:w="96" w:type="dxa"/>
              <w:left w:w="57" w:type="dxa"/>
              <w:bottom w:w="96" w:type="dxa"/>
              <w:right w:w="71" w:type="dxa"/>
            </w:tcMar>
          </w:tcPr>
          <w:p w14:paraId="6CA7CEA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CAF51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CCB19D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6AA76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49913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F9ACB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shd w:val="solid" w:color="FFD1D1" w:fill="auto"/>
            <w:tcMar>
              <w:top w:w="96" w:type="dxa"/>
              <w:left w:w="57" w:type="dxa"/>
              <w:bottom w:w="96" w:type="dxa"/>
              <w:right w:w="71" w:type="dxa"/>
            </w:tcMar>
          </w:tcPr>
          <w:p w14:paraId="008D9B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w:t>
            </w:r>
          </w:p>
        </w:tc>
        <w:tc>
          <w:tcPr>
            <w:tcW w:w="482" w:type="dxa"/>
            <w:shd w:val="solid" w:color="FFD1D1" w:fill="auto"/>
            <w:tcMar>
              <w:top w:w="96" w:type="dxa"/>
              <w:left w:w="57" w:type="dxa"/>
              <w:bottom w:w="96" w:type="dxa"/>
              <w:right w:w="71" w:type="dxa"/>
            </w:tcMar>
          </w:tcPr>
          <w:p w14:paraId="538C149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w:t>
            </w:r>
          </w:p>
        </w:tc>
        <w:tc>
          <w:tcPr>
            <w:tcW w:w="482" w:type="dxa"/>
            <w:tcMar>
              <w:top w:w="96" w:type="dxa"/>
              <w:left w:w="57" w:type="dxa"/>
              <w:bottom w:w="96" w:type="dxa"/>
              <w:right w:w="71" w:type="dxa"/>
            </w:tcMar>
          </w:tcPr>
          <w:p w14:paraId="3FFEDE7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95.8%</w:t>
            </w:r>
          </w:p>
        </w:tc>
        <w:tc>
          <w:tcPr>
            <w:tcW w:w="482" w:type="dxa"/>
            <w:tcMar>
              <w:top w:w="96" w:type="dxa"/>
              <w:left w:w="57" w:type="dxa"/>
              <w:bottom w:w="96" w:type="dxa"/>
              <w:right w:w="71" w:type="dxa"/>
            </w:tcMar>
          </w:tcPr>
          <w:p w14:paraId="2FA958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20.9%</w:t>
            </w:r>
          </w:p>
        </w:tc>
        <w:tc>
          <w:tcPr>
            <w:tcW w:w="482" w:type="dxa"/>
            <w:tcMar>
              <w:top w:w="96" w:type="dxa"/>
              <w:left w:w="57" w:type="dxa"/>
              <w:bottom w:w="96" w:type="dxa"/>
              <w:right w:w="71" w:type="dxa"/>
            </w:tcMar>
          </w:tcPr>
          <w:p w14:paraId="0EC6DE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81.7%</w:t>
            </w:r>
          </w:p>
        </w:tc>
        <w:tc>
          <w:tcPr>
            <w:tcW w:w="482" w:type="dxa"/>
            <w:tcMar>
              <w:top w:w="96" w:type="dxa"/>
              <w:left w:w="57" w:type="dxa"/>
              <w:bottom w:w="96" w:type="dxa"/>
              <w:right w:w="71" w:type="dxa"/>
            </w:tcMar>
          </w:tcPr>
          <w:p w14:paraId="7E5224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90.2%</w:t>
            </w:r>
          </w:p>
        </w:tc>
        <w:tc>
          <w:tcPr>
            <w:tcW w:w="482" w:type="dxa"/>
            <w:shd w:val="solid" w:color="FFD1D1" w:fill="auto"/>
            <w:tcMar>
              <w:top w:w="96" w:type="dxa"/>
              <w:left w:w="57" w:type="dxa"/>
              <w:bottom w:w="96" w:type="dxa"/>
              <w:right w:w="71" w:type="dxa"/>
            </w:tcMar>
          </w:tcPr>
          <w:p w14:paraId="30483F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w:t>
            </w:r>
          </w:p>
        </w:tc>
        <w:tc>
          <w:tcPr>
            <w:tcW w:w="482" w:type="dxa"/>
            <w:tcMar>
              <w:top w:w="96" w:type="dxa"/>
              <w:left w:w="57" w:type="dxa"/>
              <w:bottom w:w="96" w:type="dxa"/>
              <w:right w:w="71" w:type="dxa"/>
            </w:tcMar>
          </w:tcPr>
          <w:p w14:paraId="5EB8BF9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09A85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30BFF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93.4%</w:t>
            </w:r>
          </w:p>
        </w:tc>
        <w:tc>
          <w:tcPr>
            <w:tcW w:w="482" w:type="dxa"/>
            <w:tcMar>
              <w:top w:w="96" w:type="dxa"/>
              <w:left w:w="57" w:type="dxa"/>
              <w:bottom w:w="96" w:type="dxa"/>
              <w:right w:w="71" w:type="dxa"/>
            </w:tcMar>
          </w:tcPr>
          <w:p w14:paraId="2E43D5F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82.0%</w:t>
            </w:r>
          </w:p>
        </w:tc>
        <w:tc>
          <w:tcPr>
            <w:tcW w:w="482" w:type="dxa"/>
            <w:shd w:val="solid" w:color="FFD1D1" w:fill="auto"/>
            <w:tcMar>
              <w:top w:w="96" w:type="dxa"/>
              <w:left w:w="57" w:type="dxa"/>
              <w:bottom w:w="96" w:type="dxa"/>
              <w:right w:w="71" w:type="dxa"/>
            </w:tcMar>
          </w:tcPr>
          <w:p w14:paraId="7B74022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w:t>
            </w:r>
          </w:p>
        </w:tc>
        <w:tc>
          <w:tcPr>
            <w:tcW w:w="340" w:type="dxa"/>
            <w:tcMar>
              <w:top w:w="96" w:type="dxa"/>
              <w:left w:w="57" w:type="dxa"/>
              <w:bottom w:w="96" w:type="dxa"/>
              <w:right w:w="71" w:type="dxa"/>
            </w:tcMar>
          </w:tcPr>
          <w:p w14:paraId="2C8460F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340" w:type="dxa"/>
            <w:tcMar>
              <w:top w:w="96" w:type="dxa"/>
              <w:left w:w="57" w:type="dxa"/>
              <w:bottom w:w="96" w:type="dxa"/>
              <w:right w:w="71" w:type="dxa"/>
            </w:tcMar>
          </w:tcPr>
          <w:p w14:paraId="6D8813A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r>
      <w:tr w:rsidR="00D6403A" w:rsidRPr="0004279D" w14:paraId="485FE074" w14:textId="77777777" w:rsidTr="001726E8">
        <w:trPr>
          <w:trHeight w:val="283"/>
        </w:trPr>
        <w:tc>
          <w:tcPr>
            <w:tcW w:w="1417" w:type="dxa"/>
            <w:tcMar>
              <w:top w:w="96" w:type="dxa"/>
              <w:left w:w="113" w:type="dxa"/>
              <w:bottom w:w="96" w:type="dxa"/>
              <w:right w:w="0" w:type="dxa"/>
            </w:tcMar>
          </w:tcPr>
          <w:p w14:paraId="1C420EA3"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East Grampians Health Service [Ararat]</w:t>
            </w:r>
          </w:p>
        </w:tc>
        <w:tc>
          <w:tcPr>
            <w:tcW w:w="340" w:type="dxa"/>
            <w:tcMar>
              <w:top w:w="96" w:type="dxa"/>
              <w:left w:w="57" w:type="dxa"/>
              <w:bottom w:w="96" w:type="dxa"/>
              <w:right w:w="71" w:type="dxa"/>
            </w:tcMar>
          </w:tcPr>
          <w:p w14:paraId="2D38335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60159BC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104</w:t>
            </w:r>
          </w:p>
        </w:tc>
        <w:tc>
          <w:tcPr>
            <w:tcW w:w="482" w:type="dxa"/>
            <w:tcMar>
              <w:top w:w="96" w:type="dxa"/>
              <w:left w:w="57" w:type="dxa"/>
              <w:bottom w:w="96" w:type="dxa"/>
              <w:right w:w="71" w:type="dxa"/>
            </w:tcMar>
          </w:tcPr>
          <w:p w14:paraId="38068D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6E797B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14.3%</w:t>
            </w:r>
          </w:p>
        </w:tc>
        <w:tc>
          <w:tcPr>
            <w:tcW w:w="482" w:type="dxa"/>
            <w:shd w:val="solid" w:color="FFD1D1" w:fill="auto"/>
            <w:tcMar>
              <w:top w:w="96" w:type="dxa"/>
              <w:left w:w="57" w:type="dxa"/>
              <w:bottom w:w="96" w:type="dxa"/>
              <w:right w:w="71" w:type="dxa"/>
            </w:tcMar>
          </w:tcPr>
          <w:p w14:paraId="459450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50.0%</w:t>
            </w:r>
          </w:p>
        </w:tc>
        <w:tc>
          <w:tcPr>
            <w:tcW w:w="482" w:type="dxa"/>
            <w:tcMar>
              <w:top w:w="96" w:type="dxa"/>
              <w:left w:w="57" w:type="dxa"/>
              <w:bottom w:w="96" w:type="dxa"/>
              <w:right w:w="71" w:type="dxa"/>
            </w:tcMar>
          </w:tcPr>
          <w:p w14:paraId="65E4D03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w:t>
            </w:r>
          </w:p>
        </w:tc>
        <w:tc>
          <w:tcPr>
            <w:tcW w:w="482" w:type="dxa"/>
            <w:tcMar>
              <w:top w:w="96" w:type="dxa"/>
              <w:left w:w="57" w:type="dxa"/>
              <w:bottom w:w="96" w:type="dxa"/>
              <w:right w:w="71" w:type="dxa"/>
            </w:tcMar>
          </w:tcPr>
          <w:p w14:paraId="1615285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4B8B7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22.7</w:t>
            </w:r>
          </w:p>
        </w:tc>
        <w:tc>
          <w:tcPr>
            <w:tcW w:w="482" w:type="dxa"/>
            <w:tcMar>
              <w:top w:w="96" w:type="dxa"/>
              <w:left w:w="57" w:type="dxa"/>
              <w:bottom w:w="96" w:type="dxa"/>
              <w:right w:w="71" w:type="dxa"/>
            </w:tcMar>
          </w:tcPr>
          <w:p w14:paraId="7D57BD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A03DE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w:t>
            </w:r>
          </w:p>
        </w:tc>
        <w:tc>
          <w:tcPr>
            <w:tcW w:w="482" w:type="dxa"/>
            <w:tcMar>
              <w:top w:w="96" w:type="dxa"/>
              <w:left w:w="57" w:type="dxa"/>
              <w:bottom w:w="96" w:type="dxa"/>
              <w:right w:w="71" w:type="dxa"/>
            </w:tcMar>
          </w:tcPr>
          <w:p w14:paraId="71799D0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18AA2D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1E95BE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45.5%</w:t>
            </w:r>
          </w:p>
        </w:tc>
        <w:tc>
          <w:tcPr>
            <w:tcW w:w="482" w:type="dxa"/>
            <w:tcMar>
              <w:top w:w="96" w:type="dxa"/>
              <w:left w:w="57" w:type="dxa"/>
              <w:bottom w:w="96" w:type="dxa"/>
              <w:right w:w="71" w:type="dxa"/>
            </w:tcMar>
          </w:tcPr>
          <w:p w14:paraId="71C142B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E28A1E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7D8ACE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482" w:type="dxa"/>
            <w:shd w:val="solid" w:color="CBFFC6" w:fill="auto"/>
            <w:tcMar>
              <w:top w:w="96" w:type="dxa"/>
              <w:left w:w="57" w:type="dxa"/>
              <w:bottom w:w="96" w:type="dxa"/>
              <w:right w:w="71" w:type="dxa"/>
            </w:tcMar>
          </w:tcPr>
          <w:p w14:paraId="6E6F0A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shd w:val="solid" w:color="CBFFC6" w:fill="auto"/>
            <w:tcMar>
              <w:top w:w="96" w:type="dxa"/>
              <w:left w:w="57" w:type="dxa"/>
              <w:bottom w:w="96" w:type="dxa"/>
              <w:right w:w="71" w:type="dxa"/>
            </w:tcMar>
          </w:tcPr>
          <w:p w14:paraId="34E9AA7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43.8%</w:t>
            </w:r>
          </w:p>
        </w:tc>
        <w:tc>
          <w:tcPr>
            <w:tcW w:w="482" w:type="dxa"/>
            <w:tcMar>
              <w:top w:w="96" w:type="dxa"/>
              <w:left w:w="57" w:type="dxa"/>
              <w:bottom w:w="96" w:type="dxa"/>
              <w:right w:w="71" w:type="dxa"/>
            </w:tcMar>
          </w:tcPr>
          <w:p w14:paraId="033CA5D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95.0%</w:t>
            </w:r>
          </w:p>
        </w:tc>
        <w:tc>
          <w:tcPr>
            <w:tcW w:w="482" w:type="dxa"/>
            <w:tcMar>
              <w:top w:w="96" w:type="dxa"/>
              <w:left w:w="57" w:type="dxa"/>
              <w:bottom w:w="96" w:type="dxa"/>
              <w:right w:w="71" w:type="dxa"/>
            </w:tcMar>
          </w:tcPr>
          <w:p w14:paraId="48B3EF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19.8%</w:t>
            </w:r>
          </w:p>
        </w:tc>
        <w:tc>
          <w:tcPr>
            <w:tcW w:w="482" w:type="dxa"/>
            <w:shd w:val="solid" w:color="CBFFC6" w:fill="auto"/>
            <w:tcMar>
              <w:top w:w="96" w:type="dxa"/>
              <w:left w:w="57" w:type="dxa"/>
              <w:bottom w:w="96" w:type="dxa"/>
              <w:right w:w="71" w:type="dxa"/>
            </w:tcMar>
          </w:tcPr>
          <w:p w14:paraId="3A08D6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94.8%</w:t>
            </w:r>
          </w:p>
        </w:tc>
        <w:tc>
          <w:tcPr>
            <w:tcW w:w="482" w:type="dxa"/>
            <w:tcMar>
              <w:top w:w="96" w:type="dxa"/>
              <w:left w:w="57" w:type="dxa"/>
              <w:bottom w:w="96" w:type="dxa"/>
              <w:right w:w="71" w:type="dxa"/>
            </w:tcMar>
          </w:tcPr>
          <w:p w14:paraId="001AF20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76.0%</w:t>
            </w:r>
          </w:p>
        </w:tc>
        <w:tc>
          <w:tcPr>
            <w:tcW w:w="482" w:type="dxa"/>
            <w:shd w:val="solid" w:color="FFD1D1" w:fill="auto"/>
            <w:tcMar>
              <w:top w:w="96" w:type="dxa"/>
              <w:left w:w="57" w:type="dxa"/>
              <w:bottom w:w="96" w:type="dxa"/>
              <w:right w:w="71" w:type="dxa"/>
            </w:tcMar>
          </w:tcPr>
          <w:p w14:paraId="24C4C3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tcMar>
              <w:top w:w="96" w:type="dxa"/>
              <w:left w:w="57" w:type="dxa"/>
              <w:bottom w:w="96" w:type="dxa"/>
              <w:right w:w="71" w:type="dxa"/>
            </w:tcMar>
          </w:tcPr>
          <w:p w14:paraId="2B9F0C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FBC4CC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45D947E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98.1%</w:t>
            </w:r>
          </w:p>
        </w:tc>
        <w:tc>
          <w:tcPr>
            <w:tcW w:w="482" w:type="dxa"/>
            <w:shd w:val="solid" w:color="CBFFC6" w:fill="auto"/>
            <w:tcMar>
              <w:top w:w="96" w:type="dxa"/>
              <w:left w:w="57" w:type="dxa"/>
              <w:bottom w:w="96" w:type="dxa"/>
              <w:right w:w="71" w:type="dxa"/>
            </w:tcMar>
          </w:tcPr>
          <w:p w14:paraId="3BA74C5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87.5%</w:t>
            </w:r>
          </w:p>
        </w:tc>
        <w:tc>
          <w:tcPr>
            <w:tcW w:w="482" w:type="dxa"/>
            <w:shd w:val="solid" w:color="FFD1D1" w:fill="auto"/>
            <w:tcMar>
              <w:top w:w="96" w:type="dxa"/>
              <w:left w:w="57" w:type="dxa"/>
              <w:bottom w:w="96" w:type="dxa"/>
              <w:right w:w="71" w:type="dxa"/>
            </w:tcMar>
          </w:tcPr>
          <w:p w14:paraId="1C27A7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4.8%</w:t>
            </w:r>
          </w:p>
        </w:tc>
        <w:tc>
          <w:tcPr>
            <w:tcW w:w="340" w:type="dxa"/>
            <w:tcMar>
              <w:top w:w="96" w:type="dxa"/>
              <w:left w:w="57" w:type="dxa"/>
              <w:bottom w:w="96" w:type="dxa"/>
              <w:right w:w="71" w:type="dxa"/>
            </w:tcMar>
          </w:tcPr>
          <w:p w14:paraId="3851BEC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3311AE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0D4F3DB3" w14:textId="77777777" w:rsidTr="001726E8">
        <w:trPr>
          <w:trHeight w:val="283"/>
        </w:trPr>
        <w:tc>
          <w:tcPr>
            <w:tcW w:w="1417" w:type="dxa"/>
            <w:tcMar>
              <w:top w:w="96" w:type="dxa"/>
              <w:left w:w="113" w:type="dxa"/>
              <w:bottom w:w="96" w:type="dxa"/>
              <w:right w:w="0" w:type="dxa"/>
            </w:tcMar>
          </w:tcPr>
          <w:p w14:paraId="2132A353"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Benalla Health</w:t>
            </w:r>
          </w:p>
        </w:tc>
        <w:tc>
          <w:tcPr>
            <w:tcW w:w="340" w:type="dxa"/>
            <w:tcMar>
              <w:top w:w="96" w:type="dxa"/>
              <w:left w:w="57" w:type="dxa"/>
              <w:bottom w:w="96" w:type="dxa"/>
              <w:right w:w="71" w:type="dxa"/>
            </w:tcMar>
          </w:tcPr>
          <w:p w14:paraId="2EB0712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41F2DD3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w:t>
            </w:r>
          </w:p>
        </w:tc>
        <w:tc>
          <w:tcPr>
            <w:tcW w:w="482" w:type="dxa"/>
            <w:tcMar>
              <w:top w:w="96" w:type="dxa"/>
              <w:left w:w="57" w:type="dxa"/>
              <w:bottom w:w="96" w:type="dxa"/>
              <w:right w:w="71" w:type="dxa"/>
            </w:tcMar>
          </w:tcPr>
          <w:p w14:paraId="1D1E13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7.1%</w:t>
            </w:r>
          </w:p>
        </w:tc>
        <w:tc>
          <w:tcPr>
            <w:tcW w:w="482" w:type="dxa"/>
            <w:shd w:val="solid" w:color="FFD1D1" w:fill="auto"/>
            <w:tcMar>
              <w:top w:w="96" w:type="dxa"/>
              <w:left w:w="57" w:type="dxa"/>
              <w:bottom w:w="96" w:type="dxa"/>
              <w:right w:w="71" w:type="dxa"/>
            </w:tcMar>
          </w:tcPr>
          <w:p w14:paraId="25DA15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28.6%</w:t>
            </w:r>
          </w:p>
        </w:tc>
        <w:tc>
          <w:tcPr>
            <w:tcW w:w="482" w:type="dxa"/>
            <w:shd w:val="solid" w:color="FFD1D1" w:fill="auto"/>
            <w:tcMar>
              <w:top w:w="96" w:type="dxa"/>
              <w:left w:w="57" w:type="dxa"/>
              <w:bottom w:w="96" w:type="dxa"/>
              <w:right w:w="71" w:type="dxa"/>
            </w:tcMar>
          </w:tcPr>
          <w:p w14:paraId="3A824D3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50.0%</w:t>
            </w:r>
          </w:p>
        </w:tc>
        <w:tc>
          <w:tcPr>
            <w:tcW w:w="482" w:type="dxa"/>
            <w:tcMar>
              <w:top w:w="96" w:type="dxa"/>
              <w:left w:w="57" w:type="dxa"/>
              <w:bottom w:w="96" w:type="dxa"/>
              <w:right w:w="71" w:type="dxa"/>
            </w:tcMar>
          </w:tcPr>
          <w:p w14:paraId="33D8C2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1DB9A0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754D9D7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D9ECCD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92.3</w:t>
            </w:r>
          </w:p>
        </w:tc>
        <w:tc>
          <w:tcPr>
            <w:tcW w:w="482" w:type="dxa"/>
            <w:shd w:val="solid" w:color="FFD1D1" w:fill="auto"/>
            <w:tcMar>
              <w:top w:w="96" w:type="dxa"/>
              <w:left w:w="57" w:type="dxa"/>
              <w:bottom w:w="96" w:type="dxa"/>
              <w:right w:w="71" w:type="dxa"/>
            </w:tcMar>
          </w:tcPr>
          <w:p w14:paraId="1024986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16.7%</w:t>
            </w:r>
          </w:p>
        </w:tc>
        <w:tc>
          <w:tcPr>
            <w:tcW w:w="482" w:type="dxa"/>
            <w:tcMar>
              <w:top w:w="96" w:type="dxa"/>
              <w:left w:w="57" w:type="dxa"/>
              <w:bottom w:w="96" w:type="dxa"/>
              <w:right w:w="71" w:type="dxa"/>
            </w:tcMar>
          </w:tcPr>
          <w:p w14:paraId="66F6F0B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A7DAC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240DC9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46.2%</w:t>
            </w:r>
          </w:p>
        </w:tc>
        <w:tc>
          <w:tcPr>
            <w:tcW w:w="482" w:type="dxa"/>
            <w:tcMar>
              <w:top w:w="96" w:type="dxa"/>
              <w:left w:w="57" w:type="dxa"/>
              <w:bottom w:w="96" w:type="dxa"/>
              <w:right w:w="71" w:type="dxa"/>
            </w:tcMar>
          </w:tcPr>
          <w:p w14:paraId="7D5BFAC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CAF8CC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05B8F0B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w:t>
            </w:r>
          </w:p>
        </w:tc>
        <w:tc>
          <w:tcPr>
            <w:tcW w:w="482" w:type="dxa"/>
            <w:shd w:val="solid" w:color="CBFFC6" w:fill="auto"/>
            <w:tcMar>
              <w:top w:w="96" w:type="dxa"/>
              <w:left w:w="57" w:type="dxa"/>
              <w:bottom w:w="96" w:type="dxa"/>
              <w:right w:w="71" w:type="dxa"/>
            </w:tcMar>
          </w:tcPr>
          <w:p w14:paraId="22F81D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238FF8F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54DCF5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95.3%</w:t>
            </w:r>
          </w:p>
        </w:tc>
        <w:tc>
          <w:tcPr>
            <w:tcW w:w="482" w:type="dxa"/>
            <w:shd w:val="solid" w:color="CBFFC6" w:fill="auto"/>
            <w:tcMar>
              <w:top w:w="96" w:type="dxa"/>
              <w:left w:w="57" w:type="dxa"/>
              <w:bottom w:w="96" w:type="dxa"/>
              <w:right w:w="71" w:type="dxa"/>
            </w:tcMar>
          </w:tcPr>
          <w:p w14:paraId="75178F9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11.0%</w:t>
            </w:r>
          </w:p>
        </w:tc>
        <w:tc>
          <w:tcPr>
            <w:tcW w:w="482" w:type="dxa"/>
            <w:shd w:val="solid" w:color="CBFFC6" w:fill="auto"/>
            <w:tcMar>
              <w:top w:w="96" w:type="dxa"/>
              <w:left w:w="57" w:type="dxa"/>
              <w:bottom w:w="96" w:type="dxa"/>
              <w:right w:w="71" w:type="dxa"/>
            </w:tcMar>
          </w:tcPr>
          <w:p w14:paraId="23EBCDE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87.8%</w:t>
            </w:r>
          </w:p>
        </w:tc>
        <w:tc>
          <w:tcPr>
            <w:tcW w:w="482" w:type="dxa"/>
            <w:shd w:val="solid" w:color="FFD1D1" w:fill="auto"/>
            <w:tcMar>
              <w:top w:w="96" w:type="dxa"/>
              <w:left w:w="57" w:type="dxa"/>
              <w:bottom w:w="96" w:type="dxa"/>
              <w:right w:w="71" w:type="dxa"/>
            </w:tcMar>
          </w:tcPr>
          <w:p w14:paraId="2845CB5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73.3%</w:t>
            </w:r>
          </w:p>
        </w:tc>
        <w:tc>
          <w:tcPr>
            <w:tcW w:w="482" w:type="dxa"/>
            <w:shd w:val="solid" w:color="FFD1D1" w:fill="auto"/>
            <w:tcMar>
              <w:top w:w="96" w:type="dxa"/>
              <w:left w:w="57" w:type="dxa"/>
              <w:bottom w:w="96" w:type="dxa"/>
              <w:right w:w="71" w:type="dxa"/>
            </w:tcMar>
          </w:tcPr>
          <w:p w14:paraId="18968E9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w:t>
            </w:r>
          </w:p>
        </w:tc>
        <w:tc>
          <w:tcPr>
            <w:tcW w:w="482" w:type="dxa"/>
            <w:tcMar>
              <w:top w:w="96" w:type="dxa"/>
              <w:left w:w="57" w:type="dxa"/>
              <w:bottom w:w="96" w:type="dxa"/>
              <w:right w:w="71" w:type="dxa"/>
            </w:tcMar>
          </w:tcPr>
          <w:p w14:paraId="62E903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032A55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51FE721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96.5%</w:t>
            </w:r>
          </w:p>
        </w:tc>
        <w:tc>
          <w:tcPr>
            <w:tcW w:w="482" w:type="dxa"/>
            <w:tcMar>
              <w:top w:w="96" w:type="dxa"/>
              <w:left w:w="57" w:type="dxa"/>
              <w:bottom w:w="96" w:type="dxa"/>
              <w:right w:w="71" w:type="dxa"/>
            </w:tcMar>
          </w:tcPr>
          <w:p w14:paraId="296BDAF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80.2%</w:t>
            </w:r>
          </w:p>
        </w:tc>
        <w:tc>
          <w:tcPr>
            <w:tcW w:w="482" w:type="dxa"/>
            <w:shd w:val="solid" w:color="FFD1D1" w:fill="auto"/>
            <w:tcMar>
              <w:top w:w="96" w:type="dxa"/>
              <w:left w:w="57" w:type="dxa"/>
              <w:bottom w:w="96" w:type="dxa"/>
              <w:right w:w="71" w:type="dxa"/>
            </w:tcMar>
          </w:tcPr>
          <w:p w14:paraId="29BCCE5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4.7%</w:t>
            </w:r>
          </w:p>
        </w:tc>
        <w:tc>
          <w:tcPr>
            <w:tcW w:w="340" w:type="dxa"/>
            <w:tcMar>
              <w:top w:w="96" w:type="dxa"/>
              <w:left w:w="57" w:type="dxa"/>
              <w:bottom w:w="96" w:type="dxa"/>
              <w:right w:w="71" w:type="dxa"/>
            </w:tcMar>
          </w:tcPr>
          <w:p w14:paraId="4B449C7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2232AE2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36CE560F" w14:textId="77777777" w:rsidTr="001726E8">
        <w:trPr>
          <w:trHeight w:val="283"/>
        </w:trPr>
        <w:tc>
          <w:tcPr>
            <w:tcW w:w="1417" w:type="dxa"/>
            <w:tcMar>
              <w:top w:w="96" w:type="dxa"/>
              <w:left w:w="113" w:type="dxa"/>
              <w:bottom w:w="96" w:type="dxa"/>
              <w:right w:w="0" w:type="dxa"/>
            </w:tcMar>
          </w:tcPr>
          <w:p w14:paraId="33FEAC5B"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Mansfield District Hospital</w:t>
            </w:r>
          </w:p>
        </w:tc>
        <w:tc>
          <w:tcPr>
            <w:tcW w:w="340" w:type="dxa"/>
            <w:tcMar>
              <w:top w:w="96" w:type="dxa"/>
              <w:left w:w="57" w:type="dxa"/>
              <w:bottom w:w="96" w:type="dxa"/>
              <w:right w:w="71" w:type="dxa"/>
            </w:tcMar>
          </w:tcPr>
          <w:p w14:paraId="4C26FEF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0F1036C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w:t>
            </w:r>
          </w:p>
        </w:tc>
        <w:tc>
          <w:tcPr>
            <w:tcW w:w="482" w:type="dxa"/>
            <w:tcMar>
              <w:top w:w="96" w:type="dxa"/>
              <w:left w:w="57" w:type="dxa"/>
              <w:bottom w:w="96" w:type="dxa"/>
              <w:right w:w="71" w:type="dxa"/>
            </w:tcMar>
          </w:tcPr>
          <w:p w14:paraId="7C1148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16.7%</w:t>
            </w:r>
          </w:p>
        </w:tc>
        <w:tc>
          <w:tcPr>
            <w:tcW w:w="482" w:type="dxa"/>
            <w:shd w:val="solid" w:color="FFD1D1" w:fill="auto"/>
            <w:tcMar>
              <w:top w:w="96" w:type="dxa"/>
              <w:left w:w="57" w:type="dxa"/>
              <w:bottom w:w="96" w:type="dxa"/>
              <w:right w:w="71" w:type="dxa"/>
            </w:tcMar>
          </w:tcPr>
          <w:p w14:paraId="3E1B288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45.5%</w:t>
            </w:r>
          </w:p>
        </w:tc>
        <w:tc>
          <w:tcPr>
            <w:tcW w:w="482" w:type="dxa"/>
            <w:shd w:val="solid" w:color="FFD1D1" w:fill="auto"/>
            <w:tcMar>
              <w:top w:w="96" w:type="dxa"/>
              <w:left w:w="57" w:type="dxa"/>
              <w:bottom w:w="96" w:type="dxa"/>
              <w:right w:w="71" w:type="dxa"/>
            </w:tcMar>
          </w:tcPr>
          <w:p w14:paraId="32EE317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70.0%</w:t>
            </w:r>
          </w:p>
        </w:tc>
        <w:tc>
          <w:tcPr>
            <w:tcW w:w="482" w:type="dxa"/>
            <w:tcMar>
              <w:top w:w="96" w:type="dxa"/>
              <w:left w:w="57" w:type="dxa"/>
              <w:bottom w:w="96" w:type="dxa"/>
              <w:right w:w="71" w:type="dxa"/>
            </w:tcMar>
          </w:tcPr>
          <w:p w14:paraId="76EB553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D316D1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C33995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28DC9F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2488CC4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2F11ED0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DBEFD9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313276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0DA7D7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90B43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02F21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482" w:type="dxa"/>
            <w:shd w:val="solid" w:color="CBFFC6" w:fill="auto"/>
            <w:tcMar>
              <w:top w:w="96" w:type="dxa"/>
              <w:left w:w="57" w:type="dxa"/>
              <w:bottom w:w="96" w:type="dxa"/>
              <w:right w:w="71" w:type="dxa"/>
            </w:tcMar>
          </w:tcPr>
          <w:p w14:paraId="1B328D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7D6291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497656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98.4%</w:t>
            </w:r>
          </w:p>
        </w:tc>
        <w:tc>
          <w:tcPr>
            <w:tcW w:w="482" w:type="dxa"/>
            <w:shd w:val="solid" w:color="CBFFC6" w:fill="auto"/>
            <w:tcMar>
              <w:top w:w="96" w:type="dxa"/>
              <w:left w:w="57" w:type="dxa"/>
              <w:bottom w:w="96" w:type="dxa"/>
              <w:right w:w="71" w:type="dxa"/>
            </w:tcMar>
          </w:tcPr>
          <w:p w14:paraId="5BE2CC4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17.5%</w:t>
            </w:r>
          </w:p>
        </w:tc>
        <w:tc>
          <w:tcPr>
            <w:tcW w:w="482" w:type="dxa"/>
            <w:shd w:val="solid" w:color="CBFFC6" w:fill="auto"/>
            <w:tcMar>
              <w:top w:w="96" w:type="dxa"/>
              <w:left w:w="57" w:type="dxa"/>
              <w:bottom w:w="96" w:type="dxa"/>
              <w:right w:w="71" w:type="dxa"/>
            </w:tcMar>
          </w:tcPr>
          <w:p w14:paraId="26C3284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87.3%</w:t>
            </w:r>
          </w:p>
        </w:tc>
        <w:tc>
          <w:tcPr>
            <w:tcW w:w="482" w:type="dxa"/>
            <w:shd w:val="solid" w:color="CBFFC6" w:fill="auto"/>
            <w:tcMar>
              <w:top w:w="96" w:type="dxa"/>
              <w:left w:w="57" w:type="dxa"/>
              <w:bottom w:w="96" w:type="dxa"/>
              <w:right w:w="71" w:type="dxa"/>
            </w:tcMar>
          </w:tcPr>
          <w:p w14:paraId="27EC91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95.3%</w:t>
            </w:r>
          </w:p>
        </w:tc>
        <w:tc>
          <w:tcPr>
            <w:tcW w:w="482" w:type="dxa"/>
            <w:shd w:val="solid" w:color="CBFFC6" w:fill="auto"/>
            <w:tcMar>
              <w:top w:w="96" w:type="dxa"/>
              <w:left w:w="57" w:type="dxa"/>
              <w:bottom w:w="96" w:type="dxa"/>
              <w:right w:w="71" w:type="dxa"/>
            </w:tcMar>
          </w:tcPr>
          <w:p w14:paraId="398AF2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2285C8F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17C0CA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EFEBA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92.2%</w:t>
            </w:r>
          </w:p>
        </w:tc>
        <w:tc>
          <w:tcPr>
            <w:tcW w:w="482" w:type="dxa"/>
            <w:shd w:val="solid" w:color="FFD1D1" w:fill="auto"/>
            <w:tcMar>
              <w:top w:w="96" w:type="dxa"/>
              <w:left w:w="57" w:type="dxa"/>
              <w:bottom w:w="96" w:type="dxa"/>
              <w:right w:w="71" w:type="dxa"/>
            </w:tcMar>
          </w:tcPr>
          <w:p w14:paraId="5D46FF5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68.8%</w:t>
            </w:r>
          </w:p>
        </w:tc>
        <w:tc>
          <w:tcPr>
            <w:tcW w:w="482" w:type="dxa"/>
            <w:shd w:val="solid" w:color="CBFFC6" w:fill="auto"/>
            <w:tcMar>
              <w:top w:w="96" w:type="dxa"/>
              <w:left w:w="57" w:type="dxa"/>
              <w:bottom w:w="96" w:type="dxa"/>
              <w:right w:w="71" w:type="dxa"/>
            </w:tcMar>
          </w:tcPr>
          <w:p w14:paraId="07BFD08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340" w:type="dxa"/>
            <w:tcMar>
              <w:top w:w="96" w:type="dxa"/>
              <w:left w:w="57" w:type="dxa"/>
              <w:bottom w:w="96" w:type="dxa"/>
              <w:right w:w="71" w:type="dxa"/>
            </w:tcMar>
          </w:tcPr>
          <w:p w14:paraId="64B02B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c>
          <w:tcPr>
            <w:tcW w:w="340" w:type="dxa"/>
            <w:tcMar>
              <w:top w:w="96" w:type="dxa"/>
              <w:left w:w="57" w:type="dxa"/>
              <w:bottom w:w="96" w:type="dxa"/>
              <w:right w:w="71" w:type="dxa"/>
            </w:tcMar>
          </w:tcPr>
          <w:p w14:paraId="557CFB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49263598" w14:textId="77777777" w:rsidTr="001726E8">
        <w:trPr>
          <w:trHeight w:val="352"/>
        </w:trPr>
        <w:tc>
          <w:tcPr>
            <w:tcW w:w="1417" w:type="dxa"/>
            <w:tcMar>
              <w:top w:w="96" w:type="dxa"/>
              <w:left w:w="113" w:type="dxa"/>
              <w:bottom w:w="96" w:type="dxa"/>
              <w:right w:w="0" w:type="dxa"/>
            </w:tcMar>
          </w:tcPr>
          <w:p w14:paraId="24C85FFB"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South Gippsland Hospital</w:t>
            </w:r>
          </w:p>
        </w:tc>
        <w:tc>
          <w:tcPr>
            <w:tcW w:w="340" w:type="dxa"/>
            <w:tcMar>
              <w:top w:w="96" w:type="dxa"/>
              <w:left w:w="57" w:type="dxa"/>
              <w:bottom w:w="96" w:type="dxa"/>
              <w:right w:w="71" w:type="dxa"/>
            </w:tcMar>
          </w:tcPr>
          <w:p w14:paraId="3616F48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29B0B3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w:t>
            </w:r>
          </w:p>
        </w:tc>
        <w:tc>
          <w:tcPr>
            <w:tcW w:w="482" w:type="dxa"/>
            <w:tcMar>
              <w:top w:w="96" w:type="dxa"/>
              <w:left w:w="57" w:type="dxa"/>
              <w:bottom w:w="96" w:type="dxa"/>
              <w:right w:w="71" w:type="dxa"/>
            </w:tcMar>
          </w:tcPr>
          <w:p w14:paraId="7ADB17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223EE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77916D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57.1%</w:t>
            </w:r>
          </w:p>
        </w:tc>
        <w:tc>
          <w:tcPr>
            <w:tcW w:w="482" w:type="dxa"/>
            <w:tcMar>
              <w:top w:w="96" w:type="dxa"/>
              <w:left w:w="57" w:type="dxa"/>
              <w:bottom w:w="96" w:type="dxa"/>
              <w:right w:w="71" w:type="dxa"/>
            </w:tcMar>
          </w:tcPr>
          <w:p w14:paraId="212BA0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1AFF1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5D44A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C3936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69DD8E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w:t>
            </w:r>
          </w:p>
        </w:tc>
        <w:tc>
          <w:tcPr>
            <w:tcW w:w="482" w:type="dxa"/>
            <w:tcMar>
              <w:top w:w="96" w:type="dxa"/>
              <w:left w:w="57" w:type="dxa"/>
              <w:bottom w:w="96" w:type="dxa"/>
              <w:right w:w="71" w:type="dxa"/>
            </w:tcMar>
          </w:tcPr>
          <w:p w14:paraId="73A876A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0DE148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2C764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66859D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C4AB1C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892B34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CBFFC6" w:fill="auto"/>
            <w:tcMar>
              <w:top w:w="96" w:type="dxa"/>
              <w:left w:w="57" w:type="dxa"/>
              <w:bottom w:w="96" w:type="dxa"/>
              <w:right w:w="71" w:type="dxa"/>
            </w:tcMar>
          </w:tcPr>
          <w:p w14:paraId="6EF5578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tcMar>
              <w:top w:w="96" w:type="dxa"/>
              <w:left w:w="57" w:type="dxa"/>
              <w:bottom w:w="96" w:type="dxa"/>
              <w:right w:w="71" w:type="dxa"/>
            </w:tcMar>
          </w:tcPr>
          <w:p w14:paraId="552CC0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0E0AC5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36412D6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17.7%</w:t>
            </w:r>
          </w:p>
        </w:tc>
        <w:tc>
          <w:tcPr>
            <w:tcW w:w="482" w:type="dxa"/>
            <w:tcMar>
              <w:top w:w="96" w:type="dxa"/>
              <w:left w:w="57" w:type="dxa"/>
              <w:bottom w:w="96" w:type="dxa"/>
              <w:right w:w="71" w:type="dxa"/>
            </w:tcMar>
          </w:tcPr>
          <w:p w14:paraId="7D7866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74.2%</w:t>
            </w:r>
          </w:p>
        </w:tc>
        <w:tc>
          <w:tcPr>
            <w:tcW w:w="482" w:type="dxa"/>
            <w:tcMar>
              <w:top w:w="96" w:type="dxa"/>
              <w:left w:w="57" w:type="dxa"/>
              <w:bottom w:w="96" w:type="dxa"/>
              <w:right w:w="71" w:type="dxa"/>
            </w:tcMar>
          </w:tcPr>
          <w:p w14:paraId="0F03BC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85.7%</w:t>
            </w:r>
          </w:p>
        </w:tc>
        <w:tc>
          <w:tcPr>
            <w:tcW w:w="482" w:type="dxa"/>
            <w:shd w:val="solid" w:color="FFD1D1" w:fill="auto"/>
            <w:tcMar>
              <w:top w:w="96" w:type="dxa"/>
              <w:left w:w="57" w:type="dxa"/>
              <w:bottom w:w="96" w:type="dxa"/>
              <w:right w:w="71" w:type="dxa"/>
            </w:tcMar>
          </w:tcPr>
          <w:p w14:paraId="1D6F666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w:t>
            </w:r>
          </w:p>
        </w:tc>
        <w:tc>
          <w:tcPr>
            <w:tcW w:w="482" w:type="dxa"/>
            <w:tcMar>
              <w:top w:w="96" w:type="dxa"/>
              <w:left w:w="57" w:type="dxa"/>
              <w:bottom w:w="96" w:type="dxa"/>
              <w:right w:w="71" w:type="dxa"/>
            </w:tcMar>
          </w:tcPr>
          <w:p w14:paraId="55B789E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D3153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684F036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95.2%</w:t>
            </w:r>
          </w:p>
        </w:tc>
        <w:tc>
          <w:tcPr>
            <w:tcW w:w="482" w:type="dxa"/>
            <w:shd w:val="solid" w:color="CBFFC6" w:fill="auto"/>
            <w:tcMar>
              <w:top w:w="96" w:type="dxa"/>
              <w:left w:w="57" w:type="dxa"/>
              <w:bottom w:w="96" w:type="dxa"/>
              <w:right w:w="71" w:type="dxa"/>
            </w:tcMar>
          </w:tcPr>
          <w:p w14:paraId="3A41C4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84.1%</w:t>
            </w:r>
          </w:p>
        </w:tc>
        <w:tc>
          <w:tcPr>
            <w:tcW w:w="482" w:type="dxa"/>
            <w:shd w:val="solid" w:color="FFD1D1" w:fill="auto"/>
            <w:tcMar>
              <w:top w:w="96" w:type="dxa"/>
              <w:left w:w="57" w:type="dxa"/>
              <w:bottom w:w="96" w:type="dxa"/>
              <w:right w:w="71" w:type="dxa"/>
            </w:tcMar>
          </w:tcPr>
          <w:p w14:paraId="080D23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w:t>
            </w:r>
          </w:p>
        </w:tc>
        <w:tc>
          <w:tcPr>
            <w:tcW w:w="340" w:type="dxa"/>
            <w:tcMar>
              <w:top w:w="96" w:type="dxa"/>
              <w:left w:w="57" w:type="dxa"/>
              <w:bottom w:w="96" w:type="dxa"/>
              <w:right w:w="71" w:type="dxa"/>
            </w:tcMar>
          </w:tcPr>
          <w:p w14:paraId="7B0AD68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69D5C65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0C25F07A" w14:textId="77777777" w:rsidTr="001726E8">
        <w:trPr>
          <w:trHeight w:val="283"/>
        </w:trPr>
        <w:tc>
          <w:tcPr>
            <w:tcW w:w="1417" w:type="dxa"/>
            <w:tcMar>
              <w:top w:w="96" w:type="dxa"/>
              <w:left w:w="113" w:type="dxa"/>
              <w:bottom w:w="96" w:type="dxa"/>
              <w:right w:w="0" w:type="dxa"/>
            </w:tcMar>
          </w:tcPr>
          <w:p w14:paraId="59E2E115"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Camperdown Hospital</w:t>
            </w:r>
          </w:p>
        </w:tc>
        <w:tc>
          <w:tcPr>
            <w:tcW w:w="340" w:type="dxa"/>
            <w:tcMar>
              <w:top w:w="96" w:type="dxa"/>
              <w:left w:w="57" w:type="dxa"/>
              <w:bottom w:w="96" w:type="dxa"/>
              <w:right w:w="71" w:type="dxa"/>
            </w:tcMar>
          </w:tcPr>
          <w:p w14:paraId="6FE1CC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482" w:type="dxa"/>
            <w:tcMar>
              <w:top w:w="96" w:type="dxa"/>
              <w:left w:w="57" w:type="dxa"/>
              <w:bottom w:w="96" w:type="dxa"/>
              <w:right w:w="71" w:type="dxa"/>
            </w:tcMar>
          </w:tcPr>
          <w:p w14:paraId="447ABD1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w:t>
            </w:r>
          </w:p>
        </w:tc>
        <w:tc>
          <w:tcPr>
            <w:tcW w:w="482" w:type="dxa"/>
            <w:tcMar>
              <w:top w:w="96" w:type="dxa"/>
              <w:left w:w="57" w:type="dxa"/>
              <w:bottom w:w="96" w:type="dxa"/>
              <w:right w:w="71" w:type="dxa"/>
            </w:tcMar>
          </w:tcPr>
          <w:p w14:paraId="33B44B4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6B7F62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A6ADB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40.0%</w:t>
            </w:r>
          </w:p>
        </w:tc>
        <w:tc>
          <w:tcPr>
            <w:tcW w:w="482" w:type="dxa"/>
            <w:shd w:val="solid" w:color="CBFFC6" w:fill="auto"/>
            <w:tcMar>
              <w:top w:w="96" w:type="dxa"/>
              <w:left w:w="57" w:type="dxa"/>
              <w:bottom w:w="96" w:type="dxa"/>
              <w:right w:w="71" w:type="dxa"/>
            </w:tcMar>
          </w:tcPr>
          <w:p w14:paraId="706489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5C0391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0FF6EC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50.0%</w:t>
            </w:r>
          </w:p>
        </w:tc>
        <w:tc>
          <w:tcPr>
            <w:tcW w:w="482" w:type="dxa"/>
            <w:tcMar>
              <w:top w:w="96" w:type="dxa"/>
              <w:left w:w="57" w:type="dxa"/>
              <w:bottom w:w="96" w:type="dxa"/>
              <w:right w:w="71" w:type="dxa"/>
            </w:tcMar>
          </w:tcPr>
          <w:p w14:paraId="0EDE1BB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9D924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11.1%</w:t>
            </w:r>
          </w:p>
        </w:tc>
        <w:tc>
          <w:tcPr>
            <w:tcW w:w="482" w:type="dxa"/>
            <w:tcMar>
              <w:top w:w="96" w:type="dxa"/>
              <w:left w:w="57" w:type="dxa"/>
              <w:bottom w:w="96" w:type="dxa"/>
              <w:right w:w="71" w:type="dxa"/>
            </w:tcMar>
          </w:tcPr>
          <w:p w14:paraId="1A659B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70F0F3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7C80B5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0672E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162F8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5CDA4D7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3DD9EFF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w:t>
            </w:r>
          </w:p>
        </w:tc>
        <w:tc>
          <w:tcPr>
            <w:tcW w:w="482" w:type="dxa"/>
            <w:tcMar>
              <w:top w:w="96" w:type="dxa"/>
              <w:left w:w="57" w:type="dxa"/>
              <w:bottom w:w="96" w:type="dxa"/>
              <w:right w:w="71" w:type="dxa"/>
            </w:tcMar>
          </w:tcPr>
          <w:p w14:paraId="6CD7E9F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2377F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1628D1C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w:t>
            </w:r>
          </w:p>
        </w:tc>
        <w:tc>
          <w:tcPr>
            <w:tcW w:w="482" w:type="dxa"/>
            <w:shd w:val="solid" w:color="CBFFC6" w:fill="auto"/>
            <w:tcMar>
              <w:top w:w="96" w:type="dxa"/>
              <w:left w:w="57" w:type="dxa"/>
              <w:bottom w:w="96" w:type="dxa"/>
              <w:right w:w="71" w:type="dxa"/>
            </w:tcMar>
          </w:tcPr>
          <w:p w14:paraId="3703B9C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97.0%</w:t>
            </w:r>
          </w:p>
        </w:tc>
        <w:tc>
          <w:tcPr>
            <w:tcW w:w="482" w:type="dxa"/>
            <w:tcMar>
              <w:top w:w="96" w:type="dxa"/>
              <w:left w:w="57" w:type="dxa"/>
              <w:bottom w:w="96" w:type="dxa"/>
              <w:right w:w="71" w:type="dxa"/>
            </w:tcMar>
          </w:tcPr>
          <w:p w14:paraId="24FAA08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84.8%</w:t>
            </w:r>
          </w:p>
        </w:tc>
        <w:tc>
          <w:tcPr>
            <w:tcW w:w="482" w:type="dxa"/>
            <w:shd w:val="solid" w:color="CBFFC6" w:fill="auto"/>
            <w:tcMar>
              <w:top w:w="96" w:type="dxa"/>
              <w:left w:w="57" w:type="dxa"/>
              <w:bottom w:w="96" w:type="dxa"/>
              <w:right w:w="71" w:type="dxa"/>
            </w:tcMar>
          </w:tcPr>
          <w:p w14:paraId="3DEDD6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684ADC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B06227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565996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90.9%</w:t>
            </w:r>
          </w:p>
        </w:tc>
        <w:tc>
          <w:tcPr>
            <w:tcW w:w="482" w:type="dxa"/>
            <w:shd w:val="solid" w:color="CBFFC6" w:fill="auto"/>
            <w:tcMar>
              <w:top w:w="96" w:type="dxa"/>
              <w:left w:w="57" w:type="dxa"/>
              <w:bottom w:w="96" w:type="dxa"/>
              <w:right w:w="71" w:type="dxa"/>
            </w:tcMar>
          </w:tcPr>
          <w:p w14:paraId="35BA10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84.8%</w:t>
            </w:r>
          </w:p>
        </w:tc>
        <w:tc>
          <w:tcPr>
            <w:tcW w:w="482" w:type="dxa"/>
            <w:shd w:val="solid" w:color="CBFFC6" w:fill="auto"/>
            <w:tcMar>
              <w:top w:w="96" w:type="dxa"/>
              <w:left w:w="57" w:type="dxa"/>
              <w:bottom w:w="96" w:type="dxa"/>
              <w:right w:w="71" w:type="dxa"/>
            </w:tcMar>
          </w:tcPr>
          <w:p w14:paraId="3E099F6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340" w:type="dxa"/>
            <w:tcMar>
              <w:top w:w="96" w:type="dxa"/>
              <w:left w:w="57" w:type="dxa"/>
              <w:bottom w:w="96" w:type="dxa"/>
              <w:right w:w="71" w:type="dxa"/>
            </w:tcMar>
          </w:tcPr>
          <w:p w14:paraId="1235DF7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c>
          <w:tcPr>
            <w:tcW w:w="340" w:type="dxa"/>
            <w:tcMar>
              <w:top w:w="96" w:type="dxa"/>
              <w:left w:w="57" w:type="dxa"/>
              <w:bottom w:w="96" w:type="dxa"/>
              <w:right w:w="71" w:type="dxa"/>
            </w:tcMar>
          </w:tcPr>
          <w:p w14:paraId="37CB451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w:t>
            </w:r>
          </w:p>
        </w:tc>
      </w:tr>
      <w:tr w:rsidR="00D6403A" w:rsidRPr="0004279D" w14:paraId="1822FC58" w14:textId="77777777" w:rsidTr="001726E8">
        <w:trPr>
          <w:trHeight w:val="283"/>
        </w:trPr>
        <w:tc>
          <w:tcPr>
            <w:tcW w:w="1417" w:type="dxa"/>
            <w:tcMar>
              <w:top w:w="96" w:type="dxa"/>
              <w:left w:w="113" w:type="dxa"/>
              <w:bottom w:w="96" w:type="dxa"/>
              <w:right w:w="0" w:type="dxa"/>
            </w:tcMar>
          </w:tcPr>
          <w:p w14:paraId="2687347D"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Portland District Hospital</w:t>
            </w:r>
          </w:p>
        </w:tc>
        <w:tc>
          <w:tcPr>
            <w:tcW w:w="340" w:type="dxa"/>
            <w:tcMar>
              <w:top w:w="96" w:type="dxa"/>
              <w:left w:w="57" w:type="dxa"/>
              <w:bottom w:w="96" w:type="dxa"/>
              <w:right w:w="71" w:type="dxa"/>
            </w:tcMar>
          </w:tcPr>
          <w:p w14:paraId="2BF573C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w:t>
            </w:r>
          </w:p>
        </w:tc>
        <w:tc>
          <w:tcPr>
            <w:tcW w:w="482" w:type="dxa"/>
            <w:tcMar>
              <w:top w:w="96" w:type="dxa"/>
              <w:left w:w="57" w:type="dxa"/>
              <w:bottom w:w="96" w:type="dxa"/>
              <w:right w:w="71" w:type="dxa"/>
            </w:tcMar>
          </w:tcPr>
          <w:p w14:paraId="0267875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w:t>
            </w:r>
          </w:p>
        </w:tc>
        <w:tc>
          <w:tcPr>
            <w:tcW w:w="482" w:type="dxa"/>
            <w:tcMar>
              <w:top w:w="96" w:type="dxa"/>
              <w:left w:w="57" w:type="dxa"/>
              <w:bottom w:w="96" w:type="dxa"/>
              <w:right w:w="71" w:type="dxa"/>
            </w:tcMar>
          </w:tcPr>
          <w:p w14:paraId="58C0CE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7AFBB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2BA7B9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25.0%</w:t>
            </w:r>
          </w:p>
        </w:tc>
        <w:tc>
          <w:tcPr>
            <w:tcW w:w="482" w:type="dxa"/>
            <w:shd w:val="solid" w:color="CBFFC6" w:fill="auto"/>
            <w:tcMar>
              <w:top w:w="96" w:type="dxa"/>
              <w:left w:w="57" w:type="dxa"/>
              <w:bottom w:w="96" w:type="dxa"/>
              <w:right w:w="71" w:type="dxa"/>
            </w:tcMar>
          </w:tcPr>
          <w:p w14:paraId="5C7199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0D18F08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10D028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1CAB14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A4E4DD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10.9%</w:t>
            </w:r>
          </w:p>
        </w:tc>
        <w:tc>
          <w:tcPr>
            <w:tcW w:w="482" w:type="dxa"/>
            <w:tcMar>
              <w:top w:w="96" w:type="dxa"/>
              <w:left w:w="57" w:type="dxa"/>
              <w:bottom w:w="96" w:type="dxa"/>
              <w:right w:w="71" w:type="dxa"/>
            </w:tcMar>
          </w:tcPr>
          <w:p w14:paraId="590E16F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C93C8F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C9261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21.4%</w:t>
            </w:r>
          </w:p>
        </w:tc>
        <w:tc>
          <w:tcPr>
            <w:tcW w:w="482" w:type="dxa"/>
            <w:tcMar>
              <w:top w:w="96" w:type="dxa"/>
              <w:left w:w="57" w:type="dxa"/>
              <w:bottom w:w="96" w:type="dxa"/>
              <w:right w:w="71" w:type="dxa"/>
            </w:tcMar>
          </w:tcPr>
          <w:p w14:paraId="36BE27A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802E3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61D1AB6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43A8A25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w:t>
            </w:r>
          </w:p>
        </w:tc>
        <w:tc>
          <w:tcPr>
            <w:tcW w:w="482" w:type="dxa"/>
            <w:shd w:val="solid" w:color="FFD1D1" w:fill="auto"/>
            <w:tcMar>
              <w:top w:w="96" w:type="dxa"/>
              <w:left w:w="57" w:type="dxa"/>
              <w:bottom w:w="96" w:type="dxa"/>
              <w:right w:w="71" w:type="dxa"/>
            </w:tcMar>
          </w:tcPr>
          <w:p w14:paraId="3769F3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14.3%</w:t>
            </w:r>
          </w:p>
        </w:tc>
        <w:tc>
          <w:tcPr>
            <w:tcW w:w="482" w:type="dxa"/>
            <w:shd w:val="solid" w:color="FFD1D1" w:fill="auto"/>
            <w:tcMar>
              <w:top w:w="96" w:type="dxa"/>
              <w:left w:w="57" w:type="dxa"/>
              <w:bottom w:w="96" w:type="dxa"/>
              <w:right w:w="71" w:type="dxa"/>
            </w:tcMar>
          </w:tcPr>
          <w:p w14:paraId="76A3B9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92.4%</w:t>
            </w:r>
          </w:p>
        </w:tc>
        <w:tc>
          <w:tcPr>
            <w:tcW w:w="482" w:type="dxa"/>
            <w:tcMar>
              <w:top w:w="96" w:type="dxa"/>
              <w:left w:w="57" w:type="dxa"/>
              <w:bottom w:w="96" w:type="dxa"/>
              <w:right w:w="71" w:type="dxa"/>
            </w:tcMar>
          </w:tcPr>
          <w:p w14:paraId="020E6D6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26.0%</w:t>
            </w:r>
          </w:p>
        </w:tc>
        <w:tc>
          <w:tcPr>
            <w:tcW w:w="482" w:type="dxa"/>
            <w:shd w:val="solid" w:color="FFD1D1" w:fill="auto"/>
            <w:tcMar>
              <w:top w:w="96" w:type="dxa"/>
              <w:left w:w="57" w:type="dxa"/>
              <w:bottom w:w="96" w:type="dxa"/>
              <w:right w:w="71" w:type="dxa"/>
            </w:tcMar>
          </w:tcPr>
          <w:p w14:paraId="7E8725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69.9%</w:t>
            </w:r>
          </w:p>
        </w:tc>
        <w:tc>
          <w:tcPr>
            <w:tcW w:w="482" w:type="dxa"/>
            <w:shd w:val="solid" w:color="FFD1D1" w:fill="auto"/>
            <w:tcMar>
              <w:top w:w="96" w:type="dxa"/>
              <w:left w:w="57" w:type="dxa"/>
              <w:bottom w:w="96" w:type="dxa"/>
              <w:right w:w="71" w:type="dxa"/>
            </w:tcMar>
          </w:tcPr>
          <w:p w14:paraId="21A8961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62.0%</w:t>
            </w:r>
          </w:p>
        </w:tc>
        <w:tc>
          <w:tcPr>
            <w:tcW w:w="482" w:type="dxa"/>
            <w:shd w:val="solid" w:color="CBFFC6" w:fill="auto"/>
            <w:tcMar>
              <w:top w:w="96" w:type="dxa"/>
              <w:left w:w="57" w:type="dxa"/>
              <w:bottom w:w="96" w:type="dxa"/>
              <w:right w:w="71" w:type="dxa"/>
            </w:tcMar>
          </w:tcPr>
          <w:p w14:paraId="5B91FF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0B0CCF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578939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7DC1BA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96.3%</w:t>
            </w:r>
          </w:p>
        </w:tc>
        <w:tc>
          <w:tcPr>
            <w:tcW w:w="482" w:type="dxa"/>
            <w:shd w:val="solid" w:color="CBFFC6" w:fill="auto"/>
            <w:tcMar>
              <w:top w:w="96" w:type="dxa"/>
              <w:left w:w="57" w:type="dxa"/>
              <w:bottom w:w="96" w:type="dxa"/>
              <w:right w:w="71" w:type="dxa"/>
            </w:tcMar>
          </w:tcPr>
          <w:p w14:paraId="0C2458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87.5%</w:t>
            </w:r>
          </w:p>
        </w:tc>
        <w:tc>
          <w:tcPr>
            <w:tcW w:w="482" w:type="dxa"/>
            <w:tcMar>
              <w:top w:w="96" w:type="dxa"/>
              <w:left w:w="57" w:type="dxa"/>
              <w:bottom w:w="96" w:type="dxa"/>
              <w:right w:w="71" w:type="dxa"/>
            </w:tcMar>
          </w:tcPr>
          <w:p w14:paraId="6963B0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w:t>
            </w:r>
          </w:p>
        </w:tc>
        <w:tc>
          <w:tcPr>
            <w:tcW w:w="340" w:type="dxa"/>
            <w:tcMar>
              <w:top w:w="96" w:type="dxa"/>
              <w:left w:w="57" w:type="dxa"/>
              <w:bottom w:w="96" w:type="dxa"/>
              <w:right w:w="71" w:type="dxa"/>
            </w:tcMar>
          </w:tcPr>
          <w:p w14:paraId="306A25A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7333752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r>
      <w:tr w:rsidR="00D6403A" w:rsidRPr="0004279D" w14:paraId="3EB9EFAB" w14:textId="77777777" w:rsidTr="001726E8">
        <w:trPr>
          <w:trHeight w:val="283"/>
        </w:trPr>
        <w:tc>
          <w:tcPr>
            <w:tcW w:w="1417" w:type="dxa"/>
            <w:tcMar>
              <w:top w:w="96" w:type="dxa"/>
              <w:left w:w="113" w:type="dxa"/>
              <w:bottom w:w="96" w:type="dxa"/>
              <w:right w:w="0" w:type="dxa"/>
            </w:tcMar>
          </w:tcPr>
          <w:p w14:paraId="11376A0E"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lastRenderedPageBreak/>
              <w:t>Castlemaine Health</w:t>
            </w:r>
          </w:p>
        </w:tc>
        <w:tc>
          <w:tcPr>
            <w:tcW w:w="340" w:type="dxa"/>
            <w:tcMar>
              <w:top w:w="96" w:type="dxa"/>
              <w:left w:w="57" w:type="dxa"/>
              <w:bottom w:w="96" w:type="dxa"/>
              <w:right w:w="71" w:type="dxa"/>
            </w:tcMar>
          </w:tcPr>
          <w:p w14:paraId="15EC436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w:t>
            </w:r>
          </w:p>
        </w:tc>
        <w:tc>
          <w:tcPr>
            <w:tcW w:w="482" w:type="dxa"/>
            <w:tcMar>
              <w:top w:w="96" w:type="dxa"/>
              <w:left w:w="57" w:type="dxa"/>
              <w:bottom w:w="96" w:type="dxa"/>
              <w:right w:w="71" w:type="dxa"/>
            </w:tcMar>
          </w:tcPr>
          <w:p w14:paraId="23E26F4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w:t>
            </w:r>
          </w:p>
        </w:tc>
        <w:tc>
          <w:tcPr>
            <w:tcW w:w="482" w:type="dxa"/>
            <w:tcMar>
              <w:top w:w="96" w:type="dxa"/>
              <w:left w:w="57" w:type="dxa"/>
              <w:bottom w:w="96" w:type="dxa"/>
              <w:right w:w="71" w:type="dxa"/>
            </w:tcMar>
          </w:tcPr>
          <w:p w14:paraId="40D2EA3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67096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83F08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52D7F6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D7D9D0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6FE3D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2888D8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3BA9DCE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15.2%</w:t>
            </w:r>
          </w:p>
        </w:tc>
        <w:tc>
          <w:tcPr>
            <w:tcW w:w="482" w:type="dxa"/>
            <w:tcMar>
              <w:top w:w="96" w:type="dxa"/>
              <w:left w:w="57" w:type="dxa"/>
              <w:bottom w:w="96" w:type="dxa"/>
              <w:right w:w="71" w:type="dxa"/>
            </w:tcMar>
          </w:tcPr>
          <w:p w14:paraId="7E8BEB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8E1CA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916DF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D8209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0B8523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6A36AA9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CBFFC6" w:fill="auto"/>
            <w:tcMar>
              <w:top w:w="96" w:type="dxa"/>
              <w:left w:w="57" w:type="dxa"/>
              <w:bottom w:w="96" w:type="dxa"/>
              <w:right w:w="71" w:type="dxa"/>
            </w:tcMar>
          </w:tcPr>
          <w:p w14:paraId="4E3B866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5CA0CB1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1F9BA3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30CAC2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CBFFC6" w:fill="auto"/>
            <w:tcMar>
              <w:top w:w="96" w:type="dxa"/>
              <w:left w:w="57" w:type="dxa"/>
              <w:bottom w:w="96" w:type="dxa"/>
              <w:right w:w="71" w:type="dxa"/>
            </w:tcMar>
          </w:tcPr>
          <w:p w14:paraId="6D984D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tcMar>
              <w:top w:w="96" w:type="dxa"/>
              <w:left w:w="57" w:type="dxa"/>
              <w:bottom w:w="96" w:type="dxa"/>
              <w:right w:w="71" w:type="dxa"/>
            </w:tcMar>
          </w:tcPr>
          <w:p w14:paraId="06D309B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73.9%</w:t>
            </w:r>
          </w:p>
        </w:tc>
        <w:tc>
          <w:tcPr>
            <w:tcW w:w="482" w:type="dxa"/>
            <w:shd w:val="solid" w:color="CBFFC6" w:fill="auto"/>
            <w:tcMar>
              <w:top w:w="96" w:type="dxa"/>
              <w:left w:w="57" w:type="dxa"/>
              <w:bottom w:w="96" w:type="dxa"/>
              <w:right w:w="71" w:type="dxa"/>
            </w:tcMar>
          </w:tcPr>
          <w:p w14:paraId="69292DC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6BCD821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6043D3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BAD3BE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91.3%</w:t>
            </w:r>
          </w:p>
        </w:tc>
        <w:tc>
          <w:tcPr>
            <w:tcW w:w="482" w:type="dxa"/>
            <w:tcMar>
              <w:top w:w="96" w:type="dxa"/>
              <w:left w:w="57" w:type="dxa"/>
              <w:bottom w:w="96" w:type="dxa"/>
              <w:right w:w="71" w:type="dxa"/>
            </w:tcMar>
          </w:tcPr>
          <w:p w14:paraId="2FDED2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69.6%</w:t>
            </w:r>
          </w:p>
        </w:tc>
        <w:tc>
          <w:tcPr>
            <w:tcW w:w="482" w:type="dxa"/>
            <w:shd w:val="solid" w:color="CBFFC6" w:fill="auto"/>
            <w:tcMar>
              <w:top w:w="96" w:type="dxa"/>
              <w:left w:w="57" w:type="dxa"/>
              <w:bottom w:w="96" w:type="dxa"/>
              <w:right w:w="71" w:type="dxa"/>
            </w:tcMar>
          </w:tcPr>
          <w:p w14:paraId="123E2E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340" w:type="dxa"/>
            <w:tcMar>
              <w:top w:w="96" w:type="dxa"/>
              <w:left w:w="57" w:type="dxa"/>
              <w:bottom w:w="96" w:type="dxa"/>
              <w:right w:w="71" w:type="dxa"/>
            </w:tcMar>
          </w:tcPr>
          <w:p w14:paraId="769CE2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7BA331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w:t>
            </w:r>
          </w:p>
        </w:tc>
      </w:tr>
      <w:tr w:rsidR="00D6403A" w:rsidRPr="0004279D" w14:paraId="39C23653" w14:textId="77777777" w:rsidTr="001726E8">
        <w:trPr>
          <w:trHeight w:val="283"/>
        </w:trPr>
        <w:tc>
          <w:tcPr>
            <w:tcW w:w="1417" w:type="dxa"/>
            <w:tcMar>
              <w:top w:w="96" w:type="dxa"/>
              <w:left w:w="113" w:type="dxa"/>
              <w:bottom w:w="96" w:type="dxa"/>
              <w:right w:w="0" w:type="dxa"/>
            </w:tcMar>
          </w:tcPr>
          <w:p w14:paraId="7E2C5280"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Maryborough District Health Service [Maryborough]</w:t>
            </w:r>
          </w:p>
        </w:tc>
        <w:tc>
          <w:tcPr>
            <w:tcW w:w="340" w:type="dxa"/>
            <w:tcMar>
              <w:top w:w="96" w:type="dxa"/>
              <w:left w:w="57" w:type="dxa"/>
              <w:bottom w:w="96" w:type="dxa"/>
              <w:right w:w="71" w:type="dxa"/>
            </w:tcMar>
          </w:tcPr>
          <w:p w14:paraId="0566017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w:t>
            </w:r>
          </w:p>
        </w:tc>
        <w:tc>
          <w:tcPr>
            <w:tcW w:w="482" w:type="dxa"/>
            <w:tcMar>
              <w:top w:w="96" w:type="dxa"/>
              <w:left w:w="57" w:type="dxa"/>
              <w:bottom w:w="96" w:type="dxa"/>
              <w:right w:w="71" w:type="dxa"/>
            </w:tcMar>
          </w:tcPr>
          <w:p w14:paraId="355333E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w:t>
            </w:r>
          </w:p>
        </w:tc>
        <w:tc>
          <w:tcPr>
            <w:tcW w:w="482" w:type="dxa"/>
            <w:tcMar>
              <w:top w:w="96" w:type="dxa"/>
              <w:left w:w="57" w:type="dxa"/>
              <w:bottom w:w="96" w:type="dxa"/>
              <w:right w:w="71" w:type="dxa"/>
            </w:tcMar>
          </w:tcPr>
          <w:p w14:paraId="53FC1B6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9B45E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7A733D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47BF7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2DA63E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F37282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20D14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AC6F8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12.0%</w:t>
            </w:r>
          </w:p>
        </w:tc>
        <w:tc>
          <w:tcPr>
            <w:tcW w:w="482" w:type="dxa"/>
            <w:tcMar>
              <w:top w:w="96" w:type="dxa"/>
              <w:left w:w="57" w:type="dxa"/>
              <w:bottom w:w="96" w:type="dxa"/>
              <w:right w:w="71" w:type="dxa"/>
            </w:tcMar>
          </w:tcPr>
          <w:p w14:paraId="0E2740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2D99B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1369C1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70FAA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F1093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1A0733C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w:t>
            </w:r>
          </w:p>
        </w:tc>
        <w:tc>
          <w:tcPr>
            <w:tcW w:w="482" w:type="dxa"/>
            <w:shd w:val="solid" w:color="CBFFC6" w:fill="auto"/>
            <w:tcMar>
              <w:top w:w="96" w:type="dxa"/>
              <w:left w:w="57" w:type="dxa"/>
              <w:bottom w:w="96" w:type="dxa"/>
              <w:right w:w="71" w:type="dxa"/>
            </w:tcMar>
          </w:tcPr>
          <w:p w14:paraId="215B175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3E9C271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0794BB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90.5%</w:t>
            </w:r>
          </w:p>
        </w:tc>
        <w:tc>
          <w:tcPr>
            <w:tcW w:w="482" w:type="dxa"/>
            <w:shd w:val="solid" w:color="CBFFC6" w:fill="auto"/>
            <w:tcMar>
              <w:top w:w="96" w:type="dxa"/>
              <w:left w:w="57" w:type="dxa"/>
              <w:bottom w:w="96" w:type="dxa"/>
              <w:right w:w="71" w:type="dxa"/>
            </w:tcMar>
          </w:tcPr>
          <w:p w14:paraId="6FEB14E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15.8%</w:t>
            </w:r>
          </w:p>
        </w:tc>
        <w:tc>
          <w:tcPr>
            <w:tcW w:w="482" w:type="dxa"/>
            <w:tcMar>
              <w:top w:w="96" w:type="dxa"/>
              <w:left w:w="57" w:type="dxa"/>
              <w:bottom w:w="96" w:type="dxa"/>
              <w:right w:w="71" w:type="dxa"/>
            </w:tcMar>
          </w:tcPr>
          <w:p w14:paraId="288D496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84.2%</w:t>
            </w:r>
          </w:p>
        </w:tc>
        <w:tc>
          <w:tcPr>
            <w:tcW w:w="482" w:type="dxa"/>
            <w:shd w:val="solid" w:color="FFD1D1" w:fill="auto"/>
            <w:tcMar>
              <w:top w:w="96" w:type="dxa"/>
              <w:left w:w="57" w:type="dxa"/>
              <w:bottom w:w="96" w:type="dxa"/>
              <w:right w:w="71" w:type="dxa"/>
            </w:tcMar>
          </w:tcPr>
          <w:p w14:paraId="4F46589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52.4%</w:t>
            </w:r>
          </w:p>
        </w:tc>
        <w:tc>
          <w:tcPr>
            <w:tcW w:w="482" w:type="dxa"/>
            <w:shd w:val="solid" w:color="CBFFC6" w:fill="auto"/>
            <w:tcMar>
              <w:top w:w="96" w:type="dxa"/>
              <w:left w:w="57" w:type="dxa"/>
              <w:bottom w:w="96" w:type="dxa"/>
              <w:right w:w="71" w:type="dxa"/>
            </w:tcMar>
          </w:tcPr>
          <w:p w14:paraId="58C0DC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79E7CA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C5E29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535F43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95.2%</w:t>
            </w:r>
          </w:p>
        </w:tc>
        <w:tc>
          <w:tcPr>
            <w:tcW w:w="482" w:type="dxa"/>
            <w:shd w:val="solid" w:color="FFD1D1" w:fill="auto"/>
            <w:tcMar>
              <w:top w:w="96" w:type="dxa"/>
              <w:left w:w="57" w:type="dxa"/>
              <w:bottom w:w="96" w:type="dxa"/>
              <w:right w:w="71" w:type="dxa"/>
            </w:tcMar>
          </w:tcPr>
          <w:p w14:paraId="08BC952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66.7%</w:t>
            </w:r>
          </w:p>
        </w:tc>
        <w:tc>
          <w:tcPr>
            <w:tcW w:w="482" w:type="dxa"/>
            <w:shd w:val="solid" w:color="CBFFC6" w:fill="auto"/>
            <w:tcMar>
              <w:top w:w="96" w:type="dxa"/>
              <w:left w:w="57" w:type="dxa"/>
              <w:bottom w:w="96" w:type="dxa"/>
              <w:right w:w="71" w:type="dxa"/>
            </w:tcMar>
          </w:tcPr>
          <w:p w14:paraId="45B23D9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340" w:type="dxa"/>
            <w:tcMar>
              <w:top w:w="96" w:type="dxa"/>
              <w:left w:w="57" w:type="dxa"/>
              <w:bottom w:w="96" w:type="dxa"/>
              <w:right w:w="71" w:type="dxa"/>
            </w:tcMar>
          </w:tcPr>
          <w:p w14:paraId="61F2074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1D0DE97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r>
      <w:tr w:rsidR="00D6403A" w:rsidRPr="0004279D" w14:paraId="220C6DF4" w14:textId="77777777" w:rsidTr="001726E8">
        <w:trPr>
          <w:trHeight w:val="283"/>
        </w:trPr>
        <w:tc>
          <w:tcPr>
            <w:tcW w:w="1417" w:type="dxa"/>
            <w:tcMar>
              <w:top w:w="96" w:type="dxa"/>
              <w:left w:w="113" w:type="dxa"/>
              <w:bottom w:w="96" w:type="dxa"/>
              <w:right w:w="0" w:type="dxa"/>
            </w:tcMar>
          </w:tcPr>
          <w:p w14:paraId="6AAADB8D"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Cohuna District Hospital</w:t>
            </w:r>
          </w:p>
        </w:tc>
        <w:tc>
          <w:tcPr>
            <w:tcW w:w="340" w:type="dxa"/>
            <w:tcMar>
              <w:top w:w="96" w:type="dxa"/>
              <w:left w:w="57" w:type="dxa"/>
              <w:bottom w:w="96" w:type="dxa"/>
              <w:right w:w="71" w:type="dxa"/>
            </w:tcMar>
          </w:tcPr>
          <w:p w14:paraId="37B5A2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w:t>
            </w:r>
          </w:p>
        </w:tc>
        <w:tc>
          <w:tcPr>
            <w:tcW w:w="482" w:type="dxa"/>
            <w:tcMar>
              <w:top w:w="96" w:type="dxa"/>
              <w:left w:w="57" w:type="dxa"/>
              <w:bottom w:w="96" w:type="dxa"/>
              <w:right w:w="71" w:type="dxa"/>
            </w:tcMar>
          </w:tcPr>
          <w:p w14:paraId="4E248F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6BA031E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BA73F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A47E0C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286565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6ABBFC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5E8B2D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B20FC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B7DEF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9511D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7E3E0D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C35F2D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CB1442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79021D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F6E622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8B895D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C581B0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7B1122B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5B6EDF5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w:t>
            </w:r>
          </w:p>
        </w:tc>
        <w:tc>
          <w:tcPr>
            <w:tcW w:w="482" w:type="dxa"/>
            <w:shd w:val="solid" w:color="CBFFC6" w:fill="auto"/>
            <w:tcMar>
              <w:top w:w="96" w:type="dxa"/>
              <w:left w:w="57" w:type="dxa"/>
              <w:bottom w:w="96" w:type="dxa"/>
              <w:right w:w="71" w:type="dxa"/>
            </w:tcMar>
          </w:tcPr>
          <w:p w14:paraId="477BD4D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FFD1D1" w:fill="auto"/>
            <w:tcMar>
              <w:top w:w="96" w:type="dxa"/>
              <w:left w:w="57" w:type="dxa"/>
              <w:bottom w:w="96" w:type="dxa"/>
              <w:right w:w="71" w:type="dxa"/>
            </w:tcMar>
          </w:tcPr>
          <w:p w14:paraId="74A219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70.0%</w:t>
            </w:r>
          </w:p>
        </w:tc>
        <w:tc>
          <w:tcPr>
            <w:tcW w:w="482" w:type="dxa"/>
            <w:shd w:val="solid" w:color="CBFFC6" w:fill="auto"/>
            <w:tcMar>
              <w:top w:w="96" w:type="dxa"/>
              <w:left w:w="57" w:type="dxa"/>
              <w:bottom w:w="96" w:type="dxa"/>
              <w:right w:w="71" w:type="dxa"/>
            </w:tcMar>
          </w:tcPr>
          <w:p w14:paraId="09BBD6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061FB11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8DA27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4350E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7282E5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100.0%</w:t>
            </w:r>
          </w:p>
        </w:tc>
        <w:tc>
          <w:tcPr>
            <w:tcW w:w="482" w:type="dxa"/>
            <w:shd w:val="solid" w:color="CBFFC6" w:fill="auto"/>
            <w:tcMar>
              <w:top w:w="96" w:type="dxa"/>
              <w:left w:w="57" w:type="dxa"/>
              <w:bottom w:w="96" w:type="dxa"/>
              <w:right w:w="71" w:type="dxa"/>
            </w:tcMar>
          </w:tcPr>
          <w:p w14:paraId="229A7B7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340" w:type="dxa"/>
            <w:tcMar>
              <w:top w:w="96" w:type="dxa"/>
              <w:left w:w="57" w:type="dxa"/>
              <w:bottom w:w="96" w:type="dxa"/>
              <w:right w:w="71" w:type="dxa"/>
            </w:tcMar>
          </w:tcPr>
          <w:p w14:paraId="1B7E75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5D79BB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w:t>
            </w:r>
          </w:p>
        </w:tc>
      </w:tr>
      <w:tr w:rsidR="00D6403A" w:rsidRPr="0004279D" w14:paraId="4F13C07C" w14:textId="77777777" w:rsidTr="001726E8">
        <w:trPr>
          <w:trHeight w:val="283"/>
        </w:trPr>
        <w:tc>
          <w:tcPr>
            <w:tcW w:w="1417" w:type="dxa"/>
            <w:tcMar>
              <w:top w:w="96" w:type="dxa"/>
              <w:left w:w="113" w:type="dxa"/>
              <w:bottom w:w="96" w:type="dxa"/>
              <w:right w:w="0" w:type="dxa"/>
            </w:tcMar>
          </w:tcPr>
          <w:p w14:paraId="51E2ED60"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Frances Perry House</w:t>
            </w:r>
          </w:p>
        </w:tc>
        <w:tc>
          <w:tcPr>
            <w:tcW w:w="340" w:type="dxa"/>
            <w:tcMar>
              <w:top w:w="96" w:type="dxa"/>
              <w:left w:w="57" w:type="dxa"/>
              <w:bottom w:w="96" w:type="dxa"/>
              <w:right w:w="71" w:type="dxa"/>
            </w:tcMar>
          </w:tcPr>
          <w:p w14:paraId="09B95D8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274511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3,472</w:t>
            </w:r>
          </w:p>
        </w:tc>
        <w:tc>
          <w:tcPr>
            <w:tcW w:w="482" w:type="dxa"/>
            <w:tcMar>
              <w:top w:w="96" w:type="dxa"/>
              <w:left w:w="57" w:type="dxa"/>
              <w:bottom w:w="96" w:type="dxa"/>
              <w:right w:w="71" w:type="dxa"/>
            </w:tcMar>
          </w:tcPr>
          <w:p w14:paraId="1FC4F9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15.1%</w:t>
            </w:r>
          </w:p>
        </w:tc>
        <w:tc>
          <w:tcPr>
            <w:tcW w:w="482" w:type="dxa"/>
            <w:tcMar>
              <w:top w:w="96" w:type="dxa"/>
              <w:left w:w="57" w:type="dxa"/>
              <w:bottom w:w="96" w:type="dxa"/>
              <w:right w:w="71" w:type="dxa"/>
            </w:tcMar>
          </w:tcPr>
          <w:p w14:paraId="629875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23.3%</w:t>
            </w:r>
          </w:p>
        </w:tc>
        <w:tc>
          <w:tcPr>
            <w:tcW w:w="482" w:type="dxa"/>
            <w:tcMar>
              <w:top w:w="96" w:type="dxa"/>
              <w:left w:w="57" w:type="dxa"/>
              <w:bottom w:w="96" w:type="dxa"/>
              <w:right w:w="71" w:type="dxa"/>
            </w:tcMar>
          </w:tcPr>
          <w:p w14:paraId="0DD7687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35.1%</w:t>
            </w:r>
          </w:p>
        </w:tc>
        <w:tc>
          <w:tcPr>
            <w:tcW w:w="482" w:type="dxa"/>
            <w:shd w:val="solid" w:color="CBFFC6" w:fill="auto"/>
            <w:tcMar>
              <w:top w:w="96" w:type="dxa"/>
              <w:left w:w="57" w:type="dxa"/>
              <w:bottom w:w="96" w:type="dxa"/>
              <w:right w:w="71" w:type="dxa"/>
            </w:tcMar>
          </w:tcPr>
          <w:p w14:paraId="1BCFE1B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0.5%</w:t>
            </w:r>
          </w:p>
        </w:tc>
        <w:tc>
          <w:tcPr>
            <w:tcW w:w="482" w:type="dxa"/>
            <w:shd w:val="solid" w:color="CBFFC6" w:fill="auto"/>
            <w:tcMar>
              <w:top w:w="96" w:type="dxa"/>
              <w:left w:w="57" w:type="dxa"/>
              <w:bottom w:w="96" w:type="dxa"/>
              <w:right w:w="71" w:type="dxa"/>
            </w:tcMar>
          </w:tcPr>
          <w:p w14:paraId="1112272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w:t>
            </w:r>
          </w:p>
        </w:tc>
        <w:tc>
          <w:tcPr>
            <w:tcW w:w="482" w:type="dxa"/>
            <w:shd w:val="solid" w:color="FFD1D1" w:fill="auto"/>
            <w:tcMar>
              <w:top w:w="96" w:type="dxa"/>
              <w:left w:w="57" w:type="dxa"/>
              <w:bottom w:w="96" w:type="dxa"/>
              <w:right w:w="71" w:type="dxa"/>
            </w:tcMar>
          </w:tcPr>
          <w:p w14:paraId="0075EE6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40.4%</w:t>
            </w:r>
          </w:p>
        </w:tc>
        <w:tc>
          <w:tcPr>
            <w:tcW w:w="482" w:type="dxa"/>
            <w:tcMar>
              <w:top w:w="96" w:type="dxa"/>
              <w:left w:w="57" w:type="dxa"/>
              <w:bottom w:w="96" w:type="dxa"/>
              <w:right w:w="71" w:type="dxa"/>
            </w:tcMar>
          </w:tcPr>
          <w:p w14:paraId="47486F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80.8%</w:t>
            </w:r>
          </w:p>
        </w:tc>
        <w:tc>
          <w:tcPr>
            <w:tcW w:w="482" w:type="dxa"/>
            <w:tcMar>
              <w:top w:w="96" w:type="dxa"/>
              <w:left w:w="57" w:type="dxa"/>
              <w:bottom w:w="96" w:type="dxa"/>
              <w:right w:w="71" w:type="dxa"/>
            </w:tcMar>
          </w:tcPr>
          <w:p w14:paraId="40E9E8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8885B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17.9%</w:t>
            </w:r>
          </w:p>
        </w:tc>
        <w:tc>
          <w:tcPr>
            <w:tcW w:w="482" w:type="dxa"/>
            <w:tcMar>
              <w:top w:w="96" w:type="dxa"/>
              <w:left w:w="57" w:type="dxa"/>
              <w:bottom w:w="96" w:type="dxa"/>
              <w:right w:w="71" w:type="dxa"/>
            </w:tcMar>
          </w:tcPr>
          <w:p w14:paraId="523E310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23.4%</w:t>
            </w:r>
          </w:p>
        </w:tc>
        <w:tc>
          <w:tcPr>
            <w:tcW w:w="482" w:type="dxa"/>
            <w:shd w:val="solid" w:color="FFD1D1" w:fill="auto"/>
            <w:tcMar>
              <w:top w:w="96" w:type="dxa"/>
              <w:left w:w="57" w:type="dxa"/>
              <w:bottom w:w="96" w:type="dxa"/>
              <w:right w:w="71" w:type="dxa"/>
            </w:tcMar>
          </w:tcPr>
          <w:p w14:paraId="36EAFEB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w:t>
            </w:r>
          </w:p>
        </w:tc>
        <w:tc>
          <w:tcPr>
            <w:tcW w:w="482" w:type="dxa"/>
            <w:shd w:val="solid" w:color="FFD1D1" w:fill="auto"/>
            <w:tcMar>
              <w:top w:w="96" w:type="dxa"/>
              <w:left w:w="57" w:type="dxa"/>
              <w:bottom w:w="96" w:type="dxa"/>
              <w:right w:w="71" w:type="dxa"/>
            </w:tcMar>
          </w:tcPr>
          <w:p w14:paraId="703B201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44.2%</w:t>
            </w:r>
          </w:p>
        </w:tc>
        <w:tc>
          <w:tcPr>
            <w:tcW w:w="482" w:type="dxa"/>
            <w:tcMar>
              <w:top w:w="96" w:type="dxa"/>
              <w:left w:w="57" w:type="dxa"/>
              <w:bottom w:w="96" w:type="dxa"/>
              <w:right w:w="71" w:type="dxa"/>
            </w:tcMar>
          </w:tcPr>
          <w:p w14:paraId="274A786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0.5</w:t>
            </w:r>
          </w:p>
        </w:tc>
        <w:tc>
          <w:tcPr>
            <w:tcW w:w="482" w:type="dxa"/>
            <w:shd w:val="solid" w:color="CBFFC6" w:fill="auto"/>
            <w:tcMar>
              <w:top w:w="96" w:type="dxa"/>
              <w:left w:w="57" w:type="dxa"/>
              <w:bottom w:w="96" w:type="dxa"/>
              <w:right w:w="71" w:type="dxa"/>
            </w:tcMar>
          </w:tcPr>
          <w:p w14:paraId="6EFAF3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w:t>
            </w:r>
          </w:p>
        </w:tc>
        <w:tc>
          <w:tcPr>
            <w:tcW w:w="482" w:type="dxa"/>
            <w:tcMar>
              <w:top w:w="96" w:type="dxa"/>
              <w:left w:w="57" w:type="dxa"/>
              <w:bottom w:w="96" w:type="dxa"/>
              <w:right w:w="71" w:type="dxa"/>
            </w:tcMar>
          </w:tcPr>
          <w:p w14:paraId="2C6798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1D5DB33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62.5%</w:t>
            </w:r>
          </w:p>
        </w:tc>
        <w:tc>
          <w:tcPr>
            <w:tcW w:w="482" w:type="dxa"/>
            <w:shd w:val="solid" w:color="CBFFC6" w:fill="auto"/>
            <w:tcMar>
              <w:top w:w="96" w:type="dxa"/>
              <w:left w:w="57" w:type="dxa"/>
              <w:bottom w:w="96" w:type="dxa"/>
              <w:right w:w="71" w:type="dxa"/>
            </w:tcMar>
          </w:tcPr>
          <w:p w14:paraId="2EB1D8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96.9%</w:t>
            </w:r>
          </w:p>
        </w:tc>
        <w:tc>
          <w:tcPr>
            <w:tcW w:w="482" w:type="dxa"/>
            <w:shd w:val="solid" w:color="FFD1D1" w:fill="auto"/>
            <w:tcMar>
              <w:top w:w="96" w:type="dxa"/>
              <w:left w:w="57" w:type="dxa"/>
              <w:bottom w:w="96" w:type="dxa"/>
              <w:right w:w="71" w:type="dxa"/>
            </w:tcMar>
          </w:tcPr>
          <w:p w14:paraId="77CE0F5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38.5%</w:t>
            </w:r>
          </w:p>
        </w:tc>
        <w:tc>
          <w:tcPr>
            <w:tcW w:w="482" w:type="dxa"/>
            <w:tcMar>
              <w:top w:w="96" w:type="dxa"/>
              <w:left w:w="57" w:type="dxa"/>
              <w:bottom w:w="96" w:type="dxa"/>
              <w:right w:w="71" w:type="dxa"/>
            </w:tcMar>
          </w:tcPr>
          <w:p w14:paraId="373030B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76.6%</w:t>
            </w:r>
          </w:p>
        </w:tc>
        <w:tc>
          <w:tcPr>
            <w:tcW w:w="482" w:type="dxa"/>
            <w:shd w:val="solid" w:color="CBFFC6" w:fill="auto"/>
            <w:tcMar>
              <w:top w:w="96" w:type="dxa"/>
              <w:left w:w="57" w:type="dxa"/>
              <w:bottom w:w="96" w:type="dxa"/>
              <w:right w:w="71" w:type="dxa"/>
            </w:tcMar>
          </w:tcPr>
          <w:p w14:paraId="4EC98C5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90.5%</w:t>
            </w:r>
          </w:p>
        </w:tc>
        <w:tc>
          <w:tcPr>
            <w:tcW w:w="482" w:type="dxa"/>
            <w:tcMar>
              <w:top w:w="96" w:type="dxa"/>
              <w:left w:w="57" w:type="dxa"/>
              <w:bottom w:w="96" w:type="dxa"/>
              <w:right w:w="71" w:type="dxa"/>
            </w:tcMar>
          </w:tcPr>
          <w:p w14:paraId="251A81E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04F59A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D3469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3EC6070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5.4%</w:t>
            </w:r>
          </w:p>
        </w:tc>
        <w:tc>
          <w:tcPr>
            <w:tcW w:w="482" w:type="dxa"/>
            <w:tcMar>
              <w:top w:w="96" w:type="dxa"/>
              <w:left w:w="57" w:type="dxa"/>
              <w:bottom w:w="96" w:type="dxa"/>
              <w:right w:w="71" w:type="dxa"/>
            </w:tcMar>
          </w:tcPr>
          <w:p w14:paraId="4E079B5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80.3%</w:t>
            </w:r>
          </w:p>
        </w:tc>
        <w:tc>
          <w:tcPr>
            <w:tcW w:w="482" w:type="dxa"/>
            <w:shd w:val="solid" w:color="CBFFC6" w:fill="auto"/>
            <w:tcMar>
              <w:top w:w="96" w:type="dxa"/>
              <w:left w:w="57" w:type="dxa"/>
              <w:bottom w:w="96" w:type="dxa"/>
              <w:right w:w="71" w:type="dxa"/>
            </w:tcMar>
          </w:tcPr>
          <w:p w14:paraId="14DE1FC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0.4%</w:t>
            </w:r>
          </w:p>
        </w:tc>
        <w:tc>
          <w:tcPr>
            <w:tcW w:w="340" w:type="dxa"/>
            <w:tcMar>
              <w:top w:w="96" w:type="dxa"/>
              <w:left w:w="57" w:type="dxa"/>
              <w:bottom w:w="96" w:type="dxa"/>
              <w:right w:w="71" w:type="dxa"/>
            </w:tcMar>
          </w:tcPr>
          <w:p w14:paraId="28752B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3206EF3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r>
      <w:tr w:rsidR="00D6403A" w:rsidRPr="0004279D" w14:paraId="36CAF37D" w14:textId="77777777" w:rsidTr="001726E8">
        <w:trPr>
          <w:trHeight w:val="283"/>
        </w:trPr>
        <w:tc>
          <w:tcPr>
            <w:tcW w:w="1417" w:type="dxa"/>
            <w:tcMar>
              <w:top w:w="96" w:type="dxa"/>
              <w:left w:w="113" w:type="dxa"/>
              <w:bottom w:w="96" w:type="dxa"/>
              <w:right w:w="0" w:type="dxa"/>
            </w:tcMar>
          </w:tcPr>
          <w:p w14:paraId="43CC3508"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Epworth Freemasons</w:t>
            </w:r>
          </w:p>
        </w:tc>
        <w:tc>
          <w:tcPr>
            <w:tcW w:w="340" w:type="dxa"/>
            <w:tcMar>
              <w:top w:w="96" w:type="dxa"/>
              <w:left w:w="57" w:type="dxa"/>
              <w:bottom w:w="96" w:type="dxa"/>
              <w:right w:w="71" w:type="dxa"/>
            </w:tcMar>
          </w:tcPr>
          <w:p w14:paraId="0C1B41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0CADDF2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2,904</w:t>
            </w:r>
          </w:p>
        </w:tc>
        <w:tc>
          <w:tcPr>
            <w:tcW w:w="482" w:type="dxa"/>
            <w:shd w:val="solid" w:color="FFD1D1" w:fill="auto"/>
            <w:tcMar>
              <w:top w:w="96" w:type="dxa"/>
              <w:left w:w="57" w:type="dxa"/>
              <w:bottom w:w="96" w:type="dxa"/>
              <w:right w:w="71" w:type="dxa"/>
            </w:tcMar>
          </w:tcPr>
          <w:p w14:paraId="05562EA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25.9%</w:t>
            </w:r>
          </w:p>
        </w:tc>
        <w:tc>
          <w:tcPr>
            <w:tcW w:w="482" w:type="dxa"/>
            <w:shd w:val="solid" w:color="FFD1D1" w:fill="auto"/>
            <w:tcMar>
              <w:top w:w="96" w:type="dxa"/>
              <w:left w:w="57" w:type="dxa"/>
              <w:bottom w:w="96" w:type="dxa"/>
              <w:right w:w="71" w:type="dxa"/>
            </w:tcMar>
          </w:tcPr>
          <w:p w14:paraId="5648E7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27.6%</w:t>
            </w:r>
          </w:p>
        </w:tc>
        <w:tc>
          <w:tcPr>
            <w:tcW w:w="482" w:type="dxa"/>
            <w:tcMar>
              <w:top w:w="96" w:type="dxa"/>
              <w:left w:w="57" w:type="dxa"/>
              <w:bottom w:w="96" w:type="dxa"/>
              <w:right w:w="71" w:type="dxa"/>
            </w:tcMar>
          </w:tcPr>
          <w:p w14:paraId="45DD7F7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31.6%</w:t>
            </w:r>
          </w:p>
        </w:tc>
        <w:tc>
          <w:tcPr>
            <w:tcW w:w="482" w:type="dxa"/>
            <w:tcMar>
              <w:top w:w="96" w:type="dxa"/>
              <w:left w:w="57" w:type="dxa"/>
              <w:bottom w:w="96" w:type="dxa"/>
              <w:right w:w="71" w:type="dxa"/>
            </w:tcMar>
          </w:tcPr>
          <w:p w14:paraId="5D70991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w:t>
            </w:r>
          </w:p>
        </w:tc>
        <w:tc>
          <w:tcPr>
            <w:tcW w:w="482" w:type="dxa"/>
            <w:shd w:val="solid" w:color="CBFFC6" w:fill="auto"/>
            <w:tcMar>
              <w:top w:w="96" w:type="dxa"/>
              <w:left w:w="57" w:type="dxa"/>
              <w:bottom w:w="96" w:type="dxa"/>
              <w:right w:w="71" w:type="dxa"/>
            </w:tcMar>
          </w:tcPr>
          <w:p w14:paraId="43AD76B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482" w:type="dxa"/>
            <w:tcMar>
              <w:top w:w="96" w:type="dxa"/>
              <w:left w:w="57" w:type="dxa"/>
              <w:bottom w:w="96" w:type="dxa"/>
              <w:right w:w="71" w:type="dxa"/>
            </w:tcMar>
          </w:tcPr>
          <w:p w14:paraId="70B0649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27.8%</w:t>
            </w:r>
          </w:p>
        </w:tc>
        <w:tc>
          <w:tcPr>
            <w:tcW w:w="482" w:type="dxa"/>
            <w:shd w:val="solid" w:color="FFD1D1" w:fill="auto"/>
            <w:tcMar>
              <w:top w:w="96" w:type="dxa"/>
              <w:left w:w="57" w:type="dxa"/>
              <w:bottom w:w="96" w:type="dxa"/>
              <w:right w:w="71" w:type="dxa"/>
            </w:tcMar>
          </w:tcPr>
          <w:p w14:paraId="3A10808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69.1%</w:t>
            </w:r>
          </w:p>
        </w:tc>
        <w:tc>
          <w:tcPr>
            <w:tcW w:w="482" w:type="dxa"/>
            <w:tcMar>
              <w:top w:w="96" w:type="dxa"/>
              <w:left w:w="57" w:type="dxa"/>
              <w:bottom w:w="96" w:type="dxa"/>
              <w:right w:w="71" w:type="dxa"/>
            </w:tcMar>
          </w:tcPr>
          <w:p w14:paraId="261E81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B58CF2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15.0%</w:t>
            </w:r>
          </w:p>
        </w:tc>
        <w:tc>
          <w:tcPr>
            <w:tcW w:w="482" w:type="dxa"/>
            <w:tcMar>
              <w:top w:w="96" w:type="dxa"/>
              <w:left w:w="57" w:type="dxa"/>
              <w:bottom w:w="96" w:type="dxa"/>
              <w:right w:w="71" w:type="dxa"/>
            </w:tcMar>
          </w:tcPr>
          <w:p w14:paraId="1910C6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17.1%</w:t>
            </w:r>
          </w:p>
        </w:tc>
        <w:tc>
          <w:tcPr>
            <w:tcW w:w="482" w:type="dxa"/>
            <w:shd w:val="solid" w:color="FFD1D1" w:fill="auto"/>
            <w:tcMar>
              <w:top w:w="96" w:type="dxa"/>
              <w:left w:w="57" w:type="dxa"/>
              <w:bottom w:w="96" w:type="dxa"/>
              <w:right w:w="71" w:type="dxa"/>
            </w:tcMar>
          </w:tcPr>
          <w:p w14:paraId="33920AB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10.7%</w:t>
            </w:r>
          </w:p>
        </w:tc>
        <w:tc>
          <w:tcPr>
            <w:tcW w:w="482" w:type="dxa"/>
            <w:shd w:val="solid" w:color="FFD1D1" w:fill="auto"/>
            <w:tcMar>
              <w:top w:w="96" w:type="dxa"/>
              <w:left w:w="57" w:type="dxa"/>
              <w:bottom w:w="96" w:type="dxa"/>
              <w:right w:w="71" w:type="dxa"/>
            </w:tcMar>
          </w:tcPr>
          <w:p w14:paraId="04B218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36.2%</w:t>
            </w:r>
          </w:p>
        </w:tc>
        <w:tc>
          <w:tcPr>
            <w:tcW w:w="482" w:type="dxa"/>
            <w:tcMar>
              <w:top w:w="96" w:type="dxa"/>
              <w:left w:w="57" w:type="dxa"/>
              <w:bottom w:w="96" w:type="dxa"/>
              <w:right w:w="71" w:type="dxa"/>
            </w:tcMar>
          </w:tcPr>
          <w:p w14:paraId="3F6870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shd w:val="solid" w:color="CBFFC6" w:fill="auto"/>
            <w:tcMar>
              <w:top w:w="96" w:type="dxa"/>
              <w:left w:w="57" w:type="dxa"/>
              <w:bottom w:w="96" w:type="dxa"/>
              <w:right w:w="71" w:type="dxa"/>
            </w:tcMar>
          </w:tcPr>
          <w:p w14:paraId="249F4A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0E02E7F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08A98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000ED39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96.7%</w:t>
            </w:r>
          </w:p>
        </w:tc>
        <w:tc>
          <w:tcPr>
            <w:tcW w:w="482" w:type="dxa"/>
            <w:shd w:val="solid" w:color="FFD1D1" w:fill="auto"/>
            <w:tcMar>
              <w:top w:w="96" w:type="dxa"/>
              <w:left w:w="57" w:type="dxa"/>
              <w:bottom w:w="96" w:type="dxa"/>
              <w:right w:w="71" w:type="dxa"/>
            </w:tcMar>
          </w:tcPr>
          <w:p w14:paraId="53D77BE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37.9%</w:t>
            </w:r>
          </w:p>
        </w:tc>
        <w:tc>
          <w:tcPr>
            <w:tcW w:w="482" w:type="dxa"/>
            <w:shd w:val="solid" w:color="FFD1D1" w:fill="auto"/>
            <w:tcMar>
              <w:top w:w="96" w:type="dxa"/>
              <w:left w:w="57" w:type="dxa"/>
              <w:bottom w:w="96" w:type="dxa"/>
              <w:right w:w="71" w:type="dxa"/>
            </w:tcMar>
          </w:tcPr>
          <w:p w14:paraId="0CB839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54.1%</w:t>
            </w:r>
          </w:p>
        </w:tc>
        <w:tc>
          <w:tcPr>
            <w:tcW w:w="482" w:type="dxa"/>
            <w:shd w:val="solid" w:color="CBFFC6" w:fill="auto"/>
            <w:tcMar>
              <w:top w:w="96" w:type="dxa"/>
              <w:left w:w="57" w:type="dxa"/>
              <w:bottom w:w="96" w:type="dxa"/>
              <w:right w:w="71" w:type="dxa"/>
            </w:tcMar>
          </w:tcPr>
          <w:p w14:paraId="1284193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90.4%</w:t>
            </w:r>
          </w:p>
        </w:tc>
        <w:tc>
          <w:tcPr>
            <w:tcW w:w="482" w:type="dxa"/>
            <w:tcMar>
              <w:top w:w="96" w:type="dxa"/>
              <w:left w:w="57" w:type="dxa"/>
              <w:bottom w:w="96" w:type="dxa"/>
              <w:right w:w="71" w:type="dxa"/>
            </w:tcMar>
          </w:tcPr>
          <w:p w14:paraId="70C8CB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623FF3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A6E83B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0CC0F9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96.6%</w:t>
            </w:r>
          </w:p>
        </w:tc>
        <w:tc>
          <w:tcPr>
            <w:tcW w:w="482" w:type="dxa"/>
            <w:shd w:val="solid" w:color="CBFFC6" w:fill="auto"/>
            <w:tcMar>
              <w:top w:w="96" w:type="dxa"/>
              <w:left w:w="57" w:type="dxa"/>
              <w:bottom w:w="96" w:type="dxa"/>
              <w:right w:w="71" w:type="dxa"/>
            </w:tcMar>
          </w:tcPr>
          <w:p w14:paraId="6242992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87.1%</w:t>
            </w:r>
          </w:p>
        </w:tc>
        <w:tc>
          <w:tcPr>
            <w:tcW w:w="482" w:type="dxa"/>
            <w:shd w:val="solid" w:color="CBFFC6" w:fill="auto"/>
            <w:tcMar>
              <w:top w:w="96" w:type="dxa"/>
              <w:left w:w="57" w:type="dxa"/>
              <w:bottom w:w="96" w:type="dxa"/>
              <w:right w:w="71" w:type="dxa"/>
            </w:tcMar>
          </w:tcPr>
          <w:p w14:paraId="2FFA42E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340" w:type="dxa"/>
            <w:tcMar>
              <w:top w:w="96" w:type="dxa"/>
              <w:left w:w="57" w:type="dxa"/>
              <w:bottom w:w="96" w:type="dxa"/>
              <w:right w:w="71" w:type="dxa"/>
            </w:tcMar>
          </w:tcPr>
          <w:p w14:paraId="2EE4D08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1B2007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7D998061" w14:textId="77777777" w:rsidTr="001726E8">
        <w:trPr>
          <w:trHeight w:val="283"/>
        </w:trPr>
        <w:tc>
          <w:tcPr>
            <w:tcW w:w="1417" w:type="dxa"/>
            <w:tcMar>
              <w:top w:w="96" w:type="dxa"/>
              <w:left w:w="113" w:type="dxa"/>
              <w:bottom w:w="96" w:type="dxa"/>
              <w:right w:w="0" w:type="dxa"/>
            </w:tcMar>
          </w:tcPr>
          <w:p w14:paraId="22EBD00A"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St Vincent’s Private Hospital Fitzroy</w:t>
            </w:r>
          </w:p>
        </w:tc>
        <w:tc>
          <w:tcPr>
            <w:tcW w:w="340" w:type="dxa"/>
            <w:tcMar>
              <w:top w:w="96" w:type="dxa"/>
              <w:left w:w="57" w:type="dxa"/>
              <w:bottom w:w="96" w:type="dxa"/>
              <w:right w:w="71" w:type="dxa"/>
            </w:tcMar>
          </w:tcPr>
          <w:p w14:paraId="4B98CA0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3F8A4EF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2,275</w:t>
            </w:r>
          </w:p>
        </w:tc>
        <w:tc>
          <w:tcPr>
            <w:tcW w:w="482" w:type="dxa"/>
            <w:tcMar>
              <w:top w:w="96" w:type="dxa"/>
              <w:left w:w="57" w:type="dxa"/>
              <w:bottom w:w="96" w:type="dxa"/>
              <w:right w:w="71" w:type="dxa"/>
            </w:tcMar>
          </w:tcPr>
          <w:p w14:paraId="380377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16.5%</w:t>
            </w:r>
          </w:p>
        </w:tc>
        <w:tc>
          <w:tcPr>
            <w:tcW w:w="482" w:type="dxa"/>
            <w:tcMar>
              <w:top w:w="96" w:type="dxa"/>
              <w:left w:w="57" w:type="dxa"/>
              <w:bottom w:w="96" w:type="dxa"/>
              <w:right w:w="71" w:type="dxa"/>
            </w:tcMar>
          </w:tcPr>
          <w:p w14:paraId="7817BD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21.7%</w:t>
            </w:r>
          </w:p>
        </w:tc>
        <w:tc>
          <w:tcPr>
            <w:tcW w:w="482" w:type="dxa"/>
            <w:shd w:val="solid" w:color="CBFFC6" w:fill="auto"/>
            <w:tcMar>
              <w:top w:w="96" w:type="dxa"/>
              <w:left w:w="57" w:type="dxa"/>
              <w:bottom w:w="96" w:type="dxa"/>
              <w:right w:w="71" w:type="dxa"/>
            </w:tcMar>
          </w:tcPr>
          <w:p w14:paraId="41D942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28.6%</w:t>
            </w:r>
          </w:p>
        </w:tc>
        <w:tc>
          <w:tcPr>
            <w:tcW w:w="482" w:type="dxa"/>
            <w:tcMar>
              <w:top w:w="96" w:type="dxa"/>
              <w:left w:w="57" w:type="dxa"/>
              <w:bottom w:w="96" w:type="dxa"/>
              <w:right w:w="71" w:type="dxa"/>
            </w:tcMar>
          </w:tcPr>
          <w:p w14:paraId="46D9316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shd w:val="solid" w:color="CBFFC6" w:fill="auto"/>
            <w:tcMar>
              <w:top w:w="96" w:type="dxa"/>
              <w:left w:w="57" w:type="dxa"/>
              <w:bottom w:w="96" w:type="dxa"/>
              <w:right w:w="71" w:type="dxa"/>
            </w:tcMar>
          </w:tcPr>
          <w:p w14:paraId="1548C4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0.7%</w:t>
            </w:r>
          </w:p>
        </w:tc>
        <w:tc>
          <w:tcPr>
            <w:tcW w:w="482" w:type="dxa"/>
            <w:tcMar>
              <w:top w:w="96" w:type="dxa"/>
              <w:left w:w="57" w:type="dxa"/>
              <w:bottom w:w="96" w:type="dxa"/>
              <w:right w:w="71" w:type="dxa"/>
            </w:tcMar>
          </w:tcPr>
          <w:p w14:paraId="2396618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30.5%</w:t>
            </w:r>
          </w:p>
        </w:tc>
        <w:tc>
          <w:tcPr>
            <w:tcW w:w="482" w:type="dxa"/>
            <w:shd w:val="solid" w:color="FFD1D1" w:fill="auto"/>
            <w:tcMar>
              <w:top w:w="96" w:type="dxa"/>
              <w:left w:w="57" w:type="dxa"/>
              <w:bottom w:w="96" w:type="dxa"/>
              <w:right w:w="71" w:type="dxa"/>
            </w:tcMar>
          </w:tcPr>
          <w:p w14:paraId="5B27FEA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62.5%</w:t>
            </w:r>
          </w:p>
        </w:tc>
        <w:tc>
          <w:tcPr>
            <w:tcW w:w="482" w:type="dxa"/>
            <w:tcMar>
              <w:top w:w="96" w:type="dxa"/>
              <w:left w:w="57" w:type="dxa"/>
              <w:bottom w:w="96" w:type="dxa"/>
              <w:right w:w="71" w:type="dxa"/>
            </w:tcMar>
          </w:tcPr>
          <w:p w14:paraId="28608C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AF924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17.4%</w:t>
            </w:r>
          </w:p>
        </w:tc>
        <w:tc>
          <w:tcPr>
            <w:tcW w:w="482" w:type="dxa"/>
            <w:tcMar>
              <w:top w:w="96" w:type="dxa"/>
              <w:left w:w="57" w:type="dxa"/>
              <w:bottom w:w="96" w:type="dxa"/>
              <w:right w:w="71" w:type="dxa"/>
            </w:tcMar>
          </w:tcPr>
          <w:p w14:paraId="630553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21.3%</w:t>
            </w:r>
          </w:p>
        </w:tc>
        <w:tc>
          <w:tcPr>
            <w:tcW w:w="482" w:type="dxa"/>
            <w:shd w:val="solid" w:color="FFD1D1" w:fill="auto"/>
            <w:tcMar>
              <w:top w:w="96" w:type="dxa"/>
              <w:left w:w="57" w:type="dxa"/>
              <w:bottom w:w="96" w:type="dxa"/>
              <w:right w:w="71" w:type="dxa"/>
            </w:tcMar>
          </w:tcPr>
          <w:p w14:paraId="5E6A6B4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13.2%</w:t>
            </w:r>
          </w:p>
        </w:tc>
        <w:tc>
          <w:tcPr>
            <w:tcW w:w="482" w:type="dxa"/>
            <w:shd w:val="solid" w:color="CBFFC6" w:fill="auto"/>
            <w:tcMar>
              <w:top w:w="96" w:type="dxa"/>
              <w:left w:w="57" w:type="dxa"/>
              <w:bottom w:w="96" w:type="dxa"/>
              <w:right w:w="71" w:type="dxa"/>
            </w:tcMar>
          </w:tcPr>
          <w:p w14:paraId="33A15E2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64.3%</w:t>
            </w:r>
          </w:p>
        </w:tc>
        <w:tc>
          <w:tcPr>
            <w:tcW w:w="482" w:type="dxa"/>
            <w:tcMar>
              <w:top w:w="96" w:type="dxa"/>
              <w:left w:w="57" w:type="dxa"/>
              <w:bottom w:w="96" w:type="dxa"/>
              <w:right w:w="71" w:type="dxa"/>
            </w:tcMar>
          </w:tcPr>
          <w:p w14:paraId="50A6BB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0.6</w:t>
            </w:r>
          </w:p>
        </w:tc>
        <w:tc>
          <w:tcPr>
            <w:tcW w:w="482" w:type="dxa"/>
            <w:shd w:val="solid" w:color="CBFFC6" w:fill="auto"/>
            <w:tcMar>
              <w:top w:w="96" w:type="dxa"/>
              <w:left w:w="57" w:type="dxa"/>
              <w:bottom w:w="96" w:type="dxa"/>
              <w:right w:w="71" w:type="dxa"/>
            </w:tcMar>
          </w:tcPr>
          <w:p w14:paraId="277C2D6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482" w:type="dxa"/>
            <w:tcMar>
              <w:top w:w="96" w:type="dxa"/>
              <w:left w:w="57" w:type="dxa"/>
              <w:bottom w:w="96" w:type="dxa"/>
              <w:right w:w="71" w:type="dxa"/>
            </w:tcMar>
          </w:tcPr>
          <w:p w14:paraId="61E5AA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42BE1BD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95.6%</w:t>
            </w:r>
          </w:p>
        </w:tc>
        <w:tc>
          <w:tcPr>
            <w:tcW w:w="482" w:type="dxa"/>
            <w:tcMar>
              <w:top w:w="96" w:type="dxa"/>
              <w:left w:w="57" w:type="dxa"/>
              <w:bottom w:w="96" w:type="dxa"/>
              <w:right w:w="71" w:type="dxa"/>
            </w:tcMar>
          </w:tcPr>
          <w:p w14:paraId="123F20B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95.3%</w:t>
            </w:r>
          </w:p>
        </w:tc>
        <w:tc>
          <w:tcPr>
            <w:tcW w:w="482" w:type="dxa"/>
            <w:shd w:val="solid" w:color="FFD1D1" w:fill="auto"/>
            <w:tcMar>
              <w:top w:w="96" w:type="dxa"/>
              <w:left w:w="57" w:type="dxa"/>
              <w:bottom w:w="96" w:type="dxa"/>
              <w:right w:w="71" w:type="dxa"/>
            </w:tcMar>
          </w:tcPr>
          <w:p w14:paraId="1AD6A7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35.8%</w:t>
            </w:r>
          </w:p>
        </w:tc>
        <w:tc>
          <w:tcPr>
            <w:tcW w:w="482" w:type="dxa"/>
            <w:tcMar>
              <w:top w:w="96" w:type="dxa"/>
              <w:left w:w="57" w:type="dxa"/>
              <w:bottom w:w="96" w:type="dxa"/>
              <w:right w:w="71" w:type="dxa"/>
            </w:tcMar>
          </w:tcPr>
          <w:p w14:paraId="37E5D5D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74.1%</w:t>
            </w:r>
          </w:p>
        </w:tc>
        <w:tc>
          <w:tcPr>
            <w:tcW w:w="482" w:type="dxa"/>
            <w:shd w:val="solid" w:color="CBFFC6" w:fill="auto"/>
            <w:tcMar>
              <w:top w:w="96" w:type="dxa"/>
              <w:left w:w="57" w:type="dxa"/>
              <w:bottom w:w="96" w:type="dxa"/>
              <w:right w:w="71" w:type="dxa"/>
            </w:tcMar>
          </w:tcPr>
          <w:p w14:paraId="07494CE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94.9%</w:t>
            </w:r>
          </w:p>
        </w:tc>
        <w:tc>
          <w:tcPr>
            <w:tcW w:w="482" w:type="dxa"/>
            <w:shd w:val="solid" w:color="CBFFC6" w:fill="auto"/>
            <w:tcMar>
              <w:top w:w="96" w:type="dxa"/>
              <w:left w:w="57" w:type="dxa"/>
              <w:bottom w:w="96" w:type="dxa"/>
              <w:right w:w="71" w:type="dxa"/>
            </w:tcMar>
          </w:tcPr>
          <w:p w14:paraId="221741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0.5%</w:t>
            </w:r>
          </w:p>
        </w:tc>
        <w:tc>
          <w:tcPr>
            <w:tcW w:w="482" w:type="dxa"/>
            <w:tcMar>
              <w:top w:w="96" w:type="dxa"/>
              <w:left w:w="57" w:type="dxa"/>
              <w:bottom w:w="96" w:type="dxa"/>
              <w:right w:w="71" w:type="dxa"/>
            </w:tcMar>
          </w:tcPr>
          <w:p w14:paraId="7130566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670635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009F24D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84.2%</w:t>
            </w:r>
          </w:p>
        </w:tc>
        <w:tc>
          <w:tcPr>
            <w:tcW w:w="482" w:type="dxa"/>
            <w:shd w:val="solid" w:color="FFD1D1" w:fill="auto"/>
            <w:tcMar>
              <w:top w:w="96" w:type="dxa"/>
              <w:left w:w="57" w:type="dxa"/>
              <w:bottom w:w="96" w:type="dxa"/>
              <w:right w:w="71" w:type="dxa"/>
            </w:tcMar>
          </w:tcPr>
          <w:p w14:paraId="7454529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62.9%</w:t>
            </w:r>
          </w:p>
        </w:tc>
        <w:tc>
          <w:tcPr>
            <w:tcW w:w="482" w:type="dxa"/>
            <w:shd w:val="solid" w:color="CBFFC6" w:fill="auto"/>
            <w:tcMar>
              <w:top w:w="96" w:type="dxa"/>
              <w:left w:w="57" w:type="dxa"/>
              <w:bottom w:w="96" w:type="dxa"/>
              <w:right w:w="71" w:type="dxa"/>
            </w:tcMar>
          </w:tcPr>
          <w:p w14:paraId="61F093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0.6%</w:t>
            </w:r>
          </w:p>
        </w:tc>
        <w:tc>
          <w:tcPr>
            <w:tcW w:w="340" w:type="dxa"/>
            <w:tcMar>
              <w:top w:w="96" w:type="dxa"/>
              <w:left w:w="57" w:type="dxa"/>
              <w:bottom w:w="96" w:type="dxa"/>
              <w:right w:w="71" w:type="dxa"/>
            </w:tcMar>
          </w:tcPr>
          <w:p w14:paraId="65542FE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c>
          <w:tcPr>
            <w:tcW w:w="340" w:type="dxa"/>
            <w:tcMar>
              <w:top w:w="96" w:type="dxa"/>
              <w:left w:w="57" w:type="dxa"/>
              <w:bottom w:w="96" w:type="dxa"/>
              <w:right w:w="71" w:type="dxa"/>
            </w:tcMar>
          </w:tcPr>
          <w:p w14:paraId="69BFC94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r>
      <w:tr w:rsidR="00D6403A" w:rsidRPr="0004279D" w14:paraId="4CFBFA19" w14:textId="77777777" w:rsidTr="001726E8">
        <w:trPr>
          <w:trHeight w:val="283"/>
        </w:trPr>
        <w:tc>
          <w:tcPr>
            <w:tcW w:w="1417" w:type="dxa"/>
            <w:tcMar>
              <w:top w:w="96" w:type="dxa"/>
              <w:left w:w="113" w:type="dxa"/>
              <w:bottom w:w="96" w:type="dxa"/>
              <w:right w:w="0" w:type="dxa"/>
            </w:tcMar>
          </w:tcPr>
          <w:p w14:paraId="04DF1668"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Cabrini Malvern</w:t>
            </w:r>
          </w:p>
        </w:tc>
        <w:tc>
          <w:tcPr>
            <w:tcW w:w="340" w:type="dxa"/>
            <w:tcMar>
              <w:top w:w="96" w:type="dxa"/>
              <w:left w:w="57" w:type="dxa"/>
              <w:bottom w:w="96" w:type="dxa"/>
              <w:right w:w="71" w:type="dxa"/>
            </w:tcMar>
          </w:tcPr>
          <w:p w14:paraId="7D6B4F5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18CFF2A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2,039</w:t>
            </w:r>
          </w:p>
        </w:tc>
        <w:tc>
          <w:tcPr>
            <w:tcW w:w="482" w:type="dxa"/>
            <w:shd w:val="solid" w:color="FFD1D1" w:fill="auto"/>
            <w:tcMar>
              <w:top w:w="96" w:type="dxa"/>
              <w:left w:w="57" w:type="dxa"/>
              <w:bottom w:w="96" w:type="dxa"/>
              <w:right w:w="71" w:type="dxa"/>
            </w:tcMar>
          </w:tcPr>
          <w:p w14:paraId="7C9DE6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29.7%</w:t>
            </w:r>
          </w:p>
        </w:tc>
        <w:tc>
          <w:tcPr>
            <w:tcW w:w="482" w:type="dxa"/>
            <w:shd w:val="solid" w:color="CBFFC6" w:fill="auto"/>
            <w:tcMar>
              <w:top w:w="96" w:type="dxa"/>
              <w:left w:w="57" w:type="dxa"/>
              <w:bottom w:w="96" w:type="dxa"/>
              <w:right w:w="71" w:type="dxa"/>
            </w:tcMar>
          </w:tcPr>
          <w:p w14:paraId="508EC58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12.0%</w:t>
            </w:r>
          </w:p>
        </w:tc>
        <w:tc>
          <w:tcPr>
            <w:tcW w:w="482" w:type="dxa"/>
            <w:shd w:val="solid" w:color="CBFFC6" w:fill="auto"/>
            <w:tcMar>
              <w:top w:w="96" w:type="dxa"/>
              <w:left w:w="57" w:type="dxa"/>
              <w:bottom w:w="96" w:type="dxa"/>
              <w:right w:w="71" w:type="dxa"/>
            </w:tcMar>
          </w:tcPr>
          <w:p w14:paraId="103CB95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18.3%</w:t>
            </w:r>
          </w:p>
        </w:tc>
        <w:tc>
          <w:tcPr>
            <w:tcW w:w="482" w:type="dxa"/>
            <w:tcMar>
              <w:top w:w="96" w:type="dxa"/>
              <w:left w:w="57" w:type="dxa"/>
              <w:bottom w:w="96" w:type="dxa"/>
              <w:right w:w="71" w:type="dxa"/>
            </w:tcMar>
          </w:tcPr>
          <w:p w14:paraId="049FFF2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090C30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5.2%</w:t>
            </w:r>
          </w:p>
        </w:tc>
        <w:tc>
          <w:tcPr>
            <w:tcW w:w="482" w:type="dxa"/>
            <w:tcMar>
              <w:top w:w="96" w:type="dxa"/>
              <w:left w:w="57" w:type="dxa"/>
              <w:bottom w:w="96" w:type="dxa"/>
              <w:right w:w="71" w:type="dxa"/>
            </w:tcMar>
          </w:tcPr>
          <w:p w14:paraId="33BC7DB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22.5%</w:t>
            </w:r>
          </w:p>
        </w:tc>
        <w:tc>
          <w:tcPr>
            <w:tcW w:w="482" w:type="dxa"/>
            <w:shd w:val="solid" w:color="FFD1D1" w:fill="auto"/>
            <w:tcMar>
              <w:top w:w="96" w:type="dxa"/>
              <w:left w:w="57" w:type="dxa"/>
              <w:bottom w:w="96" w:type="dxa"/>
              <w:right w:w="71" w:type="dxa"/>
            </w:tcMar>
          </w:tcPr>
          <w:p w14:paraId="613066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69.2%</w:t>
            </w:r>
          </w:p>
        </w:tc>
        <w:tc>
          <w:tcPr>
            <w:tcW w:w="482" w:type="dxa"/>
            <w:tcMar>
              <w:top w:w="96" w:type="dxa"/>
              <w:left w:w="57" w:type="dxa"/>
              <w:bottom w:w="96" w:type="dxa"/>
              <w:right w:w="71" w:type="dxa"/>
            </w:tcMar>
          </w:tcPr>
          <w:p w14:paraId="18CB72E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5004037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34.4%</w:t>
            </w:r>
          </w:p>
        </w:tc>
        <w:tc>
          <w:tcPr>
            <w:tcW w:w="482" w:type="dxa"/>
            <w:shd w:val="solid" w:color="FFD1D1" w:fill="auto"/>
            <w:tcMar>
              <w:top w:w="96" w:type="dxa"/>
              <w:left w:w="57" w:type="dxa"/>
              <w:bottom w:w="96" w:type="dxa"/>
              <w:right w:w="71" w:type="dxa"/>
            </w:tcMar>
          </w:tcPr>
          <w:p w14:paraId="450626F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26.1%</w:t>
            </w:r>
          </w:p>
        </w:tc>
        <w:tc>
          <w:tcPr>
            <w:tcW w:w="482" w:type="dxa"/>
            <w:tcMar>
              <w:top w:w="96" w:type="dxa"/>
              <w:left w:w="57" w:type="dxa"/>
              <w:bottom w:w="96" w:type="dxa"/>
              <w:right w:w="71" w:type="dxa"/>
            </w:tcMar>
          </w:tcPr>
          <w:p w14:paraId="18112A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21.6%</w:t>
            </w:r>
          </w:p>
        </w:tc>
        <w:tc>
          <w:tcPr>
            <w:tcW w:w="482" w:type="dxa"/>
            <w:shd w:val="solid" w:color="CBFFC6" w:fill="auto"/>
            <w:tcMar>
              <w:top w:w="96" w:type="dxa"/>
              <w:left w:w="57" w:type="dxa"/>
              <w:bottom w:w="96" w:type="dxa"/>
              <w:right w:w="71" w:type="dxa"/>
            </w:tcMar>
          </w:tcPr>
          <w:p w14:paraId="65AB2F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75.0%</w:t>
            </w:r>
          </w:p>
        </w:tc>
        <w:tc>
          <w:tcPr>
            <w:tcW w:w="482" w:type="dxa"/>
            <w:tcMar>
              <w:top w:w="96" w:type="dxa"/>
              <w:left w:w="57" w:type="dxa"/>
              <w:bottom w:w="96" w:type="dxa"/>
              <w:right w:w="71" w:type="dxa"/>
            </w:tcMar>
          </w:tcPr>
          <w:p w14:paraId="734F402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shd w:val="solid" w:color="CBFFC6" w:fill="auto"/>
            <w:tcMar>
              <w:top w:w="96" w:type="dxa"/>
              <w:left w:w="57" w:type="dxa"/>
              <w:bottom w:w="96" w:type="dxa"/>
              <w:right w:w="71" w:type="dxa"/>
            </w:tcMar>
          </w:tcPr>
          <w:p w14:paraId="425C09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5FE579B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017A87B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81.3%</w:t>
            </w:r>
          </w:p>
        </w:tc>
        <w:tc>
          <w:tcPr>
            <w:tcW w:w="482" w:type="dxa"/>
            <w:tcMar>
              <w:top w:w="96" w:type="dxa"/>
              <w:left w:w="57" w:type="dxa"/>
              <w:bottom w:w="96" w:type="dxa"/>
              <w:right w:w="71" w:type="dxa"/>
            </w:tcMar>
          </w:tcPr>
          <w:p w14:paraId="54B5607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96.4%</w:t>
            </w:r>
          </w:p>
        </w:tc>
        <w:tc>
          <w:tcPr>
            <w:tcW w:w="482" w:type="dxa"/>
            <w:shd w:val="solid" w:color="FFD1D1" w:fill="auto"/>
            <w:tcMar>
              <w:top w:w="96" w:type="dxa"/>
              <w:left w:w="57" w:type="dxa"/>
              <w:bottom w:w="96" w:type="dxa"/>
              <w:right w:w="71" w:type="dxa"/>
            </w:tcMar>
          </w:tcPr>
          <w:p w14:paraId="4D422E5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38.8%</w:t>
            </w:r>
          </w:p>
        </w:tc>
        <w:tc>
          <w:tcPr>
            <w:tcW w:w="482" w:type="dxa"/>
            <w:shd w:val="solid" w:color="FFD1D1" w:fill="auto"/>
            <w:tcMar>
              <w:top w:w="96" w:type="dxa"/>
              <w:left w:w="57" w:type="dxa"/>
              <w:bottom w:w="96" w:type="dxa"/>
              <w:right w:w="71" w:type="dxa"/>
            </w:tcMar>
          </w:tcPr>
          <w:p w14:paraId="7EF889A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64.5%</w:t>
            </w:r>
          </w:p>
        </w:tc>
        <w:tc>
          <w:tcPr>
            <w:tcW w:w="482" w:type="dxa"/>
            <w:shd w:val="solid" w:color="CBFFC6" w:fill="auto"/>
            <w:tcMar>
              <w:top w:w="96" w:type="dxa"/>
              <w:left w:w="57" w:type="dxa"/>
              <w:bottom w:w="96" w:type="dxa"/>
              <w:right w:w="71" w:type="dxa"/>
            </w:tcMar>
          </w:tcPr>
          <w:p w14:paraId="1FC4F7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91.3%</w:t>
            </w:r>
          </w:p>
        </w:tc>
        <w:tc>
          <w:tcPr>
            <w:tcW w:w="482" w:type="dxa"/>
            <w:shd w:val="solid" w:color="CBFFC6" w:fill="auto"/>
            <w:tcMar>
              <w:top w:w="96" w:type="dxa"/>
              <w:left w:w="57" w:type="dxa"/>
              <w:bottom w:w="96" w:type="dxa"/>
              <w:right w:w="71" w:type="dxa"/>
            </w:tcMar>
          </w:tcPr>
          <w:p w14:paraId="6252EA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0.6%</w:t>
            </w:r>
          </w:p>
        </w:tc>
        <w:tc>
          <w:tcPr>
            <w:tcW w:w="482" w:type="dxa"/>
            <w:tcMar>
              <w:top w:w="96" w:type="dxa"/>
              <w:left w:w="57" w:type="dxa"/>
              <w:bottom w:w="96" w:type="dxa"/>
              <w:right w:w="71" w:type="dxa"/>
            </w:tcMar>
          </w:tcPr>
          <w:p w14:paraId="21FC0F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DFB59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0EB0E6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81.1%</w:t>
            </w:r>
          </w:p>
        </w:tc>
        <w:tc>
          <w:tcPr>
            <w:tcW w:w="482" w:type="dxa"/>
            <w:shd w:val="solid" w:color="FFD1D1" w:fill="auto"/>
            <w:tcMar>
              <w:top w:w="96" w:type="dxa"/>
              <w:left w:w="57" w:type="dxa"/>
              <w:bottom w:w="96" w:type="dxa"/>
              <w:right w:w="71" w:type="dxa"/>
            </w:tcMar>
          </w:tcPr>
          <w:p w14:paraId="33871B2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68.9%</w:t>
            </w:r>
          </w:p>
        </w:tc>
        <w:tc>
          <w:tcPr>
            <w:tcW w:w="482" w:type="dxa"/>
            <w:shd w:val="solid" w:color="CBFFC6" w:fill="auto"/>
            <w:tcMar>
              <w:top w:w="96" w:type="dxa"/>
              <w:left w:w="57" w:type="dxa"/>
              <w:bottom w:w="96" w:type="dxa"/>
              <w:right w:w="71" w:type="dxa"/>
            </w:tcMar>
          </w:tcPr>
          <w:p w14:paraId="6129ADE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340" w:type="dxa"/>
            <w:tcMar>
              <w:top w:w="96" w:type="dxa"/>
              <w:left w:w="57" w:type="dxa"/>
              <w:bottom w:w="96" w:type="dxa"/>
              <w:right w:w="71" w:type="dxa"/>
            </w:tcMar>
          </w:tcPr>
          <w:p w14:paraId="1700CDE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c>
          <w:tcPr>
            <w:tcW w:w="340" w:type="dxa"/>
            <w:tcMar>
              <w:top w:w="96" w:type="dxa"/>
              <w:left w:w="57" w:type="dxa"/>
              <w:bottom w:w="96" w:type="dxa"/>
              <w:right w:w="71" w:type="dxa"/>
            </w:tcMar>
          </w:tcPr>
          <w:p w14:paraId="14E915F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w:t>
            </w:r>
          </w:p>
        </w:tc>
      </w:tr>
      <w:tr w:rsidR="00D6403A" w:rsidRPr="0004279D" w14:paraId="1BED5B05" w14:textId="77777777" w:rsidTr="001726E8">
        <w:trPr>
          <w:trHeight w:val="283"/>
        </w:trPr>
        <w:tc>
          <w:tcPr>
            <w:tcW w:w="1417" w:type="dxa"/>
            <w:tcMar>
              <w:top w:w="96" w:type="dxa"/>
              <w:left w:w="113" w:type="dxa"/>
              <w:bottom w:w="96" w:type="dxa"/>
              <w:right w:w="0" w:type="dxa"/>
            </w:tcMar>
          </w:tcPr>
          <w:p w14:paraId="79B65D5B"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Mitcham Private Hospital</w:t>
            </w:r>
          </w:p>
        </w:tc>
        <w:tc>
          <w:tcPr>
            <w:tcW w:w="340" w:type="dxa"/>
            <w:tcMar>
              <w:top w:w="96" w:type="dxa"/>
              <w:left w:w="57" w:type="dxa"/>
              <w:bottom w:w="96" w:type="dxa"/>
              <w:right w:w="71" w:type="dxa"/>
            </w:tcMar>
          </w:tcPr>
          <w:p w14:paraId="642868D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7D49DE0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1,064</w:t>
            </w:r>
          </w:p>
        </w:tc>
        <w:tc>
          <w:tcPr>
            <w:tcW w:w="482" w:type="dxa"/>
            <w:shd w:val="solid" w:color="FFD1D1" w:fill="auto"/>
            <w:tcMar>
              <w:top w:w="96" w:type="dxa"/>
              <w:left w:w="57" w:type="dxa"/>
              <w:bottom w:w="96" w:type="dxa"/>
              <w:right w:w="71" w:type="dxa"/>
            </w:tcMar>
          </w:tcPr>
          <w:p w14:paraId="15D7DD6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23.2%</w:t>
            </w:r>
          </w:p>
        </w:tc>
        <w:tc>
          <w:tcPr>
            <w:tcW w:w="482" w:type="dxa"/>
            <w:shd w:val="solid" w:color="FFD1D1" w:fill="auto"/>
            <w:tcMar>
              <w:top w:w="96" w:type="dxa"/>
              <w:left w:w="57" w:type="dxa"/>
              <w:bottom w:w="96" w:type="dxa"/>
              <w:right w:w="71" w:type="dxa"/>
            </w:tcMar>
          </w:tcPr>
          <w:p w14:paraId="1554B1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31.4%</w:t>
            </w:r>
          </w:p>
        </w:tc>
        <w:tc>
          <w:tcPr>
            <w:tcW w:w="482" w:type="dxa"/>
            <w:shd w:val="solid" w:color="FFD1D1" w:fill="auto"/>
            <w:tcMar>
              <w:top w:w="96" w:type="dxa"/>
              <w:left w:w="57" w:type="dxa"/>
              <w:bottom w:w="96" w:type="dxa"/>
              <w:right w:w="71" w:type="dxa"/>
            </w:tcMar>
          </w:tcPr>
          <w:p w14:paraId="6D2943A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44.1%</w:t>
            </w:r>
          </w:p>
        </w:tc>
        <w:tc>
          <w:tcPr>
            <w:tcW w:w="482" w:type="dxa"/>
            <w:tcMar>
              <w:top w:w="96" w:type="dxa"/>
              <w:left w:w="57" w:type="dxa"/>
              <w:bottom w:w="96" w:type="dxa"/>
              <w:right w:w="71" w:type="dxa"/>
            </w:tcMar>
          </w:tcPr>
          <w:p w14:paraId="631434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w:t>
            </w:r>
          </w:p>
        </w:tc>
        <w:tc>
          <w:tcPr>
            <w:tcW w:w="482" w:type="dxa"/>
            <w:shd w:val="solid" w:color="CBFFC6" w:fill="auto"/>
            <w:tcMar>
              <w:top w:w="96" w:type="dxa"/>
              <w:left w:w="57" w:type="dxa"/>
              <w:bottom w:w="96" w:type="dxa"/>
              <w:right w:w="71" w:type="dxa"/>
            </w:tcMar>
          </w:tcPr>
          <w:p w14:paraId="1936C6A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w:t>
            </w:r>
          </w:p>
        </w:tc>
        <w:tc>
          <w:tcPr>
            <w:tcW w:w="482" w:type="dxa"/>
            <w:shd w:val="solid" w:color="FFD1D1" w:fill="auto"/>
            <w:tcMar>
              <w:top w:w="96" w:type="dxa"/>
              <w:left w:w="57" w:type="dxa"/>
              <w:bottom w:w="96" w:type="dxa"/>
              <w:right w:w="71" w:type="dxa"/>
            </w:tcMar>
          </w:tcPr>
          <w:p w14:paraId="657049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43.1%</w:t>
            </w:r>
          </w:p>
        </w:tc>
        <w:tc>
          <w:tcPr>
            <w:tcW w:w="482" w:type="dxa"/>
            <w:tcMar>
              <w:top w:w="96" w:type="dxa"/>
              <w:left w:w="57" w:type="dxa"/>
              <w:bottom w:w="96" w:type="dxa"/>
              <w:right w:w="71" w:type="dxa"/>
            </w:tcMar>
          </w:tcPr>
          <w:p w14:paraId="1FBF2EA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87.5%</w:t>
            </w:r>
          </w:p>
        </w:tc>
        <w:tc>
          <w:tcPr>
            <w:tcW w:w="482" w:type="dxa"/>
            <w:tcMar>
              <w:top w:w="96" w:type="dxa"/>
              <w:left w:w="57" w:type="dxa"/>
              <w:bottom w:w="96" w:type="dxa"/>
              <w:right w:w="71" w:type="dxa"/>
            </w:tcMar>
          </w:tcPr>
          <w:p w14:paraId="046E718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C05F0E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14.3%</w:t>
            </w:r>
          </w:p>
        </w:tc>
        <w:tc>
          <w:tcPr>
            <w:tcW w:w="482" w:type="dxa"/>
            <w:tcMar>
              <w:top w:w="96" w:type="dxa"/>
              <w:left w:w="57" w:type="dxa"/>
              <w:bottom w:w="96" w:type="dxa"/>
              <w:right w:w="71" w:type="dxa"/>
            </w:tcMar>
          </w:tcPr>
          <w:p w14:paraId="2AF6C15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23.8%</w:t>
            </w:r>
          </w:p>
        </w:tc>
        <w:tc>
          <w:tcPr>
            <w:tcW w:w="482" w:type="dxa"/>
            <w:shd w:val="solid" w:color="FFD1D1" w:fill="auto"/>
            <w:tcMar>
              <w:top w:w="96" w:type="dxa"/>
              <w:left w:w="57" w:type="dxa"/>
              <w:bottom w:w="96" w:type="dxa"/>
              <w:right w:w="71" w:type="dxa"/>
            </w:tcMar>
          </w:tcPr>
          <w:p w14:paraId="57647CD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11.8%</w:t>
            </w:r>
          </w:p>
        </w:tc>
        <w:tc>
          <w:tcPr>
            <w:tcW w:w="482" w:type="dxa"/>
            <w:shd w:val="solid" w:color="FFD1D1" w:fill="auto"/>
            <w:tcMar>
              <w:top w:w="96" w:type="dxa"/>
              <w:left w:w="57" w:type="dxa"/>
              <w:bottom w:w="96" w:type="dxa"/>
              <w:right w:w="71" w:type="dxa"/>
            </w:tcMar>
          </w:tcPr>
          <w:p w14:paraId="4515906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47.6%</w:t>
            </w:r>
          </w:p>
        </w:tc>
        <w:tc>
          <w:tcPr>
            <w:tcW w:w="482" w:type="dxa"/>
            <w:tcMar>
              <w:top w:w="96" w:type="dxa"/>
              <w:left w:w="57" w:type="dxa"/>
              <w:bottom w:w="96" w:type="dxa"/>
              <w:right w:w="71" w:type="dxa"/>
            </w:tcMar>
          </w:tcPr>
          <w:p w14:paraId="6751B2E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shd w:val="solid" w:color="CBFFC6" w:fill="auto"/>
            <w:tcMar>
              <w:top w:w="96" w:type="dxa"/>
              <w:left w:w="57" w:type="dxa"/>
              <w:bottom w:w="96" w:type="dxa"/>
              <w:right w:w="71" w:type="dxa"/>
            </w:tcMar>
          </w:tcPr>
          <w:p w14:paraId="44485E6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275B124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BD9EF3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2BBB3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95.5%</w:t>
            </w:r>
          </w:p>
        </w:tc>
        <w:tc>
          <w:tcPr>
            <w:tcW w:w="482" w:type="dxa"/>
            <w:shd w:val="solid" w:color="FFD1D1" w:fill="auto"/>
            <w:tcMar>
              <w:top w:w="96" w:type="dxa"/>
              <w:left w:w="57" w:type="dxa"/>
              <w:bottom w:w="96" w:type="dxa"/>
              <w:right w:w="71" w:type="dxa"/>
            </w:tcMar>
          </w:tcPr>
          <w:p w14:paraId="15ECB13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57.9%</w:t>
            </w:r>
          </w:p>
        </w:tc>
        <w:tc>
          <w:tcPr>
            <w:tcW w:w="482" w:type="dxa"/>
            <w:shd w:val="solid" w:color="FFD1D1" w:fill="auto"/>
            <w:tcMar>
              <w:top w:w="96" w:type="dxa"/>
              <w:left w:w="57" w:type="dxa"/>
              <w:bottom w:w="96" w:type="dxa"/>
              <w:right w:w="71" w:type="dxa"/>
            </w:tcMar>
          </w:tcPr>
          <w:p w14:paraId="3456346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55.9%</w:t>
            </w:r>
          </w:p>
        </w:tc>
        <w:tc>
          <w:tcPr>
            <w:tcW w:w="482" w:type="dxa"/>
            <w:tcMar>
              <w:top w:w="96" w:type="dxa"/>
              <w:left w:w="57" w:type="dxa"/>
              <w:bottom w:w="96" w:type="dxa"/>
              <w:right w:w="71" w:type="dxa"/>
            </w:tcMar>
          </w:tcPr>
          <w:p w14:paraId="6A248B6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89.1%</w:t>
            </w:r>
          </w:p>
        </w:tc>
        <w:tc>
          <w:tcPr>
            <w:tcW w:w="482" w:type="dxa"/>
            <w:shd w:val="solid" w:color="CBFFC6" w:fill="auto"/>
            <w:tcMar>
              <w:top w:w="96" w:type="dxa"/>
              <w:left w:w="57" w:type="dxa"/>
              <w:bottom w:w="96" w:type="dxa"/>
              <w:right w:w="71" w:type="dxa"/>
            </w:tcMar>
          </w:tcPr>
          <w:p w14:paraId="170525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482" w:type="dxa"/>
            <w:tcMar>
              <w:top w:w="96" w:type="dxa"/>
              <w:left w:w="57" w:type="dxa"/>
              <w:bottom w:w="96" w:type="dxa"/>
              <w:right w:w="71" w:type="dxa"/>
            </w:tcMar>
          </w:tcPr>
          <w:p w14:paraId="3B8F5BD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5C3F7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4A0AA28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5.3%</w:t>
            </w:r>
          </w:p>
        </w:tc>
        <w:tc>
          <w:tcPr>
            <w:tcW w:w="482" w:type="dxa"/>
            <w:tcMar>
              <w:top w:w="96" w:type="dxa"/>
              <w:left w:w="57" w:type="dxa"/>
              <w:bottom w:w="96" w:type="dxa"/>
              <w:right w:w="71" w:type="dxa"/>
            </w:tcMar>
          </w:tcPr>
          <w:p w14:paraId="150ACD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70.2%</w:t>
            </w:r>
          </w:p>
        </w:tc>
        <w:tc>
          <w:tcPr>
            <w:tcW w:w="482" w:type="dxa"/>
            <w:shd w:val="solid" w:color="CBFFC6" w:fill="auto"/>
            <w:tcMar>
              <w:top w:w="96" w:type="dxa"/>
              <w:left w:w="57" w:type="dxa"/>
              <w:bottom w:w="96" w:type="dxa"/>
              <w:right w:w="71" w:type="dxa"/>
            </w:tcMar>
          </w:tcPr>
          <w:p w14:paraId="5A6EC6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340" w:type="dxa"/>
            <w:tcMar>
              <w:top w:w="96" w:type="dxa"/>
              <w:left w:w="57" w:type="dxa"/>
              <w:bottom w:w="96" w:type="dxa"/>
              <w:right w:w="71" w:type="dxa"/>
            </w:tcMar>
          </w:tcPr>
          <w:p w14:paraId="66B137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340" w:type="dxa"/>
            <w:tcMar>
              <w:top w:w="96" w:type="dxa"/>
              <w:left w:w="57" w:type="dxa"/>
              <w:bottom w:w="96" w:type="dxa"/>
              <w:right w:w="71" w:type="dxa"/>
            </w:tcMar>
          </w:tcPr>
          <w:p w14:paraId="37BAFF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w:t>
            </w:r>
          </w:p>
        </w:tc>
      </w:tr>
      <w:tr w:rsidR="00D6403A" w:rsidRPr="0004279D" w14:paraId="04A1283D" w14:textId="77777777" w:rsidTr="001726E8">
        <w:trPr>
          <w:trHeight w:val="283"/>
        </w:trPr>
        <w:tc>
          <w:tcPr>
            <w:tcW w:w="1417" w:type="dxa"/>
            <w:tcMar>
              <w:top w:w="96" w:type="dxa"/>
              <w:left w:w="113" w:type="dxa"/>
              <w:bottom w:w="96" w:type="dxa"/>
              <w:right w:w="0" w:type="dxa"/>
            </w:tcMar>
          </w:tcPr>
          <w:p w14:paraId="7BC983A3"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St John of God Berwick Hospital</w:t>
            </w:r>
          </w:p>
        </w:tc>
        <w:tc>
          <w:tcPr>
            <w:tcW w:w="340" w:type="dxa"/>
            <w:tcMar>
              <w:top w:w="96" w:type="dxa"/>
              <w:left w:w="57" w:type="dxa"/>
              <w:bottom w:w="96" w:type="dxa"/>
              <w:right w:w="71" w:type="dxa"/>
            </w:tcMar>
          </w:tcPr>
          <w:p w14:paraId="7CCC069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3A25AAC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1,018</w:t>
            </w:r>
          </w:p>
        </w:tc>
        <w:tc>
          <w:tcPr>
            <w:tcW w:w="482" w:type="dxa"/>
            <w:tcMar>
              <w:top w:w="96" w:type="dxa"/>
              <w:left w:w="57" w:type="dxa"/>
              <w:bottom w:w="96" w:type="dxa"/>
              <w:right w:w="71" w:type="dxa"/>
            </w:tcMar>
          </w:tcPr>
          <w:p w14:paraId="521602C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17.0%</w:t>
            </w:r>
          </w:p>
        </w:tc>
        <w:tc>
          <w:tcPr>
            <w:tcW w:w="482" w:type="dxa"/>
            <w:shd w:val="solid" w:color="FFD1D1" w:fill="auto"/>
            <w:tcMar>
              <w:top w:w="96" w:type="dxa"/>
              <w:left w:w="57" w:type="dxa"/>
              <w:bottom w:w="96" w:type="dxa"/>
              <w:right w:w="71" w:type="dxa"/>
            </w:tcMar>
          </w:tcPr>
          <w:p w14:paraId="3175DF7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36.1%</w:t>
            </w:r>
          </w:p>
        </w:tc>
        <w:tc>
          <w:tcPr>
            <w:tcW w:w="482" w:type="dxa"/>
            <w:shd w:val="solid" w:color="FFD1D1" w:fill="auto"/>
            <w:tcMar>
              <w:top w:w="96" w:type="dxa"/>
              <w:left w:w="57" w:type="dxa"/>
              <w:bottom w:w="96" w:type="dxa"/>
              <w:right w:w="71" w:type="dxa"/>
            </w:tcMar>
          </w:tcPr>
          <w:p w14:paraId="1209C6A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45.2%</w:t>
            </w:r>
          </w:p>
        </w:tc>
        <w:tc>
          <w:tcPr>
            <w:tcW w:w="482" w:type="dxa"/>
            <w:shd w:val="solid" w:color="CBFFC6" w:fill="auto"/>
            <w:tcMar>
              <w:top w:w="96" w:type="dxa"/>
              <w:left w:w="57" w:type="dxa"/>
              <w:bottom w:w="96" w:type="dxa"/>
              <w:right w:w="71" w:type="dxa"/>
            </w:tcMar>
          </w:tcPr>
          <w:p w14:paraId="1C16848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CBFFC6" w:fill="auto"/>
            <w:tcMar>
              <w:top w:w="96" w:type="dxa"/>
              <w:left w:w="57" w:type="dxa"/>
              <w:bottom w:w="96" w:type="dxa"/>
              <w:right w:w="71" w:type="dxa"/>
            </w:tcMar>
          </w:tcPr>
          <w:p w14:paraId="26E8028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482" w:type="dxa"/>
            <w:shd w:val="solid" w:color="FFD1D1" w:fill="auto"/>
            <w:tcMar>
              <w:top w:w="96" w:type="dxa"/>
              <w:left w:w="57" w:type="dxa"/>
              <w:bottom w:w="96" w:type="dxa"/>
              <w:right w:w="71" w:type="dxa"/>
            </w:tcMar>
          </w:tcPr>
          <w:p w14:paraId="2DB668D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35.0%</w:t>
            </w:r>
          </w:p>
        </w:tc>
        <w:tc>
          <w:tcPr>
            <w:tcW w:w="482" w:type="dxa"/>
            <w:shd w:val="solid" w:color="FFD1D1" w:fill="auto"/>
            <w:tcMar>
              <w:top w:w="96" w:type="dxa"/>
              <w:left w:w="57" w:type="dxa"/>
              <w:bottom w:w="96" w:type="dxa"/>
              <w:right w:w="71" w:type="dxa"/>
            </w:tcMar>
          </w:tcPr>
          <w:p w14:paraId="49E19C0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78.0%</w:t>
            </w:r>
          </w:p>
        </w:tc>
        <w:tc>
          <w:tcPr>
            <w:tcW w:w="482" w:type="dxa"/>
            <w:tcMar>
              <w:top w:w="96" w:type="dxa"/>
              <w:left w:w="57" w:type="dxa"/>
              <w:bottom w:w="96" w:type="dxa"/>
              <w:right w:w="71" w:type="dxa"/>
            </w:tcMar>
          </w:tcPr>
          <w:p w14:paraId="6F2ADBA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5A38A6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6.7%</w:t>
            </w:r>
          </w:p>
        </w:tc>
        <w:tc>
          <w:tcPr>
            <w:tcW w:w="482" w:type="dxa"/>
            <w:tcMar>
              <w:top w:w="96" w:type="dxa"/>
              <w:left w:w="57" w:type="dxa"/>
              <w:bottom w:w="96" w:type="dxa"/>
              <w:right w:w="71" w:type="dxa"/>
            </w:tcMar>
          </w:tcPr>
          <w:p w14:paraId="4A5FFA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20.0%</w:t>
            </w:r>
          </w:p>
        </w:tc>
        <w:tc>
          <w:tcPr>
            <w:tcW w:w="482" w:type="dxa"/>
            <w:shd w:val="solid" w:color="FFD1D1" w:fill="auto"/>
            <w:tcMar>
              <w:top w:w="96" w:type="dxa"/>
              <w:left w:w="57" w:type="dxa"/>
              <w:bottom w:w="96" w:type="dxa"/>
              <w:right w:w="71" w:type="dxa"/>
            </w:tcMar>
          </w:tcPr>
          <w:p w14:paraId="5F1C68D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w:t>
            </w:r>
          </w:p>
        </w:tc>
        <w:tc>
          <w:tcPr>
            <w:tcW w:w="482" w:type="dxa"/>
            <w:shd w:val="solid" w:color="FFD1D1" w:fill="auto"/>
            <w:tcMar>
              <w:top w:w="96" w:type="dxa"/>
              <w:left w:w="57" w:type="dxa"/>
              <w:bottom w:w="96" w:type="dxa"/>
              <w:right w:w="71" w:type="dxa"/>
            </w:tcMar>
          </w:tcPr>
          <w:p w14:paraId="5FEEC39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46.7%</w:t>
            </w:r>
          </w:p>
        </w:tc>
        <w:tc>
          <w:tcPr>
            <w:tcW w:w="482" w:type="dxa"/>
            <w:tcMar>
              <w:top w:w="96" w:type="dxa"/>
              <w:left w:w="57" w:type="dxa"/>
              <w:bottom w:w="96" w:type="dxa"/>
              <w:right w:w="71" w:type="dxa"/>
            </w:tcMar>
          </w:tcPr>
          <w:p w14:paraId="65D351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76DC12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73BD30E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3C09E7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63014F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93.9%</w:t>
            </w:r>
          </w:p>
        </w:tc>
        <w:tc>
          <w:tcPr>
            <w:tcW w:w="482" w:type="dxa"/>
            <w:shd w:val="solid" w:color="FFD1D1" w:fill="auto"/>
            <w:tcMar>
              <w:top w:w="96" w:type="dxa"/>
              <w:left w:w="57" w:type="dxa"/>
              <w:bottom w:w="96" w:type="dxa"/>
              <w:right w:w="71" w:type="dxa"/>
            </w:tcMar>
          </w:tcPr>
          <w:p w14:paraId="445CF6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42.6%</w:t>
            </w:r>
          </w:p>
        </w:tc>
        <w:tc>
          <w:tcPr>
            <w:tcW w:w="482" w:type="dxa"/>
            <w:tcMar>
              <w:top w:w="96" w:type="dxa"/>
              <w:left w:w="57" w:type="dxa"/>
              <w:bottom w:w="96" w:type="dxa"/>
              <w:right w:w="71" w:type="dxa"/>
            </w:tcMar>
          </w:tcPr>
          <w:p w14:paraId="3D697B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72.2%</w:t>
            </w:r>
          </w:p>
        </w:tc>
        <w:tc>
          <w:tcPr>
            <w:tcW w:w="482" w:type="dxa"/>
            <w:shd w:val="solid" w:color="FFD1D1" w:fill="auto"/>
            <w:tcMar>
              <w:top w:w="96" w:type="dxa"/>
              <w:left w:w="57" w:type="dxa"/>
              <w:bottom w:w="96" w:type="dxa"/>
              <w:right w:w="71" w:type="dxa"/>
            </w:tcMar>
          </w:tcPr>
          <w:p w14:paraId="12B284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68.1%</w:t>
            </w:r>
          </w:p>
        </w:tc>
        <w:tc>
          <w:tcPr>
            <w:tcW w:w="482" w:type="dxa"/>
            <w:shd w:val="solid" w:color="CBFFC6" w:fill="auto"/>
            <w:tcMar>
              <w:top w:w="96" w:type="dxa"/>
              <w:left w:w="57" w:type="dxa"/>
              <w:bottom w:w="96" w:type="dxa"/>
              <w:right w:w="71" w:type="dxa"/>
            </w:tcMar>
          </w:tcPr>
          <w:p w14:paraId="659DC75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482" w:type="dxa"/>
            <w:tcMar>
              <w:top w:w="96" w:type="dxa"/>
              <w:left w:w="57" w:type="dxa"/>
              <w:bottom w:w="96" w:type="dxa"/>
              <w:right w:w="71" w:type="dxa"/>
            </w:tcMar>
          </w:tcPr>
          <w:p w14:paraId="70F58C7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71B1AC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05DF4B3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91.7%</w:t>
            </w:r>
          </w:p>
        </w:tc>
        <w:tc>
          <w:tcPr>
            <w:tcW w:w="482" w:type="dxa"/>
            <w:tcMar>
              <w:top w:w="96" w:type="dxa"/>
              <w:left w:w="57" w:type="dxa"/>
              <w:bottom w:w="96" w:type="dxa"/>
              <w:right w:w="71" w:type="dxa"/>
            </w:tcMar>
          </w:tcPr>
          <w:p w14:paraId="6256422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72.0%</w:t>
            </w:r>
          </w:p>
        </w:tc>
        <w:tc>
          <w:tcPr>
            <w:tcW w:w="482" w:type="dxa"/>
            <w:tcMar>
              <w:top w:w="96" w:type="dxa"/>
              <w:left w:w="57" w:type="dxa"/>
              <w:bottom w:w="96" w:type="dxa"/>
              <w:right w:w="71" w:type="dxa"/>
            </w:tcMar>
          </w:tcPr>
          <w:p w14:paraId="223551C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w:t>
            </w:r>
          </w:p>
        </w:tc>
        <w:tc>
          <w:tcPr>
            <w:tcW w:w="340" w:type="dxa"/>
            <w:tcMar>
              <w:top w:w="96" w:type="dxa"/>
              <w:left w:w="57" w:type="dxa"/>
              <w:bottom w:w="96" w:type="dxa"/>
              <w:right w:w="71" w:type="dxa"/>
            </w:tcMar>
          </w:tcPr>
          <w:p w14:paraId="728DFC5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4C160A9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w:t>
            </w:r>
          </w:p>
        </w:tc>
      </w:tr>
      <w:tr w:rsidR="00D6403A" w:rsidRPr="0004279D" w14:paraId="534EC2C3" w14:textId="77777777" w:rsidTr="001726E8">
        <w:trPr>
          <w:trHeight w:val="283"/>
        </w:trPr>
        <w:tc>
          <w:tcPr>
            <w:tcW w:w="1417" w:type="dxa"/>
            <w:tcMar>
              <w:top w:w="96" w:type="dxa"/>
              <w:left w:w="113" w:type="dxa"/>
              <w:bottom w:w="96" w:type="dxa"/>
              <w:right w:w="0" w:type="dxa"/>
            </w:tcMar>
          </w:tcPr>
          <w:p w14:paraId="3591566C"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Jessie McPherson Private Hospital</w:t>
            </w:r>
          </w:p>
        </w:tc>
        <w:tc>
          <w:tcPr>
            <w:tcW w:w="340" w:type="dxa"/>
            <w:tcMar>
              <w:top w:w="96" w:type="dxa"/>
              <w:left w:w="57" w:type="dxa"/>
              <w:bottom w:w="96" w:type="dxa"/>
              <w:right w:w="71" w:type="dxa"/>
            </w:tcMar>
          </w:tcPr>
          <w:p w14:paraId="23AD31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465C1A4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1,002</w:t>
            </w:r>
          </w:p>
        </w:tc>
        <w:tc>
          <w:tcPr>
            <w:tcW w:w="482" w:type="dxa"/>
            <w:shd w:val="solid" w:color="FFD1D1" w:fill="auto"/>
            <w:tcMar>
              <w:top w:w="96" w:type="dxa"/>
              <w:left w:w="57" w:type="dxa"/>
              <w:bottom w:w="96" w:type="dxa"/>
              <w:right w:w="71" w:type="dxa"/>
            </w:tcMar>
          </w:tcPr>
          <w:p w14:paraId="5669E8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29.3%</w:t>
            </w:r>
          </w:p>
        </w:tc>
        <w:tc>
          <w:tcPr>
            <w:tcW w:w="482" w:type="dxa"/>
            <w:tcMar>
              <w:top w:w="96" w:type="dxa"/>
              <w:left w:w="57" w:type="dxa"/>
              <w:bottom w:w="96" w:type="dxa"/>
              <w:right w:w="71" w:type="dxa"/>
            </w:tcMar>
          </w:tcPr>
          <w:p w14:paraId="38167D6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15.4%</w:t>
            </w:r>
          </w:p>
        </w:tc>
        <w:tc>
          <w:tcPr>
            <w:tcW w:w="482" w:type="dxa"/>
            <w:tcMar>
              <w:top w:w="96" w:type="dxa"/>
              <w:left w:w="57" w:type="dxa"/>
              <w:bottom w:w="96" w:type="dxa"/>
              <w:right w:w="71" w:type="dxa"/>
            </w:tcMar>
          </w:tcPr>
          <w:p w14:paraId="51D50D6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31.7%</w:t>
            </w:r>
          </w:p>
        </w:tc>
        <w:tc>
          <w:tcPr>
            <w:tcW w:w="482" w:type="dxa"/>
            <w:shd w:val="solid" w:color="CBFFC6" w:fill="auto"/>
            <w:tcMar>
              <w:top w:w="96" w:type="dxa"/>
              <w:left w:w="57" w:type="dxa"/>
              <w:bottom w:w="96" w:type="dxa"/>
              <w:right w:w="71" w:type="dxa"/>
            </w:tcMar>
          </w:tcPr>
          <w:p w14:paraId="75707C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77583D3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5.6%</w:t>
            </w:r>
          </w:p>
        </w:tc>
        <w:tc>
          <w:tcPr>
            <w:tcW w:w="482" w:type="dxa"/>
            <w:shd w:val="solid" w:color="FFD1D1" w:fill="auto"/>
            <w:tcMar>
              <w:top w:w="96" w:type="dxa"/>
              <w:left w:w="57" w:type="dxa"/>
              <w:bottom w:w="96" w:type="dxa"/>
              <w:right w:w="71" w:type="dxa"/>
            </w:tcMar>
          </w:tcPr>
          <w:p w14:paraId="0F3208E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36.6%</w:t>
            </w:r>
          </w:p>
        </w:tc>
        <w:tc>
          <w:tcPr>
            <w:tcW w:w="482" w:type="dxa"/>
            <w:shd w:val="solid" w:color="FFD1D1" w:fill="auto"/>
            <w:tcMar>
              <w:top w:w="96" w:type="dxa"/>
              <w:left w:w="57" w:type="dxa"/>
              <w:bottom w:w="96" w:type="dxa"/>
              <w:right w:w="71" w:type="dxa"/>
            </w:tcMar>
          </w:tcPr>
          <w:p w14:paraId="0D8B70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65.7%</w:t>
            </w:r>
          </w:p>
        </w:tc>
        <w:tc>
          <w:tcPr>
            <w:tcW w:w="482" w:type="dxa"/>
            <w:tcMar>
              <w:top w:w="96" w:type="dxa"/>
              <w:left w:w="57" w:type="dxa"/>
              <w:bottom w:w="96" w:type="dxa"/>
              <w:right w:w="71" w:type="dxa"/>
            </w:tcMar>
          </w:tcPr>
          <w:p w14:paraId="3970C3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61076F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11.8%</w:t>
            </w:r>
          </w:p>
        </w:tc>
        <w:tc>
          <w:tcPr>
            <w:tcW w:w="482" w:type="dxa"/>
            <w:shd w:val="solid" w:color="FFD1D1" w:fill="auto"/>
            <w:tcMar>
              <w:top w:w="96" w:type="dxa"/>
              <w:left w:w="57" w:type="dxa"/>
              <w:bottom w:w="96" w:type="dxa"/>
              <w:right w:w="71" w:type="dxa"/>
            </w:tcMar>
          </w:tcPr>
          <w:p w14:paraId="30B143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25.4%</w:t>
            </w:r>
          </w:p>
        </w:tc>
        <w:tc>
          <w:tcPr>
            <w:tcW w:w="482" w:type="dxa"/>
            <w:shd w:val="solid" w:color="FFD1D1" w:fill="auto"/>
            <w:tcMar>
              <w:top w:w="96" w:type="dxa"/>
              <w:left w:w="57" w:type="dxa"/>
              <w:bottom w:w="96" w:type="dxa"/>
              <w:right w:w="71" w:type="dxa"/>
            </w:tcMar>
          </w:tcPr>
          <w:p w14:paraId="1B79D6F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13.9%</w:t>
            </w:r>
          </w:p>
        </w:tc>
        <w:tc>
          <w:tcPr>
            <w:tcW w:w="482" w:type="dxa"/>
            <w:shd w:val="solid" w:color="CBFFC6" w:fill="auto"/>
            <w:tcMar>
              <w:top w:w="96" w:type="dxa"/>
              <w:left w:w="57" w:type="dxa"/>
              <w:bottom w:w="96" w:type="dxa"/>
              <w:right w:w="71" w:type="dxa"/>
            </w:tcMar>
          </w:tcPr>
          <w:p w14:paraId="2C395C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62.5%</w:t>
            </w:r>
          </w:p>
        </w:tc>
        <w:tc>
          <w:tcPr>
            <w:tcW w:w="482" w:type="dxa"/>
            <w:tcMar>
              <w:top w:w="96" w:type="dxa"/>
              <w:left w:w="57" w:type="dxa"/>
              <w:bottom w:w="96" w:type="dxa"/>
              <w:right w:w="71" w:type="dxa"/>
            </w:tcMar>
          </w:tcPr>
          <w:p w14:paraId="2F8D957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shd w:val="solid" w:color="CBFFC6" w:fill="auto"/>
            <w:tcMar>
              <w:top w:w="96" w:type="dxa"/>
              <w:left w:w="57" w:type="dxa"/>
              <w:bottom w:w="96" w:type="dxa"/>
              <w:right w:w="71" w:type="dxa"/>
            </w:tcMar>
          </w:tcPr>
          <w:p w14:paraId="65AC1D9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16F92E5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07451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9749D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96.6%</w:t>
            </w:r>
          </w:p>
        </w:tc>
        <w:tc>
          <w:tcPr>
            <w:tcW w:w="482" w:type="dxa"/>
            <w:shd w:val="solid" w:color="FFD1D1" w:fill="auto"/>
            <w:tcMar>
              <w:top w:w="96" w:type="dxa"/>
              <w:left w:w="57" w:type="dxa"/>
              <w:bottom w:w="96" w:type="dxa"/>
              <w:right w:w="71" w:type="dxa"/>
            </w:tcMar>
          </w:tcPr>
          <w:p w14:paraId="49D7266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42.8%</w:t>
            </w:r>
          </w:p>
        </w:tc>
        <w:tc>
          <w:tcPr>
            <w:tcW w:w="482" w:type="dxa"/>
            <w:shd w:val="solid" w:color="FFD1D1" w:fill="auto"/>
            <w:tcMar>
              <w:top w:w="96" w:type="dxa"/>
              <w:left w:w="57" w:type="dxa"/>
              <w:bottom w:w="96" w:type="dxa"/>
              <w:right w:w="71" w:type="dxa"/>
            </w:tcMar>
          </w:tcPr>
          <w:p w14:paraId="5DE82D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49.6%</w:t>
            </w:r>
          </w:p>
        </w:tc>
        <w:tc>
          <w:tcPr>
            <w:tcW w:w="482" w:type="dxa"/>
            <w:shd w:val="solid" w:color="CBFFC6" w:fill="auto"/>
            <w:tcMar>
              <w:top w:w="96" w:type="dxa"/>
              <w:left w:w="57" w:type="dxa"/>
              <w:bottom w:w="96" w:type="dxa"/>
              <w:right w:w="71" w:type="dxa"/>
            </w:tcMar>
          </w:tcPr>
          <w:p w14:paraId="2F2E43C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90.5%</w:t>
            </w:r>
          </w:p>
        </w:tc>
        <w:tc>
          <w:tcPr>
            <w:tcW w:w="482" w:type="dxa"/>
            <w:tcMar>
              <w:top w:w="96" w:type="dxa"/>
              <w:left w:w="57" w:type="dxa"/>
              <w:bottom w:w="96" w:type="dxa"/>
              <w:right w:w="71" w:type="dxa"/>
            </w:tcMar>
          </w:tcPr>
          <w:p w14:paraId="1CEA3C8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611FB7D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8DD906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06FA51B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87.5%</w:t>
            </w:r>
          </w:p>
        </w:tc>
        <w:tc>
          <w:tcPr>
            <w:tcW w:w="482" w:type="dxa"/>
            <w:tcMar>
              <w:top w:w="96" w:type="dxa"/>
              <w:left w:w="57" w:type="dxa"/>
              <w:bottom w:w="96" w:type="dxa"/>
              <w:right w:w="71" w:type="dxa"/>
            </w:tcMar>
          </w:tcPr>
          <w:p w14:paraId="4C1E4C3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77.6%</w:t>
            </w:r>
          </w:p>
        </w:tc>
        <w:tc>
          <w:tcPr>
            <w:tcW w:w="482" w:type="dxa"/>
            <w:shd w:val="solid" w:color="FFD1D1" w:fill="auto"/>
            <w:tcMar>
              <w:top w:w="96" w:type="dxa"/>
              <w:left w:w="57" w:type="dxa"/>
              <w:bottom w:w="96" w:type="dxa"/>
              <w:right w:w="71" w:type="dxa"/>
            </w:tcMar>
          </w:tcPr>
          <w:p w14:paraId="415FFA8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3.6%</w:t>
            </w:r>
          </w:p>
        </w:tc>
        <w:tc>
          <w:tcPr>
            <w:tcW w:w="340" w:type="dxa"/>
            <w:tcMar>
              <w:top w:w="96" w:type="dxa"/>
              <w:left w:w="57" w:type="dxa"/>
              <w:bottom w:w="96" w:type="dxa"/>
              <w:right w:w="71" w:type="dxa"/>
            </w:tcMar>
          </w:tcPr>
          <w:p w14:paraId="1A1A1D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76DB3A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w:t>
            </w:r>
          </w:p>
        </w:tc>
      </w:tr>
      <w:tr w:rsidR="00D6403A" w:rsidRPr="0004279D" w14:paraId="1F3F3C95" w14:textId="77777777" w:rsidTr="001726E8">
        <w:trPr>
          <w:trHeight w:val="283"/>
        </w:trPr>
        <w:tc>
          <w:tcPr>
            <w:tcW w:w="1417" w:type="dxa"/>
            <w:tcMar>
              <w:top w:w="96" w:type="dxa"/>
              <w:left w:w="113" w:type="dxa"/>
              <w:bottom w:w="96" w:type="dxa"/>
              <w:right w:w="0" w:type="dxa"/>
            </w:tcMar>
          </w:tcPr>
          <w:p w14:paraId="0F929BF8"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Northpark Private Hospital</w:t>
            </w:r>
          </w:p>
        </w:tc>
        <w:tc>
          <w:tcPr>
            <w:tcW w:w="340" w:type="dxa"/>
            <w:tcMar>
              <w:top w:w="96" w:type="dxa"/>
              <w:left w:w="57" w:type="dxa"/>
              <w:bottom w:w="96" w:type="dxa"/>
              <w:right w:w="71" w:type="dxa"/>
            </w:tcMar>
          </w:tcPr>
          <w:p w14:paraId="0676268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7DAFD92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878</w:t>
            </w:r>
          </w:p>
        </w:tc>
        <w:tc>
          <w:tcPr>
            <w:tcW w:w="482" w:type="dxa"/>
            <w:shd w:val="solid" w:color="FFD1D1" w:fill="auto"/>
            <w:tcMar>
              <w:top w:w="96" w:type="dxa"/>
              <w:left w:w="57" w:type="dxa"/>
              <w:bottom w:w="96" w:type="dxa"/>
              <w:right w:w="71" w:type="dxa"/>
            </w:tcMar>
          </w:tcPr>
          <w:p w14:paraId="5E2BD45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23.1%</w:t>
            </w:r>
          </w:p>
        </w:tc>
        <w:tc>
          <w:tcPr>
            <w:tcW w:w="482" w:type="dxa"/>
            <w:tcMar>
              <w:top w:w="96" w:type="dxa"/>
              <w:left w:w="57" w:type="dxa"/>
              <w:bottom w:w="96" w:type="dxa"/>
              <w:right w:w="71" w:type="dxa"/>
            </w:tcMar>
          </w:tcPr>
          <w:p w14:paraId="527ECA0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16.0%</w:t>
            </w:r>
          </w:p>
        </w:tc>
        <w:tc>
          <w:tcPr>
            <w:tcW w:w="482" w:type="dxa"/>
            <w:tcMar>
              <w:top w:w="96" w:type="dxa"/>
              <w:left w:w="57" w:type="dxa"/>
              <w:bottom w:w="96" w:type="dxa"/>
              <w:right w:w="71" w:type="dxa"/>
            </w:tcMar>
          </w:tcPr>
          <w:p w14:paraId="65194B0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31.2%</w:t>
            </w:r>
          </w:p>
        </w:tc>
        <w:tc>
          <w:tcPr>
            <w:tcW w:w="482" w:type="dxa"/>
            <w:tcMar>
              <w:top w:w="96" w:type="dxa"/>
              <w:left w:w="57" w:type="dxa"/>
              <w:bottom w:w="96" w:type="dxa"/>
              <w:right w:w="71" w:type="dxa"/>
            </w:tcMar>
          </w:tcPr>
          <w:p w14:paraId="165F44C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5FDD35F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5.8%</w:t>
            </w:r>
          </w:p>
        </w:tc>
        <w:tc>
          <w:tcPr>
            <w:tcW w:w="482" w:type="dxa"/>
            <w:shd w:val="solid" w:color="FFD1D1" w:fill="auto"/>
            <w:tcMar>
              <w:top w:w="96" w:type="dxa"/>
              <w:left w:w="57" w:type="dxa"/>
              <w:bottom w:w="96" w:type="dxa"/>
              <w:right w:w="71" w:type="dxa"/>
            </w:tcMar>
          </w:tcPr>
          <w:p w14:paraId="446D2C9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32.6%</w:t>
            </w:r>
          </w:p>
        </w:tc>
        <w:tc>
          <w:tcPr>
            <w:tcW w:w="482" w:type="dxa"/>
            <w:shd w:val="solid" w:color="FFD1D1" w:fill="auto"/>
            <w:tcMar>
              <w:top w:w="96" w:type="dxa"/>
              <w:left w:w="57" w:type="dxa"/>
              <w:bottom w:w="96" w:type="dxa"/>
              <w:right w:w="71" w:type="dxa"/>
            </w:tcMar>
          </w:tcPr>
          <w:p w14:paraId="2B5546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78.6%</w:t>
            </w:r>
          </w:p>
        </w:tc>
        <w:tc>
          <w:tcPr>
            <w:tcW w:w="482" w:type="dxa"/>
            <w:tcMar>
              <w:top w:w="96" w:type="dxa"/>
              <w:left w:w="57" w:type="dxa"/>
              <w:bottom w:w="96" w:type="dxa"/>
              <w:right w:w="71" w:type="dxa"/>
            </w:tcMar>
          </w:tcPr>
          <w:p w14:paraId="018315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1CDAFF3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w:t>
            </w:r>
          </w:p>
        </w:tc>
        <w:tc>
          <w:tcPr>
            <w:tcW w:w="482" w:type="dxa"/>
            <w:shd w:val="solid" w:color="CBFFC6" w:fill="auto"/>
            <w:tcMar>
              <w:top w:w="96" w:type="dxa"/>
              <w:left w:w="57" w:type="dxa"/>
              <w:bottom w:w="96" w:type="dxa"/>
              <w:right w:w="71" w:type="dxa"/>
            </w:tcMar>
          </w:tcPr>
          <w:p w14:paraId="187DFFC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11.8%</w:t>
            </w:r>
          </w:p>
        </w:tc>
        <w:tc>
          <w:tcPr>
            <w:tcW w:w="482" w:type="dxa"/>
            <w:shd w:val="solid" w:color="FFD1D1" w:fill="auto"/>
            <w:tcMar>
              <w:top w:w="96" w:type="dxa"/>
              <w:left w:w="57" w:type="dxa"/>
              <w:bottom w:w="96" w:type="dxa"/>
              <w:right w:w="71" w:type="dxa"/>
            </w:tcMar>
          </w:tcPr>
          <w:p w14:paraId="34C9707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9.8%</w:t>
            </w:r>
          </w:p>
        </w:tc>
        <w:tc>
          <w:tcPr>
            <w:tcW w:w="482" w:type="dxa"/>
            <w:shd w:val="solid" w:color="CBFFC6" w:fill="auto"/>
            <w:tcMar>
              <w:top w:w="96" w:type="dxa"/>
              <w:left w:w="57" w:type="dxa"/>
              <w:bottom w:w="96" w:type="dxa"/>
              <w:right w:w="71" w:type="dxa"/>
            </w:tcMar>
          </w:tcPr>
          <w:p w14:paraId="2EED0D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69.2%</w:t>
            </w:r>
          </w:p>
        </w:tc>
        <w:tc>
          <w:tcPr>
            <w:tcW w:w="482" w:type="dxa"/>
            <w:tcMar>
              <w:top w:w="96" w:type="dxa"/>
              <w:left w:w="57" w:type="dxa"/>
              <w:bottom w:w="96" w:type="dxa"/>
              <w:right w:w="71" w:type="dxa"/>
            </w:tcMar>
          </w:tcPr>
          <w:p w14:paraId="5724AA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34AC64B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54A1B6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5AE402E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63.0%</w:t>
            </w:r>
          </w:p>
        </w:tc>
        <w:tc>
          <w:tcPr>
            <w:tcW w:w="482" w:type="dxa"/>
            <w:shd w:val="solid" w:color="FFD1D1" w:fill="auto"/>
            <w:tcMar>
              <w:top w:w="96" w:type="dxa"/>
              <w:left w:w="57" w:type="dxa"/>
              <w:bottom w:w="96" w:type="dxa"/>
              <w:right w:w="71" w:type="dxa"/>
            </w:tcMar>
          </w:tcPr>
          <w:p w14:paraId="78512C8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90.2%</w:t>
            </w:r>
          </w:p>
        </w:tc>
        <w:tc>
          <w:tcPr>
            <w:tcW w:w="482" w:type="dxa"/>
            <w:shd w:val="solid" w:color="FFD1D1" w:fill="auto"/>
            <w:tcMar>
              <w:top w:w="96" w:type="dxa"/>
              <w:left w:w="57" w:type="dxa"/>
              <w:bottom w:w="96" w:type="dxa"/>
              <w:right w:w="71" w:type="dxa"/>
            </w:tcMar>
          </w:tcPr>
          <w:p w14:paraId="5D26A0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58.1%</w:t>
            </w:r>
          </w:p>
        </w:tc>
        <w:tc>
          <w:tcPr>
            <w:tcW w:w="482" w:type="dxa"/>
            <w:shd w:val="solid" w:color="FFD1D1" w:fill="auto"/>
            <w:tcMar>
              <w:top w:w="96" w:type="dxa"/>
              <w:left w:w="57" w:type="dxa"/>
              <w:bottom w:w="96" w:type="dxa"/>
              <w:right w:w="71" w:type="dxa"/>
            </w:tcMar>
          </w:tcPr>
          <w:p w14:paraId="2DE0485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50.2%</w:t>
            </w:r>
          </w:p>
        </w:tc>
        <w:tc>
          <w:tcPr>
            <w:tcW w:w="482" w:type="dxa"/>
            <w:tcMar>
              <w:top w:w="96" w:type="dxa"/>
              <w:left w:w="57" w:type="dxa"/>
              <w:bottom w:w="96" w:type="dxa"/>
              <w:right w:w="71" w:type="dxa"/>
            </w:tcMar>
          </w:tcPr>
          <w:p w14:paraId="10433AE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83.7%</w:t>
            </w:r>
          </w:p>
        </w:tc>
        <w:tc>
          <w:tcPr>
            <w:tcW w:w="482" w:type="dxa"/>
            <w:tcMar>
              <w:top w:w="96" w:type="dxa"/>
              <w:left w:w="57" w:type="dxa"/>
              <w:bottom w:w="96" w:type="dxa"/>
              <w:right w:w="71" w:type="dxa"/>
            </w:tcMar>
          </w:tcPr>
          <w:p w14:paraId="7E382D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4C498DA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CCCA0A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113CF8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61.8%</w:t>
            </w:r>
          </w:p>
        </w:tc>
        <w:tc>
          <w:tcPr>
            <w:tcW w:w="482" w:type="dxa"/>
            <w:shd w:val="solid" w:color="FFD1D1" w:fill="auto"/>
            <w:tcMar>
              <w:top w:w="96" w:type="dxa"/>
              <w:left w:w="57" w:type="dxa"/>
              <w:bottom w:w="96" w:type="dxa"/>
              <w:right w:w="71" w:type="dxa"/>
            </w:tcMar>
          </w:tcPr>
          <w:p w14:paraId="6B19C0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55.9%</w:t>
            </w:r>
          </w:p>
        </w:tc>
        <w:tc>
          <w:tcPr>
            <w:tcW w:w="482" w:type="dxa"/>
            <w:shd w:val="solid" w:color="CBFFC6" w:fill="auto"/>
            <w:tcMar>
              <w:top w:w="96" w:type="dxa"/>
              <w:left w:w="57" w:type="dxa"/>
              <w:bottom w:w="96" w:type="dxa"/>
              <w:right w:w="71" w:type="dxa"/>
            </w:tcMar>
          </w:tcPr>
          <w:p w14:paraId="560278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340" w:type="dxa"/>
            <w:tcMar>
              <w:top w:w="96" w:type="dxa"/>
              <w:left w:w="57" w:type="dxa"/>
              <w:bottom w:w="96" w:type="dxa"/>
              <w:right w:w="71" w:type="dxa"/>
            </w:tcMar>
          </w:tcPr>
          <w:p w14:paraId="37E61D8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w:t>
            </w:r>
          </w:p>
        </w:tc>
        <w:tc>
          <w:tcPr>
            <w:tcW w:w="340" w:type="dxa"/>
            <w:tcMar>
              <w:top w:w="96" w:type="dxa"/>
              <w:left w:w="57" w:type="dxa"/>
              <w:bottom w:w="96" w:type="dxa"/>
              <w:right w:w="71" w:type="dxa"/>
            </w:tcMar>
          </w:tcPr>
          <w:p w14:paraId="1206859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w:t>
            </w:r>
          </w:p>
        </w:tc>
      </w:tr>
      <w:tr w:rsidR="00D6403A" w:rsidRPr="0004279D" w14:paraId="322ADCEA" w14:textId="77777777" w:rsidTr="001726E8">
        <w:trPr>
          <w:trHeight w:val="283"/>
        </w:trPr>
        <w:tc>
          <w:tcPr>
            <w:tcW w:w="1417" w:type="dxa"/>
            <w:tcMar>
              <w:top w:w="96" w:type="dxa"/>
              <w:left w:w="113" w:type="dxa"/>
              <w:bottom w:w="96" w:type="dxa"/>
              <w:right w:w="0" w:type="dxa"/>
            </w:tcMar>
          </w:tcPr>
          <w:p w14:paraId="5803F459"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Waverley Private Hospital</w:t>
            </w:r>
          </w:p>
        </w:tc>
        <w:tc>
          <w:tcPr>
            <w:tcW w:w="340" w:type="dxa"/>
            <w:tcMar>
              <w:top w:w="96" w:type="dxa"/>
              <w:left w:w="57" w:type="dxa"/>
              <w:bottom w:w="96" w:type="dxa"/>
              <w:right w:w="71" w:type="dxa"/>
            </w:tcMar>
          </w:tcPr>
          <w:p w14:paraId="2AC1DA7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69E6E2C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870</w:t>
            </w:r>
          </w:p>
        </w:tc>
        <w:tc>
          <w:tcPr>
            <w:tcW w:w="482" w:type="dxa"/>
            <w:tcMar>
              <w:top w:w="96" w:type="dxa"/>
              <w:left w:w="57" w:type="dxa"/>
              <w:bottom w:w="96" w:type="dxa"/>
              <w:right w:w="71" w:type="dxa"/>
            </w:tcMar>
          </w:tcPr>
          <w:p w14:paraId="59975E3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21.6%</w:t>
            </w:r>
          </w:p>
        </w:tc>
        <w:tc>
          <w:tcPr>
            <w:tcW w:w="482" w:type="dxa"/>
            <w:shd w:val="solid" w:color="FFD1D1" w:fill="auto"/>
            <w:tcMar>
              <w:top w:w="96" w:type="dxa"/>
              <w:left w:w="57" w:type="dxa"/>
              <w:bottom w:w="96" w:type="dxa"/>
              <w:right w:w="71" w:type="dxa"/>
            </w:tcMar>
          </w:tcPr>
          <w:p w14:paraId="1F0711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29.6%</w:t>
            </w:r>
          </w:p>
        </w:tc>
        <w:tc>
          <w:tcPr>
            <w:tcW w:w="482" w:type="dxa"/>
            <w:shd w:val="solid" w:color="CBFFC6" w:fill="auto"/>
            <w:tcMar>
              <w:top w:w="96" w:type="dxa"/>
              <w:left w:w="57" w:type="dxa"/>
              <w:bottom w:w="96" w:type="dxa"/>
              <w:right w:w="71" w:type="dxa"/>
            </w:tcMar>
          </w:tcPr>
          <w:p w14:paraId="6D36E59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25.7%</w:t>
            </w:r>
          </w:p>
        </w:tc>
        <w:tc>
          <w:tcPr>
            <w:tcW w:w="482" w:type="dxa"/>
            <w:shd w:val="solid" w:color="CBFFC6" w:fill="auto"/>
            <w:tcMar>
              <w:top w:w="96" w:type="dxa"/>
              <w:left w:w="57" w:type="dxa"/>
              <w:bottom w:w="96" w:type="dxa"/>
              <w:right w:w="71" w:type="dxa"/>
            </w:tcMar>
          </w:tcPr>
          <w:p w14:paraId="6E13A5E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02CF8DA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w:t>
            </w:r>
          </w:p>
        </w:tc>
        <w:tc>
          <w:tcPr>
            <w:tcW w:w="482" w:type="dxa"/>
            <w:tcMar>
              <w:top w:w="96" w:type="dxa"/>
              <w:left w:w="57" w:type="dxa"/>
              <w:bottom w:w="96" w:type="dxa"/>
              <w:right w:w="71" w:type="dxa"/>
            </w:tcMar>
          </w:tcPr>
          <w:p w14:paraId="6F7AA65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27.4%</w:t>
            </w:r>
          </w:p>
        </w:tc>
        <w:tc>
          <w:tcPr>
            <w:tcW w:w="482" w:type="dxa"/>
            <w:tcMar>
              <w:top w:w="96" w:type="dxa"/>
              <w:left w:w="57" w:type="dxa"/>
              <w:bottom w:w="96" w:type="dxa"/>
              <w:right w:w="71" w:type="dxa"/>
            </w:tcMar>
          </w:tcPr>
          <w:p w14:paraId="4F4D6E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86.7%</w:t>
            </w:r>
          </w:p>
        </w:tc>
        <w:tc>
          <w:tcPr>
            <w:tcW w:w="482" w:type="dxa"/>
            <w:tcMar>
              <w:top w:w="96" w:type="dxa"/>
              <w:left w:w="57" w:type="dxa"/>
              <w:bottom w:w="96" w:type="dxa"/>
              <w:right w:w="71" w:type="dxa"/>
            </w:tcMar>
          </w:tcPr>
          <w:p w14:paraId="689F477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4185A08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13.6%</w:t>
            </w:r>
          </w:p>
        </w:tc>
        <w:tc>
          <w:tcPr>
            <w:tcW w:w="482" w:type="dxa"/>
            <w:tcMar>
              <w:top w:w="96" w:type="dxa"/>
              <w:left w:w="57" w:type="dxa"/>
              <w:bottom w:w="96" w:type="dxa"/>
              <w:right w:w="71" w:type="dxa"/>
            </w:tcMar>
          </w:tcPr>
          <w:p w14:paraId="3E6B73D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21.7%</w:t>
            </w:r>
          </w:p>
        </w:tc>
        <w:tc>
          <w:tcPr>
            <w:tcW w:w="482" w:type="dxa"/>
            <w:shd w:val="solid" w:color="FFD1D1" w:fill="auto"/>
            <w:tcMar>
              <w:top w:w="96" w:type="dxa"/>
              <w:left w:w="57" w:type="dxa"/>
              <w:bottom w:w="96" w:type="dxa"/>
              <w:right w:w="71" w:type="dxa"/>
            </w:tcMar>
          </w:tcPr>
          <w:p w14:paraId="3B48E0E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11.9%</w:t>
            </w:r>
          </w:p>
        </w:tc>
        <w:tc>
          <w:tcPr>
            <w:tcW w:w="482" w:type="dxa"/>
            <w:shd w:val="solid" w:color="FFD1D1" w:fill="auto"/>
            <w:tcMar>
              <w:top w:w="96" w:type="dxa"/>
              <w:left w:w="57" w:type="dxa"/>
              <w:bottom w:w="96" w:type="dxa"/>
              <w:right w:w="71" w:type="dxa"/>
            </w:tcMar>
          </w:tcPr>
          <w:p w14:paraId="75E965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27.8%</w:t>
            </w:r>
          </w:p>
        </w:tc>
        <w:tc>
          <w:tcPr>
            <w:tcW w:w="482" w:type="dxa"/>
            <w:tcMar>
              <w:top w:w="96" w:type="dxa"/>
              <w:left w:w="57" w:type="dxa"/>
              <w:bottom w:w="96" w:type="dxa"/>
              <w:right w:w="71" w:type="dxa"/>
            </w:tcMar>
          </w:tcPr>
          <w:p w14:paraId="15F9C9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w:t>
            </w:r>
          </w:p>
        </w:tc>
        <w:tc>
          <w:tcPr>
            <w:tcW w:w="482" w:type="dxa"/>
            <w:shd w:val="solid" w:color="CBFFC6" w:fill="auto"/>
            <w:tcMar>
              <w:top w:w="96" w:type="dxa"/>
              <w:left w:w="57" w:type="dxa"/>
              <w:bottom w:w="96" w:type="dxa"/>
              <w:right w:w="71" w:type="dxa"/>
            </w:tcMar>
          </w:tcPr>
          <w:p w14:paraId="2ABB42A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6CF9A33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FF8446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266381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95.6%</w:t>
            </w:r>
          </w:p>
        </w:tc>
        <w:tc>
          <w:tcPr>
            <w:tcW w:w="482" w:type="dxa"/>
            <w:shd w:val="solid" w:color="FFD1D1" w:fill="auto"/>
            <w:tcMar>
              <w:top w:w="96" w:type="dxa"/>
              <w:left w:w="57" w:type="dxa"/>
              <w:bottom w:w="96" w:type="dxa"/>
              <w:right w:w="71" w:type="dxa"/>
            </w:tcMar>
          </w:tcPr>
          <w:p w14:paraId="16833F3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63.5%</w:t>
            </w:r>
          </w:p>
        </w:tc>
        <w:tc>
          <w:tcPr>
            <w:tcW w:w="482" w:type="dxa"/>
            <w:shd w:val="solid" w:color="FFD1D1" w:fill="auto"/>
            <w:tcMar>
              <w:top w:w="96" w:type="dxa"/>
              <w:left w:w="57" w:type="dxa"/>
              <w:bottom w:w="96" w:type="dxa"/>
              <w:right w:w="71" w:type="dxa"/>
            </w:tcMar>
          </w:tcPr>
          <w:p w14:paraId="441D384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47.8%</w:t>
            </w:r>
          </w:p>
        </w:tc>
        <w:tc>
          <w:tcPr>
            <w:tcW w:w="482" w:type="dxa"/>
            <w:tcMar>
              <w:top w:w="96" w:type="dxa"/>
              <w:left w:w="57" w:type="dxa"/>
              <w:bottom w:w="96" w:type="dxa"/>
              <w:right w:w="71" w:type="dxa"/>
            </w:tcMar>
          </w:tcPr>
          <w:p w14:paraId="300431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81.8%</w:t>
            </w:r>
          </w:p>
        </w:tc>
        <w:tc>
          <w:tcPr>
            <w:tcW w:w="482" w:type="dxa"/>
            <w:tcMar>
              <w:top w:w="96" w:type="dxa"/>
              <w:left w:w="57" w:type="dxa"/>
              <w:bottom w:w="96" w:type="dxa"/>
              <w:right w:w="71" w:type="dxa"/>
            </w:tcMar>
          </w:tcPr>
          <w:p w14:paraId="2BFBB4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723917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3596CB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68ACB0C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11.6%</w:t>
            </w:r>
          </w:p>
        </w:tc>
        <w:tc>
          <w:tcPr>
            <w:tcW w:w="482" w:type="dxa"/>
            <w:shd w:val="solid" w:color="FFD1D1" w:fill="auto"/>
            <w:tcMar>
              <w:top w:w="96" w:type="dxa"/>
              <w:left w:w="57" w:type="dxa"/>
              <w:bottom w:w="96" w:type="dxa"/>
              <w:right w:w="71" w:type="dxa"/>
            </w:tcMar>
          </w:tcPr>
          <w:p w14:paraId="4406854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64.0%</w:t>
            </w:r>
          </w:p>
        </w:tc>
        <w:tc>
          <w:tcPr>
            <w:tcW w:w="482" w:type="dxa"/>
            <w:shd w:val="solid" w:color="CBFFC6" w:fill="auto"/>
            <w:tcMar>
              <w:top w:w="96" w:type="dxa"/>
              <w:left w:w="57" w:type="dxa"/>
              <w:bottom w:w="96" w:type="dxa"/>
              <w:right w:w="71" w:type="dxa"/>
            </w:tcMar>
          </w:tcPr>
          <w:p w14:paraId="4933DD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0.7%</w:t>
            </w:r>
          </w:p>
        </w:tc>
        <w:tc>
          <w:tcPr>
            <w:tcW w:w="340" w:type="dxa"/>
            <w:tcMar>
              <w:top w:w="96" w:type="dxa"/>
              <w:left w:w="57" w:type="dxa"/>
              <w:bottom w:w="96" w:type="dxa"/>
              <w:right w:w="71" w:type="dxa"/>
            </w:tcMar>
          </w:tcPr>
          <w:p w14:paraId="65C414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c>
          <w:tcPr>
            <w:tcW w:w="340" w:type="dxa"/>
            <w:tcMar>
              <w:top w:w="96" w:type="dxa"/>
              <w:left w:w="57" w:type="dxa"/>
              <w:bottom w:w="96" w:type="dxa"/>
              <w:right w:w="71" w:type="dxa"/>
            </w:tcMar>
          </w:tcPr>
          <w:p w14:paraId="2E634A6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40E338ED" w14:textId="77777777" w:rsidTr="001726E8">
        <w:trPr>
          <w:trHeight w:val="283"/>
        </w:trPr>
        <w:tc>
          <w:tcPr>
            <w:tcW w:w="1417" w:type="dxa"/>
            <w:tcMar>
              <w:top w:w="96" w:type="dxa"/>
              <w:left w:w="113" w:type="dxa"/>
              <w:bottom w:w="96" w:type="dxa"/>
              <w:right w:w="0" w:type="dxa"/>
            </w:tcMar>
          </w:tcPr>
          <w:p w14:paraId="3169C205"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St John of God Geelong Hospital</w:t>
            </w:r>
          </w:p>
        </w:tc>
        <w:tc>
          <w:tcPr>
            <w:tcW w:w="340" w:type="dxa"/>
            <w:tcMar>
              <w:top w:w="96" w:type="dxa"/>
              <w:left w:w="57" w:type="dxa"/>
              <w:bottom w:w="96" w:type="dxa"/>
              <w:right w:w="71" w:type="dxa"/>
            </w:tcMar>
          </w:tcPr>
          <w:p w14:paraId="4144F8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0DFC74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662</w:t>
            </w:r>
          </w:p>
        </w:tc>
        <w:tc>
          <w:tcPr>
            <w:tcW w:w="482" w:type="dxa"/>
            <w:tcMar>
              <w:top w:w="96" w:type="dxa"/>
              <w:left w:w="57" w:type="dxa"/>
              <w:bottom w:w="96" w:type="dxa"/>
              <w:right w:w="71" w:type="dxa"/>
            </w:tcMar>
          </w:tcPr>
          <w:p w14:paraId="2913DD7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20.0%</w:t>
            </w:r>
          </w:p>
        </w:tc>
        <w:tc>
          <w:tcPr>
            <w:tcW w:w="482" w:type="dxa"/>
            <w:shd w:val="solid" w:color="FFD1D1" w:fill="auto"/>
            <w:tcMar>
              <w:top w:w="96" w:type="dxa"/>
              <w:left w:w="57" w:type="dxa"/>
              <w:bottom w:w="96" w:type="dxa"/>
              <w:right w:w="71" w:type="dxa"/>
            </w:tcMar>
          </w:tcPr>
          <w:p w14:paraId="7A24244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30.0%</w:t>
            </w:r>
          </w:p>
        </w:tc>
        <w:tc>
          <w:tcPr>
            <w:tcW w:w="482" w:type="dxa"/>
            <w:shd w:val="solid" w:color="FFD1D1" w:fill="auto"/>
            <w:tcMar>
              <w:top w:w="96" w:type="dxa"/>
              <w:left w:w="57" w:type="dxa"/>
              <w:bottom w:w="96" w:type="dxa"/>
              <w:right w:w="71" w:type="dxa"/>
            </w:tcMar>
          </w:tcPr>
          <w:p w14:paraId="57908FE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47.9%</w:t>
            </w:r>
          </w:p>
        </w:tc>
        <w:tc>
          <w:tcPr>
            <w:tcW w:w="482" w:type="dxa"/>
            <w:shd w:val="solid" w:color="FFD1D1" w:fill="auto"/>
            <w:tcMar>
              <w:top w:w="96" w:type="dxa"/>
              <w:left w:w="57" w:type="dxa"/>
              <w:bottom w:w="96" w:type="dxa"/>
              <w:right w:w="71" w:type="dxa"/>
            </w:tcMar>
          </w:tcPr>
          <w:p w14:paraId="5FEDA87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6.9%</w:t>
            </w:r>
          </w:p>
        </w:tc>
        <w:tc>
          <w:tcPr>
            <w:tcW w:w="482" w:type="dxa"/>
            <w:shd w:val="solid" w:color="CBFFC6" w:fill="auto"/>
            <w:tcMar>
              <w:top w:w="96" w:type="dxa"/>
              <w:left w:w="57" w:type="dxa"/>
              <w:bottom w:w="96" w:type="dxa"/>
              <w:right w:w="71" w:type="dxa"/>
            </w:tcMar>
          </w:tcPr>
          <w:p w14:paraId="3B65FB9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FFD1D1" w:fill="auto"/>
            <w:tcMar>
              <w:top w:w="96" w:type="dxa"/>
              <w:left w:w="57" w:type="dxa"/>
              <w:bottom w:w="96" w:type="dxa"/>
              <w:right w:w="71" w:type="dxa"/>
            </w:tcMar>
          </w:tcPr>
          <w:p w14:paraId="52716F1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44.8%</w:t>
            </w:r>
          </w:p>
        </w:tc>
        <w:tc>
          <w:tcPr>
            <w:tcW w:w="482" w:type="dxa"/>
            <w:tcMar>
              <w:top w:w="96" w:type="dxa"/>
              <w:left w:w="57" w:type="dxa"/>
              <w:bottom w:w="96" w:type="dxa"/>
              <w:right w:w="71" w:type="dxa"/>
            </w:tcMar>
          </w:tcPr>
          <w:p w14:paraId="64C008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78.9%</w:t>
            </w:r>
          </w:p>
        </w:tc>
        <w:tc>
          <w:tcPr>
            <w:tcW w:w="482" w:type="dxa"/>
            <w:tcMar>
              <w:top w:w="96" w:type="dxa"/>
              <w:left w:w="57" w:type="dxa"/>
              <w:bottom w:w="96" w:type="dxa"/>
              <w:right w:w="71" w:type="dxa"/>
            </w:tcMar>
          </w:tcPr>
          <w:p w14:paraId="3611BD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1919D8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2A54947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33.3%</w:t>
            </w:r>
          </w:p>
        </w:tc>
        <w:tc>
          <w:tcPr>
            <w:tcW w:w="482" w:type="dxa"/>
            <w:shd w:val="solid" w:color="FFD1D1" w:fill="auto"/>
            <w:tcMar>
              <w:top w:w="96" w:type="dxa"/>
              <w:left w:w="57" w:type="dxa"/>
              <w:bottom w:w="96" w:type="dxa"/>
              <w:right w:w="71" w:type="dxa"/>
            </w:tcMar>
          </w:tcPr>
          <w:p w14:paraId="09D065F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11.3%</w:t>
            </w:r>
          </w:p>
        </w:tc>
        <w:tc>
          <w:tcPr>
            <w:tcW w:w="482" w:type="dxa"/>
            <w:tcMar>
              <w:top w:w="96" w:type="dxa"/>
              <w:left w:w="57" w:type="dxa"/>
              <w:bottom w:w="96" w:type="dxa"/>
              <w:right w:w="71" w:type="dxa"/>
            </w:tcMar>
          </w:tcPr>
          <w:p w14:paraId="1AE441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53.8%</w:t>
            </w:r>
          </w:p>
        </w:tc>
        <w:tc>
          <w:tcPr>
            <w:tcW w:w="482" w:type="dxa"/>
            <w:tcMar>
              <w:top w:w="96" w:type="dxa"/>
              <w:left w:w="57" w:type="dxa"/>
              <w:bottom w:w="96" w:type="dxa"/>
              <w:right w:w="71" w:type="dxa"/>
            </w:tcMar>
          </w:tcPr>
          <w:p w14:paraId="41BECD2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FD0B77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482" w:type="dxa"/>
            <w:tcMar>
              <w:top w:w="96" w:type="dxa"/>
              <w:left w:w="57" w:type="dxa"/>
              <w:bottom w:w="96" w:type="dxa"/>
              <w:right w:w="71" w:type="dxa"/>
            </w:tcMar>
          </w:tcPr>
          <w:p w14:paraId="151B44D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22BF80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7BD789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97.1%</w:t>
            </w:r>
          </w:p>
        </w:tc>
        <w:tc>
          <w:tcPr>
            <w:tcW w:w="482" w:type="dxa"/>
            <w:shd w:val="solid" w:color="FFD1D1" w:fill="auto"/>
            <w:tcMar>
              <w:top w:w="96" w:type="dxa"/>
              <w:left w:w="57" w:type="dxa"/>
              <w:bottom w:w="96" w:type="dxa"/>
              <w:right w:w="71" w:type="dxa"/>
            </w:tcMar>
          </w:tcPr>
          <w:p w14:paraId="16D4F65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50.1%</w:t>
            </w:r>
          </w:p>
        </w:tc>
        <w:tc>
          <w:tcPr>
            <w:tcW w:w="482" w:type="dxa"/>
            <w:tcMar>
              <w:top w:w="96" w:type="dxa"/>
              <w:left w:w="57" w:type="dxa"/>
              <w:bottom w:w="96" w:type="dxa"/>
              <w:right w:w="71" w:type="dxa"/>
            </w:tcMar>
          </w:tcPr>
          <w:p w14:paraId="02FB3C3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73.2%</w:t>
            </w:r>
          </w:p>
        </w:tc>
        <w:tc>
          <w:tcPr>
            <w:tcW w:w="482" w:type="dxa"/>
            <w:tcMar>
              <w:top w:w="96" w:type="dxa"/>
              <w:left w:w="57" w:type="dxa"/>
              <w:bottom w:w="96" w:type="dxa"/>
              <w:right w:w="71" w:type="dxa"/>
            </w:tcMar>
          </w:tcPr>
          <w:p w14:paraId="7B414D2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81.3%</w:t>
            </w:r>
          </w:p>
        </w:tc>
        <w:tc>
          <w:tcPr>
            <w:tcW w:w="482" w:type="dxa"/>
            <w:tcMar>
              <w:top w:w="96" w:type="dxa"/>
              <w:left w:w="57" w:type="dxa"/>
              <w:bottom w:w="96" w:type="dxa"/>
              <w:right w:w="71" w:type="dxa"/>
            </w:tcMar>
          </w:tcPr>
          <w:p w14:paraId="1339250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124EBBA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1812F3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03FDF48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95.9%</w:t>
            </w:r>
          </w:p>
        </w:tc>
        <w:tc>
          <w:tcPr>
            <w:tcW w:w="482" w:type="dxa"/>
            <w:tcMar>
              <w:top w:w="96" w:type="dxa"/>
              <w:left w:w="57" w:type="dxa"/>
              <w:bottom w:w="96" w:type="dxa"/>
              <w:right w:w="71" w:type="dxa"/>
            </w:tcMar>
          </w:tcPr>
          <w:p w14:paraId="409AAFE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81.5%</w:t>
            </w:r>
          </w:p>
        </w:tc>
        <w:tc>
          <w:tcPr>
            <w:tcW w:w="482" w:type="dxa"/>
            <w:tcMar>
              <w:top w:w="96" w:type="dxa"/>
              <w:left w:w="57" w:type="dxa"/>
              <w:bottom w:w="96" w:type="dxa"/>
              <w:right w:w="71" w:type="dxa"/>
            </w:tcMar>
          </w:tcPr>
          <w:p w14:paraId="095A974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w:t>
            </w:r>
          </w:p>
        </w:tc>
        <w:tc>
          <w:tcPr>
            <w:tcW w:w="340" w:type="dxa"/>
            <w:tcMar>
              <w:top w:w="96" w:type="dxa"/>
              <w:left w:w="57" w:type="dxa"/>
              <w:bottom w:w="96" w:type="dxa"/>
              <w:right w:w="71" w:type="dxa"/>
            </w:tcMar>
          </w:tcPr>
          <w:p w14:paraId="736AED7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c>
          <w:tcPr>
            <w:tcW w:w="340" w:type="dxa"/>
            <w:tcMar>
              <w:top w:w="96" w:type="dxa"/>
              <w:left w:w="57" w:type="dxa"/>
              <w:bottom w:w="96" w:type="dxa"/>
              <w:right w:w="71" w:type="dxa"/>
            </w:tcMar>
          </w:tcPr>
          <w:p w14:paraId="6823CFA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49F7E042" w14:textId="77777777" w:rsidTr="001726E8">
        <w:trPr>
          <w:trHeight w:val="283"/>
        </w:trPr>
        <w:tc>
          <w:tcPr>
            <w:tcW w:w="1417" w:type="dxa"/>
            <w:tcMar>
              <w:top w:w="96" w:type="dxa"/>
              <w:left w:w="113" w:type="dxa"/>
              <w:bottom w:w="96" w:type="dxa"/>
              <w:right w:w="0" w:type="dxa"/>
            </w:tcMar>
          </w:tcPr>
          <w:p w14:paraId="680BB975"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The Bays Hospital [Mornington]</w:t>
            </w:r>
          </w:p>
        </w:tc>
        <w:tc>
          <w:tcPr>
            <w:tcW w:w="340" w:type="dxa"/>
            <w:tcMar>
              <w:top w:w="96" w:type="dxa"/>
              <w:left w:w="57" w:type="dxa"/>
              <w:bottom w:w="96" w:type="dxa"/>
              <w:right w:w="71" w:type="dxa"/>
            </w:tcMar>
          </w:tcPr>
          <w:p w14:paraId="24D6A3C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5956072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579</w:t>
            </w:r>
          </w:p>
        </w:tc>
        <w:tc>
          <w:tcPr>
            <w:tcW w:w="482" w:type="dxa"/>
            <w:shd w:val="solid" w:color="FFD1D1" w:fill="auto"/>
            <w:tcMar>
              <w:top w:w="96" w:type="dxa"/>
              <w:left w:w="57" w:type="dxa"/>
              <w:bottom w:w="96" w:type="dxa"/>
              <w:right w:w="71" w:type="dxa"/>
            </w:tcMar>
          </w:tcPr>
          <w:p w14:paraId="545E02D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31.4%</w:t>
            </w:r>
          </w:p>
        </w:tc>
        <w:tc>
          <w:tcPr>
            <w:tcW w:w="482" w:type="dxa"/>
            <w:shd w:val="solid" w:color="CBFFC6" w:fill="auto"/>
            <w:tcMar>
              <w:top w:w="96" w:type="dxa"/>
              <w:left w:w="57" w:type="dxa"/>
              <w:bottom w:w="96" w:type="dxa"/>
              <w:right w:w="71" w:type="dxa"/>
            </w:tcMar>
          </w:tcPr>
          <w:p w14:paraId="359EF1F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11.4%</w:t>
            </w:r>
          </w:p>
        </w:tc>
        <w:tc>
          <w:tcPr>
            <w:tcW w:w="482" w:type="dxa"/>
            <w:tcMar>
              <w:top w:w="96" w:type="dxa"/>
              <w:left w:w="57" w:type="dxa"/>
              <w:bottom w:w="96" w:type="dxa"/>
              <w:right w:w="71" w:type="dxa"/>
            </w:tcMar>
          </w:tcPr>
          <w:p w14:paraId="2DB5EC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30.5%</w:t>
            </w:r>
          </w:p>
        </w:tc>
        <w:tc>
          <w:tcPr>
            <w:tcW w:w="482" w:type="dxa"/>
            <w:shd w:val="solid" w:color="CBFFC6" w:fill="auto"/>
            <w:tcMar>
              <w:top w:w="96" w:type="dxa"/>
              <w:left w:w="57" w:type="dxa"/>
              <w:bottom w:w="96" w:type="dxa"/>
              <w:right w:w="71" w:type="dxa"/>
            </w:tcMar>
          </w:tcPr>
          <w:p w14:paraId="374A13F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shd w:val="solid" w:color="CBFFC6" w:fill="auto"/>
            <w:tcMar>
              <w:top w:w="96" w:type="dxa"/>
              <w:left w:w="57" w:type="dxa"/>
              <w:bottom w:w="96" w:type="dxa"/>
              <w:right w:w="71" w:type="dxa"/>
            </w:tcMar>
          </w:tcPr>
          <w:p w14:paraId="2FEBE97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w:t>
            </w:r>
          </w:p>
        </w:tc>
        <w:tc>
          <w:tcPr>
            <w:tcW w:w="482" w:type="dxa"/>
            <w:shd w:val="solid" w:color="CBFFC6" w:fill="auto"/>
            <w:tcMar>
              <w:top w:w="96" w:type="dxa"/>
              <w:left w:w="57" w:type="dxa"/>
              <w:bottom w:w="96" w:type="dxa"/>
              <w:right w:w="71" w:type="dxa"/>
            </w:tcMar>
          </w:tcPr>
          <w:p w14:paraId="0868E0D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18.3%</w:t>
            </w:r>
          </w:p>
        </w:tc>
        <w:tc>
          <w:tcPr>
            <w:tcW w:w="482" w:type="dxa"/>
            <w:shd w:val="solid" w:color="FFD1D1" w:fill="auto"/>
            <w:tcMar>
              <w:top w:w="96" w:type="dxa"/>
              <w:left w:w="57" w:type="dxa"/>
              <w:bottom w:w="96" w:type="dxa"/>
              <w:right w:w="71" w:type="dxa"/>
            </w:tcMar>
          </w:tcPr>
          <w:p w14:paraId="3A87353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60.8%</w:t>
            </w:r>
          </w:p>
        </w:tc>
        <w:tc>
          <w:tcPr>
            <w:tcW w:w="482" w:type="dxa"/>
            <w:tcMar>
              <w:top w:w="96" w:type="dxa"/>
              <w:left w:w="57" w:type="dxa"/>
              <w:bottom w:w="96" w:type="dxa"/>
              <w:right w:w="71" w:type="dxa"/>
            </w:tcMar>
          </w:tcPr>
          <w:p w14:paraId="7011118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59DB9CF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16.7%</w:t>
            </w:r>
          </w:p>
        </w:tc>
        <w:tc>
          <w:tcPr>
            <w:tcW w:w="482" w:type="dxa"/>
            <w:tcMar>
              <w:top w:w="96" w:type="dxa"/>
              <w:left w:w="57" w:type="dxa"/>
              <w:bottom w:w="96" w:type="dxa"/>
              <w:right w:w="71" w:type="dxa"/>
            </w:tcMar>
          </w:tcPr>
          <w:p w14:paraId="5920F5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21.4%</w:t>
            </w:r>
          </w:p>
        </w:tc>
        <w:tc>
          <w:tcPr>
            <w:tcW w:w="482" w:type="dxa"/>
            <w:tcMar>
              <w:top w:w="96" w:type="dxa"/>
              <w:left w:w="57" w:type="dxa"/>
              <w:bottom w:w="96" w:type="dxa"/>
              <w:right w:w="71" w:type="dxa"/>
            </w:tcMar>
          </w:tcPr>
          <w:p w14:paraId="6082F6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22.6%</w:t>
            </w:r>
          </w:p>
        </w:tc>
        <w:tc>
          <w:tcPr>
            <w:tcW w:w="482" w:type="dxa"/>
            <w:tcMar>
              <w:top w:w="96" w:type="dxa"/>
              <w:left w:w="57" w:type="dxa"/>
              <w:bottom w:w="96" w:type="dxa"/>
              <w:right w:w="71" w:type="dxa"/>
            </w:tcMar>
          </w:tcPr>
          <w:p w14:paraId="1B40AA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52.6%</w:t>
            </w:r>
          </w:p>
        </w:tc>
        <w:tc>
          <w:tcPr>
            <w:tcW w:w="482" w:type="dxa"/>
            <w:tcMar>
              <w:top w:w="96" w:type="dxa"/>
              <w:left w:w="57" w:type="dxa"/>
              <w:bottom w:w="96" w:type="dxa"/>
              <w:right w:w="71" w:type="dxa"/>
            </w:tcMar>
          </w:tcPr>
          <w:p w14:paraId="1ACB2B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7F54593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w:t>
            </w:r>
          </w:p>
        </w:tc>
        <w:tc>
          <w:tcPr>
            <w:tcW w:w="482" w:type="dxa"/>
            <w:tcMar>
              <w:top w:w="96" w:type="dxa"/>
              <w:left w:w="57" w:type="dxa"/>
              <w:bottom w:w="96" w:type="dxa"/>
              <w:right w:w="71" w:type="dxa"/>
            </w:tcMar>
          </w:tcPr>
          <w:p w14:paraId="61F025A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54E1E7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84.6%</w:t>
            </w:r>
          </w:p>
        </w:tc>
        <w:tc>
          <w:tcPr>
            <w:tcW w:w="482" w:type="dxa"/>
            <w:shd w:val="solid" w:color="CBFFC6" w:fill="auto"/>
            <w:tcMar>
              <w:top w:w="96" w:type="dxa"/>
              <w:left w:w="57" w:type="dxa"/>
              <w:bottom w:w="96" w:type="dxa"/>
              <w:right w:w="71" w:type="dxa"/>
            </w:tcMar>
          </w:tcPr>
          <w:p w14:paraId="796A37C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96.6%</w:t>
            </w:r>
          </w:p>
        </w:tc>
        <w:tc>
          <w:tcPr>
            <w:tcW w:w="482" w:type="dxa"/>
            <w:tcMar>
              <w:top w:w="96" w:type="dxa"/>
              <w:left w:w="57" w:type="dxa"/>
              <w:bottom w:w="96" w:type="dxa"/>
              <w:right w:w="71" w:type="dxa"/>
            </w:tcMar>
          </w:tcPr>
          <w:p w14:paraId="7AEA23B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34.0%</w:t>
            </w:r>
          </w:p>
        </w:tc>
        <w:tc>
          <w:tcPr>
            <w:tcW w:w="482" w:type="dxa"/>
            <w:tcMar>
              <w:top w:w="96" w:type="dxa"/>
              <w:left w:w="57" w:type="dxa"/>
              <w:bottom w:w="96" w:type="dxa"/>
              <w:right w:w="71" w:type="dxa"/>
            </w:tcMar>
          </w:tcPr>
          <w:p w14:paraId="0368B7F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76.0%</w:t>
            </w:r>
          </w:p>
        </w:tc>
        <w:tc>
          <w:tcPr>
            <w:tcW w:w="482" w:type="dxa"/>
            <w:shd w:val="solid" w:color="CBFFC6" w:fill="auto"/>
            <w:tcMar>
              <w:top w:w="96" w:type="dxa"/>
              <w:left w:w="57" w:type="dxa"/>
              <w:bottom w:w="96" w:type="dxa"/>
              <w:right w:w="71" w:type="dxa"/>
            </w:tcMar>
          </w:tcPr>
          <w:p w14:paraId="63653C4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90.5%</w:t>
            </w:r>
          </w:p>
        </w:tc>
        <w:tc>
          <w:tcPr>
            <w:tcW w:w="482" w:type="dxa"/>
            <w:tcMar>
              <w:top w:w="96" w:type="dxa"/>
              <w:left w:w="57" w:type="dxa"/>
              <w:bottom w:w="96" w:type="dxa"/>
              <w:right w:w="71" w:type="dxa"/>
            </w:tcMar>
          </w:tcPr>
          <w:p w14:paraId="3DC6D56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0.9%</w:t>
            </w:r>
          </w:p>
        </w:tc>
        <w:tc>
          <w:tcPr>
            <w:tcW w:w="482" w:type="dxa"/>
            <w:tcMar>
              <w:top w:w="96" w:type="dxa"/>
              <w:left w:w="57" w:type="dxa"/>
              <w:bottom w:w="96" w:type="dxa"/>
              <w:right w:w="71" w:type="dxa"/>
            </w:tcMar>
          </w:tcPr>
          <w:p w14:paraId="0FF48C5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3B8652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40D85E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91.8%</w:t>
            </w:r>
          </w:p>
        </w:tc>
        <w:tc>
          <w:tcPr>
            <w:tcW w:w="482" w:type="dxa"/>
            <w:tcMar>
              <w:top w:w="96" w:type="dxa"/>
              <w:left w:w="57" w:type="dxa"/>
              <w:bottom w:w="96" w:type="dxa"/>
              <w:right w:w="71" w:type="dxa"/>
            </w:tcMar>
          </w:tcPr>
          <w:p w14:paraId="55D799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80.9%</w:t>
            </w:r>
          </w:p>
        </w:tc>
        <w:tc>
          <w:tcPr>
            <w:tcW w:w="482" w:type="dxa"/>
            <w:tcMar>
              <w:top w:w="96" w:type="dxa"/>
              <w:left w:w="57" w:type="dxa"/>
              <w:bottom w:w="96" w:type="dxa"/>
              <w:right w:w="71" w:type="dxa"/>
            </w:tcMar>
          </w:tcPr>
          <w:p w14:paraId="4B1A84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1.9%</w:t>
            </w:r>
          </w:p>
        </w:tc>
        <w:tc>
          <w:tcPr>
            <w:tcW w:w="340" w:type="dxa"/>
            <w:tcMar>
              <w:top w:w="96" w:type="dxa"/>
              <w:left w:w="57" w:type="dxa"/>
              <w:bottom w:w="96" w:type="dxa"/>
              <w:right w:w="71" w:type="dxa"/>
            </w:tcMar>
          </w:tcPr>
          <w:p w14:paraId="5359B92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341FFB4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r w:rsidR="00D6403A" w:rsidRPr="0004279D" w14:paraId="35DADAEA" w14:textId="77777777" w:rsidTr="001726E8">
        <w:trPr>
          <w:trHeight w:val="283"/>
        </w:trPr>
        <w:tc>
          <w:tcPr>
            <w:tcW w:w="1417" w:type="dxa"/>
            <w:tcMar>
              <w:top w:w="96" w:type="dxa"/>
              <w:left w:w="113" w:type="dxa"/>
              <w:bottom w:w="96" w:type="dxa"/>
              <w:right w:w="0" w:type="dxa"/>
            </w:tcMar>
          </w:tcPr>
          <w:p w14:paraId="45631B6B"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St John of God Ballarat Hospital</w:t>
            </w:r>
          </w:p>
        </w:tc>
        <w:tc>
          <w:tcPr>
            <w:tcW w:w="340" w:type="dxa"/>
            <w:tcMar>
              <w:top w:w="96" w:type="dxa"/>
              <w:left w:w="57" w:type="dxa"/>
              <w:bottom w:w="96" w:type="dxa"/>
              <w:right w:w="71" w:type="dxa"/>
            </w:tcMar>
          </w:tcPr>
          <w:p w14:paraId="061FB0B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08CC067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518</w:t>
            </w:r>
          </w:p>
        </w:tc>
        <w:tc>
          <w:tcPr>
            <w:tcW w:w="482" w:type="dxa"/>
            <w:tcMar>
              <w:top w:w="96" w:type="dxa"/>
              <w:left w:w="57" w:type="dxa"/>
              <w:bottom w:w="96" w:type="dxa"/>
              <w:right w:w="71" w:type="dxa"/>
            </w:tcMar>
          </w:tcPr>
          <w:p w14:paraId="1621123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20.8%</w:t>
            </w:r>
          </w:p>
        </w:tc>
        <w:tc>
          <w:tcPr>
            <w:tcW w:w="482" w:type="dxa"/>
            <w:shd w:val="solid" w:color="FFD1D1" w:fill="auto"/>
            <w:tcMar>
              <w:top w:w="96" w:type="dxa"/>
              <w:left w:w="57" w:type="dxa"/>
              <w:bottom w:w="96" w:type="dxa"/>
              <w:right w:w="71" w:type="dxa"/>
            </w:tcMar>
          </w:tcPr>
          <w:p w14:paraId="0DC3D1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30.2%</w:t>
            </w:r>
          </w:p>
        </w:tc>
        <w:tc>
          <w:tcPr>
            <w:tcW w:w="482" w:type="dxa"/>
            <w:tcMar>
              <w:top w:w="96" w:type="dxa"/>
              <w:left w:w="57" w:type="dxa"/>
              <w:bottom w:w="96" w:type="dxa"/>
              <w:right w:w="71" w:type="dxa"/>
            </w:tcMar>
          </w:tcPr>
          <w:p w14:paraId="2C49AE7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34.7%</w:t>
            </w:r>
          </w:p>
        </w:tc>
        <w:tc>
          <w:tcPr>
            <w:tcW w:w="482" w:type="dxa"/>
            <w:tcMar>
              <w:top w:w="96" w:type="dxa"/>
              <w:left w:w="57" w:type="dxa"/>
              <w:bottom w:w="96" w:type="dxa"/>
              <w:right w:w="71" w:type="dxa"/>
            </w:tcMar>
          </w:tcPr>
          <w:p w14:paraId="21B7BCB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4.3%</w:t>
            </w:r>
          </w:p>
        </w:tc>
        <w:tc>
          <w:tcPr>
            <w:tcW w:w="482" w:type="dxa"/>
            <w:shd w:val="solid" w:color="CBFFC6" w:fill="auto"/>
            <w:tcMar>
              <w:top w:w="96" w:type="dxa"/>
              <w:left w:w="57" w:type="dxa"/>
              <w:bottom w:w="96" w:type="dxa"/>
              <w:right w:w="71" w:type="dxa"/>
            </w:tcMar>
          </w:tcPr>
          <w:p w14:paraId="20CF810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2.0%</w:t>
            </w:r>
          </w:p>
        </w:tc>
        <w:tc>
          <w:tcPr>
            <w:tcW w:w="482" w:type="dxa"/>
            <w:shd w:val="solid" w:color="CBFFC6" w:fill="auto"/>
            <w:tcMar>
              <w:top w:w="96" w:type="dxa"/>
              <w:left w:w="57" w:type="dxa"/>
              <w:bottom w:w="96" w:type="dxa"/>
              <w:right w:w="71" w:type="dxa"/>
            </w:tcMar>
          </w:tcPr>
          <w:p w14:paraId="5395235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6.4%</w:t>
            </w:r>
          </w:p>
        </w:tc>
        <w:tc>
          <w:tcPr>
            <w:tcW w:w="482" w:type="dxa"/>
            <w:shd w:val="solid" w:color="FFD1D1" w:fill="auto"/>
            <w:tcMar>
              <w:top w:w="96" w:type="dxa"/>
              <w:left w:w="57" w:type="dxa"/>
              <w:bottom w:w="96" w:type="dxa"/>
              <w:right w:w="71" w:type="dxa"/>
            </w:tcMar>
          </w:tcPr>
          <w:p w14:paraId="1B796C8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76.0%</w:t>
            </w:r>
          </w:p>
        </w:tc>
        <w:tc>
          <w:tcPr>
            <w:tcW w:w="482" w:type="dxa"/>
            <w:tcMar>
              <w:top w:w="96" w:type="dxa"/>
              <w:left w:w="57" w:type="dxa"/>
              <w:bottom w:w="96" w:type="dxa"/>
              <w:right w:w="71" w:type="dxa"/>
            </w:tcMar>
          </w:tcPr>
          <w:p w14:paraId="1C44C85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5C76B6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1E7043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28.6%</w:t>
            </w:r>
          </w:p>
        </w:tc>
        <w:tc>
          <w:tcPr>
            <w:tcW w:w="482" w:type="dxa"/>
            <w:tcMar>
              <w:top w:w="96" w:type="dxa"/>
              <w:left w:w="57" w:type="dxa"/>
              <w:bottom w:w="96" w:type="dxa"/>
              <w:right w:w="71" w:type="dxa"/>
            </w:tcMar>
          </w:tcPr>
          <w:p w14:paraId="53DB8E9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15.5%</w:t>
            </w:r>
          </w:p>
        </w:tc>
        <w:tc>
          <w:tcPr>
            <w:tcW w:w="482" w:type="dxa"/>
            <w:tcMar>
              <w:top w:w="96" w:type="dxa"/>
              <w:left w:w="57" w:type="dxa"/>
              <w:bottom w:w="96" w:type="dxa"/>
              <w:right w:w="71" w:type="dxa"/>
            </w:tcMar>
          </w:tcPr>
          <w:p w14:paraId="28F972E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61.5%</w:t>
            </w:r>
          </w:p>
        </w:tc>
        <w:tc>
          <w:tcPr>
            <w:tcW w:w="482" w:type="dxa"/>
            <w:tcMar>
              <w:top w:w="96" w:type="dxa"/>
              <w:left w:w="57" w:type="dxa"/>
              <w:bottom w:w="96" w:type="dxa"/>
              <w:right w:w="71" w:type="dxa"/>
            </w:tcMar>
          </w:tcPr>
          <w:p w14:paraId="04B99EB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6009F4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2.9%</w:t>
            </w:r>
          </w:p>
        </w:tc>
        <w:tc>
          <w:tcPr>
            <w:tcW w:w="482" w:type="dxa"/>
            <w:tcMar>
              <w:top w:w="96" w:type="dxa"/>
              <w:left w:w="57" w:type="dxa"/>
              <w:bottom w:w="96" w:type="dxa"/>
              <w:right w:w="71" w:type="dxa"/>
            </w:tcMar>
          </w:tcPr>
          <w:p w14:paraId="7904D40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947CEE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2D9B8E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94.5%</w:t>
            </w:r>
          </w:p>
        </w:tc>
        <w:tc>
          <w:tcPr>
            <w:tcW w:w="482" w:type="dxa"/>
            <w:shd w:val="solid" w:color="FFD1D1" w:fill="auto"/>
            <w:tcMar>
              <w:top w:w="96" w:type="dxa"/>
              <w:left w:w="57" w:type="dxa"/>
              <w:bottom w:w="96" w:type="dxa"/>
              <w:right w:w="71" w:type="dxa"/>
            </w:tcMar>
          </w:tcPr>
          <w:p w14:paraId="5597643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35.6%</w:t>
            </w:r>
          </w:p>
        </w:tc>
        <w:tc>
          <w:tcPr>
            <w:tcW w:w="482" w:type="dxa"/>
            <w:tcMar>
              <w:top w:w="96" w:type="dxa"/>
              <w:left w:w="57" w:type="dxa"/>
              <w:bottom w:w="96" w:type="dxa"/>
              <w:right w:w="71" w:type="dxa"/>
            </w:tcMar>
          </w:tcPr>
          <w:p w14:paraId="2BEC53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73.2%</w:t>
            </w:r>
          </w:p>
        </w:tc>
        <w:tc>
          <w:tcPr>
            <w:tcW w:w="482" w:type="dxa"/>
            <w:tcMar>
              <w:top w:w="96" w:type="dxa"/>
              <w:left w:w="57" w:type="dxa"/>
              <w:bottom w:w="96" w:type="dxa"/>
              <w:right w:w="71" w:type="dxa"/>
            </w:tcMar>
          </w:tcPr>
          <w:p w14:paraId="2459525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85.5%</w:t>
            </w:r>
          </w:p>
        </w:tc>
        <w:tc>
          <w:tcPr>
            <w:tcW w:w="482" w:type="dxa"/>
            <w:shd w:val="solid" w:color="CBFFC6" w:fill="auto"/>
            <w:tcMar>
              <w:top w:w="96" w:type="dxa"/>
              <w:left w:w="57" w:type="dxa"/>
              <w:bottom w:w="96" w:type="dxa"/>
              <w:right w:w="71" w:type="dxa"/>
            </w:tcMar>
          </w:tcPr>
          <w:p w14:paraId="11B8E1B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0.7%</w:t>
            </w:r>
          </w:p>
        </w:tc>
        <w:tc>
          <w:tcPr>
            <w:tcW w:w="482" w:type="dxa"/>
            <w:tcMar>
              <w:top w:w="96" w:type="dxa"/>
              <w:left w:w="57" w:type="dxa"/>
              <w:bottom w:w="96" w:type="dxa"/>
              <w:right w:w="71" w:type="dxa"/>
            </w:tcMar>
          </w:tcPr>
          <w:p w14:paraId="7CB925D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5EC9D1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1525C6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92.6%</w:t>
            </w:r>
          </w:p>
        </w:tc>
        <w:tc>
          <w:tcPr>
            <w:tcW w:w="482" w:type="dxa"/>
            <w:tcMar>
              <w:top w:w="96" w:type="dxa"/>
              <w:left w:w="57" w:type="dxa"/>
              <w:bottom w:w="96" w:type="dxa"/>
              <w:right w:w="71" w:type="dxa"/>
            </w:tcMar>
          </w:tcPr>
          <w:p w14:paraId="0FB0DE3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77.1%</w:t>
            </w:r>
          </w:p>
        </w:tc>
        <w:tc>
          <w:tcPr>
            <w:tcW w:w="482" w:type="dxa"/>
            <w:shd w:val="solid" w:color="CBFFC6" w:fill="auto"/>
            <w:tcMar>
              <w:top w:w="96" w:type="dxa"/>
              <w:left w:w="57" w:type="dxa"/>
              <w:bottom w:w="96" w:type="dxa"/>
              <w:right w:w="71" w:type="dxa"/>
            </w:tcMar>
          </w:tcPr>
          <w:p w14:paraId="0F49162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340" w:type="dxa"/>
            <w:tcMar>
              <w:top w:w="96" w:type="dxa"/>
              <w:left w:w="57" w:type="dxa"/>
              <w:bottom w:w="96" w:type="dxa"/>
              <w:right w:w="71" w:type="dxa"/>
            </w:tcMar>
          </w:tcPr>
          <w:p w14:paraId="01E2D46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340" w:type="dxa"/>
            <w:tcMar>
              <w:top w:w="96" w:type="dxa"/>
              <w:left w:w="57" w:type="dxa"/>
              <w:bottom w:w="96" w:type="dxa"/>
              <w:right w:w="71" w:type="dxa"/>
            </w:tcMar>
          </w:tcPr>
          <w:p w14:paraId="75FAE97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5</w:t>
            </w:r>
          </w:p>
        </w:tc>
      </w:tr>
      <w:tr w:rsidR="00D6403A" w:rsidRPr="0004279D" w14:paraId="05AE75A9" w14:textId="77777777" w:rsidTr="001726E8">
        <w:trPr>
          <w:trHeight w:val="283"/>
        </w:trPr>
        <w:tc>
          <w:tcPr>
            <w:tcW w:w="1417" w:type="dxa"/>
            <w:tcMar>
              <w:top w:w="96" w:type="dxa"/>
              <w:left w:w="113" w:type="dxa"/>
              <w:bottom w:w="96" w:type="dxa"/>
              <w:right w:w="0" w:type="dxa"/>
            </w:tcMar>
          </w:tcPr>
          <w:p w14:paraId="280D1069"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Epworth Geelong</w:t>
            </w:r>
          </w:p>
        </w:tc>
        <w:tc>
          <w:tcPr>
            <w:tcW w:w="340" w:type="dxa"/>
            <w:tcMar>
              <w:top w:w="96" w:type="dxa"/>
              <w:left w:w="57" w:type="dxa"/>
              <w:bottom w:w="96" w:type="dxa"/>
              <w:right w:w="71" w:type="dxa"/>
            </w:tcMar>
          </w:tcPr>
          <w:p w14:paraId="183B57F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37AABE6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490</w:t>
            </w:r>
          </w:p>
        </w:tc>
        <w:tc>
          <w:tcPr>
            <w:tcW w:w="482" w:type="dxa"/>
            <w:tcMar>
              <w:top w:w="96" w:type="dxa"/>
              <w:left w:w="57" w:type="dxa"/>
              <w:bottom w:w="96" w:type="dxa"/>
              <w:right w:w="71" w:type="dxa"/>
            </w:tcMar>
          </w:tcPr>
          <w:p w14:paraId="2C57522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22.7%</w:t>
            </w:r>
          </w:p>
        </w:tc>
        <w:tc>
          <w:tcPr>
            <w:tcW w:w="482" w:type="dxa"/>
            <w:shd w:val="solid" w:color="FFD1D1" w:fill="auto"/>
            <w:tcMar>
              <w:top w:w="96" w:type="dxa"/>
              <w:left w:w="57" w:type="dxa"/>
              <w:bottom w:w="96" w:type="dxa"/>
              <w:right w:w="71" w:type="dxa"/>
            </w:tcMar>
          </w:tcPr>
          <w:p w14:paraId="2CF8839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28.3%</w:t>
            </w:r>
          </w:p>
        </w:tc>
        <w:tc>
          <w:tcPr>
            <w:tcW w:w="482" w:type="dxa"/>
            <w:shd w:val="solid" w:color="FFD1D1" w:fill="auto"/>
            <w:tcMar>
              <w:top w:w="96" w:type="dxa"/>
              <w:left w:w="57" w:type="dxa"/>
              <w:bottom w:w="96" w:type="dxa"/>
              <w:right w:w="71" w:type="dxa"/>
            </w:tcMar>
          </w:tcPr>
          <w:p w14:paraId="54DDA36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42.0%</w:t>
            </w:r>
          </w:p>
        </w:tc>
        <w:tc>
          <w:tcPr>
            <w:tcW w:w="482" w:type="dxa"/>
            <w:shd w:val="solid" w:color="CBFFC6" w:fill="auto"/>
            <w:tcMar>
              <w:top w:w="96" w:type="dxa"/>
              <w:left w:w="57" w:type="dxa"/>
              <w:bottom w:w="96" w:type="dxa"/>
              <w:right w:w="71" w:type="dxa"/>
            </w:tcMar>
          </w:tcPr>
          <w:p w14:paraId="55D38F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304060F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w:t>
            </w:r>
          </w:p>
        </w:tc>
        <w:tc>
          <w:tcPr>
            <w:tcW w:w="482" w:type="dxa"/>
            <w:shd w:val="solid" w:color="CBFFC6" w:fill="auto"/>
            <w:tcMar>
              <w:top w:w="96" w:type="dxa"/>
              <w:left w:w="57" w:type="dxa"/>
              <w:bottom w:w="96" w:type="dxa"/>
              <w:right w:w="71" w:type="dxa"/>
            </w:tcMar>
          </w:tcPr>
          <w:p w14:paraId="30D4FE7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13.3%</w:t>
            </w:r>
          </w:p>
        </w:tc>
        <w:tc>
          <w:tcPr>
            <w:tcW w:w="482" w:type="dxa"/>
            <w:shd w:val="solid" w:color="FFD1D1" w:fill="auto"/>
            <w:tcMar>
              <w:top w:w="96" w:type="dxa"/>
              <w:left w:w="57" w:type="dxa"/>
              <w:bottom w:w="96" w:type="dxa"/>
              <w:right w:w="71" w:type="dxa"/>
            </w:tcMar>
          </w:tcPr>
          <w:p w14:paraId="7632ABB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61.8%</w:t>
            </w:r>
          </w:p>
        </w:tc>
        <w:tc>
          <w:tcPr>
            <w:tcW w:w="482" w:type="dxa"/>
            <w:tcMar>
              <w:top w:w="96" w:type="dxa"/>
              <w:left w:w="57" w:type="dxa"/>
              <w:bottom w:w="96" w:type="dxa"/>
              <w:right w:w="71" w:type="dxa"/>
            </w:tcMar>
          </w:tcPr>
          <w:p w14:paraId="10F263D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DEC4F1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2DA43E5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10F76C0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12.7%</w:t>
            </w:r>
          </w:p>
        </w:tc>
        <w:tc>
          <w:tcPr>
            <w:tcW w:w="482" w:type="dxa"/>
            <w:tcMar>
              <w:top w:w="96" w:type="dxa"/>
              <w:left w:w="57" w:type="dxa"/>
              <w:bottom w:w="96" w:type="dxa"/>
              <w:right w:w="71" w:type="dxa"/>
            </w:tcMar>
          </w:tcPr>
          <w:p w14:paraId="7EF8817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E8B972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6C32CD2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3.1%</w:t>
            </w:r>
          </w:p>
        </w:tc>
        <w:tc>
          <w:tcPr>
            <w:tcW w:w="482" w:type="dxa"/>
            <w:tcMar>
              <w:top w:w="96" w:type="dxa"/>
              <w:left w:w="57" w:type="dxa"/>
              <w:bottom w:w="96" w:type="dxa"/>
              <w:right w:w="71" w:type="dxa"/>
            </w:tcMar>
          </w:tcPr>
          <w:p w14:paraId="73F4E8B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58FD00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492B7A0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97.9%</w:t>
            </w:r>
          </w:p>
        </w:tc>
        <w:tc>
          <w:tcPr>
            <w:tcW w:w="482" w:type="dxa"/>
            <w:shd w:val="solid" w:color="FFD1D1" w:fill="auto"/>
            <w:tcMar>
              <w:top w:w="96" w:type="dxa"/>
              <w:left w:w="57" w:type="dxa"/>
              <w:bottom w:w="96" w:type="dxa"/>
              <w:right w:w="71" w:type="dxa"/>
            </w:tcMar>
          </w:tcPr>
          <w:p w14:paraId="23F512D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40.0%</w:t>
            </w:r>
          </w:p>
        </w:tc>
        <w:tc>
          <w:tcPr>
            <w:tcW w:w="482" w:type="dxa"/>
            <w:shd w:val="solid" w:color="FFD1D1" w:fill="auto"/>
            <w:tcMar>
              <w:top w:w="96" w:type="dxa"/>
              <w:left w:w="57" w:type="dxa"/>
              <w:bottom w:w="96" w:type="dxa"/>
              <w:right w:w="71" w:type="dxa"/>
            </w:tcMar>
          </w:tcPr>
          <w:p w14:paraId="0BE0BA1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67.4%</w:t>
            </w:r>
          </w:p>
        </w:tc>
        <w:tc>
          <w:tcPr>
            <w:tcW w:w="482" w:type="dxa"/>
            <w:shd w:val="solid" w:color="CBFFC6" w:fill="auto"/>
            <w:tcMar>
              <w:top w:w="96" w:type="dxa"/>
              <w:left w:w="57" w:type="dxa"/>
              <w:bottom w:w="96" w:type="dxa"/>
              <w:right w:w="71" w:type="dxa"/>
            </w:tcMar>
          </w:tcPr>
          <w:p w14:paraId="474EF09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91.6%</w:t>
            </w:r>
          </w:p>
        </w:tc>
        <w:tc>
          <w:tcPr>
            <w:tcW w:w="482" w:type="dxa"/>
            <w:tcMar>
              <w:top w:w="96" w:type="dxa"/>
              <w:left w:w="57" w:type="dxa"/>
              <w:bottom w:w="96" w:type="dxa"/>
              <w:right w:w="71" w:type="dxa"/>
            </w:tcMar>
          </w:tcPr>
          <w:p w14:paraId="3A70EF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1.3%</w:t>
            </w:r>
          </w:p>
        </w:tc>
        <w:tc>
          <w:tcPr>
            <w:tcW w:w="482" w:type="dxa"/>
            <w:tcMar>
              <w:top w:w="96" w:type="dxa"/>
              <w:left w:w="57" w:type="dxa"/>
              <w:bottom w:w="96" w:type="dxa"/>
              <w:right w:w="71" w:type="dxa"/>
            </w:tcMar>
          </w:tcPr>
          <w:p w14:paraId="19B148D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41442F9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6FE31C6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99.2%</w:t>
            </w:r>
          </w:p>
        </w:tc>
        <w:tc>
          <w:tcPr>
            <w:tcW w:w="482" w:type="dxa"/>
            <w:shd w:val="solid" w:color="CBFFC6" w:fill="auto"/>
            <w:tcMar>
              <w:top w:w="96" w:type="dxa"/>
              <w:left w:w="57" w:type="dxa"/>
              <w:bottom w:w="96" w:type="dxa"/>
              <w:right w:w="71" w:type="dxa"/>
            </w:tcMar>
          </w:tcPr>
          <w:p w14:paraId="76C6A0F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87.0%</w:t>
            </w:r>
          </w:p>
        </w:tc>
        <w:tc>
          <w:tcPr>
            <w:tcW w:w="482" w:type="dxa"/>
            <w:shd w:val="solid" w:color="CBFFC6" w:fill="auto"/>
            <w:tcMar>
              <w:top w:w="96" w:type="dxa"/>
              <w:left w:w="57" w:type="dxa"/>
              <w:bottom w:w="96" w:type="dxa"/>
              <w:right w:w="71" w:type="dxa"/>
            </w:tcMar>
          </w:tcPr>
          <w:p w14:paraId="3D1A316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0.8%</w:t>
            </w:r>
          </w:p>
        </w:tc>
        <w:tc>
          <w:tcPr>
            <w:tcW w:w="340" w:type="dxa"/>
            <w:tcMar>
              <w:top w:w="96" w:type="dxa"/>
              <w:left w:w="57" w:type="dxa"/>
              <w:bottom w:w="96" w:type="dxa"/>
              <w:right w:w="71" w:type="dxa"/>
            </w:tcMar>
          </w:tcPr>
          <w:p w14:paraId="30E6C2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c>
          <w:tcPr>
            <w:tcW w:w="340" w:type="dxa"/>
            <w:tcMar>
              <w:top w:w="96" w:type="dxa"/>
              <w:left w:w="57" w:type="dxa"/>
              <w:bottom w:w="96" w:type="dxa"/>
              <w:right w:w="71" w:type="dxa"/>
            </w:tcMar>
          </w:tcPr>
          <w:p w14:paraId="1FB88AB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7</w:t>
            </w:r>
          </w:p>
        </w:tc>
      </w:tr>
      <w:tr w:rsidR="00D6403A" w:rsidRPr="0004279D" w14:paraId="0D30BD6A" w14:textId="77777777" w:rsidTr="001726E8">
        <w:trPr>
          <w:trHeight w:val="283"/>
        </w:trPr>
        <w:tc>
          <w:tcPr>
            <w:tcW w:w="1417" w:type="dxa"/>
            <w:tcMar>
              <w:top w:w="96" w:type="dxa"/>
              <w:left w:w="113" w:type="dxa"/>
              <w:bottom w:w="96" w:type="dxa"/>
              <w:right w:w="0" w:type="dxa"/>
            </w:tcMar>
          </w:tcPr>
          <w:p w14:paraId="10E48C72"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lastRenderedPageBreak/>
              <w:t>Peninsula Private Hospital</w:t>
            </w:r>
          </w:p>
        </w:tc>
        <w:tc>
          <w:tcPr>
            <w:tcW w:w="340" w:type="dxa"/>
            <w:tcMar>
              <w:top w:w="96" w:type="dxa"/>
              <w:left w:w="57" w:type="dxa"/>
              <w:bottom w:w="96" w:type="dxa"/>
              <w:right w:w="71" w:type="dxa"/>
            </w:tcMar>
          </w:tcPr>
          <w:p w14:paraId="2AEC9FC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52BB194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401</w:t>
            </w:r>
          </w:p>
        </w:tc>
        <w:tc>
          <w:tcPr>
            <w:tcW w:w="482" w:type="dxa"/>
            <w:shd w:val="solid" w:color="FFD1D1" w:fill="auto"/>
            <w:tcMar>
              <w:top w:w="96" w:type="dxa"/>
              <w:left w:w="57" w:type="dxa"/>
              <w:bottom w:w="96" w:type="dxa"/>
              <w:right w:w="71" w:type="dxa"/>
            </w:tcMar>
          </w:tcPr>
          <w:p w14:paraId="6EC6375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35.9%</w:t>
            </w:r>
          </w:p>
        </w:tc>
        <w:tc>
          <w:tcPr>
            <w:tcW w:w="482" w:type="dxa"/>
            <w:shd w:val="solid" w:color="FFD1D1" w:fill="auto"/>
            <w:tcMar>
              <w:top w:w="96" w:type="dxa"/>
              <w:left w:w="57" w:type="dxa"/>
              <w:bottom w:w="96" w:type="dxa"/>
              <w:right w:w="71" w:type="dxa"/>
            </w:tcMar>
          </w:tcPr>
          <w:p w14:paraId="4545464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37.5%</w:t>
            </w:r>
          </w:p>
        </w:tc>
        <w:tc>
          <w:tcPr>
            <w:tcW w:w="482" w:type="dxa"/>
            <w:tcMar>
              <w:top w:w="96" w:type="dxa"/>
              <w:left w:w="57" w:type="dxa"/>
              <w:bottom w:w="96" w:type="dxa"/>
              <w:right w:w="71" w:type="dxa"/>
            </w:tcMar>
          </w:tcPr>
          <w:p w14:paraId="0DA573C0"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35.8%</w:t>
            </w:r>
          </w:p>
        </w:tc>
        <w:tc>
          <w:tcPr>
            <w:tcW w:w="482" w:type="dxa"/>
            <w:tcMar>
              <w:top w:w="96" w:type="dxa"/>
              <w:left w:w="57" w:type="dxa"/>
              <w:bottom w:w="96" w:type="dxa"/>
              <w:right w:w="71" w:type="dxa"/>
            </w:tcMar>
          </w:tcPr>
          <w:p w14:paraId="1F56467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2.3%</w:t>
            </w:r>
          </w:p>
        </w:tc>
        <w:tc>
          <w:tcPr>
            <w:tcW w:w="482" w:type="dxa"/>
            <w:tcMar>
              <w:top w:w="96" w:type="dxa"/>
              <w:left w:w="57" w:type="dxa"/>
              <w:bottom w:w="96" w:type="dxa"/>
              <w:right w:w="71" w:type="dxa"/>
            </w:tcMar>
          </w:tcPr>
          <w:p w14:paraId="4BD9580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w:t>
            </w:r>
          </w:p>
        </w:tc>
        <w:tc>
          <w:tcPr>
            <w:tcW w:w="482" w:type="dxa"/>
            <w:shd w:val="solid" w:color="CBFFC6" w:fill="auto"/>
            <w:tcMar>
              <w:top w:w="96" w:type="dxa"/>
              <w:left w:w="57" w:type="dxa"/>
              <w:bottom w:w="96" w:type="dxa"/>
              <w:right w:w="71" w:type="dxa"/>
            </w:tcMar>
          </w:tcPr>
          <w:p w14:paraId="6C12215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6.8%</w:t>
            </w:r>
          </w:p>
        </w:tc>
        <w:tc>
          <w:tcPr>
            <w:tcW w:w="482" w:type="dxa"/>
            <w:tcMar>
              <w:top w:w="96" w:type="dxa"/>
              <w:left w:w="57" w:type="dxa"/>
              <w:bottom w:w="96" w:type="dxa"/>
              <w:right w:w="71" w:type="dxa"/>
            </w:tcMar>
          </w:tcPr>
          <w:p w14:paraId="0E95CD9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81.8%</w:t>
            </w:r>
          </w:p>
        </w:tc>
        <w:tc>
          <w:tcPr>
            <w:tcW w:w="482" w:type="dxa"/>
            <w:tcMar>
              <w:top w:w="96" w:type="dxa"/>
              <w:left w:w="57" w:type="dxa"/>
              <w:bottom w:w="96" w:type="dxa"/>
              <w:right w:w="71" w:type="dxa"/>
            </w:tcMar>
          </w:tcPr>
          <w:p w14:paraId="23FBE7C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11F693C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B91249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4A36B8F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3.4%</w:t>
            </w:r>
          </w:p>
        </w:tc>
        <w:tc>
          <w:tcPr>
            <w:tcW w:w="482" w:type="dxa"/>
            <w:tcMar>
              <w:top w:w="96" w:type="dxa"/>
              <w:left w:w="57" w:type="dxa"/>
              <w:bottom w:w="96" w:type="dxa"/>
              <w:right w:w="71" w:type="dxa"/>
            </w:tcMar>
          </w:tcPr>
          <w:p w14:paraId="3063717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205AF5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5F254C4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1.4%</w:t>
            </w:r>
          </w:p>
        </w:tc>
        <w:tc>
          <w:tcPr>
            <w:tcW w:w="482" w:type="dxa"/>
            <w:tcMar>
              <w:top w:w="96" w:type="dxa"/>
              <w:left w:w="57" w:type="dxa"/>
              <w:bottom w:w="96" w:type="dxa"/>
              <w:right w:w="71" w:type="dxa"/>
            </w:tcMar>
          </w:tcPr>
          <w:p w14:paraId="34EC941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2F91A3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596F286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92.2%</w:t>
            </w:r>
          </w:p>
        </w:tc>
        <w:tc>
          <w:tcPr>
            <w:tcW w:w="482" w:type="dxa"/>
            <w:shd w:val="solid" w:color="FFD1D1" w:fill="auto"/>
            <w:tcMar>
              <w:top w:w="96" w:type="dxa"/>
              <w:left w:w="57" w:type="dxa"/>
              <w:bottom w:w="96" w:type="dxa"/>
              <w:right w:w="71" w:type="dxa"/>
            </w:tcMar>
          </w:tcPr>
          <w:p w14:paraId="186E372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45.5%</w:t>
            </w:r>
          </w:p>
        </w:tc>
        <w:tc>
          <w:tcPr>
            <w:tcW w:w="482" w:type="dxa"/>
            <w:shd w:val="solid" w:color="FFD1D1" w:fill="auto"/>
            <w:tcMar>
              <w:top w:w="96" w:type="dxa"/>
              <w:left w:w="57" w:type="dxa"/>
              <w:bottom w:w="96" w:type="dxa"/>
              <w:right w:w="71" w:type="dxa"/>
            </w:tcMar>
          </w:tcPr>
          <w:p w14:paraId="5746F2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66.9%</w:t>
            </w:r>
          </w:p>
        </w:tc>
        <w:tc>
          <w:tcPr>
            <w:tcW w:w="482" w:type="dxa"/>
            <w:shd w:val="solid" w:color="FFD1D1" w:fill="auto"/>
            <w:tcMar>
              <w:top w:w="96" w:type="dxa"/>
              <w:left w:w="57" w:type="dxa"/>
              <w:bottom w:w="96" w:type="dxa"/>
              <w:right w:w="71" w:type="dxa"/>
            </w:tcMar>
          </w:tcPr>
          <w:p w14:paraId="57DC1EF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65.9%</w:t>
            </w:r>
          </w:p>
        </w:tc>
        <w:tc>
          <w:tcPr>
            <w:tcW w:w="482" w:type="dxa"/>
            <w:shd w:val="solid" w:color="CBFFC6" w:fill="auto"/>
            <w:tcMar>
              <w:top w:w="96" w:type="dxa"/>
              <w:left w:w="57" w:type="dxa"/>
              <w:bottom w:w="96" w:type="dxa"/>
              <w:right w:w="71" w:type="dxa"/>
            </w:tcMar>
          </w:tcPr>
          <w:p w14:paraId="329DF5A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70E5D96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CD297D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FFD1D1" w:fill="auto"/>
            <w:tcMar>
              <w:top w:w="96" w:type="dxa"/>
              <w:left w:w="57" w:type="dxa"/>
              <w:bottom w:w="96" w:type="dxa"/>
              <w:right w:w="71" w:type="dxa"/>
            </w:tcMar>
          </w:tcPr>
          <w:p w14:paraId="7618E9E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8.5%</w:t>
            </w:r>
          </w:p>
        </w:tc>
        <w:tc>
          <w:tcPr>
            <w:tcW w:w="482" w:type="dxa"/>
            <w:shd w:val="solid" w:color="FFD1D1" w:fill="auto"/>
            <w:tcMar>
              <w:top w:w="96" w:type="dxa"/>
              <w:left w:w="57" w:type="dxa"/>
              <w:bottom w:w="96" w:type="dxa"/>
              <w:right w:w="71" w:type="dxa"/>
            </w:tcMar>
          </w:tcPr>
          <w:p w14:paraId="34D21CF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65.7%</w:t>
            </w:r>
          </w:p>
        </w:tc>
        <w:tc>
          <w:tcPr>
            <w:tcW w:w="482" w:type="dxa"/>
            <w:shd w:val="solid" w:color="CBFFC6" w:fill="auto"/>
            <w:tcMar>
              <w:top w:w="96" w:type="dxa"/>
              <w:left w:w="57" w:type="dxa"/>
              <w:bottom w:w="96" w:type="dxa"/>
              <w:right w:w="71" w:type="dxa"/>
            </w:tcMar>
          </w:tcPr>
          <w:p w14:paraId="7BAEAFE8"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0.3%</w:t>
            </w:r>
          </w:p>
        </w:tc>
        <w:tc>
          <w:tcPr>
            <w:tcW w:w="340" w:type="dxa"/>
            <w:tcMar>
              <w:top w:w="96" w:type="dxa"/>
              <w:left w:w="57" w:type="dxa"/>
              <w:bottom w:w="96" w:type="dxa"/>
              <w:right w:w="71" w:type="dxa"/>
            </w:tcMar>
          </w:tcPr>
          <w:p w14:paraId="779F589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w:t>
            </w:r>
          </w:p>
        </w:tc>
        <w:tc>
          <w:tcPr>
            <w:tcW w:w="340" w:type="dxa"/>
            <w:tcMar>
              <w:top w:w="96" w:type="dxa"/>
              <w:left w:w="57" w:type="dxa"/>
              <w:bottom w:w="96" w:type="dxa"/>
              <w:right w:w="71" w:type="dxa"/>
            </w:tcMar>
          </w:tcPr>
          <w:p w14:paraId="37171FE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w:t>
            </w:r>
          </w:p>
        </w:tc>
      </w:tr>
      <w:tr w:rsidR="00D6403A" w:rsidRPr="0004279D" w14:paraId="235EF852" w14:textId="77777777" w:rsidTr="001726E8">
        <w:trPr>
          <w:trHeight w:val="283"/>
        </w:trPr>
        <w:tc>
          <w:tcPr>
            <w:tcW w:w="1417" w:type="dxa"/>
            <w:tcMar>
              <w:top w:w="96" w:type="dxa"/>
              <w:left w:w="113" w:type="dxa"/>
              <w:bottom w:w="96" w:type="dxa"/>
              <w:right w:w="0" w:type="dxa"/>
            </w:tcMar>
          </w:tcPr>
          <w:p w14:paraId="21DF37B8" w14:textId="77777777" w:rsidR="00D6403A" w:rsidRPr="00AD0A1A" w:rsidRDefault="00D6403A" w:rsidP="001726E8">
            <w:pPr>
              <w:pStyle w:val="Tabletext"/>
              <w:spacing w:before="0" w:after="0" w:line="240" w:lineRule="auto"/>
              <w:rPr>
                <w:rFonts w:ascii="VIC" w:hAnsi="VIC" w:cs="VIC"/>
                <w:b/>
                <w:sz w:val="12"/>
                <w:szCs w:val="12"/>
                <w:lang w:val="en-US"/>
              </w:rPr>
            </w:pPr>
            <w:r w:rsidRPr="00AD0A1A">
              <w:rPr>
                <w:b/>
                <w:sz w:val="12"/>
                <w:szCs w:val="12"/>
                <w:lang w:val="en-US"/>
              </w:rPr>
              <w:t>St John of God Bendigo Hospital</w:t>
            </w:r>
          </w:p>
        </w:tc>
        <w:tc>
          <w:tcPr>
            <w:tcW w:w="340" w:type="dxa"/>
            <w:tcMar>
              <w:top w:w="96" w:type="dxa"/>
              <w:left w:w="57" w:type="dxa"/>
              <w:bottom w:w="96" w:type="dxa"/>
              <w:right w:w="71" w:type="dxa"/>
            </w:tcMar>
          </w:tcPr>
          <w:p w14:paraId="0B6947C4"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P</w:t>
            </w:r>
          </w:p>
        </w:tc>
        <w:tc>
          <w:tcPr>
            <w:tcW w:w="482" w:type="dxa"/>
            <w:tcMar>
              <w:top w:w="96" w:type="dxa"/>
              <w:left w:w="57" w:type="dxa"/>
              <w:bottom w:w="96" w:type="dxa"/>
              <w:right w:w="71" w:type="dxa"/>
            </w:tcMar>
          </w:tcPr>
          <w:p w14:paraId="60F2ED5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323</w:t>
            </w:r>
          </w:p>
        </w:tc>
        <w:tc>
          <w:tcPr>
            <w:tcW w:w="482" w:type="dxa"/>
            <w:tcMar>
              <w:top w:w="96" w:type="dxa"/>
              <w:left w:w="57" w:type="dxa"/>
              <w:bottom w:w="96" w:type="dxa"/>
              <w:right w:w="71" w:type="dxa"/>
            </w:tcMar>
          </w:tcPr>
          <w:p w14:paraId="6287F2DA"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12.9%</w:t>
            </w:r>
          </w:p>
        </w:tc>
        <w:tc>
          <w:tcPr>
            <w:tcW w:w="482" w:type="dxa"/>
            <w:tcMar>
              <w:top w:w="96" w:type="dxa"/>
              <w:left w:w="57" w:type="dxa"/>
              <w:bottom w:w="96" w:type="dxa"/>
              <w:right w:w="71" w:type="dxa"/>
            </w:tcMar>
          </w:tcPr>
          <w:p w14:paraId="147C83A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25.9%</w:t>
            </w:r>
          </w:p>
        </w:tc>
        <w:tc>
          <w:tcPr>
            <w:tcW w:w="482" w:type="dxa"/>
            <w:shd w:val="solid" w:color="FFD1D1" w:fill="auto"/>
            <w:tcMar>
              <w:top w:w="96" w:type="dxa"/>
              <w:left w:w="57" w:type="dxa"/>
              <w:bottom w:w="96" w:type="dxa"/>
              <w:right w:w="71" w:type="dxa"/>
            </w:tcMar>
          </w:tcPr>
          <w:p w14:paraId="07D2FA6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48.8%</w:t>
            </w:r>
          </w:p>
        </w:tc>
        <w:tc>
          <w:tcPr>
            <w:tcW w:w="482" w:type="dxa"/>
            <w:shd w:val="solid" w:color="CBFFC6" w:fill="auto"/>
            <w:tcMar>
              <w:top w:w="96" w:type="dxa"/>
              <w:left w:w="57" w:type="dxa"/>
              <w:bottom w:w="96" w:type="dxa"/>
              <w:right w:w="71" w:type="dxa"/>
            </w:tcMar>
          </w:tcPr>
          <w:p w14:paraId="43DC1FD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0.0%</w:t>
            </w:r>
          </w:p>
        </w:tc>
        <w:tc>
          <w:tcPr>
            <w:tcW w:w="482" w:type="dxa"/>
            <w:tcMar>
              <w:top w:w="96" w:type="dxa"/>
              <w:left w:w="57" w:type="dxa"/>
              <w:bottom w:w="96" w:type="dxa"/>
              <w:right w:w="71" w:type="dxa"/>
            </w:tcMar>
          </w:tcPr>
          <w:p w14:paraId="6EBF968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4.2%</w:t>
            </w:r>
          </w:p>
        </w:tc>
        <w:tc>
          <w:tcPr>
            <w:tcW w:w="482" w:type="dxa"/>
            <w:shd w:val="solid" w:color="FFD1D1" w:fill="auto"/>
            <w:tcMar>
              <w:top w:w="96" w:type="dxa"/>
              <w:left w:w="57" w:type="dxa"/>
              <w:bottom w:w="96" w:type="dxa"/>
              <w:right w:w="71" w:type="dxa"/>
            </w:tcMar>
          </w:tcPr>
          <w:p w14:paraId="46FEEE8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37.5%</w:t>
            </w:r>
          </w:p>
        </w:tc>
        <w:tc>
          <w:tcPr>
            <w:tcW w:w="482" w:type="dxa"/>
            <w:tcMar>
              <w:top w:w="96" w:type="dxa"/>
              <w:left w:w="57" w:type="dxa"/>
              <w:bottom w:w="96" w:type="dxa"/>
              <w:right w:w="71" w:type="dxa"/>
            </w:tcMar>
          </w:tcPr>
          <w:p w14:paraId="3D113BC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87.5%</w:t>
            </w:r>
          </w:p>
        </w:tc>
        <w:tc>
          <w:tcPr>
            <w:tcW w:w="482" w:type="dxa"/>
            <w:tcMar>
              <w:top w:w="96" w:type="dxa"/>
              <w:left w:w="57" w:type="dxa"/>
              <w:bottom w:w="96" w:type="dxa"/>
              <w:right w:w="71" w:type="dxa"/>
            </w:tcMar>
          </w:tcPr>
          <w:p w14:paraId="592E5A5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24CA5C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180ABE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304F398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16.0%</w:t>
            </w:r>
          </w:p>
        </w:tc>
        <w:tc>
          <w:tcPr>
            <w:tcW w:w="482" w:type="dxa"/>
            <w:tcMar>
              <w:top w:w="96" w:type="dxa"/>
              <w:left w:w="57" w:type="dxa"/>
              <w:bottom w:w="96" w:type="dxa"/>
              <w:right w:w="71" w:type="dxa"/>
            </w:tcMar>
          </w:tcPr>
          <w:p w14:paraId="6A5F8307"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D329535"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shd w:val="solid" w:color="CBFFC6" w:fill="auto"/>
            <w:tcMar>
              <w:top w:w="96" w:type="dxa"/>
              <w:left w:w="57" w:type="dxa"/>
              <w:bottom w:w="96" w:type="dxa"/>
              <w:right w:w="71" w:type="dxa"/>
            </w:tcMar>
          </w:tcPr>
          <w:p w14:paraId="4893012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1.1%</w:t>
            </w:r>
          </w:p>
        </w:tc>
        <w:tc>
          <w:tcPr>
            <w:tcW w:w="482" w:type="dxa"/>
            <w:tcMar>
              <w:top w:w="96" w:type="dxa"/>
              <w:left w:w="57" w:type="dxa"/>
              <w:bottom w:w="96" w:type="dxa"/>
              <w:right w:w="71" w:type="dxa"/>
            </w:tcMar>
          </w:tcPr>
          <w:p w14:paraId="4A9FE20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2AFDEFE"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00AA10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96.4%</w:t>
            </w:r>
          </w:p>
        </w:tc>
        <w:tc>
          <w:tcPr>
            <w:tcW w:w="482" w:type="dxa"/>
            <w:tcMar>
              <w:top w:w="96" w:type="dxa"/>
              <w:left w:w="57" w:type="dxa"/>
              <w:bottom w:w="96" w:type="dxa"/>
              <w:right w:w="71" w:type="dxa"/>
            </w:tcMar>
          </w:tcPr>
          <w:p w14:paraId="12D11D0F"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30.8%</w:t>
            </w:r>
          </w:p>
        </w:tc>
        <w:tc>
          <w:tcPr>
            <w:tcW w:w="482" w:type="dxa"/>
            <w:tcMar>
              <w:top w:w="96" w:type="dxa"/>
              <w:left w:w="57" w:type="dxa"/>
              <w:bottom w:w="96" w:type="dxa"/>
              <w:right w:w="71" w:type="dxa"/>
            </w:tcMar>
          </w:tcPr>
          <w:p w14:paraId="7B5477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82.0%</w:t>
            </w:r>
          </w:p>
        </w:tc>
        <w:tc>
          <w:tcPr>
            <w:tcW w:w="482" w:type="dxa"/>
            <w:shd w:val="solid" w:color="FFD1D1" w:fill="auto"/>
            <w:tcMar>
              <w:top w:w="96" w:type="dxa"/>
              <w:left w:w="57" w:type="dxa"/>
              <w:bottom w:w="96" w:type="dxa"/>
              <w:right w:w="71" w:type="dxa"/>
            </w:tcMar>
          </w:tcPr>
          <w:p w14:paraId="7284EBE1"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62.8%</w:t>
            </w:r>
          </w:p>
        </w:tc>
        <w:tc>
          <w:tcPr>
            <w:tcW w:w="482" w:type="dxa"/>
            <w:tcMar>
              <w:top w:w="96" w:type="dxa"/>
              <w:left w:w="57" w:type="dxa"/>
              <w:bottom w:w="96" w:type="dxa"/>
              <w:right w:w="71" w:type="dxa"/>
            </w:tcMar>
          </w:tcPr>
          <w:p w14:paraId="705A130B"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1.0%</w:t>
            </w:r>
          </w:p>
        </w:tc>
        <w:tc>
          <w:tcPr>
            <w:tcW w:w="482" w:type="dxa"/>
            <w:tcMar>
              <w:top w:w="96" w:type="dxa"/>
              <w:left w:w="57" w:type="dxa"/>
              <w:bottom w:w="96" w:type="dxa"/>
              <w:right w:w="71" w:type="dxa"/>
            </w:tcMar>
          </w:tcPr>
          <w:p w14:paraId="4A99740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7C04DAB9"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NA</w:t>
            </w:r>
          </w:p>
        </w:tc>
        <w:tc>
          <w:tcPr>
            <w:tcW w:w="482" w:type="dxa"/>
            <w:tcMar>
              <w:top w:w="96" w:type="dxa"/>
              <w:left w:w="57" w:type="dxa"/>
              <w:bottom w:w="96" w:type="dxa"/>
              <w:right w:w="71" w:type="dxa"/>
            </w:tcMar>
          </w:tcPr>
          <w:p w14:paraId="6147F586"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94.7%</w:t>
            </w:r>
          </w:p>
        </w:tc>
        <w:tc>
          <w:tcPr>
            <w:tcW w:w="482" w:type="dxa"/>
            <w:tcMar>
              <w:top w:w="96" w:type="dxa"/>
              <w:left w:w="57" w:type="dxa"/>
              <w:bottom w:w="96" w:type="dxa"/>
              <w:right w:w="71" w:type="dxa"/>
            </w:tcMar>
          </w:tcPr>
          <w:p w14:paraId="20A2FB82"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80.6%</w:t>
            </w:r>
          </w:p>
        </w:tc>
        <w:tc>
          <w:tcPr>
            <w:tcW w:w="482" w:type="dxa"/>
            <w:tcMar>
              <w:top w:w="96" w:type="dxa"/>
              <w:left w:w="57" w:type="dxa"/>
              <w:bottom w:w="96" w:type="dxa"/>
              <w:right w:w="71" w:type="dxa"/>
            </w:tcMar>
          </w:tcPr>
          <w:p w14:paraId="27977E4C"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2.5%</w:t>
            </w:r>
          </w:p>
        </w:tc>
        <w:tc>
          <w:tcPr>
            <w:tcW w:w="340" w:type="dxa"/>
            <w:tcMar>
              <w:top w:w="96" w:type="dxa"/>
              <w:left w:w="57" w:type="dxa"/>
              <w:bottom w:w="96" w:type="dxa"/>
              <w:right w:w="71" w:type="dxa"/>
            </w:tcMar>
          </w:tcPr>
          <w:p w14:paraId="79D4FBCD"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2</w:t>
            </w:r>
          </w:p>
        </w:tc>
        <w:tc>
          <w:tcPr>
            <w:tcW w:w="340" w:type="dxa"/>
            <w:tcMar>
              <w:top w:w="96" w:type="dxa"/>
              <w:left w:w="57" w:type="dxa"/>
              <w:bottom w:w="96" w:type="dxa"/>
              <w:right w:w="71" w:type="dxa"/>
            </w:tcMar>
          </w:tcPr>
          <w:p w14:paraId="7ACCF1A3" w14:textId="77777777" w:rsidR="00D6403A" w:rsidRPr="00A55AE0" w:rsidRDefault="00D6403A" w:rsidP="001726E8">
            <w:pPr>
              <w:pStyle w:val="Tabletext"/>
              <w:spacing w:before="0" w:after="0" w:line="240" w:lineRule="auto"/>
              <w:rPr>
                <w:rFonts w:ascii="VIC" w:hAnsi="VIC" w:cs="VIC"/>
                <w:sz w:val="12"/>
                <w:szCs w:val="12"/>
                <w:lang w:val="en-US"/>
              </w:rPr>
            </w:pPr>
            <w:r w:rsidRPr="00A55AE0">
              <w:rPr>
                <w:rFonts w:ascii="VIC" w:hAnsi="VIC" w:cs="VIC"/>
                <w:sz w:val="12"/>
                <w:szCs w:val="12"/>
                <w:lang w:val="en-US"/>
              </w:rPr>
              <w:t>3</w:t>
            </w:r>
          </w:p>
        </w:tc>
      </w:tr>
    </w:tbl>
    <w:p w14:paraId="73480026" w14:textId="77777777" w:rsidR="00E85642" w:rsidRPr="00E85642" w:rsidRDefault="00E85642" w:rsidP="00E85642">
      <w:pPr>
        <w:pStyle w:val="FootnoteText"/>
        <w:ind w:left="284" w:hanging="284"/>
        <w:rPr>
          <w:lang w:val="en-GB"/>
        </w:rPr>
      </w:pPr>
      <w:r w:rsidRPr="00E85642">
        <w:rPr>
          <w:lang w:val="en-GB"/>
        </w:rPr>
        <w:t xml:space="preserve">* </w:t>
      </w:r>
      <w:r w:rsidRPr="00E85642">
        <w:rPr>
          <w:lang w:val="en-GB"/>
        </w:rPr>
        <w:tab/>
        <w:t xml:space="preserve">For these indicators, funnel plots were used to determine most favourable and least favourable outcomes. For indicators 11a and 11b, the most favourable are hospitals with a rate less than the lower 95% control limit and least favourable are hospitals </w:t>
      </w:r>
      <w:r w:rsidRPr="00E85642">
        <w:rPr>
          <w:lang w:val="en-GB"/>
        </w:rPr>
        <w:br/>
        <w:t>with a rate more than the upper 95% control limit.</w:t>
      </w:r>
    </w:p>
    <w:p w14:paraId="2C3AA6B2" w14:textId="77777777" w:rsidR="00E85642" w:rsidRPr="00E85642" w:rsidRDefault="00E85642" w:rsidP="00E85642">
      <w:pPr>
        <w:pStyle w:val="FootnoteText"/>
        <w:rPr>
          <w:lang w:val="en-GB"/>
        </w:rPr>
      </w:pPr>
      <w:r w:rsidRPr="00E85642">
        <w:rPr>
          <w:lang w:val="en-GB"/>
        </w:rPr>
        <w:t xml:space="preserve">Most favourable outcomes are shown in green; least favourable quartiles are shown in orange. </w:t>
      </w:r>
    </w:p>
    <w:p w14:paraId="6119BBED" w14:textId="77777777" w:rsidR="00E85642" w:rsidRPr="00E85642" w:rsidRDefault="00E85642" w:rsidP="00E85642">
      <w:pPr>
        <w:pStyle w:val="FootnoteText"/>
        <w:rPr>
          <w:lang w:val="en-GB"/>
        </w:rPr>
      </w:pPr>
      <w:r w:rsidRPr="00E85642">
        <w:rPr>
          <w:lang w:val="en-GB"/>
        </w:rPr>
        <w:t xml:space="preserve">NA indicates the service did not meet the threshold for public reporting for that indicator or that the indicator is not relevant to the service; all numbers presented are percentages except for Indicator 5 results, which are a ratio. </w:t>
      </w:r>
    </w:p>
    <w:p w14:paraId="0D69303E" w14:textId="334B54F5" w:rsidR="00D6403A" w:rsidRPr="00D6403A" w:rsidRDefault="00E85642" w:rsidP="00E85642">
      <w:pPr>
        <w:pStyle w:val="FootnoteText"/>
        <w:rPr>
          <w:lang w:val="en-GB"/>
        </w:rPr>
      </w:pPr>
      <w:r w:rsidRPr="00E85642">
        <w:rPr>
          <w:lang w:val="en-GB"/>
        </w:rPr>
        <w:t>P indicates private hospitals.</w:t>
      </w:r>
    </w:p>
    <w:p w14:paraId="5C536A36" w14:textId="77777777" w:rsidR="002F5559" w:rsidRDefault="002F5559" w:rsidP="002F5559">
      <w:pPr>
        <w:pStyle w:val="Heading2"/>
        <w:rPr>
          <w:lang w:val="en-GB"/>
        </w:rPr>
        <w:sectPr w:rsidR="002F5559" w:rsidSect="002B0059">
          <w:pgSz w:w="16817" w:h="11901" w:orient="landscape" w:code="9"/>
          <w:pgMar w:top="851" w:right="851" w:bottom="851" w:left="851" w:header="539" w:footer="624" w:gutter="0"/>
          <w:cols w:space="284"/>
          <w:docGrid w:linePitch="360" w:charSpace="46114"/>
        </w:sectPr>
      </w:pPr>
      <w:bookmarkStart w:id="94" w:name="_Toc159326652"/>
    </w:p>
    <w:p w14:paraId="0C348EED" w14:textId="7BB4A60E" w:rsidR="00D6403A" w:rsidRPr="00D6403A" w:rsidRDefault="00D6403A" w:rsidP="00730FDC">
      <w:pPr>
        <w:pStyle w:val="Heading1"/>
        <w:framePr w:wrap="around"/>
        <w:rPr>
          <w:lang w:val="en-GB"/>
        </w:rPr>
      </w:pPr>
      <w:r w:rsidRPr="00D6403A">
        <w:rPr>
          <w:lang w:val="en-GB"/>
        </w:rPr>
        <w:lastRenderedPageBreak/>
        <w:t>Appendix 4: Robson classifications</w:t>
      </w:r>
      <w:bookmarkEnd w:id="94"/>
    </w:p>
    <w:p w14:paraId="7B48AB46" w14:textId="20CFCE0B" w:rsidR="00D6403A" w:rsidRPr="00D6403A" w:rsidRDefault="00730FDC" w:rsidP="00862996">
      <w:pPr>
        <w:rPr>
          <w:lang w:val="en-GB"/>
        </w:rPr>
      </w:pPr>
      <w:r>
        <w:rPr>
          <w:noProof/>
          <w:lang w:val="en-GB"/>
        </w:rPr>
        <w:drawing>
          <wp:inline distT="0" distB="0" distL="0" distR="0" wp14:anchorId="5F204187" wp14:editId="42EB4CB3">
            <wp:extent cx="4838700" cy="68961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robson_classifications.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838700" cy="6896100"/>
                    </a:xfrm>
                    <a:prstGeom prst="rect">
                      <a:avLst/>
                    </a:prstGeom>
                  </pic:spPr>
                </pic:pic>
              </a:graphicData>
            </a:graphic>
          </wp:inline>
        </w:drawing>
      </w:r>
    </w:p>
    <w:p w14:paraId="2DDF937E" w14:textId="77777777" w:rsidR="00D6403A" w:rsidRPr="00D6403A" w:rsidRDefault="00D6403A" w:rsidP="00D6403A">
      <w:pPr>
        <w:suppressAutoHyphens/>
        <w:autoSpaceDE w:val="0"/>
        <w:autoSpaceDN w:val="0"/>
        <w:adjustRightInd w:val="0"/>
        <w:spacing w:before="0" w:after="57" w:line="180" w:lineRule="atLeast"/>
        <w:textAlignment w:val="center"/>
        <w:rPr>
          <w:rFonts w:ascii="VIC" w:hAnsi="VIC" w:cs="VIC"/>
          <w:color w:val="000000"/>
          <w:sz w:val="15"/>
          <w:szCs w:val="15"/>
          <w:lang w:val="en-GB"/>
        </w:rPr>
      </w:pPr>
      <w:r w:rsidRPr="00D6403A">
        <w:rPr>
          <w:rFonts w:ascii="VIC" w:hAnsi="VIC" w:cs="VIC"/>
          <w:color w:val="000000"/>
          <w:sz w:val="15"/>
          <w:szCs w:val="15"/>
          <w:lang w:val="en-GB"/>
        </w:rPr>
        <w:t>Boatin A, Cullinane F, Torloni M, Betrán A. 2018. Audit and feedback using the Robson classification to reduce caesarean section rates: a</w:t>
      </w:r>
      <w:r w:rsidRPr="00D6403A">
        <w:rPr>
          <w:rFonts w:ascii="Cambria" w:hAnsi="Cambria" w:cs="Cambria"/>
          <w:color w:val="000000"/>
          <w:sz w:val="15"/>
          <w:szCs w:val="15"/>
          <w:lang w:val="en-GB"/>
        </w:rPr>
        <w:t> </w:t>
      </w:r>
      <w:r w:rsidRPr="00D6403A">
        <w:rPr>
          <w:rFonts w:ascii="VIC" w:hAnsi="VIC" w:cs="VIC"/>
          <w:color w:val="000000"/>
          <w:sz w:val="15"/>
          <w:szCs w:val="15"/>
          <w:lang w:val="en-GB"/>
        </w:rPr>
        <w:t xml:space="preserve">systematic review. </w:t>
      </w:r>
      <w:r w:rsidRPr="00D6403A">
        <w:rPr>
          <w:rFonts w:ascii="VIC" w:hAnsi="VIC" w:cs="VIC"/>
          <w:i/>
          <w:iCs/>
          <w:color w:val="000000"/>
          <w:sz w:val="15"/>
          <w:szCs w:val="15"/>
          <w:lang w:val="en-GB"/>
        </w:rPr>
        <w:t xml:space="preserve">BJOG: An International Journal of Obstetrics &amp; Gynaecology. </w:t>
      </w:r>
      <w:r w:rsidRPr="00D6403A">
        <w:rPr>
          <w:rFonts w:ascii="VIC" w:hAnsi="VIC" w:cs="VIC"/>
          <w:color w:val="000000"/>
          <w:sz w:val="15"/>
          <w:szCs w:val="15"/>
          <w:lang w:val="en-GB"/>
        </w:rPr>
        <w:t>125(1):36–42.</w:t>
      </w:r>
    </w:p>
    <w:p w14:paraId="00E0E179" w14:textId="77777777" w:rsidR="00E85642" w:rsidRDefault="00E85642" w:rsidP="00E85642">
      <w:pPr>
        <w:pStyle w:val="Heading2"/>
        <w:rPr>
          <w:lang w:val="en-GB"/>
        </w:rPr>
        <w:sectPr w:rsidR="00E85642" w:rsidSect="004D6F5F">
          <w:pgSz w:w="11901" w:h="16817" w:code="9"/>
          <w:pgMar w:top="3402" w:right="851" w:bottom="1361" w:left="851" w:header="539" w:footer="624" w:gutter="0"/>
          <w:cols w:space="284"/>
          <w:docGrid w:linePitch="360" w:charSpace="46114"/>
        </w:sectPr>
      </w:pPr>
      <w:bookmarkStart w:id="95" w:name="_Appendix_5:_Terminology"/>
      <w:bookmarkStart w:id="96" w:name="_Toc159326653"/>
      <w:bookmarkEnd w:id="95"/>
    </w:p>
    <w:p w14:paraId="6A5C8B47" w14:textId="5B91BBDD" w:rsidR="00D6403A" w:rsidRPr="00D6403A" w:rsidRDefault="00D6403A" w:rsidP="00E85642">
      <w:pPr>
        <w:pStyle w:val="Heading1"/>
        <w:framePr w:wrap="around"/>
        <w:rPr>
          <w:lang w:val="en-GB"/>
        </w:rPr>
      </w:pPr>
      <w:r w:rsidRPr="00D6403A">
        <w:rPr>
          <w:lang w:val="en-GB"/>
        </w:rPr>
        <w:lastRenderedPageBreak/>
        <w:t>Appendix 5: Terminology</w:t>
      </w:r>
      <w:bookmarkEnd w:id="96"/>
    </w:p>
    <w:p w14:paraId="7B580BEA"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&gt; : </w:t>
      </w:r>
      <w:r w:rsidRPr="00D6403A">
        <w:rPr>
          <w:lang w:val="en-GB"/>
        </w:rPr>
        <w:t xml:space="preserve">Greater than </w:t>
      </w:r>
    </w:p>
    <w:p w14:paraId="7BCE0A23"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 : </w:t>
      </w:r>
      <w:r w:rsidRPr="00D6403A">
        <w:rPr>
          <w:lang w:val="en-GB"/>
        </w:rPr>
        <w:t>Greater than or equal to</w:t>
      </w:r>
    </w:p>
    <w:p w14:paraId="2A67E3EA"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&lt; : </w:t>
      </w:r>
      <w:r w:rsidRPr="00D6403A">
        <w:rPr>
          <w:lang w:val="en-GB"/>
        </w:rPr>
        <w:t>Less than</w:t>
      </w:r>
    </w:p>
    <w:p w14:paraId="6E9F63F1"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 : </w:t>
      </w:r>
      <w:r w:rsidRPr="00D6403A">
        <w:rPr>
          <w:lang w:val="en-GB"/>
        </w:rPr>
        <w:t>Less than or equal to</w:t>
      </w:r>
    </w:p>
    <w:p w14:paraId="73CA0FE1"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Antenatal: </w:t>
      </w:r>
      <w:r w:rsidRPr="00D6403A">
        <w:rPr>
          <w:lang w:val="en-GB"/>
        </w:rPr>
        <w:t>Before birth – the period between conception and birth. Also called prenatal.</w:t>
      </w:r>
    </w:p>
    <w:p w14:paraId="29D02A58"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Apgar score: </w:t>
      </w:r>
      <w:r w:rsidRPr="00D6403A">
        <w:rPr>
          <w:lang w:val="en-GB"/>
        </w:rPr>
        <w:t>A measure of the physical condition of a baby at birth based on measures including the baby’s colour, heart rate and breathing. Scores range from 0 to 10, where a higher number is better.</w:t>
      </w:r>
    </w:p>
    <w:p w14:paraId="31F53255"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Assisted vaginal birth: </w:t>
      </w:r>
      <w:r w:rsidRPr="00D6403A">
        <w:rPr>
          <w:lang w:val="en-GB"/>
        </w:rPr>
        <w:t>Birth of a baby with forceps or vacuum. Also called instrumental birth.</w:t>
      </w:r>
    </w:p>
    <w:p w14:paraId="2698C1D8"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Caesarean section: </w:t>
      </w:r>
      <w:r w:rsidRPr="00D6403A">
        <w:rPr>
          <w:lang w:val="en-GB"/>
        </w:rPr>
        <w:t>A surgical operation in which a baby is born.</w:t>
      </w:r>
    </w:p>
    <w:p w14:paraId="4D514293"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Cardiotocography: </w:t>
      </w:r>
      <w:r w:rsidRPr="00D6403A">
        <w:rPr>
          <w:lang w:val="en-GB"/>
        </w:rPr>
        <w:t>A technique used to monitor the fetal heartbeat and uterine contractions during pregnancy and labour.</w:t>
      </w:r>
    </w:p>
    <w:p w14:paraId="4173E9B4"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Centile: </w:t>
      </w:r>
      <w:r w:rsidRPr="00D6403A">
        <w:rPr>
          <w:lang w:val="en-GB"/>
        </w:rPr>
        <w:t>A measure indicating the value below which a given percentage of observations fall. For example, the 10th centile is the value (or score) below which 10% of the observations may be found.</w:t>
      </w:r>
    </w:p>
    <w:p w14:paraId="16D9723D"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Congenital anomaly: </w:t>
      </w:r>
      <w:r w:rsidRPr="00D6403A">
        <w:rPr>
          <w:lang w:val="en-GB"/>
        </w:rPr>
        <w:t>An abnormality present in the baby at birth. Also called birth defect, congenital malformation or congenital disorder.</w:t>
      </w:r>
    </w:p>
    <w:p w14:paraId="2F004B74"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Cephalic: </w:t>
      </w:r>
      <w:r w:rsidRPr="00D6403A">
        <w:rPr>
          <w:lang w:val="en-GB"/>
        </w:rPr>
        <w:t>The presentation of a baby head-first during vaginal birth</w:t>
      </w:r>
    </w:p>
    <w:p w14:paraId="395B6AF2"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Denominator: </w:t>
      </w:r>
      <w:r w:rsidRPr="00D6403A">
        <w:rPr>
          <w:lang w:val="en-GB"/>
        </w:rPr>
        <w:t>The entire pool (or population) of women or babies included. The numerator is the group that have had the intervention or event. For example, at a particular hospital, 100 women had babies (denominator) and 20 of those had excess bleeding (numerator). The rate of excess bleeding is</w:t>
      </w:r>
      <w:r w:rsidRPr="00D6403A">
        <w:rPr>
          <w:rFonts w:ascii="Cambria" w:hAnsi="Cambria" w:cs="Cambria"/>
          <w:color w:val="000000"/>
          <w:lang w:val="en-GB"/>
        </w:rPr>
        <w:t> </w:t>
      </w:r>
      <w:r w:rsidRPr="00D6403A">
        <w:rPr>
          <w:lang w:val="en-GB"/>
        </w:rPr>
        <w:t>the</w:t>
      </w:r>
      <w:r w:rsidRPr="00D6403A">
        <w:rPr>
          <w:rFonts w:ascii="Cambria" w:hAnsi="Cambria" w:cs="Cambria"/>
          <w:color w:val="000000"/>
          <w:lang w:val="en-GB"/>
        </w:rPr>
        <w:t> </w:t>
      </w:r>
      <w:r w:rsidRPr="00D6403A">
        <w:rPr>
          <w:lang w:val="en-GB"/>
        </w:rPr>
        <w:t>numerator over the denominator, expressed as 20/100 or 20%.</w:t>
      </w:r>
    </w:p>
    <w:p w14:paraId="03229C89"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Epidural: </w:t>
      </w:r>
      <w:r w:rsidRPr="00D6403A">
        <w:rPr>
          <w:lang w:val="en-GB"/>
        </w:rPr>
        <w:t>A procedure that injects a local anaesthetic into the space around the spinal nerves in</w:t>
      </w:r>
      <w:r w:rsidRPr="00D6403A">
        <w:rPr>
          <w:rFonts w:ascii="Cambria" w:hAnsi="Cambria" w:cs="Cambria"/>
          <w:color w:val="000000"/>
          <w:lang w:val="en-GB"/>
        </w:rPr>
        <w:t> </w:t>
      </w:r>
      <w:r w:rsidRPr="00D6403A">
        <w:rPr>
          <w:lang w:val="en-GB"/>
        </w:rPr>
        <w:t>the</w:t>
      </w:r>
      <w:r w:rsidRPr="00D6403A">
        <w:rPr>
          <w:rFonts w:ascii="Cambria" w:hAnsi="Cambria" w:cs="Cambria"/>
          <w:color w:val="000000"/>
          <w:lang w:val="en-GB"/>
        </w:rPr>
        <w:t> </w:t>
      </w:r>
      <w:r w:rsidRPr="00D6403A">
        <w:rPr>
          <w:lang w:val="en-GB"/>
        </w:rPr>
        <w:t>lower back to provide pain relief.</w:t>
      </w:r>
    </w:p>
    <w:p w14:paraId="61DBE658"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Episiotomy: </w:t>
      </w:r>
      <w:r w:rsidRPr="00D6403A">
        <w:rPr>
          <w:lang w:val="en-GB"/>
        </w:rPr>
        <w:t>A surgical cut at the opening of the vagina (the perineum) during childbirth to enlarge the opening for the baby to be born to aid a difficult birth and prevent rupture of tissues (perineal tear).</w:t>
      </w:r>
    </w:p>
    <w:p w14:paraId="4C20AF1D"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FGR (fetal growth restriction):</w:t>
      </w:r>
      <w:r w:rsidRPr="00D6403A">
        <w:rPr>
          <w:lang w:val="en-GB"/>
        </w:rPr>
        <w:t xml:space="preserve"> A condition in which an unborn baby (fetus) is smaller than expected for</w:t>
      </w:r>
      <w:r w:rsidRPr="00D6403A">
        <w:rPr>
          <w:rFonts w:ascii="Cambria" w:hAnsi="Cambria" w:cs="Cambria"/>
          <w:color w:val="000000"/>
          <w:lang w:val="en-GB"/>
        </w:rPr>
        <w:t> </w:t>
      </w:r>
      <w:r w:rsidRPr="00D6403A">
        <w:rPr>
          <w:lang w:val="en-GB"/>
        </w:rPr>
        <w:t>the number of weeks of pregnancy (gestational age). Severe fetal growth restriction is birthweight below the third centile for gestational age and sex.</w:t>
      </w:r>
    </w:p>
    <w:p w14:paraId="1CEAC0A8"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Forceps birth: </w:t>
      </w:r>
      <w:r w:rsidRPr="00D6403A">
        <w:rPr>
          <w:lang w:val="en-GB"/>
        </w:rPr>
        <w:t>Assisted vaginal birth using a metal instrument on each side of the baby’s head.</w:t>
      </w:r>
    </w:p>
    <w:p w14:paraId="74EDADB1"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Fourth-degree tear: </w:t>
      </w:r>
      <w:r w:rsidRPr="00D6403A">
        <w:rPr>
          <w:lang w:val="en-GB"/>
        </w:rPr>
        <w:t>A tear of the perineum into the anal sphincter, extending into the lining of the anus.</w:t>
      </w:r>
    </w:p>
    <w:p w14:paraId="5D2D5623" w14:textId="77777777" w:rsidR="00D6403A" w:rsidRPr="00D6403A" w:rsidRDefault="00D6403A" w:rsidP="00D6403A">
      <w:pPr>
        <w:suppressAutoHyphens/>
        <w:autoSpaceDE w:val="0"/>
        <w:autoSpaceDN w:val="0"/>
        <w:adjustRightInd w:val="0"/>
        <w:spacing w:before="0" w:after="142"/>
        <w:textAlignment w:val="center"/>
        <w:rPr>
          <w:lang w:val="en-GB"/>
        </w:rPr>
      </w:pPr>
      <w:bookmarkStart w:id="97" w:name="findal"/>
      <w:bookmarkEnd w:id="97"/>
      <w:r w:rsidRPr="0099763F">
        <w:rPr>
          <w:rFonts w:cstheme="minorHAnsi"/>
          <w:b/>
        </w:rPr>
        <w:t xml:space="preserve">Fundal height: </w:t>
      </w:r>
      <w:r w:rsidRPr="00D6403A">
        <w:rPr>
          <w:lang w:val="en-GB"/>
        </w:rPr>
        <w:t>The distance between the pubic bone (the symphysis pubis) and the top of the uterus (fundus) measured with a tape measure. Also known as symphysis fundal height.</w:t>
      </w:r>
    </w:p>
    <w:p w14:paraId="2F4E59DA"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Gestation: </w:t>
      </w:r>
      <w:r w:rsidRPr="00D6403A">
        <w:rPr>
          <w:lang w:val="en-GB"/>
        </w:rPr>
        <w:t>The number of weeks of pregnancy from the first day of the mother’s last normal menstrual</w:t>
      </w:r>
      <w:r w:rsidRPr="00D6403A">
        <w:rPr>
          <w:rFonts w:ascii="Cambria" w:hAnsi="Cambria" w:cs="Cambria"/>
          <w:color w:val="000000"/>
          <w:lang w:val="en-GB"/>
        </w:rPr>
        <w:t> </w:t>
      </w:r>
      <w:r w:rsidRPr="00D6403A">
        <w:rPr>
          <w:lang w:val="en-GB"/>
        </w:rPr>
        <w:t>period.</w:t>
      </w:r>
    </w:p>
    <w:p w14:paraId="6BD9D191"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lastRenderedPageBreak/>
        <w:t xml:space="preserve">GSPMR </w:t>
      </w:r>
      <w:r w:rsidRPr="00D6403A">
        <w:rPr>
          <w:lang w:val="en-GB"/>
        </w:rPr>
        <w:t>(gestation standardised perinatal mortality rate): A measure of perinatal mortality that compares the observed perinatal mortality rate for babies born at individual hospitals with what would be expected, accounting for the gestation at birth.</w:t>
      </w:r>
    </w:p>
    <w:p w14:paraId="1E498B8F"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ICD-10-AM (International Classification of Diseases and Related Health Problems, Tenth Revision, Australian Modification): </w:t>
      </w:r>
      <w:r w:rsidRPr="00D6403A">
        <w:rPr>
          <w:lang w:val="en-GB"/>
        </w:rPr>
        <w:t xml:space="preserve">A system healthcare providers use to classify and code all diagnoses and symptoms during admitted care. </w:t>
      </w:r>
    </w:p>
    <w:p w14:paraId="067BA560"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Inborn: </w:t>
      </w:r>
      <w:r w:rsidRPr="00D6403A">
        <w:rPr>
          <w:lang w:val="en-GB"/>
        </w:rPr>
        <w:t>Baby born at the reporting hospital.</w:t>
      </w:r>
    </w:p>
    <w:p w14:paraId="5083FEBC"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Induction of labour: </w:t>
      </w:r>
      <w:r w:rsidRPr="00D6403A">
        <w:rPr>
          <w:lang w:val="en-GB"/>
        </w:rPr>
        <w:t>Artificial means to start labour. The method of induction will depend on various factors and may include medications, rupture of membranes or mechanical means such as a balloon catheter to start labour.</w:t>
      </w:r>
    </w:p>
    <w:p w14:paraId="72D0483D"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Intrapartum: </w:t>
      </w:r>
      <w:r w:rsidRPr="00D6403A">
        <w:rPr>
          <w:lang w:val="en-GB"/>
        </w:rPr>
        <w:t>During labour and birth.</w:t>
      </w:r>
    </w:p>
    <w:p w14:paraId="3B70331D"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Live birth: </w:t>
      </w:r>
      <w:r w:rsidRPr="00D6403A">
        <w:rPr>
          <w:lang w:val="en-GB"/>
        </w:rPr>
        <w:t>The birth of a baby, at any gestational age, who has breathed or shown other signs of life after</w:t>
      </w:r>
      <w:r w:rsidRPr="00D6403A">
        <w:rPr>
          <w:rFonts w:ascii="Cambria" w:hAnsi="Cambria" w:cs="Cambria"/>
          <w:color w:val="000000"/>
          <w:lang w:val="en-GB"/>
        </w:rPr>
        <w:t> </w:t>
      </w:r>
      <w:r w:rsidRPr="00D6403A">
        <w:rPr>
          <w:lang w:val="en-GB"/>
        </w:rPr>
        <w:t>birth.</w:t>
      </w:r>
    </w:p>
    <w:p w14:paraId="5A65A930"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Maternity care provider:</w:t>
      </w:r>
      <w:r w:rsidRPr="00D6403A">
        <w:rPr>
          <w:lang w:val="en-GB"/>
        </w:rPr>
        <w:t xml:space="preserve"> A clinician who provides maternity care, including doctors and midwives.</w:t>
      </w:r>
    </w:p>
    <w:p w14:paraId="0918857C" w14:textId="4FC9F0DE"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Mean: </w:t>
      </w:r>
      <w:r w:rsidRPr="00D6403A">
        <w:rPr>
          <w:lang w:val="en-GB"/>
        </w:rPr>
        <w:t>The average of a sample of numbers.</w:t>
      </w:r>
    </w:p>
    <w:p w14:paraId="0CC5A0DE"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Median: </w:t>
      </w:r>
      <w:r w:rsidRPr="00D6403A">
        <w:rPr>
          <w:lang w:val="en-GB"/>
        </w:rPr>
        <w:t>A measure of the middle value of a given list of data.</w:t>
      </w:r>
    </w:p>
    <w:p w14:paraId="14B92EAE"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Morbidity: </w:t>
      </w:r>
      <w:r w:rsidRPr="00D6403A">
        <w:rPr>
          <w:lang w:val="en-GB"/>
        </w:rPr>
        <w:t>Having a disease, a symptom of disease, or ill health, including medical problems caused by</w:t>
      </w:r>
      <w:r w:rsidRPr="00D6403A">
        <w:rPr>
          <w:rFonts w:ascii="Cambria" w:hAnsi="Cambria" w:cs="Cambria"/>
          <w:color w:val="000000"/>
          <w:lang w:val="en-GB"/>
        </w:rPr>
        <w:t> </w:t>
      </w:r>
      <w:r w:rsidRPr="00D6403A">
        <w:rPr>
          <w:lang w:val="en-GB"/>
        </w:rPr>
        <w:t>a</w:t>
      </w:r>
      <w:r w:rsidRPr="00D6403A">
        <w:rPr>
          <w:rFonts w:ascii="Cambria" w:hAnsi="Cambria" w:cs="Cambria"/>
          <w:color w:val="000000"/>
          <w:lang w:val="en-GB"/>
        </w:rPr>
        <w:t> </w:t>
      </w:r>
      <w:r w:rsidRPr="00D6403A">
        <w:rPr>
          <w:lang w:val="en-GB"/>
        </w:rPr>
        <w:t>treatment.</w:t>
      </w:r>
    </w:p>
    <w:p w14:paraId="1F408E5F"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Mortality: </w:t>
      </w:r>
      <w:r w:rsidRPr="00D6403A">
        <w:rPr>
          <w:lang w:val="en-GB"/>
        </w:rPr>
        <w:t>Term used to describe death, including death rates or the number of deaths in a certain group of people during a certain time.</w:t>
      </w:r>
    </w:p>
    <w:p w14:paraId="0AA29F18"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Neonatal: </w:t>
      </w:r>
      <w:r w:rsidRPr="00D6403A">
        <w:rPr>
          <w:lang w:val="en-GB"/>
        </w:rPr>
        <w:t>Referring to a newborn (from birth until the 28th day).</w:t>
      </w:r>
    </w:p>
    <w:p w14:paraId="1BBE0143"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Neonate: </w:t>
      </w:r>
      <w:r w:rsidRPr="00D6403A">
        <w:rPr>
          <w:lang w:val="en-GB"/>
        </w:rPr>
        <w:t>A newborn; from birth until the 28th day.</w:t>
      </w:r>
    </w:p>
    <w:p w14:paraId="63431AE4" w14:textId="112A5443"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Numerator: </w:t>
      </w:r>
      <w:r w:rsidRPr="00D6403A">
        <w:rPr>
          <w:lang w:val="en-GB"/>
        </w:rPr>
        <w:t>The group that have had the intervention or event. Refer also to ‘denominator’.</w:t>
      </w:r>
    </w:p>
    <w:p w14:paraId="206B7578"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Perinatal: </w:t>
      </w:r>
      <w:r w:rsidRPr="00D6403A">
        <w:rPr>
          <w:lang w:val="en-GB"/>
        </w:rPr>
        <w:t>The period before, during and after birth.</w:t>
      </w:r>
    </w:p>
    <w:p w14:paraId="558651DC"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Perinatal mortality: </w:t>
      </w:r>
      <w:r w:rsidRPr="00D6403A">
        <w:rPr>
          <w:lang w:val="en-GB"/>
        </w:rPr>
        <w:t>Stillbirths and neonatal deaths. Deaths between 20 weeks’ gestation and birth are referred to as stillbirths, and deaths in the first 28 days after birth are referred to as neonatal deaths.</w:t>
      </w:r>
    </w:p>
    <w:p w14:paraId="1CFF59E3"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Perineal tear: </w:t>
      </w:r>
      <w:r w:rsidRPr="00D6403A">
        <w:rPr>
          <w:lang w:val="en-GB"/>
        </w:rPr>
        <w:t>A tear of the perineum that may include the area of skin between the vagina and the anus, the vaginal mucosa and the muscles of the pelvic floor. Refer also to third-degree tear, fourth</w:t>
      </w:r>
      <w:r w:rsidRPr="00D6403A">
        <w:rPr>
          <w:rFonts w:ascii="Cambria Math" w:hAnsi="Cambria Math" w:cs="Cambria Math"/>
          <w:color w:val="000000"/>
          <w:lang w:val="en-GB"/>
        </w:rPr>
        <w:t>‑</w:t>
      </w:r>
      <w:r w:rsidRPr="00D6403A">
        <w:rPr>
          <w:lang w:val="en-GB"/>
        </w:rPr>
        <w:t>degree</w:t>
      </w:r>
      <w:r w:rsidRPr="00D6403A">
        <w:rPr>
          <w:rFonts w:ascii="Cambria" w:hAnsi="Cambria" w:cs="Cambria"/>
          <w:color w:val="000000"/>
          <w:lang w:val="en-GB"/>
        </w:rPr>
        <w:t> </w:t>
      </w:r>
      <w:r w:rsidRPr="00D6403A">
        <w:rPr>
          <w:lang w:val="en-GB"/>
        </w:rPr>
        <w:t>tear.</w:t>
      </w:r>
    </w:p>
    <w:p w14:paraId="0B2821B3"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Postnatal/puerperium: </w:t>
      </w:r>
      <w:r w:rsidRPr="00D6403A">
        <w:rPr>
          <w:lang w:val="en-GB"/>
        </w:rPr>
        <w:t>The 6-week period after birth.</w:t>
      </w:r>
    </w:p>
    <w:p w14:paraId="1DA18767"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PPH</w:t>
      </w:r>
      <w:r w:rsidRPr="00D6403A">
        <w:rPr>
          <w:lang w:val="en-GB"/>
        </w:rPr>
        <w:t xml:space="preserve"> (postpartum haemorrhage): Blood loss of more than 500 mL or severe PPH, which is blood loss more than 1,500 mL. A primary PPH occurs in the first 24 hours after childbirth. A secondary PPH is when blood loss occurs after 24 hours and up to 6 weeks following childbirth.</w:t>
      </w:r>
    </w:p>
    <w:p w14:paraId="58D436CF"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Prenatal: </w:t>
      </w:r>
      <w:r w:rsidRPr="00D6403A">
        <w:rPr>
          <w:lang w:val="en-GB"/>
        </w:rPr>
        <w:t>Before birth – the period between conception and birth. Also called antenatal.</w:t>
      </w:r>
    </w:p>
    <w:p w14:paraId="60478C79"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Pre-term: </w:t>
      </w:r>
      <w:r w:rsidRPr="00D6403A">
        <w:rPr>
          <w:lang w:val="en-GB"/>
        </w:rPr>
        <w:t>Prior to 37 weeks’ gestation.</w:t>
      </w:r>
    </w:p>
    <w:p w14:paraId="33E4DFAA" w14:textId="1FEF3920"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lastRenderedPageBreak/>
        <w:t xml:space="preserve">Primipara/primiparae: </w:t>
      </w:r>
      <w:r w:rsidRPr="00D6403A">
        <w:rPr>
          <w:lang w:val="en-GB"/>
        </w:rPr>
        <w:t>A woman/women who has given or is giving birth for the first time.</w:t>
      </w:r>
    </w:p>
    <w:p w14:paraId="6E655133"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Qualified neonate: </w:t>
      </w:r>
      <w:r w:rsidRPr="00D6403A">
        <w:rPr>
          <w:lang w:val="en-GB"/>
        </w:rPr>
        <w:t>An infant who is the second or subsequent live born infant of a multiple birth, whose mother is currently an admitted patient; or who is admitted to a neonatal unit in a hospital; or who is admitted to, or remains in, hospital without their mother.</w:t>
      </w:r>
    </w:p>
    <w:p w14:paraId="3FE90691"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Robson classification system: </w:t>
      </w:r>
      <w:r w:rsidRPr="00D6403A">
        <w:rPr>
          <w:lang w:val="en-GB"/>
        </w:rPr>
        <w:t>A global standard for assessing, monitoring and comparing caesarean section rates for 10 groups of women based on obstetric characteristics. The system can be used to compare outcomes in different health services with different population demographics (refer to Appendix 4).</w:t>
      </w:r>
    </w:p>
    <w:p w14:paraId="69ADB806"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Robson group 1:</w:t>
      </w:r>
      <w:r w:rsidRPr="00D6403A">
        <w:rPr>
          <w:lang w:val="en-GB"/>
        </w:rPr>
        <w:t xml:space="preserve"> Includes women giving birth for the first time, with a singleton cephalic pregnancy, at</w:t>
      </w:r>
      <w:r w:rsidRPr="00D6403A">
        <w:rPr>
          <w:rFonts w:ascii="Cambria" w:hAnsi="Cambria" w:cs="Cambria"/>
          <w:color w:val="000000"/>
          <w:lang w:val="en-GB"/>
        </w:rPr>
        <w:t> </w:t>
      </w:r>
      <w:r w:rsidRPr="00D6403A">
        <w:rPr>
          <w:lang w:val="en-GB"/>
        </w:rPr>
        <w:t>greater than or equal to 37 weeks’ gestation in spontaneous labour who have a caesarean section (refer to Appendix 4).</w:t>
      </w:r>
    </w:p>
    <w:p w14:paraId="4879A5BB"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Robson group 2 (modified):</w:t>
      </w:r>
      <w:r w:rsidRPr="00D6403A">
        <w:rPr>
          <w:lang w:val="en-GB"/>
        </w:rPr>
        <w:t xml:space="preserve"> Includes women giving birth for the first time, with a singleton cephalic pregnancy, at greater than or equal to 37 weeks’ gestation, who had labour induced and who have a caesarean section. Modified Robson group 2 excludes pre-labour caesareans, which are included in the standard Robson group 2 (refer to Appendix 4).</w:t>
      </w:r>
    </w:p>
    <w:p w14:paraId="7DD7D1D1"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Singleton pregnancy: </w:t>
      </w:r>
      <w:r w:rsidRPr="00D6403A">
        <w:rPr>
          <w:lang w:val="en-GB"/>
        </w:rPr>
        <w:t>Pregnancy with one fetus (baby), as opposed to twins, triplets, etc.</w:t>
      </w:r>
    </w:p>
    <w:p w14:paraId="5B994BCA" w14:textId="77777777" w:rsidR="00D6403A" w:rsidRPr="00D6403A" w:rsidRDefault="00D6403A" w:rsidP="00D6403A">
      <w:pPr>
        <w:suppressAutoHyphens/>
        <w:autoSpaceDE w:val="0"/>
        <w:autoSpaceDN w:val="0"/>
        <w:adjustRightInd w:val="0"/>
        <w:spacing w:before="0" w:after="142"/>
        <w:textAlignment w:val="center"/>
        <w:rPr>
          <w:lang w:val="en-GB"/>
        </w:rPr>
      </w:pPr>
      <w:bookmarkStart w:id="98" w:name="primipara"/>
      <w:bookmarkEnd w:id="98"/>
      <w:r w:rsidRPr="0099763F">
        <w:rPr>
          <w:rFonts w:cstheme="minorHAnsi"/>
          <w:b/>
        </w:rPr>
        <w:t xml:space="preserve">Standard primipara: </w:t>
      </w:r>
      <w:r w:rsidRPr="00D6403A">
        <w:rPr>
          <w:lang w:val="en-GB"/>
        </w:rPr>
        <w:t>A woman, 20 to 39 years of age, free of obstetric and specified medical complications (pre-existing hypertension, diabetes, cardiac disease, BMI &lt; 40 kg/m</w:t>
      </w:r>
      <w:r w:rsidRPr="00D6403A">
        <w:rPr>
          <w:rFonts w:ascii="VIC" w:hAnsi="VIC" w:cs="VIC"/>
          <w:color w:val="000000"/>
          <w:vertAlign w:val="superscript"/>
          <w:lang w:val="en-GB"/>
        </w:rPr>
        <w:t>2</w:t>
      </w:r>
      <w:r w:rsidRPr="00D6403A">
        <w:rPr>
          <w:lang w:val="en-GB"/>
        </w:rPr>
        <w:t xml:space="preserve"> or serious psychiatric conditions), giving birth for the first time with a singleton pregnancy between 37 and 40</w:t>
      </w:r>
      <w:r w:rsidRPr="00D6403A">
        <w:rPr>
          <w:rFonts w:ascii="Cambria" w:hAnsi="Cambria" w:cs="Cambria"/>
          <w:color w:val="000000"/>
          <w:lang w:val="en-GB"/>
        </w:rPr>
        <w:t> </w:t>
      </w:r>
      <w:r w:rsidRPr="00D6403A">
        <w:rPr>
          <w:lang w:val="en-GB"/>
        </w:rPr>
        <w:t>weeks’ completed gestation (259–286 days), with a non-small for gestational age (greater than 10th</w:t>
      </w:r>
      <w:r w:rsidRPr="00D6403A">
        <w:rPr>
          <w:rFonts w:ascii="Cambria" w:hAnsi="Cambria" w:cs="Cambria"/>
          <w:color w:val="000000"/>
          <w:lang w:val="en-GB"/>
        </w:rPr>
        <w:t> </w:t>
      </w:r>
      <w:r w:rsidRPr="00D6403A">
        <w:rPr>
          <w:lang w:val="en-GB"/>
        </w:rPr>
        <w:t>centile) infant and a cephalic presentation.</w:t>
      </w:r>
    </w:p>
    <w:p w14:paraId="22FD70CE"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Term infant/baby: </w:t>
      </w:r>
      <w:r w:rsidRPr="00D6403A">
        <w:rPr>
          <w:lang w:val="en-GB"/>
        </w:rPr>
        <w:t>An infant born between 37 and 42 weeks’ gestation (259–283 days).</w:t>
      </w:r>
    </w:p>
    <w:p w14:paraId="6FDD624E"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Third-degree tear: </w:t>
      </w:r>
      <w:r w:rsidRPr="00D6403A">
        <w:rPr>
          <w:lang w:val="en-GB"/>
        </w:rPr>
        <w:t>A tear of the perineum into the anal sphincter that does not extend to the lining of</w:t>
      </w:r>
      <w:r w:rsidRPr="00D6403A">
        <w:rPr>
          <w:rFonts w:ascii="Cambria" w:hAnsi="Cambria" w:cs="Cambria"/>
          <w:color w:val="000000"/>
          <w:lang w:val="en-GB"/>
        </w:rPr>
        <w:t> </w:t>
      </w:r>
      <w:r w:rsidRPr="00D6403A">
        <w:rPr>
          <w:lang w:val="en-GB"/>
        </w:rPr>
        <w:t>the</w:t>
      </w:r>
      <w:r w:rsidRPr="00D6403A">
        <w:rPr>
          <w:rFonts w:ascii="Cambria" w:hAnsi="Cambria" w:cs="Cambria"/>
          <w:color w:val="000000"/>
          <w:lang w:val="en-GB"/>
        </w:rPr>
        <w:t> </w:t>
      </w:r>
      <w:r w:rsidRPr="00D6403A">
        <w:rPr>
          <w:lang w:val="en-GB"/>
        </w:rPr>
        <w:t>anus.</w:t>
      </w:r>
    </w:p>
    <w:p w14:paraId="1B113184"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Unqualified neonate: </w:t>
      </w:r>
      <w:r w:rsidRPr="00D6403A">
        <w:rPr>
          <w:lang w:val="en-GB"/>
        </w:rPr>
        <w:t>A neonate who does not meet at least one of the criteria of a qualified neonate.</w:t>
      </w:r>
    </w:p>
    <w:p w14:paraId="7DA54D12"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Vacuum birth: </w:t>
      </w:r>
      <w:r w:rsidRPr="00D6403A">
        <w:rPr>
          <w:lang w:val="en-GB"/>
        </w:rPr>
        <w:t>Assisted vaginal birth with a suction cup on the baby’s head.</w:t>
      </w:r>
    </w:p>
    <w:p w14:paraId="498AAD9D"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VAED: </w:t>
      </w:r>
      <w:r w:rsidRPr="00D6403A">
        <w:rPr>
          <w:lang w:val="en-GB"/>
        </w:rPr>
        <w:t>Victorian Admitted Episodes Dataset.</w:t>
      </w:r>
    </w:p>
    <w:p w14:paraId="68334676"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Vaginal birth: </w:t>
      </w:r>
      <w:r w:rsidRPr="00D6403A">
        <w:rPr>
          <w:lang w:val="en-GB"/>
        </w:rPr>
        <w:t>A birth of a baby through the vagina.</w:t>
      </w:r>
    </w:p>
    <w:p w14:paraId="12230253" w14:textId="77777777" w:rsidR="00D6403A" w:rsidRPr="00D6403A" w:rsidRDefault="00D6403A" w:rsidP="00D6403A">
      <w:pPr>
        <w:suppressAutoHyphens/>
        <w:autoSpaceDE w:val="0"/>
        <w:autoSpaceDN w:val="0"/>
        <w:adjustRightInd w:val="0"/>
        <w:spacing w:before="0" w:after="142"/>
        <w:textAlignment w:val="center"/>
        <w:rPr>
          <w:rFonts w:ascii="VIC" w:hAnsi="VIC" w:cs="VIC"/>
          <w:color w:val="000000"/>
          <w:spacing w:val="-3"/>
          <w:lang w:val="en-GB"/>
        </w:rPr>
      </w:pPr>
      <w:r w:rsidRPr="00D6403A">
        <w:rPr>
          <w:rFonts w:ascii="VIC SemiBold" w:hAnsi="VIC SemiBold" w:cs="VIC SemiBold"/>
          <w:b/>
          <w:bCs/>
          <w:color w:val="000000"/>
          <w:spacing w:val="-3"/>
          <w:lang w:val="en-GB"/>
        </w:rPr>
        <w:t>VBAC</w:t>
      </w:r>
      <w:r w:rsidRPr="00D6403A">
        <w:rPr>
          <w:rFonts w:ascii="VIC" w:hAnsi="VIC" w:cs="VIC"/>
          <w:color w:val="000000"/>
          <w:spacing w:val="-3"/>
          <w:lang w:val="en-GB"/>
        </w:rPr>
        <w:t xml:space="preserve"> (vaginal birth after caesarean): A woman who has a vaginal birth following a caesarean section birth.</w:t>
      </w:r>
    </w:p>
    <w:p w14:paraId="641CDB61"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Vertex:</w:t>
      </w:r>
      <w:r w:rsidRPr="00D6403A">
        <w:rPr>
          <w:lang w:val="en-GB"/>
        </w:rPr>
        <w:t xml:space="preserve"> A baby born by vaginal birth presenting headfirst with chin tucked in.</w:t>
      </w:r>
    </w:p>
    <w:p w14:paraId="4218FF0A" w14:textId="77777777" w:rsidR="00D6403A" w:rsidRPr="00D6403A" w:rsidRDefault="00D6403A" w:rsidP="00D6403A">
      <w:pPr>
        <w:suppressAutoHyphens/>
        <w:autoSpaceDE w:val="0"/>
        <w:autoSpaceDN w:val="0"/>
        <w:adjustRightInd w:val="0"/>
        <w:spacing w:before="0" w:after="142"/>
        <w:textAlignment w:val="center"/>
        <w:rPr>
          <w:lang w:val="en-GB"/>
        </w:rPr>
      </w:pPr>
      <w:r w:rsidRPr="0099763F">
        <w:rPr>
          <w:rFonts w:cstheme="minorHAnsi"/>
          <w:b/>
        </w:rPr>
        <w:t xml:space="preserve">VHES: </w:t>
      </w:r>
      <w:r w:rsidRPr="00D6403A">
        <w:rPr>
          <w:lang w:val="en-GB"/>
        </w:rPr>
        <w:t>Victorian Healthcare Experience Survey.</w:t>
      </w:r>
    </w:p>
    <w:p w14:paraId="53FD0490" w14:textId="77777777" w:rsidR="00D6403A" w:rsidRPr="00D6403A" w:rsidRDefault="00D6403A" w:rsidP="00005134">
      <w:pPr>
        <w:rPr>
          <w:lang w:val="en-GB"/>
        </w:rPr>
      </w:pPr>
      <w:r w:rsidRPr="0099763F">
        <w:rPr>
          <w:rFonts w:cstheme="minorHAnsi"/>
          <w:b/>
        </w:rPr>
        <w:t xml:space="preserve">VPDC: </w:t>
      </w:r>
      <w:r w:rsidRPr="00D6403A">
        <w:rPr>
          <w:lang w:val="en-GB"/>
        </w:rPr>
        <w:t>Victorian Perinatal Data Collection.</w:t>
      </w:r>
    </w:p>
    <w:p w14:paraId="3B6FC624" w14:textId="77777777" w:rsidR="00E85642" w:rsidRDefault="00E85642" w:rsidP="004C6CA0">
      <w:pPr>
        <w:pStyle w:val="Heading2"/>
        <w:rPr>
          <w:lang w:val="en-GB"/>
        </w:rPr>
        <w:sectPr w:rsidR="00E85642" w:rsidSect="004D6F5F">
          <w:pgSz w:w="11901" w:h="16817" w:code="9"/>
          <w:pgMar w:top="3402" w:right="851" w:bottom="1361" w:left="851" w:header="539" w:footer="624" w:gutter="0"/>
          <w:cols w:space="284"/>
          <w:docGrid w:linePitch="360" w:charSpace="46114"/>
        </w:sectPr>
      </w:pPr>
      <w:bookmarkStart w:id="99" w:name="_Toc159326654"/>
    </w:p>
    <w:p w14:paraId="2CA4F1AA" w14:textId="28CF800A" w:rsidR="00D6403A" w:rsidRPr="00D6403A" w:rsidRDefault="00D6403A" w:rsidP="00E85642">
      <w:pPr>
        <w:pStyle w:val="Heading1"/>
        <w:framePr w:wrap="around"/>
        <w:rPr>
          <w:lang w:val="en-GB"/>
        </w:rPr>
      </w:pPr>
      <w:r w:rsidRPr="00D6403A">
        <w:rPr>
          <w:lang w:val="en-GB"/>
        </w:rPr>
        <w:lastRenderedPageBreak/>
        <w:t xml:space="preserve">Appendix 6: </w:t>
      </w:r>
      <w:r w:rsidRPr="004C6CA0">
        <w:t>Australian</w:t>
      </w:r>
      <w:r w:rsidRPr="00D6403A">
        <w:rPr>
          <w:lang w:val="en-GB"/>
        </w:rPr>
        <w:t xml:space="preserve"> birthweight tables</w:t>
      </w:r>
      <w:bookmarkEnd w:id="99"/>
      <w:r w:rsidRPr="00D6403A">
        <w:rPr>
          <w:lang w:val="en-GB"/>
        </w:rPr>
        <w:t xml:space="preserve"> </w:t>
      </w:r>
    </w:p>
    <w:p w14:paraId="474987DD" w14:textId="77777777" w:rsidR="00D6403A" w:rsidRPr="00D6403A" w:rsidRDefault="00D6403A" w:rsidP="00887B5A">
      <w:pPr>
        <w:pStyle w:val="Tablechartdiagramheading"/>
        <w:rPr>
          <w:lang w:val="en-GB"/>
        </w:rPr>
      </w:pPr>
      <w:r w:rsidRPr="00D6403A">
        <w:rPr>
          <w:lang w:val="en-GB"/>
        </w:rPr>
        <w:t>Table 27. Birthweight percentiles for live singleton male infants, Australia, 2004 to 2013</w:t>
      </w:r>
    </w:p>
    <w:tbl>
      <w:tblPr>
        <w:tblStyle w:val="TableGrid"/>
        <w:tblW w:w="0" w:type="auto"/>
        <w:tblLayout w:type="fixed"/>
        <w:tblLook w:val="0020" w:firstRow="1" w:lastRow="0" w:firstColumn="0" w:lastColumn="0" w:noHBand="0" w:noVBand="0"/>
      </w:tblPr>
      <w:tblGrid>
        <w:gridCol w:w="1318"/>
        <w:gridCol w:w="808"/>
        <w:gridCol w:w="808"/>
        <w:gridCol w:w="808"/>
        <w:gridCol w:w="808"/>
        <w:gridCol w:w="807"/>
        <w:gridCol w:w="808"/>
        <w:gridCol w:w="808"/>
        <w:gridCol w:w="808"/>
        <w:gridCol w:w="808"/>
        <w:gridCol w:w="808"/>
        <w:gridCol w:w="808"/>
      </w:tblGrid>
      <w:tr w:rsidR="00D6403A" w:rsidRPr="00D6403A" w14:paraId="704810E4" w14:textId="77777777" w:rsidTr="00E8564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318" w:type="dxa"/>
            <w:vMerge w:val="restart"/>
          </w:tcPr>
          <w:p w14:paraId="6AEDF855" w14:textId="77777777" w:rsidR="00D6403A" w:rsidRPr="00E85642" w:rsidRDefault="00D6403A" w:rsidP="00E85642">
            <w:pPr>
              <w:pStyle w:val="Tableheader"/>
              <w:rPr>
                <w:b/>
                <w:lang w:val="en-GB"/>
              </w:rPr>
            </w:pPr>
            <w:r w:rsidRPr="00E85642">
              <w:rPr>
                <w:b/>
                <w:lang w:val="en-GB"/>
              </w:rPr>
              <w:t>Gestational age (weeks)</w:t>
            </w:r>
          </w:p>
        </w:tc>
        <w:tc>
          <w:tcPr>
            <w:cnfStyle w:val="000001000000" w:firstRow="0" w:lastRow="0" w:firstColumn="0" w:lastColumn="0" w:oddVBand="0" w:evenVBand="1" w:oddHBand="0" w:evenHBand="0" w:firstRowFirstColumn="0" w:firstRowLastColumn="0" w:lastRowFirstColumn="0" w:lastRowLastColumn="0"/>
            <w:tcW w:w="8887" w:type="dxa"/>
            <w:gridSpan w:val="11"/>
          </w:tcPr>
          <w:p w14:paraId="465CC6EB" w14:textId="77777777" w:rsidR="00D6403A" w:rsidRPr="00E85642" w:rsidRDefault="00D6403A" w:rsidP="00E85642">
            <w:pPr>
              <w:pStyle w:val="Tableheader"/>
              <w:jc w:val="center"/>
              <w:rPr>
                <w:b/>
                <w:lang w:val="en-GB"/>
              </w:rPr>
            </w:pPr>
            <w:r w:rsidRPr="00E85642">
              <w:rPr>
                <w:b/>
                <w:lang w:val="en-GB"/>
              </w:rPr>
              <w:t>Birthweight percentile (g)</w:t>
            </w:r>
          </w:p>
        </w:tc>
      </w:tr>
      <w:tr w:rsidR="00D6403A" w:rsidRPr="00D6403A" w14:paraId="75270014" w14:textId="77777777" w:rsidTr="00E8564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318" w:type="dxa"/>
            <w:vMerge/>
          </w:tcPr>
          <w:p w14:paraId="17BCEDC5" w14:textId="77777777" w:rsidR="00D6403A" w:rsidRPr="00E85642" w:rsidRDefault="00D6403A" w:rsidP="00E85642">
            <w:pPr>
              <w:pStyle w:val="Tableheader"/>
              <w:rPr>
                <w:b/>
                <w:sz w:val="24"/>
                <w:szCs w:val="24"/>
                <w:lang w:val="en-US"/>
              </w:rPr>
            </w:pPr>
          </w:p>
        </w:tc>
        <w:tc>
          <w:tcPr>
            <w:cnfStyle w:val="000001000000" w:firstRow="0" w:lastRow="0" w:firstColumn="0" w:lastColumn="0" w:oddVBand="0" w:evenVBand="1" w:oddHBand="0" w:evenHBand="0" w:firstRowFirstColumn="0" w:firstRowLastColumn="0" w:lastRowFirstColumn="0" w:lastRowLastColumn="0"/>
            <w:tcW w:w="808" w:type="dxa"/>
          </w:tcPr>
          <w:p w14:paraId="45FA6A9E" w14:textId="77777777" w:rsidR="00D6403A" w:rsidRPr="00E85642" w:rsidRDefault="00D6403A" w:rsidP="00E85642">
            <w:pPr>
              <w:pStyle w:val="Tableheader"/>
              <w:jc w:val="center"/>
              <w:rPr>
                <w:b/>
                <w:lang w:val="en-GB"/>
              </w:rPr>
            </w:pPr>
            <w:r w:rsidRPr="00E85642">
              <w:rPr>
                <w:b/>
                <w:lang w:val="en-GB"/>
              </w:rPr>
              <w:t>1st</w:t>
            </w:r>
          </w:p>
        </w:tc>
        <w:tc>
          <w:tcPr>
            <w:cnfStyle w:val="000010000000" w:firstRow="0" w:lastRow="0" w:firstColumn="0" w:lastColumn="0" w:oddVBand="1" w:evenVBand="0" w:oddHBand="0" w:evenHBand="0" w:firstRowFirstColumn="0" w:firstRowLastColumn="0" w:lastRowFirstColumn="0" w:lastRowLastColumn="0"/>
            <w:tcW w:w="808" w:type="dxa"/>
          </w:tcPr>
          <w:p w14:paraId="32D91740" w14:textId="77777777" w:rsidR="00D6403A" w:rsidRPr="00E85642" w:rsidRDefault="00D6403A" w:rsidP="00E85642">
            <w:pPr>
              <w:pStyle w:val="Tableheader"/>
              <w:jc w:val="center"/>
              <w:rPr>
                <w:b/>
                <w:lang w:val="en-GB"/>
              </w:rPr>
            </w:pPr>
            <w:r w:rsidRPr="00E85642">
              <w:rPr>
                <w:b/>
                <w:lang w:val="en-GB"/>
              </w:rPr>
              <w:t>3rd</w:t>
            </w:r>
          </w:p>
        </w:tc>
        <w:tc>
          <w:tcPr>
            <w:cnfStyle w:val="000001000000" w:firstRow="0" w:lastRow="0" w:firstColumn="0" w:lastColumn="0" w:oddVBand="0" w:evenVBand="1" w:oddHBand="0" w:evenHBand="0" w:firstRowFirstColumn="0" w:firstRowLastColumn="0" w:lastRowFirstColumn="0" w:lastRowLastColumn="0"/>
            <w:tcW w:w="808" w:type="dxa"/>
          </w:tcPr>
          <w:p w14:paraId="4D5DC2A6" w14:textId="77777777" w:rsidR="00D6403A" w:rsidRPr="00E85642" w:rsidRDefault="00D6403A" w:rsidP="00E85642">
            <w:pPr>
              <w:pStyle w:val="Tableheader"/>
              <w:jc w:val="center"/>
              <w:rPr>
                <w:b/>
                <w:lang w:val="en-GB"/>
              </w:rPr>
            </w:pPr>
            <w:r w:rsidRPr="00E85642">
              <w:rPr>
                <w:b/>
                <w:lang w:val="en-GB"/>
              </w:rPr>
              <w:t>5th</w:t>
            </w:r>
          </w:p>
        </w:tc>
        <w:tc>
          <w:tcPr>
            <w:cnfStyle w:val="000010000000" w:firstRow="0" w:lastRow="0" w:firstColumn="0" w:lastColumn="0" w:oddVBand="1" w:evenVBand="0" w:oddHBand="0" w:evenHBand="0" w:firstRowFirstColumn="0" w:firstRowLastColumn="0" w:lastRowFirstColumn="0" w:lastRowLastColumn="0"/>
            <w:tcW w:w="808" w:type="dxa"/>
          </w:tcPr>
          <w:p w14:paraId="21013053" w14:textId="77777777" w:rsidR="00D6403A" w:rsidRPr="00E85642" w:rsidRDefault="00D6403A" w:rsidP="00E85642">
            <w:pPr>
              <w:pStyle w:val="Tableheader"/>
              <w:jc w:val="center"/>
              <w:rPr>
                <w:b/>
                <w:lang w:val="en-GB"/>
              </w:rPr>
            </w:pPr>
            <w:r w:rsidRPr="00E85642">
              <w:rPr>
                <w:b/>
                <w:lang w:val="en-GB"/>
              </w:rPr>
              <w:t>10th</w:t>
            </w:r>
          </w:p>
        </w:tc>
        <w:tc>
          <w:tcPr>
            <w:cnfStyle w:val="000001000000" w:firstRow="0" w:lastRow="0" w:firstColumn="0" w:lastColumn="0" w:oddVBand="0" w:evenVBand="1" w:oddHBand="0" w:evenHBand="0" w:firstRowFirstColumn="0" w:firstRowLastColumn="0" w:lastRowFirstColumn="0" w:lastRowLastColumn="0"/>
            <w:tcW w:w="807" w:type="dxa"/>
          </w:tcPr>
          <w:p w14:paraId="45A7A7B5" w14:textId="77777777" w:rsidR="00D6403A" w:rsidRPr="00E85642" w:rsidRDefault="00D6403A" w:rsidP="00E85642">
            <w:pPr>
              <w:pStyle w:val="Tableheader"/>
              <w:jc w:val="center"/>
              <w:rPr>
                <w:b/>
                <w:lang w:val="en-GB"/>
              </w:rPr>
            </w:pPr>
            <w:r w:rsidRPr="00E85642">
              <w:rPr>
                <w:b/>
                <w:lang w:val="en-GB"/>
              </w:rPr>
              <w:t>25th</w:t>
            </w:r>
          </w:p>
        </w:tc>
        <w:tc>
          <w:tcPr>
            <w:cnfStyle w:val="000010000000" w:firstRow="0" w:lastRow="0" w:firstColumn="0" w:lastColumn="0" w:oddVBand="1" w:evenVBand="0" w:oddHBand="0" w:evenHBand="0" w:firstRowFirstColumn="0" w:firstRowLastColumn="0" w:lastRowFirstColumn="0" w:lastRowLastColumn="0"/>
            <w:tcW w:w="808" w:type="dxa"/>
          </w:tcPr>
          <w:p w14:paraId="4BD9B680" w14:textId="77777777" w:rsidR="00D6403A" w:rsidRPr="00E85642" w:rsidRDefault="00D6403A" w:rsidP="00E85642">
            <w:pPr>
              <w:pStyle w:val="Tableheader"/>
              <w:jc w:val="center"/>
              <w:rPr>
                <w:b/>
                <w:lang w:val="en-GB"/>
              </w:rPr>
            </w:pPr>
            <w:r w:rsidRPr="00E85642">
              <w:rPr>
                <w:b/>
                <w:lang w:val="en-GB"/>
              </w:rPr>
              <w:t>50th</w:t>
            </w:r>
          </w:p>
        </w:tc>
        <w:tc>
          <w:tcPr>
            <w:cnfStyle w:val="000001000000" w:firstRow="0" w:lastRow="0" w:firstColumn="0" w:lastColumn="0" w:oddVBand="0" w:evenVBand="1" w:oddHBand="0" w:evenHBand="0" w:firstRowFirstColumn="0" w:firstRowLastColumn="0" w:lastRowFirstColumn="0" w:lastRowLastColumn="0"/>
            <w:tcW w:w="808" w:type="dxa"/>
          </w:tcPr>
          <w:p w14:paraId="7A3B2DFA" w14:textId="77777777" w:rsidR="00D6403A" w:rsidRPr="00E85642" w:rsidRDefault="00D6403A" w:rsidP="00E85642">
            <w:pPr>
              <w:pStyle w:val="Tableheader"/>
              <w:jc w:val="center"/>
              <w:rPr>
                <w:b/>
                <w:lang w:val="en-GB"/>
              </w:rPr>
            </w:pPr>
            <w:r w:rsidRPr="00E85642">
              <w:rPr>
                <w:b/>
                <w:lang w:val="en-GB"/>
              </w:rPr>
              <w:t>75th</w:t>
            </w:r>
          </w:p>
        </w:tc>
        <w:tc>
          <w:tcPr>
            <w:cnfStyle w:val="000010000000" w:firstRow="0" w:lastRow="0" w:firstColumn="0" w:lastColumn="0" w:oddVBand="1" w:evenVBand="0" w:oddHBand="0" w:evenHBand="0" w:firstRowFirstColumn="0" w:firstRowLastColumn="0" w:lastRowFirstColumn="0" w:lastRowLastColumn="0"/>
            <w:tcW w:w="808" w:type="dxa"/>
          </w:tcPr>
          <w:p w14:paraId="4B5FDC16" w14:textId="77777777" w:rsidR="00D6403A" w:rsidRPr="00E85642" w:rsidRDefault="00D6403A" w:rsidP="00E85642">
            <w:pPr>
              <w:pStyle w:val="Tableheader"/>
              <w:jc w:val="center"/>
              <w:rPr>
                <w:b/>
                <w:lang w:val="en-GB"/>
              </w:rPr>
            </w:pPr>
            <w:r w:rsidRPr="00E85642">
              <w:rPr>
                <w:b/>
                <w:lang w:val="en-GB"/>
              </w:rPr>
              <w:t>90th</w:t>
            </w:r>
          </w:p>
        </w:tc>
        <w:tc>
          <w:tcPr>
            <w:cnfStyle w:val="000001000000" w:firstRow="0" w:lastRow="0" w:firstColumn="0" w:lastColumn="0" w:oddVBand="0" w:evenVBand="1" w:oddHBand="0" w:evenHBand="0" w:firstRowFirstColumn="0" w:firstRowLastColumn="0" w:lastRowFirstColumn="0" w:lastRowLastColumn="0"/>
            <w:tcW w:w="808" w:type="dxa"/>
          </w:tcPr>
          <w:p w14:paraId="378B1308" w14:textId="77777777" w:rsidR="00D6403A" w:rsidRPr="00E85642" w:rsidRDefault="00D6403A" w:rsidP="00E85642">
            <w:pPr>
              <w:pStyle w:val="Tableheader"/>
              <w:jc w:val="center"/>
              <w:rPr>
                <w:b/>
                <w:lang w:val="en-GB"/>
              </w:rPr>
            </w:pPr>
            <w:r w:rsidRPr="00E85642">
              <w:rPr>
                <w:b/>
                <w:lang w:val="en-GB"/>
              </w:rPr>
              <w:t>95th</w:t>
            </w:r>
          </w:p>
        </w:tc>
        <w:tc>
          <w:tcPr>
            <w:cnfStyle w:val="000010000000" w:firstRow="0" w:lastRow="0" w:firstColumn="0" w:lastColumn="0" w:oddVBand="1" w:evenVBand="0" w:oddHBand="0" w:evenHBand="0" w:firstRowFirstColumn="0" w:firstRowLastColumn="0" w:lastRowFirstColumn="0" w:lastRowLastColumn="0"/>
            <w:tcW w:w="808" w:type="dxa"/>
          </w:tcPr>
          <w:p w14:paraId="6D65E7FB" w14:textId="77777777" w:rsidR="00D6403A" w:rsidRPr="00E85642" w:rsidRDefault="00D6403A" w:rsidP="00E85642">
            <w:pPr>
              <w:pStyle w:val="Tableheader"/>
              <w:jc w:val="center"/>
              <w:rPr>
                <w:b/>
                <w:lang w:val="en-GB"/>
              </w:rPr>
            </w:pPr>
            <w:r w:rsidRPr="00E85642">
              <w:rPr>
                <w:b/>
                <w:lang w:val="en-GB"/>
              </w:rPr>
              <w:t>97th</w:t>
            </w:r>
          </w:p>
        </w:tc>
        <w:tc>
          <w:tcPr>
            <w:cnfStyle w:val="000001000000" w:firstRow="0" w:lastRow="0" w:firstColumn="0" w:lastColumn="0" w:oddVBand="0" w:evenVBand="1" w:oddHBand="0" w:evenHBand="0" w:firstRowFirstColumn="0" w:firstRowLastColumn="0" w:lastRowFirstColumn="0" w:lastRowLastColumn="0"/>
            <w:tcW w:w="808" w:type="dxa"/>
          </w:tcPr>
          <w:p w14:paraId="79816C5C" w14:textId="77777777" w:rsidR="00D6403A" w:rsidRPr="00E85642" w:rsidRDefault="00D6403A" w:rsidP="00E85642">
            <w:pPr>
              <w:pStyle w:val="Tableheader"/>
              <w:jc w:val="center"/>
              <w:rPr>
                <w:b/>
                <w:lang w:val="en-GB"/>
              </w:rPr>
            </w:pPr>
            <w:r w:rsidRPr="00E85642">
              <w:rPr>
                <w:b/>
                <w:lang w:val="en-GB"/>
              </w:rPr>
              <w:t>99th</w:t>
            </w:r>
          </w:p>
        </w:tc>
      </w:tr>
      <w:tr w:rsidR="00D6403A" w:rsidRPr="00D6403A" w14:paraId="4F5B2869"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743AE670" w14:textId="77777777" w:rsidR="00D6403A" w:rsidRPr="00E85642" w:rsidRDefault="00D6403A" w:rsidP="00E85642">
            <w:pPr>
              <w:pStyle w:val="Tabletext"/>
              <w:jc w:val="left"/>
              <w:rPr>
                <w:rFonts w:ascii="VIC" w:hAnsi="VIC" w:cs="VIC"/>
                <w:b/>
                <w:lang w:val="en-US"/>
              </w:rPr>
            </w:pPr>
            <w:r w:rsidRPr="00E85642">
              <w:rPr>
                <w:b/>
                <w:lang w:val="en-US"/>
              </w:rPr>
              <w:t>32</w:t>
            </w:r>
          </w:p>
        </w:tc>
        <w:tc>
          <w:tcPr>
            <w:cnfStyle w:val="000001000000" w:firstRow="0" w:lastRow="0" w:firstColumn="0" w:lastColumn="0" w:oddVBand="0" w:evenVBand="1" w:oddHBand="0" w:evenHBand="0" w:firstRowFirstColumn="0" w:firstRowLastColumn="0" w:lastRowFirstColumn="0" w:lastRowLastColumn="0"/>
            <w:tcW w:w="808" w:type="dxa"/>
          </w:tcPr>
          <w:p w14:paraId="12A75B8A" w14:textId="77777777" w:rsidR="00D6403A" w:rsidRPr="00D6403A" w:rsidRDefault="00D6403A" w:rsidP="00E85642">
            <w:pPr>
              <w:pStyle w:val="Tabletext"/>
              <w:rPr>
                <w:lang w:val="en-US"/>
              </w:rPr>
            </w:pPr>
            <w:r w:rsidRPr="00D6403A">
              <w:rPr>
                <w:lang w:val="en-US"/>
              </w:rPr>
              <w:t>1,050</w:t>
            </w:r>
          </w:p>
        </w:tc>
        <w:tc>
          <w:tcPr>
            <w:cnfStyle w:val="000010000000" w:firstRow="0" w:lastRow="0" w:firstColumn="0" w:lastColumn="0" w:oddVBand="1" w:evenVBand="0" w:oddHBand="0" w:evenHBand="0" w:firstRowFirstColumn="0" w:firstRowLastColumn="0" w:lastRowFirstColumn="0" w:lastRowLastColumn="0"/>
            <w:tcW w:w="808" w:type="dxa"/>
          </w:tcPr>
          <w:p w14:paraId="396F728F" w14:textId="77777777" w:rsidR="00D6403A" w:rsidRPr="00D6403A" w:rsidRDefault="00D6403A" w:rsidP="00E85642">
            <w:pPr>
              <w:pStyle w:val="Tabletext"/>
              <w:rPr>
                <w:lang w:val="en-US"/>
              </w:rPr>
            </w:pPr>
            <w:r w:rsidRPr="00D6403A">
              <w:rPr>
                <w:lang w:val="en-US"/>
              </w:rPr>
              <w:t>1,205</w:t>
            </w:r>
          </w:p>
        </w:tc>
        <w:tc>
          <w:tcPr>
            <w:cnfStyle w:val="000001000000" w:firstRow="0" w:lastRow="0" w:firstColumn="0" w:lastColumn="0" w:oddVBand="0" w:evenVBand="1" w:oddHBand="0" w:evenHBand="0" w:firstRowFirstColumn="0" w:firstRowLastColumn="0" w:lastRowFirstColumn="0" w:lastRowLastColumn="0"/>
            <w:tcW w:w="808" w:type="dxa"/>
          </w:tcPr>
          <w:p w14:paraId="038A9EFC" w14:textId="77777777" w:rsidR="00D6403A" w:rsidRPr="00D6403A" w:rsidRDefault="00D6403A" w:rsidP="00E85642">
            <w:pPr>
              <w:pStyle w:val="Tabletext"/>
              <w:rPr>
                <w:lang w:val="en-US"/>
              </w:rPr>
            </w:pPr>
            <w:r w:rsidRPr="00D6403A">
              <w:rPr>
                <w:lang w:val="en-US"/>
              </w:rPr>
              <w:t>1,280</w:t>
            </w:r>
          </w:p>
        </w:tc>
        <w:tc>
          <w:tcPr>
            <w:cnfStyle w:val="000010000000" w:firstRow="0" w:lastRow="0" w:firstColumn="0" w:lastColumn="0" w:oddVBand="1" w:evenVBand="0" w:oddHBand="0" w:evenHBand="0" w:firstRowFirstColumn="0" w:firstRowLastColumn="0" w:lastRowFirstColumn="0" w:lastRowLastColumn="0"/>
            <w:tcW w:w="808" w:type="dxa"/>
          </w:tcPr>
          <w:p w14:paraId="7801E483" w14:textId="77777777" w:rsidR="00D6403A" w:rsidRPr="00D6403A" w:rsidRDefault="00D6403A" w:rsidP="00E85642">
            <w:pPr>
              <w:pStyle w:val="Tabletext"/>
              <w:rPr>
                <w:lang w:val="en-US"/>
              </w:rPr>
            </w:pPr>
            <w:r w:rsidRPr="00D6403A">
              <w:rPr>
                <w:lang w:val="en-US"/>
              </w:rPr>
              <w:t>1,420</w:t>
            </w:r>
          </w:p>
        </w:tc>
        <w:tc>
          <w:tcPr>
            <w:cnfStyle w:val="000001000000" w:firstRow="0" w:lastRow="0" w:firstColumn="0" w:lastColumn="0" w:oddVBand="0" w:evenVBand="1" w:oddHBand="0" w:evenHBand="0" w:firstRowFirstColumn="0" w:firstRowLastColumn="0" w:lastRowFirstColumn="0" w:lastRowLastColumn="0"/>
            <w:tcW w:w="807" w:type="dxa"/>
          </w:tcPr>
          <w:p w14:paraId="7BA873EA" w14:textId="77777777" w:rsidR="00D6403A" w:rsidRPr="00D6403A" w:rsidRDefault="00D6403A" w:rsidP="00E85642">
            <w:pPr>
              <w:pStyle w:val="Tabletext"/>
              <w:rPr>
                <w:lang w:val="en-US"/>
              </w:rPr>
            </w:pPr>
            <w:r w:rsidRPr="00D6403A">
              <w:rPr>
                <w:lang w:val="en-US"/>
              </w:rPr>
              <w:t>1,660</w:t>
            </w:r>
          </w:p>
        </w:tc>
        <w:tc>
          <w:tcPr>
            <w:cnfStyle w:val="000010000000" w:firstRow="0" w:lastRow="0" w:firstColumn="0" w:lastColumn="0" w:oddVBand="1" w:evenVBand="0" w:oddHBand="0" w:evenHBand="0" w:firstRowFirstColumn="0" w:firstRowLastColumn="0" w:lastRowFirstColumn="0" w:lastRowLastColumn="0"/>
            <w:tcW w:w="808" w:type="dxa"/>
          </w:tcPr>
          <w:p w14:paraId="0873E1CE" w14:textId="77777777" w:rsidR="00D6403A" w:rsidRPr="00D6403A" w:rsidRDefault="00D6403A" w:rsidP="00E85642">
            <w:pPr>
              <w:pStyle w:val="Tabletext"/>
              <w:rPr>
                <w:lang w:val="en-US"/>
              </w:rPr>
            </w:pPr>
            <w:r w:rsidRPr="00D6403A">
              <w:rPr>
                <w:lang w:val="en-US"/>
              </w:rPr>
              <w:t>1,890</w:t>
            </w:r>
          </w:p>
        </w:tc>
        <w:tc>
          <w:tcPr>
            <w:cnfStyle w:val="000001000000" w:firstRow="0" w:lastRow="0" w:firstColumn="0" w:lastColumn="0" w:oddVBand="0" w:evenVBand="1" w:oddHBand="0" w:evenHBand="0" w:firstRowFirstColumn="0" w:firstRowLastColumn="0" w:lastRowFirstColumn="0" w:lastRowLastColumn="0"/>
            <w:tcW w:w="808" w:type="dxa"/>
          </w:tcPr>
          <w:p w14:paraId="60AA50CF" w14:textId="77777777" w:rsidR="00D6403A" w:rsidRPr="00D6403A" w:rsidRDefault="00D6403A" w:rsidP="00E85642">
            <w:pPr>
              <w:pStyle w:val="Tabletext"/>
              <w:rPr>
                <w:lang w:val="en-US"/>
              </w:rPr>
            </w:pPr>
            <w:r w:rsidRPr="00D6403A">
              <w:rPr>
                <w:lang w:val="en-US"/>
              </w:rPr>
              <w:t>2,090</w:t>
            </w:r>
          </w:p>
        </w:tc>
        <w:tc>
          <w:tcPr>
            <w:cnfStyle w:val="000010000000" w:firstRow="0" w:lastRow="0" w:firstColumn="0" w:lastColumn="0" w:oddVBand="1" w:evenVBand="0" w:oddHBand="0" w:evenHBand="0" w:firstRowFirstColumn="0" w:firstRowLastColumn="0" w:lastRowFirstColumn="0" w:lastRowLastColumn="0"/>
            <w:tcW w:w="808" w:type="dxa"/>
          </w:tcPr>
          <w:p w14:paraId="00EAFF27" w14:textId="77777777" w:rsidR="00D6403A" w:rsidRPr="00D6403A" w:rsidRDefault="00D6403A" w:rsidP="00E85642">
            <w:pPr>
              <w:pStyle w:val="Tabletext"/>
              <w:rPr>
                <w:lang w:val="en-US"/>
              </w:rPr>
            </w:pPr>
            <w:r w:rsidRPr="00D6403A">
              <w:rPr>
                <w:lang w:val="en-US"/>
              </w:rPr>
              <w:t>2,280</w:t>
            </w:r>
          </w:p>
        </w:tc>
        <w:tc>
          <w:tcPr>
            <w:cnfStyle w:val="000001000000" w:firstRow="0" w:lastRow="0" w:firstColumn="0" w:lastColumn="0" w:oddVBand="0" w:evenVBand="1" w:oddHBand="0" w:evenHBand="0" w:firstRowFirstColumn="0" w:firstRowLastColumn="0" w:lastRowFirstColumn="0" w:lastRowLastColumn="0"/>
            <w:tcW w:w="808" w:type="dxa"/>
          </w:tcPr>
          <w:p w14:paraId="524B2880" w14:textId="77777777" w:rsidR="00D6403A" w:rsidRPr="00D6403A" w:rsidRDefault="00D6403A" w:rsidP="00E85642">
            <w:pPr>
              <w:pStyle w:val="Tabletext"/>
              <w:rPr>
                <w:lang w:val="en-US"/>
              </w:rPr>
            </w:pPr>
            <w:r w:rsidRPr="00D6403A">
              <w:rPr>
                <w:lang w:val="en-US"/>
              </w:rPr>
              <w:t>2,415</w:t>
            </w:r>
          </w:p>
        </w:tc>
        <w:tc>
          <w:tcPr>
            <w:cnfStyle w:val="000010000000" w:firstRow="0" w:lastRow="0" w:firstColumn="0" w:lastColumn="0" w:oddVBand="1" w:evenVBand="0" w:oddHBand="0" w:evenHBand="0" w:firstRowFirstColumn="0" w:firstRowLastColumn="0" w:lastRowFirstColumn="0" w:lastRowLastColumn="0"/>
            <w:tcW w:w="808" w:type="dxa"/>
          </w:tcPr>
          <w:p w14:paraId="285D8C39" w14:textId="77777777" w:rsidR="00D6403A" w:rsidRPr="00D6403A" w:rsidRDefault="00D6403A" w:rsidP="00E85642">
            <w:pPr>
              <w:pStyle w:val="Tabletext"/>
              <w:rPr>
                <w:lang w:val="en-US"/>
              </w:rPr>
            </w:pPr>
            <w:r w:rsidRPr="00D6403A">
              <w:rPr>
                <w:lang w:val="en-US"/>
              </w:rPr>
              <w:t>2,506</w:t>
            </w:r>
          </w:p>
        </w:tc>
        <w:tc>
          <w:tcPr>
            <w:cnfStyle w:val="000001000000" w:firstRow="0" w:lastRow="0" w:firstColumn="0" w:lastColumn="0" w:oddVBand="0" w:evenVBand="1" w:oddHBand="0" w:evenHBand="0" w:firstRowFirstColumn="0" w:firstRowLastColumn="0" w:lastRowFirstColumn="0" w:lastRowLastColumn="0"/>
            <w:tcW w:w="808" w:type="dxa"/>
          </w:tcPr>
          <w:p w14:paraId="27D91DDB" w14:textId="77777777" w:rsidR="00D6403A" w:rsidRPr="00D6403A" w:rsidRDefault="00D6403A" w:rsidP="00E85642">
            <w:pPr>
              <w:pStyle w:val="Tabletext"/>
              <w:rPr>
                <w:lang w:val="en-US"/>
              </w:rPr>
            </w:pPr>
            <w:r w:rsidRPr="00D6403A">
              <w:rPr>
                <w:lang w:val="en-US"/>
              </w:rPr>
              <w:t>2,700</w:t>
            </w:r>
          </w:p>
        </w:tc>
      </w:tr>
      <w:tr w:rsidR="00D6403A" w:rsidRPr="00D6403A" w14:paraId="1F86B254"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772A136A" w14:textId="77777777" w:rsidR="00D6403A" w:rsidRPr="00E85642" w:rsidRDefault="00D6403A" w:rsidP="00E85642">
            <w:pPr>
              <w:pStyle w:val="Tabletext"/>
              <w:jc w:val="left"/>
              <w:rPr>
                <w:rFonts w:ascii="VIC" w:hAnsi="VIC" w:cs="VIC"/>
                <w:b/>
                <w:lang w:val="en-US"/>
              </w:rPr>
            </w:pPr>
            <w:r w:rsidRPr="00E85642">
              <w:rPr>
                <w:b/>
                <w:lang w:val="en-US"/>
              </w:rPr>
              <w:t>33</w:t>
            </w:r>
          </w:p>
        </w:tc>
        <w:tc>
          <w:tcPr>
            <w:cnfStyle w:val="000001000000" w:firstRow="0" w:lastRow="0" w:firstColumn="0" w:lastColumn="0" w:oddVBand="0" w:evenVBand="1" w:oddHBand="0" w:evenHBand="0" w:firstRowFirstColumn="0" w:firstRowLastColumn="0" w:lastRowFirstColumn="0" w:lastRowLastColumn="0"/>
            <w:tcW w:w="808" w:type="dxa"/>
          </w:tcPr>
          <w:p w14:paraId="2437D075" w14:textId="77777777" w:rsidR="00D6403A" w:rsidRPr="00D6403A" w:rsidRDefault="00D6403A" w:rsidP="00E85642">
            <w:pPr>
              <w:pStyle w:val="Tabletext"/>
              <w:rPr>
                <w:lang w:val="en-US"/>
              </w:rPr>
            </w:pPr>
            <w:r w:rsidRPr="00D6403A">
              <w:rPr>
                <w:lang w:val="en-US"/>
              </w:rPr>
              <w:t>1,225</w:t>
            </w:r>
          </w:p>
        </w:tc>
        <w:tc>
          <w:tcPr>
            <w:cnfStyle w:val="000010000000" w:firstRow="0" w:lastRow="0" w:firstColumn="0" w:lastColumn="0" w:oddVBand="1" w:evenVBand="0" w:oddHBand="0" w:evenHBand="0" w:firstRowFirstColumn="0" w:firstRowLastColumn="0" w:lastRowFirstColumn="0" w:lastRowLastColumn="0"/>
            <w:tcW w:w="808" w:type="dxa"/>
          </w:tcPr>
          <w:p w14:paraId="0C44D13A" w14:textId="77777777" w:rsidR="00D6403A" w:rsidRPr="00D6403A" w:rsidRDefault="00D6403A" w:rsidP="00E85642">
            <w:pPr>
              <w:pStyle w:val="Tabletext"/>
              <w:rPr>
                <w:lang w:val="en-US"/>
              </w:rPr>
            </w:pPr>
            <w:r w:rsidRPr="00D6403A">
              <w:rPr>
                <w:lang w:val="en-US"/>
              </w:rPr>
              <w:t>1,400</w:t>
            </w:r>
          </w:p>
        </w:tc>
        <w:tc>
          <w:tcPr>
            <w:cnfStyle w:val="000001000000" w:firstRow="0" w:lastRow="0" w:firstColumn="0" w:lastColumn="0" w:oddVBand="0" w:evenVBand="1" w:oddHBand="0" w:evenHBand="0" w:firstRowFirstColumn="0" w:firstRowLastColumn="0" w:lastRowFirstColumn="0" w:lastRowLastColumn="0"/>
            <w:tcW w:w="808" w:type="dxa"/>
          </w:tcPr>
          <w:p w14:paraId="471B64CD" w14:textId="77777777" w:rsidR="00D6403A" w:rsidRPr="00D6403A" w:rsidRDefault="00D6403A" w:rsidP="00E85642">
            <w:pPr>
              <w:pStyle w:val="Tabletext"/>
              <w:rPr>
                <w:lang w:val="en-US"/>
              </w:rPr>
            </w:pPr>
            <w:r w:rsidRPr="00D6403A">
              <w:rPr>
                <w:lang w:val="en-US"/>
              </w:rPr>
              <w:t>1,495</w:t>
            </w:r>
          </w:p>
        </w:tc>
        <w:tc>
          <w:tcPr>
            <w:cnfStyle w:val="000010000000" w:firstRow="0" w:lastRow="0" w:firstColumn="0" w:lastColumn="0" w:oddVBand="1" w:evenVBand="0" w:oddHBand="0" w:evenHBand="0" w:firstRowFirstColumn="0" w:firstRowLastColumn="0" w:lastRowFirstColumn="0" w:lastRowLastColumn="0"/>
            <w:tcW w:w="808" w:type="dxa"/>
          </w:tcPr>
          <w:p w14:paraId="00F6F84C" w14:textId="77777777" w:rsidR="00D6403A" w:rsidRPr="00D6403A" w:rsidRDefault="00D6403A" w:rsidP="00E85642">
            <w:pPr>
              <w:pStyle w:val="Tabletext"/>
              <w:rPr>
                <w:lang w:val="en-US"/>
              </w:rPr>
            </w:pPr>
            <w:r w:rsidRPr="00D6403A">
              <w:rPr>
                <w:lang w:val="en-US"/>
              </w:rPr>
              <w:t>1,647</w:t>
            </w:r>
          </w:p>
        </w:tc>
        <w:tc>
          <w:tcPr>
            <w:cnfStyle w:val="000001000000" w:firstRow="0" w:lastRow="0" w:firstColumn="0" w:lastColumn="0" w:oddVBand="0" w:evenVBand="1" w:oddHBand="0" w:evenHBand="0" w:firstRowFirstColumn="0" w:firstRowLastColumn="0" w:lastRowFirstColumn="0" w:lastRowLastColumn="0"/>
            <w:tcW w:w="807" w:type="dxa"/>
          </w:tcPr>
          <w:p w14:paraId="1DA03DB3" w14:textId="77777777" w:rsidR="00D6403A" w:rsidRPr="00D6403A" w:rsidRDefault="00D6403A" w:rsidP="00E85642">
            <w:pPr>
              <w:pStyle w:val="Tabletext"/>
              <w:rPr>
                <w:lang w:val="en-US"/>
              </w:rPr>
            </w:pPr>
            <w:r w:rsidRPr="00D6403A">
              <w:rPr>
                <w:lang w:val="en-US"/>
              </w:rPr>
              <w:t>1,890</w:t>
            </w:r>
          </w:p>
        </w:tc>
        <w:tc>
          <w:tcPr>
            <w:cnfStyle w:val="000010000000" w:firstRow="0" w:lastRow="0" w:firstColumn="0" w:lastColumn="0" w:oddVBand="1" w:evenVBand="0" w:oddHBand="0" w:evenHBand="0" w:firstRowFirstColumn="0" w:firstRowLastColumn="0" w:lastRowFirstColumn="0" w:lastRowLastColumn="0"/>
            <w:tcW w:w="808" w:type="dxa"/>
          </w:tcPr>
          <w:p w14:paraId="276BB773" w14:textId="77777777" w:rsidR="00D6403A" w:rsidRPr="00D6403A" w:rsidRDefault="00D6403A" w:rsidP="00E85642">
            <w:pPr>
              <w:pStyle w:val="Tabletext"/>
              <w:rPr>
                <w:lang w:val="en-US"/>
              </w:rPr>
            </w:pPr>
            <w:r w:rsidRPr="00D6403A">
              <w:rPr>
                <w:lang w:val="en-US"/>
              </w:rPr>
              <w:t>2,130</w:t>
            </w:r>
          </w:p>
        </w:tc>
        <w:tc>
          <w:tcPr>
            <w:cnfStyle w:val="000001000000" w:firstRow="0" w:lastRow="0" w:firstColumn="0" w:lastColumn="0" w:oddVBand="0" w:evenVBand="1" w:oddHBand="0" w:evenHBand="0" w:firstRowFirstColumn="0" w:firstRowLastColumn="0" w:lastRowFirstColumn="0" w:lastRowLastColumn="0"/>
            <w:tcW w:w="808" w:type="dxa"/>
          </w:tcPr>
          <w:p w14:paraId="6A697753" w14:textId="77777777" w:rsidR="00D6403A" w:rsidRPr="00D6403A" w:rsidRDefault="00D6403A" w:rsidP="00E85642">
            <w:pPr>
              <w:pStyle w:val="Tabletext"/>
              <w:rPr>
                <w:lang w:val="en-US"/>
              </w:rPr>
            </w:pPr>
            <w:r w:rsidRPr="00D6403A">
              <w:rPr>
                <w:lang w:val="en-US"/>
              </w:rPr>
              <w:t>2,350</w:t>
            </w:r>
          </w:p>
        </w:tc>
        <w:tc>
          <w:tcPr>
            <w:cnfStyle w:val="000010000000" w:firstRow="0" w:lastRow="0" w:firstColumn="0" w:lastColumn="0" w:oddVBand="1" w:evenVBand="0" w:oddHBand="0" w:evenHBand="0" w:firstRowFirstColumn="0" w:firstRowLastColumn="0" w:lastRowFirstColumn="0" w:lastRowLastColumn="0"/>
            <w:tcW w:w="808" w:type="dxa"/>
          </w:tcPr>
          <w:p w14:paraId="6B13AAB7" w14:textId="77777777" w:rsidR="00D6403A" w:rsidRPr="00D6403A" w:rsidRDefault="00D6403A" w:rsidP="00E85642">
            <w:pPr>
              <w:pStyle w:val="Tabletext"/>
              <w:rPr>
                <w:lang w:val="en-US"/>
              </w:rPr>
            </w:pPr>
            <w:r w:rsidRPr="00D6403A">
              <w:rPr>
                <w:lang w:val="en-US"/>
              </w:rPr>
              <w:t>2,565</w:t>
            </w:r>
          </w:p>
        </w:tc>
        <w:tc>
          <w:tcPr>
            <w:cnfStyle w:val="000001000000" w:firstRow="0" w:lastRow="0" w:firstColumn="0" w:lastColumn="0" w:oddVBand="0" w:evenVBand="1" w:oddHBand="0" w:evenHBand="0" w:firstRowFirstColumn="0" w:firstRowLastColumn="0" w:lastRowFirstColumn="0" w:lastRowLastColumn="0"/>
            <w:tcW w:w="808" w:type="dxa"/>
          </w:tcPr>
          <w:p w14:paraId="6C8924DD" w14:textId="77777777" w:rsidR="00D6403A" w:rsidRPr="00D6403A" w:rsidRDefault="00D6403A" w:rsidP="00E85642">
            <w:pPr>
              <w:pStyle w:val="Tabletext"/>
              <w:rPr>
                <w:lang w:val="en-US"/>
              </w:rPr>
            </w:pPr>
            <w:r w:rsidRPr="00D6403A">
              <w:rPr>
                <w:lang w:val="en-US"/>
              </w:rPr>
              <w:t>2,730</w:t>
            </w:r>
          </w:p>
        </w:tc>
        <w:tc>
          <w:tcPr>
            <w:cnfStyle w:val="000010000000" w:firstRow="0" w:lastRow="0" w:firstColumn="0" w:lastColumn="0" w:oddVBand="1" w:evenVBand="0" w:oddHBand="0" w:evenHBand="0" w:firstRowFirstColumn="0" w:firstRowLastColumn="0" w:lastRowFirstColumn="0" w:lastRowLastColumn="0"/>
            <w:tcW w:w="808" w:type="dxa"/>
          </w:tcPr>
          <w:p w14:paraId="64583230" w14:textId="77777777" w:rsidR="00D6403A" w:rsidRPr="00D6403A" w:rsidRDefault="00D6403A" w:rsidP="00E85642">
            <w:pPr>
              <w:pStyle w:val="Tabletext"/>
              <w:rPr>
                <w:lang w:val="en-US"/>
              </w:rPr>
            </w:pPr>
            <w:r w:rsidRPr="00D6403A">
              <w:rPr>
                <w:lang w:val="en-US"/>
              </w:rPr>
              <w:t>2,864</w:t>
            </w:r>
          </w:p>
        </w:tc>
        <w:tc>
          <w:tcPr>
            <w:cnfStyle w:val="000001000000" w:firstRow="0" w:lastRow="0" w:firstColumn="0" w:lastColumn="0" w:oddVBand="0" w:evenVBand="1" w:oddHBand="0" w:evenHBand="0" w:firstRowFirstColumn="0" w:firstRowLastColumn="0" w:lastRowFirstColumn="0" w:lastRowLastColumn="0"/>
            <w:tcW w:w="808" w:type="dxa"/>
          </w:tcPr>
          <w:p w14:paraId="268A37AD" w14:textId="77777777" w:rsidR="00D6403A" w:rsidRPr="00D6403A" w:rsidRDefault="00D6403A" w:rsidP="00E85642">
            <w:pPr>
              <w:pStyle w:val="Tabletext"/>
              <w:rPr>
                <w:lang w:val="en-US"/>
              </w:rPr>
            </w:pPr>
            <w:r w:rsidRPr="00D6403A">
              <w:rPr>
                <w:lang w:val="en-US"/>
              </w:rPr>
              <w:t>3,060</w:t>
            </w:r>
          </w:p>
        </w:tc>
      </w:tr>
      <w:tr w:rsidR="00D6403A" w:rsidRPr="00D6403A" w14:paraId="6A8B1B4A"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0D740920" w14:textId="77777777" w:rsidR="00D6403A" w:rsidRPr="00E85642" w:rsidRDefault="00D6403A" w:rsidP="00E85642">
            <w:pPr>
              <w:pStyle w:val="Tabletext"/>
              <w:jc w:val="left"/>
              <w:rPr>
                <w:rFonts w:ascii="VIC" w:hAnsi="VIC" w:cs="VIC"/>
                <w:b/>
                <w:lang w:val="en-US"/>
              </w:rPr>
            </w:pPr>
            <w:r w:rsidRPr="00E85642">
              <w:rPr>
                <w:b/>
                <w:lang w:val="en-US"/>
              </w:rPr>
              <w:t>34</w:t>
            </w:r>
          </w:p>
        </w:tc>
        <w:tc>
          <w:tcPr>
            <w:cnfStyle w:val="000001000000" w:firstRow="0" w:lastRow="0" w:firstColumn="0" w:lastColumn="0" w:oddVBand="0" w:evenVBand="1" w:oddHBand="0" w:evenHBand="0" w:firstRowFirstColumn="0" w:firstRowLastColumn="0" w:lastRowFirstColumn="0" w:lastRowLastColumn="0"/>
            <w:tcW w:w="808" w:type="dxa"/>
          </w:tcPr>
          <w:p w14:paraId="378EC47A" w14:textId="77777777" w:rsidR="00D6403A" w:rsidRPr="00D6403A" w:rsidRDefault="00D6403A" w:rsidP="00E85642">
            <w:pPr>
              <w:pStyle w:val="Tabletext"/>
              <w:rPr>
                <w:lang w:val="en-US"/>
              </w:rPr>
            </w:pPr>
            <w:r w:rsidRPr="00D6403A">
              <w:rPr>
                <w:lang w:val="en-US"/>
              </w:rPr>
              <w:t>1,420</w:t>
            </w:r>
          </w:p>
        </w:tc>
        <w:tc>
          <w:tcPr>
            <w:cnfStyle w:val="000010000000" w:firstRow="0" w:lastRow="0" w:firstColumn="0" w:lastColumn="0" w:oddVBand="1" w:evenVBand="0" w:oddHBand="0" w:evenHBand="0" w:firstRowFirstColumn="0" w:firstRowLastColumn="0" w:lastRowFirstColumn="0" w:lastRowLastColumn="0"/>
            <w:tcW w:w="808" w:type="dxa"/>
          </w:tcPr>
          <w:p w14:paraId="7B144A78" w14:textId="77777777" w:rsidR="00D6403A" w:rsidRPr="00D6403A" w:rsidRDefault="00D6403A" w:rsidP="00E85642">
            <w:pPr>
              <w:pStyle w:val="Tabletext"/>
              <w:rPr>
                <w:lang w:val="en-US"/>
              </w:rPr>
            </w:pPr>
            <w:r w:rsidRPr="00D6403A">
              <w:rPr>
                <w:lang w:val="en-US"/>
              </w:rPr>
              <w:t>1,585</w:t>
            </w:r>
          </w:p>
        </w:tc>
        <w:tc>
          <w:tcPr>
            <w:cnfStyle w:val="000001000000" w:firstRow="0" w:lastRow="0" w:firstColumn="0" w:lastColumn="0" w:oddVBand="0" w:evenVBand="1" w:oddHBand="0" w:evenHBand="0" w:firstRowFirstColumn="0" w:firstRowLastColumn="0" w:lastRowFirstColumn="0" w:lastRowLastColumn="0"/>
            <w:tcW w:w="808" w:type="dxa"/>
          </w:tcPr>
          <w:p w14:paraId="5479C8BE" w14:textId="77777777" w:rsidR="00D6403A" w:rsidRPr="00D6403A" w:rsidRDefault="00D6403A" w:rsidP="00E85642">
            <w:pPr>
              <w:pStyle w:val="Tabletext"/>
              <w:rPr>
                <w:lang w:val="en-US"/>
              </w:rPr>
            </w:pPr>
            <w:r w:rsidRPr="00D6403A">
              <w:rPr>
                <w:lang w:val="en-US"/>
              </w:rPr>
              <w:t>1,690</w:t>
            </w:r>
          </w:p>
        </w:tc>
        <w:tc>
          <w:tcPr>
            <w:cnfStyle w:val="000010000000" w:firstRow="0" w:lastRow="0" w:firstColumn="0" w:lastColumn="0" w:oddVBand="1" w:evenVBand="0" w:oddHBand="0" w:evenHBand="0" w:firstRowFirstColumn="0" w:firstRowLastColumn="0" w:lastRowFirstColumn="0" w:lastRowLastColumn="0"/>
            <w:tcW w:w="808" w:type="dxa"/>
          </w:tcPr>
          <w:p w14:paraId="5F16F145" w14:textId="77777777" w:rsidR="00D6403A" w:rsidRPr="00D6403A" w:rsidRDefault="00D6403A" w:rsidP="00E85642">
            <w:pPr>
              <w:pStyle w:val="Tabletext"/>
              <w:rPr>
                <w:lang w:val="en-US"/>
              </w:rPr>
            </w:pPr>
            <w:r w:rsidRPr="00D6403A">
              <w:rPr>
                <w:lang w:val="en-US"/>
              </w:rPr>
              <w:t>1,856</w:t>
            </w:r>
          </w:p>
        </w:tc>
        <w:tc>
          <w:tcPr>
            <w:cnfStyle w:val="000001000000" w:firstRow="0" w:lastRow="0" w:firstColumn="0" w:lastColumn="0" w:oddVBand="0" w:evenVBand="1" w:oddHBand="0" w:evenHBand="0" w:firstRowFirstColumn="0" w:firstRowLastColumn="0" w:lastRowFirstColumn="0" w:lastRowLastColumn="0"/>
            <w:tcW w:w="807" w:type="dxa"/>
          </w:tcPr>
          <w:p w14:paraId="0E32D284" w14:textId="77777777" w:rsidR="00D6403A" w:rsidRPr="00D6403A" w:rsidRDefault="00D6403A" w:rsidP="00E85642">
            <w:pPr>
              <w:pStyle w:val="Tabletext"/>
              <w:rPr>
                <w:lang w:val="en-US"/>
              </w:rPr>
            </w:pPr>
            <w:r w:rsidRPr="00D6403A">
              <w:rPr>
                <w:lang w:val="en-US"/>
              </w:rPr>
              <w:t>2,105</w:t>
            </w:r>
          </w:p>
        </w:tc>
        <w:tc>
          <w:tcPr>
            <w:cnfStyle w:val="000010000000" w:firstRow="0" w:lastRow="0" w:firstColumn="0" w:lastColumn="0" w:oddVBand="1" w:evenVBand="0" w:oddHBand="0" w:evenHBand="0" w:firstRowFirstColumn="0" w:firstRowLastColumn="0" w:lastRowFirstColumn="0" w:lastRowLastColumn="0"/>
            <w:tcW w:w="808" w:type="dxa"/>
          </w:tcPr>
          <w:p w14:paraId="4EC2BB63" w14:textId="77777777" w:rsidR="00D6403A" w:rsidRPr="00D6403A" w:rsidRDefault="00D6403A" w:rsidP="00E85642">
            <w:pPr>
              <w:pStyle w:val="Tabletext"/>
              <w:rPr>
                <w:lang w:val="en-US"/>
              </w:rPr>
            </w:pPr>
            <w:r w:rsidRPr="00D6403A">
              <w:rPr>
                <w:lang w:val="en-US"/>
              </w:rPr>
              <w:t>2,360</w:t>
            </w:r>
          </w:p>
        </w:tc>
        <w:tc>
          <w:tcPr>
            <w:cnfStyle w:val="000001000000" w:firstRow="0" w:lastRow="0" w:firstColumn="0" w:lastColumn="0" w:oddVBand="0" w:evenVBand="1" w:oddHBand="0" w:evenHBand="0" w:firstRowFirstColumn="0" w:firstRowLastColumn="0" w:lastRowFirstColumn="0" w:lastRowLastColumn="0"/>
            <w:tcW w:w="808" w:type="dxa"/>
          </w:tcPr>
          <w:p w14:paraId="1F9BAFF7" w14:textId="77777777" w:rsidR="00D6403A" w:rsidRPr="00D6403A" w:rsidRDefault="00D6403A" w:rsidP="00E85642">
            <w:pPr>
              <w:pStyle w:val="Tabletext"/>
              <w:rPr>
                <w:lang w:val="en-US"/>
              </w:rPr>
            </w:pPr>
            <w:r w:rsidRPr="00D6403A">
              <w:rPr>
                <w:lang w:val="en-US"/>
              </w:rPr>
              <w:t>2,600</w:t>
            </w:r>
          </w:p>
        </w:tc>
        <w:tc>
          <w:tcPr>
            <w:cnfStyle w:val="000010000000" w:firstRow="0" w:lastRow="0" w:firstColumn="0" w:lastColumn="0" w:oddVBand="1" w:evenVBand="0" w:oddHBand="0" w:evenHBand="0" w:firstRowFirstColumn="0" w:firstRowLastColumn="0" w:lastRowFirstColumn="0" w:lastRowLastColumn="0"/>
            <w:tcW w:w="808" w:type="dxa"/>
          </w:tcPr>
          <w:p w14:paraId="32BA58E5" w14:textId="77777777" w:rsidR="00D6403A" w:rsidRPr="00D6403A" w:rsidRDefault="00D6403A" w:rsidP="00E85642">
            <w:pPr>
              <w:pStyle w:val="Tabletext"/>
              <w:rPr>
                <w:lang w:val="en-US"/>
              </w:rPr>
            </w:pPr>
            <w:r w:rsidRPr="00D6403A">
              <w:rPr>
                <w:lang w:val="en-US"/>
              </w:rPr>
              <w:t>2,840</w:t>
            </w:r>
          </w:p>
        </w:tc>
        <w:tc>
          <w:tcPr>
            <w:cnfStyle w:val="000001000000" w:firstRow="0" w:lastRow="0" w:firstColumn="0" w:lastColumn="0" w:oddVBand="0" w:evenVBand="1" w:oddHBand="0" w:evenHBand="0" w:firstRowFirstColumn="0" w:firstRowLastColumn="0" w:lastRowFirstColumn="0" w:lastRowLastColumn="0"/>
            <w:tcW w:w="808" w:type="dxa"/>
          </w:tcPr>
          <w:p w14:paraId="31F10B94" w14:textId="77777777" w:rsidR="00D6403A" w:rsidRPr="00D6403A" w:rsidRDefault="00D6403A" w:rsidP="00E85642">
            <w:pPr>
              <w:pStyle w:val="Tabletext"/>
              <w:rPr>
                <w:lang w:val="en-US"/>
              </w:rPr>
            </w:pPr>
            <w:r w:rsidRPr="00D6403A">
              <w:rPr>
                <w:lang w:val="en-US"/>
              </w:rPr>
              <w:t>3,010</w:t>
            </w:r>
          </w:p>
        </w:tc>
        <w:tc>
          <w:tcPr>
            <w:cnfStyle w:val="000010000000" w:firstRow="0" w:lastRow="0" w:firstColumn="0" w:lastColumn="0" w:oddVBand="1" w:evenVBand="0" w:oddHBand="0" w:evenHBand="0" w:firstRowFirstColumn="0" w:firstRowLastColumn="0" w:lastRowFirstColumn="0" w:lastRowLastColumn="0"/>
            <w:tcW w:w="808" w:type="dxa"/>
          </w:tcPr>
          <w:p w14:paraId="07560410" w14:textId="77777777" w:rsidR="00D6403A" w:rsidRPr="00D6403A" w:rsidRDefault="00D6403A" w:rsidP="00E85642">
            <w:pPr>
              <w:pStyle w:val="Tabletext"/>
              <w:rPr>
                <w:lang w:val="en-US"/>
              </w:rPr>
            </w:pPr>
            <w:r w:rsidRPr="00D6403A">
              <w:rPr>
                <w:lang w:val="en-US"/>
              </w:rPr>
              <w:t>3,130</w:t>
            </w:r>
          </w:p>
        </w:tc>
        <w:tc>
          <w:tcPr>
            <w:cnfStyle w:val="000001000000" w:firstRow="0" w:lastRow="0" w:firstColumn="0" w:lastColumn="0" w:oddVBand="0" w:evenVBand="1" w:oddHBand="0" w:evenHBand="0" w:firstRowFirstColumn="0" w:firstRowLastColumn="0" w:lastRowFirstColumn="0" w:lastRowLastColumn="0"/>
            <w:tcW w:w="808" w:type="dxa"/>
          </w:tcPr>
          <w:p w14:paraId="09E67E62" w14:textId="77777777" w:rsidR="00D6403A" w:rsidRPr="00D6403A" w:rsidRDefault="00D6403A" w:rsidP="00E85642">
            <w:pPr>
              <w:pStyle w:val="Tabletext"/>
              <w:rPr>
                <w:lang w:val="en-US"/>
              </w:rPr>
            </w:pPr>
            <w:r w:rsidRPr="00D6403A">
              <w:rPr>
                <w:lang w:val="en-US"/>
              </w:rPr>
              <w:t>3,370</w:t>
            </w:r>
          </w:p>
        </w:tc>
      </w:tr>
      <w:tr w:rsidR="00D6403A" w:rsidRPr="00D6403A" w14:paraId="77677BAB"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75A2CDBB" w14:textId="77777777" w:rsidR="00D6403A" w:rsidRPr="00E85642" w:rsidRDefault="00D6403A" w:rsidP="00E85642">
            <w:pPr>
              <w:pStyle w:val="Tabletext"/>
              <w:jc w:val="left"/>
              <w:rPr>
                <w:rFonts w:ascii="VIC" w:hAnsi="VIC" w:cs="VIC"/>
                <w:b/>
                <w:lang w:val="en-US"/>
              </w:rPr>
            </w:pPr>
            <w:r w:rsidRPr="00E85642">
              <w:rPr>
                <w:b/>
                <w:lang w:val="en-US"/>
              </w:rPr>
              <w:t>35</w:t>
            </w:r>
          </w:p>
        </w:tc>
        <w:tc>
          <w:tcPr>
            <w:cnfStyle w:val="000001000000" w:firstRow="0" w:lastRow="0" w:firstColumn="0" w:lastColumn="0" w:oddVBand="0" w:evenVBand="1" w:oddHBand="0" w:evenHBand="0" w:firstRowFirstColumn="0" w:firstRowLastColumn="0" w:lastRowFirstColumn="0" w:lastRowLastColumn="0"/>
            <w:tcW w:w="808" w:type="dxa"/>
          </w:tcPr>
          <w:p w14:paraId="01BB75B3" w14:textId="77777777" w:rsidR="00D6403A" w:rsidRPr="00D6403A" w:rsidRDefault="00D6403A" w:rsidP="00E85642">
            <w:pPr>
              <w:pStyle w:val="Tabletext"/>
              <w:rPr>
                <w:lang w:val="en-US"/>
              </w:rPr>
            </w:pPr>
            <w:r w:rsidRPr="00D6403A">
              <w:rPr>
                <w:lang w:val="en-US"/>
              </w:rPr>
              <w:t>1,615</w:t>
            </w:r>
          </w:p>
        </w:tc>
        <w:tc>
          <w:tcPr>
            <w:cnfStyle w:val="000010000000" w:firstRow="0" w:lastRow="0" w:firstColumn="0" w:lastColumn="0" w:oddVBand="1" w:evenVBand="0" w:oddHBand="0" w:evenHBand="0" w:firstRowFirstColumn="0" w:firstRowLastColumn="0" w:lastRowFirstColumn="0" w:lastRowLastColumn="0"/>
            <w:tcW w:w="808" w:type="dxa"/>
          </w:tcPr>
          <w:p w14:paraId="0F9F03C3" w14:textId="77777777" w:rsidR="00D6403A" w:rsidRPr="00D6403A" w:rsidRDefault="00D6403A" w:rsidP="00E85642">
            <w:pPr>
              <w:pStyle w:val="Tabletext"/>
              <w:rPr>
                <w:lang w:val="en-US"/>
              </w:rPr>
            </w:pPr>
            <w:r w:rsidRPr="00D6403A">
              <w:rPr>
                <w:lang w:val="en-US"/>
              </w:rPr>
              <w:t>1,810</w:t>
            </w:r>
          </w:p>
        </w:tc>
        <w:tc>
          <w:tcPr>
            <w:cnfStyle w:val="000001000000" w:firstRow="0" w:lastRow="0" w:firstColumn="0" w:lastColumn="0" w:oddVBand="0" w:evenVBand="1" w:oddHBand="0" w:evenHBand="0" w:firstRowFirstColumn="0" w:firstRowLastColumn="0" w:lastRowFirstColumn="0" w:lastRowLastColumn="0"/>
            <w:tcW w:w="808" w:type="dxa"/>
          </w:tcPr>
          <w:p w14:paraId="625FF801" w14:textId="77777777" w:rsidR="00D6403A" w:rsidRPr="00D6403A" w:rsidRDefault="00D6403A" w:rsidP="00E85642">
            <w:pPr>
              <w:pStyle w:val="Tabletext"/>
              <w:rPr>
                <w:lang w:val="en-US"/>
              </w:rPr>
            </w:pPr>
            <w:r w:rsidRPr="00D6403A">
              <w:rPr>
                <w:lang w:val="en-US"/>
              </w:rPr>
              <w:t>1,925</w:t>
            </w:r>
          </w:p>
        </w:tc>
        <w:tc>
          <w:tcPr>
            <w:cnfStyle w:val="000010000000" w:firstRow="0" w:lastRow="0" w:firstColumn="0" w:lastColumn="0" w:oddVBand="1" w:evenVBand="0" w:oddHBand="0" w:evenHBand="0" w:firstRowFirstColumn="0" w:firstRowLastColumn="0" w:lastRowFirstColumn="0" w:lastRowLastColumn="0"/>
            <w:tcW w:w="808" w:type="dxa"/>
          </w:tcPr>
          <w:p w14:paraId="16BA16A2" w14:textId="77777777" w:rsidR="00D6403A" w:rsidRPr="00D6403A" w:rsidRDefault="00D6403A" w:rsidP="00E85642">
            <w:pPr>
              <w:pStyle w:val="Tabletext"/>
              <w:rPr>
                <w:lang w:val="en-US"/>
              </w:rPr>
            </w:pPr>
            <w:r w:rsidRPr="00D6403A">
              <w:rPr>
                <w:lang w:val="en-US"/>
              </w:rPr>
              <w:t>2,085</w:t>
            </w:r>
          </w:p>
        </w:tc>
        <w:tc>
          <w:tcPr>
            <w:cnfStyle w:val="000001000000" w:firstRow="0" w:lastRow="0" w:firstColumn="0" w:lastColumn="0" w:oddVBand="0" w:evenVBand="1" w:oddHBand="0" w:evenHBand="0" w:firstRowFirstColumn="0" w:firstRowLastColumn="0" w:lastRowFirstColumn="0" w:lastRowLastColumn="0"/>
            <w:tcW w:w="807" w:type="dxa"/>
          </w:tcPr>
          <w:p w14:paraId="7C02F746" w14:textId="77777777" w:rsidR="00D6403A" w:rsidRPr="00D6403A" w:rsidRDefault="00D6403A" w:rsidP="00E85642">
            <w:pPr>
              <w:pStyle w:val="Tabletext"/>
              <w:rPr>
                <w:lang w:val="en-US"/>
              </w:rPr>
            </w:pPr>
            <w:r w:rsidRPr="00D6403A">
              <w:rPr>
                <w:lang w:val="en-US"/>
              </w:rPr>
              <w:t>2,340</w:t>
            </w:r>
          </w:p>
        </w:tc>
        <w:tc>
          <w:tcPr>
            <w:cnfStyle w:val="000010000000" w:firstRow="0" w:lastRow="0" w:firstColumn="0" w:lastColumn="0" w:oddVBand="1" w:evenVBand="0" w:oddHBand="0" w:evenHBand="0" w:firstRowFirstColumn="0" w:firstRowLastColumn="0" w:lastRowFirstColumn="0" w:lastRowLastColumn="0"/>
            <w:tcW w:w="808" w:type="dxa"/>
          </w:tcPr>
          <w:p w14:paraId="18D54200" w14:textId="77777777" w:rsidR="00D6403A" w:rsidRPr="00D6403A" w:rsidRDefault="00D6403A" w:rsidP="00E85642">
            <w:pPr>
              <w:pStyle w:val="Tabletext"/>
              <w:rPr>
                <w:lang w:val="en-US"/>
              </w:rPr>
            </w:pPr>
            <w:r w:rsidRPr="00D6403A">
              <w:rPr>
                <w:lang w:val="en-US"/>
              </w:rPr>
              <w:t>2,600</w:t>
            </w:r>
          </w:p>
        </w:tc>
        <w:tc>
          <w:tcPr>
            <w:cnfStyle w:val="000001000000" w:firstRow="0" w:lastRow="0" w:firstColumn="0" w:lastColumn="0" w:oddVBand="0" w:evenVBand="1" w:oddHBand="0" w:evenHBand="0" w:firstRowFirstColumn="0" w:firstRowLastColumn="0" w:lastRowFirstColumn="0" w:lastRowLastColumn="0"/>
            <w:tcW w:w="808" w:type="dxa"/>
          </w:tcPr>
          <w:p w14:paraId="4851C05C" w14:textId="77777777" w:rsidR="00D6403A" w:rsidRPr="00D6403A" w:rsidRDefault="00D6403A" w:rsidP="00E85642">
            <w:pPr>
              <w:pStyle w:val="Tabletext"/>
              <w:rPr>
                <w:lang w:val="en-US"/>
              </w:rPr>
            </w:pPr>
            <w:r w:rsidRPr="00D6403A">
              <w:rPr>
                <w:lang w:val="en-US"/>
              </w:rPr>
              <w:t>2,860</w:t>
            </w:r>
          </w:p>
        </w:tc>
        <w:tc>
          <w:tcPr>
            <w:cnfStyle w:val="000010000000" w:firstRow="0" w:lastRow="0" w:firstColumn="0" w:lastColumn="0" w:oddVBand="1" w:evenVBand="0" w:oddHBand="0" w:evenHBand="0" w:firstRowFirstColumn="0" w:firstRowLastColumn="0" w:lastRowFirstColumn="0" w:lastRowLastColumn="0"/>
            <w:tcW w:w="808" w:type="dxa"/>
          </w:tcPr>
          <w:p w14:paraId="034D5268" w14:textId="77777777" w:rsidR="00D6403A" w:rsidRPr="00D6403A" w:rsidRDefault="00D6403A" w:rsidP="00E85642">
            <w:pPr>
              <w:pStyle w:val="Tabletext"/>
              <w:rPr>
                <w:lang w:val="en-US"/>
              </w:rPr>
            </w:pPr>
            <w:r w:rsidRPr="00D6403A">
              <w:rPr>
                <w:lang w:val="en-US"/>
              </w:rPr>
              <w:t>3,120</w:t>
            </w:r>
          </w:p>
        </w:tc>
        <w:tc>
          <w:tcPr>
            <w:cnfStyle w:val="000001000000" w:firstRow="0" w:lastRow="0" w:firstColumn="0" w:lastColumn="0" w:oddVBand="0" w:evenVBand="1" w:oddHBand="0" w:evenHBand="0" w:firstRowFirstColumn="0" w:firstRowLastColumn="0" w:lastRowFirstColumn="0" w:lastRowLastColumn="0"/>
            <w:tcW w:w="808" w:type="dxa"/>
          </w:tcPr>
          <w:p w14:paraId="485F101C" w14:textId="77777777" w:rsidR="00D6403A" w:rsidRPr="00D6403A" w:rsidRDefault="00D6403A" w:rsidP="00E85642">
            <w:pPr>
              <w:pStyle w:val="Tabletext"/>
              <w:rPr>
                <w:lang w:val="en-US"/>
              </w:rPr>
            </w:pPr>
            <w:r w:rsidRPr="00D6403A">
              <w:rPr>
                <w:lang w:val="en-US"/>
              </w:rPr>
              <w:t>3,295</w:t>
            </w:r>
          </w:p>
        </w:tc>
        <w:tc>
          <w:tcPr>
            <w:cnfStyle w:val="000010000000" w:firstRow="0" w:lastRow="0" w:firstColumn="0" w:lastColumn="0" w:oddVBand="1" w:evenVBand="0" w:oddHBand="0" w:evenHBand="0" w:firstRowFirstColumn="0" w:firstRowLastColumn="0" w:lastRowFirstColumn="0" w:lastRowLastColumn="0"/>
            <w:tcW w:w="808" w:type="dxa"/>
          </w:tcPr>
          <w:p w14:paraId="01F9E216" w14:textId="77777777" w:rsidR="00D6403A" w:rsidRPr="00D6403A" w:rsidRDefault="00D6403A" w:rsidP="00E85642">
            <w:pPr>
              <w:pStyle w:val="Tabletext"/>
              <w:rPr>
                <w:lang w:val="en-US"/>
              </w:rPr>
            </w:pPr>
            <w:r w:rsidRPr="00D6403A">
              <w:rPr>
                <w:lang w:val="en-US"/>
              </w:rPr>
              <w:t>3,440</w:t>
            </w:r>
          </w:p>
        </w:tc>
        <w:tc>
          <w:tcPr>
            <w:cnfStyle w:val="000001000000" w:firstRow="0" w:lastRow="0" w:firstColumn="0" w:lastColumn="0" w:oddVBand="0" w:evenVBand="1" w:oddHBand="0" w:evenHBand="0" w:firstRowFirstColumn="0" w:firstRowLastColumn="0" w:lastRowFirstColumn="0" w:lastRowLastColumn="0"/>
            <w:tcW w:w="808" w:type="dxa"/>
          </w:tcPr>
          <w:p w14:paraId="6A631D49" w14:textId="77777777" w:rsidR="00D6403A" w:rsidRPr="00D6403A" w:rsidRDefault="00D6403A" w:rsidP="00E85642">
            <w:pPr>
              <w:pStyle w:val="Tabletext"/>
              <w:rPr>
                <w:lang w:val="en-US"/>
              </w:rPr>
            </w:pPr>
            <w:r w:rsidRPr="00D6403A">
              <w:rPr>
                <w:lang w:val="en-US"/>
              </w:rPr>
              <w:t>3,670</w:t>
            </w:r>
          </w:p>
        </w:tc>
      </w:tr>
      <w:tr w:rsidR="00D6403A" w:rsidRPr="00D6403A" w14:paraId="35D04218"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58005385" w14:textId="77777777" w:rsidR="00D6403A" w:rsidRPr="00E85642" w:rsidRDefault="00D6403A" w:rsidP="00E85642">
            <w:pPr>
              <w:pStyle w:val="Tabletext"/>
              <w:jc w:val="left"/>
              <w:rPr>
                <w:rFonts w:ascii="VIC" w:hAnsi="VIC" w:cs="VIC"/>
                <w:b/>
                <w:lang w:val="en-US"/>
              </w:rPr>
            </w:pPr>
            <w:r w:rsidRPr="00E85642">
              <w:rPr>
                <w:b/>
                <w:lang w:val="en-US"/>
              </w:rPr>
              <w:t>36</w:t>
            </w:r>
          </w:p>
        </w:tc>
        <w:tc>
          <w:tcPr>
            <w:cnfStyle w:val="000001000000" w:firstRow="0" w:lastRow="0" w:firstColumn="0" w:lastColumn="0" w:oddVBand="0" w:evenVBand="1" w:oddHBand="0" w:evenHBand="0" w:firstRowFirstColumn="0" w:firstRowLastColumn="0" w:lastRowFirstColumn="0" w:lastRowLastColumn="0"/>
            <w:tcW w:w="808" w:type="dxa"/>
          </w:tcPr>
          <w:p w14:paraId="1F90EDA9" w14:textId="77777777" w:rsidR="00D6403A" w:rsidRPr="00D6403A" w:rsidRDefault="00D6403A" w:rsidP="00E85642">
            <w:pPr>
              <w:pStyle w:val="Tabletext"/>
              <w:rPr>
                <w:lang w:val="en-US"/>
              </w:rPr>
            </w:pPr>
            <w:r w:rsidRPr="00D6403A">
              <w:rPr>
                <w:lang w:val="en-US"/>
              </w:rPr>
              <w:t>1,830</w:t>
            </w:r>
          </w:p>
        </w:tc>
        <w:tc>
          <w:tcPr>
            <w:cnfStyle w:val="000010000000" w:firstRow="0" w:lastRow="0" w:firstColumn="0" w:lastColumn="0" w:oddVBand="1" w:evenVBand="0" w:oddHBand="0" w:evenHBand="0" w:firstRowFirstColumn="0" w:firstRowLastColumn="0" w:lastRowFirstColumn="0" w:lastRowLastColumn="0"/>
            <w:tcW w:w="808" w:type="dxa"/>
          </w:tcPr>
          <w:p w14:paraId="15FA25CB" w14:textId="77777777" w:rsidR="00D6403A" w:rsidRPr="00D6403A" w:rsidRDefault="00D6403A" w:rsidP="00E85642">
            <w:pPr>
              <w:pStyle w:val="Tabletext"/>
              <w:rPr>
                <w:lang w:val="en-US"/>
              </w:rPr>
            </w:pPr>
            <w:r w:rsidRPr="00D6403A">
              <w:rPr>
                <w:lang w:val="en-US"/>
              </w:rPr>
              <w:t>2,030</w:t>
            </w:r>
          </w:p>
        </w:tc>
        <w:tc>
          <w:tcPr>
            <w:cnfStyle w:val="000001000000" w:firstRow="0" w:lastRow="0" w:firstColumn="0" w:lastColumn="0" w:oddVBand="0" w:evenVBand="1" w:oddHBand="0" w:evenHBand="0" w:firstRowFirstColumn="0" w:firstRowLastColumn="0" w:lastRowFirstColumn="0" w:lastRowLastColumn="0"/>
            <w:tcW w:w="808" w:type="dxa"/>
          </w:tcPr>
          <w:p w14:paraId="38889578" w14:textId="77777777" w:rsidR="00D6403A" w:rsidRPr="00D6403A" w:rsidRDefault="00D6403A" w:rsidP="00E85642">
            <w:pPr>
              <w:pStyle w:val="Tabletext"/>
              <w:rPr>
                <w:lang w:val="en-US"/>
              </w:rPr>
            </w:pPr>
            <w:r w:rsidRPr="00D6403A">
              <w:rPr>
                <w:lang w:val="en-US"/>
              </w:rPr>
              <w:t>2,140</w:t>
            </w:r>
          </w:p>
        </w:tc>
        <w:tc>
          <w:tcPr>
            <w:cnfStyle w:val="000010000000" w:firstRow="0" w:lastRow="0" w:firstColumn="0" w:lastColumn="0" w:oddVBand="1" w:evenVBand="0" w:oddHBand="0" w:evenHBand="0" w:firstRowFirstColumn="0" w:firstRowLastColumn="0" w:lastRowFirstColumn="0" w:lastRowLastColumn="0"/>
            <w:tcW w:w="808" w:type="dxa"/>
          </w:tcPr>
          <w:p w14:paraId="6ADAE353" w14:textId="77777777" w:rsidR="00D6403A" w:rsidRPr="00D6403A" w:rsidRDefault="00D6403A" w:rsidP="00E85642">
            <w:pPr>
              <w:pStyle w:val="Tabletext"/>
              <w:rPr>
                <w:lang w:val="en-US"/>
              </w:rPr>
            </w:pPr>
            <w:r w:rsidRPr="00D6403A">
              <w:rPr>
                <w:lang w:val="en-US"/>
              </w:rPr>
              <w:t>2,306</w:t>
            </w:r>
          </w:p>
        </w:tc>
        <w:tc>
          <w:tcPr>
            <w:cnfStyle w:val="000001000000" w:firstRow="0" w:lastRow="0" w:firstColumn="0" w:lastColumn="0" w:oddVBand="0" w:evenVBand="1" w:oddHBand="0" w:evenHBand="0" w:firstRowFirstColumn="0" w:firstRowLastColumn="0" w:lastRowFirstColumn="0" w:lastRowLastColumn="0"/>
            <w:tcW w:w="807" w:type="dxa"/>
          </w:tcPr>
          <w:p w14:paraId="6A4FD2F9" w14:textId="77777777" w:rsidR="00D6403A" w:rsidRPr="00D6403A" w:rsidRDefault="00D6403A" w:rsidP="00E85642">
            <w:pPr>
              <w:pStyle w:val="Tabletext"/>
              <w:rPr>
                <w:lang w:val="en-US"/>
              </w:rPr>
            </w:pPr>
            <w:r w:rsidRPr="00D6403A">
              <w:rPr>
                <w:lang w:val="en-US"/>
              </w:rPr>
              <w:t>2,565</w:t>
            </w:r>
          </w:p>
        </w:tc>
        <w:tc>
          <w:tcPr>
            <w:cnfStyle w:val="000010000000" w:firstRow="0" w:lastRow="0" w:firstColumn="0" w:lastColumn="0" w:oddVBand="1" w:evenVBand="0" w:oddHBand="0" w:evenHBand="0" w:firstRowFirstColumn="0" w:firstRowLastColumn="0" w:lastRowFirstColumn="0" w:lastRowLastColumn="0"/>
            <w:tcW w:w="808" w:type="dxa"/>
          </w:tcPr>
          <w:p w14:paraId="135D82FC" w14:textId="77777777" w:rsidR="00D6403A" w:rsidRPr="00D6403A" w:rsidRDefault="00D6403A" w:rsidP="00E85642">
            <w:pPr>
              <w:pStyle w:val="Tabletext"/>
              <w:rPr>
                <w:lang w:val="en-US"/>
              </w:rPr>
            </w:pPr>
            <w:r w:rsidRPr="00D6403A">
              <w:rPr>
                <w:lang w:val="en-US"/>
              </w:rPr>
              <w:t>2,840</w:t>
            </w:r>
          </w:p>
        </w:tc>
        <w:tc>
          <w:tcPr>
            <w:cnfStyle w:val="000001000000" w:firstRow="0" w:lastRow="0" w:firstColumn="0" w:lastColumn="0" w:oddVBand="0" w:evenVBand="1" w:oddHBand="0" w:evenHBand="0" w:firstRowFirstColumn="0" w:firstRowLastColumn="0" w:lastRowFirstColumn="0" w:lastRowLastColumn="0"/>
            <w:tcW w:w="808" w:type="dxa"/>
          </w:tcPr>
          <w:p w14:paraId="0576BFF0" w14:textId="77777777" w:rsidR="00D6403A" w:rsidRPr="00D6403A" w:rsidRDefault="00D6403A" w:rsidP="00E85642">
            <w:pPr>
              <w:pStyle w:val="Tabletext"/>
              <w:rPr>
                <w:lang w:val="en-US"/>
              </w:rPr>
            </w:pPr>
            <w:r w:rsidRPr="00D6403A">
              <w:rPr>
                <w:lang w:val="en-US"/>
              </w:rPr>
              <w:t>3,115</w:t>
            </w:r>
          </w:p>
        </w:tc>
        <w:tc>
          <w:tcPr>
            <w:cnfStyle w:val="000010000000" w:firstRow="0" w:lastRow="0" w:firstColumn="0" w:lastColumn="0" w:oddVBand="1" w:evenVBand="0" w:oddHBand="0" w:evenHBand="0" w:firstRowFirstColumn="0" w:firstRowLastColumn="0" w:lastRowFirstColumn="0" w:lastRowLastColumn="0"/>
            <w:tcW w:w="808" w:type="dxa"/>
          </w:tcPr>
          <w:p w14:paraId="37AE0B1E" w14:textId="77777777" w:rsidR="00D6403A" w:rsidRPr="00D6403A" w:rsidRDefault="00D6403A" w:rsidP="00E85642">
            <w:pPr>
              <w:pStyle w:val="Tabletext"/>
              <w:rPr>
                <w:lang w:val="en-US"/>
              </w:rPr>
            </w:pPr>
            <w:r w:rsidRPr="00D6403A">
              <w:rPr>
                <w:lang w:val="en-US"/>
              </w:rPr>
              <w:t>3,390</w:t>
            </w:r>
          </w:p>
        </w:tc>
        <w:tc>
          <w:tcPr>
            <w:cnfStyle w:val="000001000000" w:firstRow="0" w:lastRow="0" w:firstColumn="0" w:lastColumn="0" w:oddVBand="0" w:evenVBand="1" w:oddHBand="0" w:evenHBand="0" w:firstRowFirstColumn="0" w:firstRowLastColumn="0" w:lastRowFirstColumn="0" w:lastRowLastColumn="0"/>
            <w:tcW w:w="808" w:type="dxa"/>
          </w:tcPr>
          <w:p w14:paraId="2AED48D4" w14:textId="77777777" w:rsidR="00D6403A" w:rsidRPr="00D6403A" w:rsidRDefault="00D6403A" w:rsidP="00E85642">
            <w:pPr>
              <w:pStyle w:val="Tabletext"/>
              <w:rPr>
                <w:lang w:val="en-US"/>
              </w:rPr>
            </w:pPr>
            <w:r w:rsidRPr="00D6403A">
              <w:rPr>
                <w:lang w:val="en-US"/>
              </w:rPr>
              <w:t>3,570</w:t>
            </w:r>
          </w:p>
        </w:tc>
        <w:tc>
          <w:tcPr>
            <w:cnfStyle w:val="000010000000" w:firstRow="0" w:lastRow="0" w:firstColumn="0" w:lastColumn="0" w:oddVBand="1" w:evenVBand="0" w:oddHBand="0" w:evenHBand="0" w:firstRowFirstColumn="0" w:firstRowLastColumn="0" w:lastRowFirstColumn="0" w:lastRowLastColumn="0"/>
            <w:tcW w:w="808" w:type="dxa"/>
          </w:tcPr>
          <w:p w14:paraId="6C0FB911" w14:textId="77777777" w:rsidR="00D6403A" w:rsidRPr="00D6403A" w:rsidRDefault="00D6403A" w:rsidP="00E85642">
            <w:pPr>
              <w:pStyle w:val="Tabletext"/>
              <w:rPr>
                <w:lang w:val="en-US"/>
              </w:rPr>
            </w:pPr>
            <w:r w:rsidRPr="00D6403A">
              <w:rPr>
                <w:lang w:val="en-US"/>
              </w:rPr>
              <w:t>3,710</w:t>
            </w:r>
          </w:p>
        </w:tc>
        <w:tc>
          <w:tcPr>
            <w:cnfStyle w:val="000001000000" w:firstRow="0" w:lastRow="0" w:firstColumn="0" w:lastColumn="0" w:oddVBand="0" w:evenVBand="1" w:oddHBand="0" w:evenHBand="0" w:firstRowFirstColumn="0" w:firstRowLastColumn="0" w:lastRowFirstColumn="0" w:lastRowLastColumn="0"/>
            <w:tcW w:w="808" w:type="dxa"/>
          </w:tcPr>
          <w:p w14:paraId="323BA907" w14:textId="77777777" w:rsidR="00D6403A" w:rsidRPr="00D6403A" w:rsidRDefault="00D6403A" w:rsidP="00E85642">
            <w:pPr>
              <w:pStyle w:val="Tabletext"/>
              <w:rPr>
                <w:lang w:val="en-US"/>
              </w:rPr>
            </w:pPr>
            <w:r w:rsidRPr="00D6403A">
              <w:rPr>
                <w:lang w:val="en-US"/>
              </w:rPr>
              <w:t>3,950</w:t>
            </w:r>
          </w:p>
        </w:tc>
      </w:tr>
      <w:tr w:rsidR="00D6403A" w:rsidRPr="00D6403A" w14:paraId="6CF84F45"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11845050" w14:textId="77777777" w:rsidR="00D6403A" w:rsidRPr="00E85642" w:rsidRDefault="00D6403A" w:rsidP="00E85642">
            <w:pPr>
              <w:pStyle w:val="Tabletext"/>
              <w:jc w:val="left"/>
              <w:rPr>
                <w:rFonts w:ascii="VIC" w:hAnsi="VIC" w:cs="VIC"/>
                <w:b/>
                <w:lang w:val="en-US"/>
              </w:rPr>
            </w:pPr>
            <w:r w:rsidRPr="00E85642">
              <w:rPr>
                <w:b/>
                <w:lang w:val="en-US"/>
              </w:rPr>
              <w:t>37</w:t>
            </w:r>
          </w:p>
        </w:tc>
        <w:tc>
          <w:tcPr>
            <w:cnfStyle w:val="000001000000" w:firstRow="0" w:lastRow="0" w:firstColumn="0" w:lastColumn="0" w:oddVBand="0" w:evenVBand="1" w:oddHBand="0" w:evenHBand="0" w:firstRowFirstColumn="0" w:firstRowLastColumn="0" w:lastRowFirstColumn="0" w:lastRowLastColumn="0"/>
            <w:tcW w:w="808" w:type="dxa"/>
          </w:tcPr>
          <w:p w14:paraId="1C09CC61" w14:textId="77777777" w:rsidR="00D6403A" w:rsidRPr="00D6403A" w:rsidRDefault="00D6403A" w:rsidP="00E85642">
            <w:pPr>
              <w:pStyle w:val="Tabletext"/>
              <w:rPr>
                <w:lang w:val="en-US"/>
              </w:rPr>
            </w:pPr>
            <w:r w:rsidRPr="00D6403A">
              <w:rPr>
                <w:lang w:val="en-US"/>
              </w:rPr>
              <w:t>2,090</w:t>
            </w:r>
          </w:p>
        </w:tc>
        <w:tc>
          <w:tcPr>
            <w:cnfStyle w:val="000010000000" w:firstRow="0" w:lastRow="0" w:firstColumn="0" w:lastColumn="0" w:oddVBand="1" w:evenVBand="0" w:oddHBand="0" w:evenHBand="0" w:firstRowFirstColumn="0" w:firstRowLastColumn="0" w:lastRowFirstColumn="0" w:lastRowLastColumn="0"/>
            <w:tcW w:w="808" w:type="dxa"/>
          </w:tcPr>
          <w:p w14:paraId="3EF26B5F" w14:textId="77777777" w:rsidR="00D6403A" w:rsidRPr="00D6403A" w:rsidRDefault="00D6403A" w:rsidP="00E85642">
            <w:pPr>
              <w:pStyle w:val="Tabletext"/>
              <w:rPr>
                <w:lang w:val="en-US"/>
              </w:rPr>
            </w:pPr>
            <w:r w:rsidRPr="00D6403A">
              <w:rPr>
                <w:lang w:val="en-US"/>
              </w:rPr>
              <w:t>2,285</w:t>
            </w:r>
          </w:p>
        </w:tc>
        <w:tc>
          <w:tcPr>
            <w:cnfStyle w:val="000001000000" w:firstRow="0" w:lastRow="0" w:firstColumn="0" w:lastColumn="0" w:oddVBand="0" w:evenVBand="1" w:oddHBand="0" w:evenHBand="0" w:firstRowFirstColumn="0" w:firstRowLastColumn="0" w:lastRowFirstColumn="0" w:lastRowLastColumn="0"/>
            <w:tcW w:w="808" w:type="dxa"/>
          </w:tcPr>
          <w:p w14:paraId="750DF5F2" w14:textId="77777777" w:rsidR="00D6403A" w:rsidRPr="00D6403A" w:rsidRDefault="00D6403A" w:rsidP="00E85642">
            <w:pPr>
              <w:pStyle w:val="Tabletext"/>
              <w:rPr>
                <w:lang w:val="en-US"/>
              </w:rPr>
            </w:pPr>
            <w:r w:rsidRPr="00D6403A">
              <w:rPr>
                <w:lang w:val="en-US"/>
              </w:rPr>
              <w:t>2,390</w:t>
            </w:r>
          </w:p>
        </w:tc>
        <w:tc>
          <w:tcPr>
            <w:cnfStyle w:val="000010000000" w:firstRow="0" w:lastRow="0" w:firstColumn="0" w:lastColumn="0" w:oddVBand="1" w:evenVBand="0" w:oddHBand="0" w:evenHBand="0" w:firstRowFirstColumn="0" w:firstRowLastColumn="0" w:lastRowFirstColumn="0" w:lastRowLastColumn="0"/>
            <w:tcW w:w="808" w:type="dxa"/>
          </w:tcPr>
          <w:p w14:paraId="33A14E55" w14:textId="77777777" w:rsidR="00D6403A" w:rsidRPr="00D6403A" w:rsidRDefault="00D6403A" w:rsidP="00E85642">
            <w:pPr>
              <w:pStyle w:val="Tabletext"/>
              <w:rPr>
                <w:lang w:val="en-US"/>
              </w:rPr>
            </w:pPr>
            <w:r w:rsidRPr="00D6403A">
              <w:rPr>
                <w:lang w:val="en-US"/>
              </w:rPr>
              <w:t>2,550</w:t>
            </w:r>
          </w:p>
        </w:tc>
        <w:tc>
          <w:tcPr>
            <w:cnfStyle w:val="000001000000" w:firstRow="0" w:lastRow="0" w:firstColumn="0" w:lastColumn="0" w:oddVBand="0" w:evenVBand="1" w:oddHBand="0" w:evenHBand="0" w:firstRowFirstColumn="0" w:firstRowLastColumn="0" w:lastRowFirstColumn="0" w:lastRowLastColumn="0"/>
            <w:tcW w:w="807" w:type="dxa"/>
          </w:tcPr>
          <w:p w14:paraId="4E46F1D0" w14:textId="77777777" w:rsidR="00D6403A" w:rsidRPr="00D6403A" w:rsidRDefault="00D6403A" w:rsidP="00E85642">
            <w:pPr>
              <w:pStyle w:val="Tabletext"/>
              <w:rPr>
                <w:lang w:val="en-US"/>
              </w:rPr>
            </w:pPr>
            <w:r w:rsidRPr="00D6403A">
              <w:rPr>
                <w:lang w:val="en-US"/>
              </w:rPr>
              <w:t>2,810</w:t>
            </w:r>
          </w:p>
        </w:tc>
        <w:tc>
          <w:tcPr>
            <w:cnfStyle w:val="000010000000" w:firstRow="0" w:lastRow="0" w:firstColumn="0" w:lastColumn="0" w:oddVBand="1" w:evenVBand="0" w:oddHBand="0" w:evenHBand="0" w:firstRowFirstColumn="0" w:firstRowLastColumn="0" w:lastRowFirstColumn="0" w:lastRowLastColumn="0"/>
            <w:tcW w:w="808" w:type="dxa"/>
          </w:tcPr>
          <w:p w14:paraId="12B797B9" w14:textId="77777777" w:rsidR="00D6403A" w:rsidRPr="00D6403A" w:rsidRDefault="00D6403A" w:rsidP="00E85642">
            <w:pPr>
              <w:pStyle w:val="Tabletext"/>
              <w:rPr>
                <w:lang w:val="en-US"/>
              </w:rPr>
            </w:pPr>
            <w:r w:rsidRPr="00D6403A">
              <w:rPr>
                <w:lang w:val="en-US"/>
              </w:rPr>
              <w:t>3,090</w:t>
            </w:r>
          </w:p>
        </w:tc>
        <w:tc>
          <w:tcPr>
            <w:cnfStyle w:val="000001000000" w:firstRow="0" w:lastRow="0" w:firstColumn="0" w:lastColumn="0" w:oddVBand="0" w:evenVBand="1" w:oddHBand="0" w:evenHBand="0" w:firstRowFirstColumn="0" w:firstRowLastColumn="0" w:lastRowFirstColumn="0" w:lastRowLastColumn="0"/>
            <w:tcW w:w="808" w:type="dxa"/>
          </w:tcPr>
          <w:p w14:paraId="284461E9" w14:textId="77777777" w:rsidR="00D6403A" w:rsidRPr="00D6403A" w:rsidRDefault="00D6403A" w:rsidP="00E85642">
            <w:pPr>
              <w:pStyle w:val="Tabletext"/>
              <w:rPr>
                <w:lang w:val="en-US"/>
              </w:rPr>
            </w:pPr>
            <w:r w:rsidRPr="00D6403A">
              <w:rPr>
                <w:lang w:val="en-US"/>
              </w:rPr>
              <w:t>3,390</w:t>
            </w:r>
          </w:p>
        </w:tc>
        <w:tc>
          <w:tcPr>
            <w:cnfStyle w:val="000010000000" w:firstRow="0" w:lastRow="0" w:firstColumn="0" w:lastColumn="0" w:oddVBand="1" w:evenVBand="0" w:oddHBand="0" w:evenHBand="0" w:firstRowFirstColumn="0" w:firstRowLastColumn="0" w:lastRowFirstColumn="0" w:lastRowLastColumn="0"/>
            <w:tcW w:w="808" w:type="dxa"/>
          </w:tcPr>
          <w:p w14:paraId="626CE8FB" w14:textId="77777777" w:rsidR="00D6403A" w:rsidRPr="00D6403A" w:rsidRDefault="00D6403A" w:rsidP="00E85642">
            <w:pPr>
              <w:pStyle w:val="Tabletext"/>
              <w:rPr>
                <w:lang w:val="en-US"/>
              </w:rPr>
            </w:pPr>
            <w:r w:rsidRPr="00D6403A">
              <w:rPr>
                <w:lang w:val="en-US"/>
              </w:rPr>
              <w:t>3,680</w:t>
            </w:r>
          </w:p>
        </w:tc>
        <w:tc>
          <w:tcPr>
            <w:cnfStyle w:val="000001000000" w:firstRow="0" w:lastRow="0" w:firstColumn="0" w:lastColumn="0" w:oddVBand="0" w:evenVBand="1" w:oddHBand="0" w:evenHBand="0" w:firstRowFirstColumn="0" w:firstRowLastColumn="0" w:lastRowFirstColumn="0" w:lastRowLastColumn="0"/>
            <w:tcW w:w="808" w:type="dxa"/>
          </w:tcPr>
          <w:p w14:paraId="0732CE03" w14:textId="77777777" w:rsidR="00D6403A" w:rsidRPr="00D6403A" w:rsidRDefault="00D6403A" w:rsidP="00E85642">
            <w:pPr>
              <w:pStyle w:val="Tabletext"/>
              <w:rPr>
                <w:lang w:val="en-US"/>
              </w:rPr>
            </w:pPr>
            <w:r w:rsidRPr="00D6403A">
              <w:rPr>
                <w:lang w:val="en-US"/>
              </w:rPr>
              <w:t>3,870</w:t>
            </w:r>
          </w:p>
        </w:tc>
        <w:tc>
          <w:tcPr>
            <w:cnfStyle w:val="000010000000" w:firstRow="0" w:lastRow="0" w:firstColumn="0" w:lastColumn="0" w:oddVBand="1" w:evenVBand="0" w:oddHBand="0" w:evenHBand="0" w:firstRowFirstColumn="0" w:firstRowLastColumn="0" w:lastRowFirstColumn="0" w:lastRowLastColumn="0"/>
            <w:tcW w:w="808" w:type="dxa"/>
          </w:tcPr>
          <w:p w14:paraId="431600FD" w14:textId="77777777" w:rsidR="00D6403A" w:rsidRPr="00D6403A" w:rsidRDefault="00D6403A" w:rsidP="00E85642">
            <w:pPr>
              <w:pStyle w:val="Tabletext"/>
              <w:rPr>
                <w:lang w:val="en-US"/>
              </w:rPr>
            </w:pPr>
            <w:r w:rsidRPr="00D6403A">
              <w:rPr>
                <w:lang w:val="en-US"/>
              </w:rPr>
              <w:t>4,000</w:t>
            </w:r>
          </w:p>
        </w:tc>
        <w:tc>
          <w:tcPr>
            <w:cnfStyle w:val="000001000000" w:firstRow="0" w:lastRow="0" w:firstColumn="0" w:lastColumn="0" w:oddVBand="0" w:evenVBand="1" w:oddHBand="0" w:evenHBand="0" w:firstRowFirstColumn="0" w:firstRowLastColumn="0" w:lastRowFirstColumn="0" w:lastRowLastColumn="0"/>
            <w:tcW w:w="808" w:type="dxa"/>
          </w:tcPr>
          <w:p w14:paraId="3E30B0B8" w14:textId="77777777" w:rsidR="00D6403A" w:rsidRPr="00D6403A" w:rsidRDefault="00D6403A" w:rsidP="00E85642">
            <w:pPr>
              <w:pStyle w:val="Tabletext"/>
              <w:rPr>
                <w:lang w:val="en-US"/>
              </w:rPr>
            </w:pPr>
            <w:r w:rsidRPr="00D6403A">
              <w:rPr>
                <w:lang w:val="en-US"/>
              </w:rPr>
              <w:t>4,245</w:t>
            </w:r>
          </w:p>
        </w:tc>
      </w:tr>
      <w:tr w:rsidR="00D6403A" w:rsidRPr="00D6403A" w14:paraId="3D4A4CB2"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0D05EE66" w14:textId="77777777" w:rsidR="00D6403A" w:rsidRPr="00E85642" w:rsidRDefault="00D6403A" w:rsidP="00E85642">
            <w:pPr>
              <w:pStyle w:val="Tabletext"/>
              <w:jc w:val="left"/>
              <w:rPr>
                <w:rFonts w:ascii="VIC" w:hAnsi="VIC" w:cs="VIC"/>
                <w:b/>
                <w:lang w:val="en-US"/>
              </w:rPr>
            </w:pPr>
            <w:r w:rsidRPr="00E85642">
              <w:rPr>
                <w:b/>
                <w:lang w:val="en-US"/>
              </w:rPr>
              <w:t>38</w:t>
            </w:r>
          </w:p>
        </w:tc>
        <w:tc>
          <w:tcPr>
            <w:cnfStyle w:val="000001000000" w:firstRow="0" w:lastRow="0" w:firstColumn="0" w:lastColumn="0" w:oddVBand="0" w:evenVBand="1" w:oddHBand="0" w:evenHBand="0" w:firstRowFirstColumn="0" w:firstRowLastColumn="0" w:lastRowFirstColumn="0" w:lastRowLastColumn="0"/>
            <w:tcW w:w="808" w:type="dxa"/>
          </w:tcPr>
          <w:p w14:paraId="37977AEC" w14:textId="77777777" w:rsidR="00D6403A" w:rsidRPr="00D6403A" w:rsidRDefault="00D6403A" w:rsidP="00E85642">
            <w:pPr>
              <w:pStyle w:val="Tabletext"/>
              <w:rPr>
                <w:lang w:val="en-US"/>
              </w:rPr>
            </w:pPr>
            <w:r w:rsidRPr="00D6403A">
              <w:rPr>
                <w:lang w:val="en-US"/>
              </w:rPr>
              <w:t>2,368</w:t>
            </w:r>
          </w:p>
        </w:tc>
        <w:tc>
          <w:tcPr>
            <w:cnfStyle w:val="000010000000" w:firstRow="0" w:lastRow="0" w:firstColumn="0" w:lastColumn="0" w:oddVBand="1" w:evenVBand="0" w:oddHBand="0" w:evenHBand="0" w:firstRowFirstColumn="0" w:firstRowLastColumn="0" w:lastRowFirstColumn="0" w:lastRowLastColumn="0"/>
            <w:tcW w:w="808" w:type="dxa"/>
          </w:tcPr>
          <w:p w14:paraId="49538E98" w14:textId="77777777" w:rsidR="00D6403A" w:rsidRPr="00D6403A" w:rsidRDefault="00D6403A" w:rsidP="00E85642">
            <w:pPr>
              <w:pStyle w:val="Tabletext"/>
              <w:rPr>
                <w:lang w:val="en-US"/>
              </w:rPr>
            </w:pPr>
            <w:r w:rsidRPr="00D6403A">
              <w:rPr>
                <w:lang w:val="en-US"/>
              </w:rPr>
              <w:t>2,560</w:t>
            </w:r>
          </w:p>
        </w:tc>
        <w:tc>
          <w:tcPr>
            <w:cnfStyle w:val="000001000000" w:firstRow="0" w:lastRow="0" w:firstColumn="0" w:lastColumn="0" w:oddVBand="0" w:evenVBand="1" w:oddHBand="0" w:evenHBand="0" w:firstRowFirstColumn="0" w:firstRowLastColumn="0" w:lastRowFirstColumn="0" w:lastRowLastColumn="0"/>
            <w:tcW w:w="808" w:type="dxa"/>
          </w:tcPr>
          <w:p w14:paraId="25923569" w14:textId="77777777" w:rsidR="00D6403A" w:rsidRPr="00D6403A" w:rsidRDefault="00D6403A" w:rsidP="00E85642">
            <w:pPr>
              <w:pStyle w:val="Tabletext"/>
              <w:rPr>
                <w:lang w:val="en-US"/>
              </w:rPr>
            </w:pPr>
            <w:r w:rsidRPr="00D6403A">
              <w:rPr>
                <w:lang w:val="en-US"/>
              </w:rPr>
              <w:t>2,660</w:t>
            </w:r>
          </w:p>
        </w:tc>
        <w:tc>
          <w:tcPr>
            <w:cnfStyle w:val="000010000000" w:firstRow="0" w:lastRow="0" w:firstColumn="0" w:lastColumn="0" w:oddVBand="1" w:evenVBand="0" w:oddHBand="0" w:evenHBand="0" w:firstRowFirstColumn="0" w:firstRowLastColumn="0" w:lastRowFirstColumn="0" w:lastRowLastColumn="0"/>
            <w:tcW w:w="808" w:type="dxa"/>
          </w:tcPr>
          <w:p w14:paraId="7517CEF7" w14:textId="77777777" w:rsidR="00D6403A" w:rsidRPr="00D6403A" w:rsidRDefault="00D6403A" w:rsidP="00E85642">
            <w:pPr>
              <w:pStyle w:val="Tabletext"/>
              <w:rPr>
                <w:lang w:val="en-US"/>
              </w:rPr>
            </w:pPr>
            <w:r w:rsidRPr="00D6403A">
              <w:rPr>
                <w:lang w:val="en-US"/>
              </w:rPr>
              <w:t>2,812</w:t>
            </w:r>
          </w:p>
        </w:tc>
        <w:tc>
          <w:tcPr>
            <w:cnfStyle w:val="000001000000" w:firstRow="0" w:lastRow="0" w:firstColumn="0" w:lastColumn="0" w:oddVBand="0" w:evenVBand="1" w:oddHBand="0" w:evenHBand="0" w:firstRowFirstColumn="0" w:firstRowLastColumn="0" w:lastRowFirstColumn="0" w:lastRowLastColumn="0"/>
            <w:tcW w:w="807" w:type="dxa"/>
          </w:tcPr>
          <w:p w14:paraId="2D6BC10F" w14:textId="77777777" w:rsidR="00D6403A" w:rsidRPr="00D6403A" w:rsidRDefault="00D6403A" w:rsidP="00E85642">
            <w:pPr>
              <w:pStyle w:val="Tabletext"/>
              <w:rPr>
                <w:lang w:val="en-US"/>
              </w:rPr>
            </w:pPr>
            <w:r w:rsidRPr="00D6403A">
              <w:rPr>
                <w:lang w:val="en-US"/>
              </w:rPr>
              <w:t>3,065</w:t>
            </w:r>
          </w:p>
        </w:tc>
        <w:tc>
          <w:tcPr>
            <w:cnfStyle w:val="000010000000" w:firstRow="0" w:lastRow="0" w:firstColumn="0" w:lastColumn="0" w:oddVBand="1" w:evenVBand="0" w:oddHBand="0" w:evenHBand="0" w:firstRowFirstColumn="0" w:firstRowLastColumn="0" w:lastRowFirstColumn="0" w:lastRowLastColumn="0"/>
            <w:tcW w:w="808" w:type="dxa"/>
          </w:tcPr>
          <w:p w14:paraId="19DA2283" w14:textId="77777777" w:rsidR="00D6403A" w:rsidRPr="00D6403A" w:rsidRDefault="00D6403A" w:rsidP="00E85642">
            <w:pPr>
              <w:pStyle w:val="Tabletext"/>
              <w:rPr>
                <w:lang w:val="en-US"/>
              </w:rPr>
            </w:pPr>
            <w:r w:rsidRPr="00D6403A">
              <w:rPr>
                <w:lang w:val="en-US"/>
              </w:rPr>
              <w:t>3,348</w:t>
            </w:r>
          </w:p>
        </w:tc>
        <w:tc>
          <w:tcPr>
            <w:cnfStyle w:val="000001000000" w:firstRow="0" w:lastRow="0" w:firstColumn="0" w:lastColumn="0" w:oddVBand="0" w:evenVBand="1" w:oddHBand="0" w:evenHBand="0" w:firstRowFirstColumn="0" w:firstRowLastColumn="0" w:lastRowFirstColumn="0" w:lastRowLastColumn="0"/>
            <w:tcW w:w="808" w:type="dxa"/>
          </w:tcPr>
          <w:p w14:paraId="606AA8B2" w14:textId="77777777" w:rsidR="00D6403A" w:rsidRPr="00D6403A" w:rsidRDefault="00D6403A" w:rsidP="00E85642">
            <w:pPr>
              <w:pStyle w:val="Tabletext"/>
              <w:rPr>
                <w:lang w:val="en-US"/>
              </w:rPr>
            </w:pPr>
            <w:r w:rsidRPr="00D6403A">
              <w:rPr>
                <w:lang w:val="en-US"/>
              </w:rPr>
              <w:t>3,640</w:t>
            </w:r>
          </w:p>
        </w:tc>
        <w:tc>
          <w:tcPr>
            <w:cnfStyle w:val="000010000000" w:firstRow="0" w:lastRow="0" w:firstColumn="0" w:lastColumn="0" w:oddVBand="1" w:evenVBand="0" w:oddHBand="0" w:evenHBand="0" w:firstRowFirstColumn="0" w:firstRowLastColumn="0" w:lastRowFirstColumn="0" w:lastRowLastColumn="0"/>
            <w:tcW w:w="808" w:type="dxa"/>
          </w:tcPr>
          <w:p w14:paraId="76D69BD6" w14:textId="77777777" w:rsidR="00D6403A" w:rsidRPr="00D6403A" w:rsidRDefault="00D6403A" w:rsidP="00E85642">
            <w:pPr>
              <w:pStyle w:val="Tabletext"/>
              <w:rPr>
                <w:lang w:val="en-US"/>
              </w:rPr>
            </w:pPr>
            <w:r w:rsidRPr="00D6403A">
              <w:rPr>
                <w:lang w:val="en-US"/>
              </w:rPr>
              <w:t>3,924</w:t>
            </w:r>
          </w:p>
        </w:tc>
        <w:tc>
          <w:tcPr>
            <w:cnfStyle w:val="000001000000" w:firstRow="0" w:lastRow="0" w:firstColumn="0" w:lastColumn="0" w:oddVBand="0" w:evenVBand="1" w:oddHBand="0" w:evenHBand="0" w:firstRowFirstColumn="0" w:firstRowLastColumn="0" w:lastRowFirstColumn="0" w:lastRowLastColumn="0"/>
            <w:tcW w:w="808" w:type="dxa"/>
          </w:tcPr>
          <w:p w14:paraId="22256584" w14:textId="77777777" w:rsidR="00D6403A" w:rsidRPr="00D6403A" w:rsidRDefault="00D6403A" w:rsidP="00E85642">
            <w:pPr>
              <w:pStyle w:val="Tabletext"/>
              <w:rPr>
                <w:lang w:val="en-US"/>
              </w:rPr>
            </w:pPr>
            <w:r w:rsidRPr="00D6403A">
              <w:rPr>
                <w:lang w:val="en-US"/>
              </w:rPr>
              <w:t>4,102</w:t>
            </w:r>
          </w:p>
        </w:tc>
        <w:tc>
          <w:tcPr>
            <w:cnfStyle w:val="000010000000" w:firstRow="0" w:lastRow="0" w:firstColumn="0" w:lastColumn="0" w:oddVBand="1" w:evenVBand="0" w:oddHBand="0" w:evenHBand="0" w:firstRowFirstColumn="0" w:firstRowLastColumn="0" w:lastRowFirstColumn="0" w:lastRowLastColumn="0"/>
            <w:tcW w:w="808" w:type="dxa"/>
          </w:tcPr>
          <w:p w14:paraId="0FB44DB3" w14:textId="77777777" w:rsidR="00D6403A" w:rsidRPr="00D6403A" w:rsidRDefault="00D6403A" w:rsidP="00E85642">
            <w:pPr>
              <w:pStyle w:val="Tabletext"/>
              <w:rPr>
                <w:lang w:val="en-US"/>
              </w:rPr>
            </w:pPr>
            <w:r w:rsidRPr="00D6403A">
              <w:rPr>
                <w:lang w:val="en-US"/>
              </w:rPr>
              <w:t>4,225</w:t>
            </w:r>
          </w:p>
        </w:tc>
        <w:tc>
          <w:tcPr>
            <w:cnfStyle w:val="000001000000" w:firstRow="0" w:lastRow="0" w:firstColumn="0" w:lastColumn="0" w:oddVBand="0" w:evenVBand="1" w:oddHBand="0" w:evenHBand="0" w:firstRowFirstColumn="0" w:firstRowLastColumn="0" w:lastRowFirstColumn="0" w:lastRowLastColumn="0"/>
            <w:tcW w:w="808" w:type="dxa"/>
          </w:tcPr>
          <w:p w14:paraId="13159037" w14:textId="77777777" w:rsidR="00D6403A" w:rsidRPr="00D6403A" w:rsidRDefault="00D6403A" w:rsidP="00E85642">
            <w:pPr>
              <w:pStyle w:val="Tabletext"/>
              <w:rPr>
                <w:lang w:val="en-US"/>
              </w:rPr>
            </w:pPr>
            <w:r w:rsidRPr="00D6403A">
              <w:rPr>
                <w:lang w:val="en-US"/>
              </w:rPr>
              <w:t>4,455</w:t>
            </w:r>
          </w:p>
        </w:tc>
      </w:tr>
      <w:tr w:rsidR="00D6403A" w:rsidRPr="00D6403A" w14:paraId="5D41F8B3"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666D23C6" w14:textId="77777777" w:rsidR="00D6403A" w:rsidRPr="00E85642" w:rsidRDefault="00D6403A" w:rsidP="00E85642">
            <w:pPr>
              <w:pStyle w:val="Tabletext"/>
              <w:jc w:val="left"/>
              <w:rPr>
                <w:rFonts w:ascii="VIC" w:hAnsi="VIC" w:cs="VIC"/>
                <w:b/>
                <w:lang w:val="en-US"/>
              </w:rPr>
            </w:pPr>
            <w:r w:rsidRPr="00E85642">
              <w:rPr>
                <w:b/>
                <w:lang w:val="en-US"/>
              </w:rPr>
              <w:t>39</w:t>
            </w:r>
          </w:p>
        </w:tc>
        <w:tc>
          <w:tcPr>
            <w:cnfStyle w:val="000001000000" w:firstRow="0" w:lastRow="0" w:firstColumn="0" w:lastColumn="0" w:oddVBand="0" w:evenVBand="1" w:oddHBand="0" w:evenHBand="0" w:firstRowFirstColumn="0" w:firstRowLastColumn="0" w:lastRowFirstColumn="0" w:lastRowLastColumn="0"/>
            <w:tcW w:w="808" w:type="dxa"/>
          </w:tcPr>
          <w:p w14:paraId="04025E57" w14:textId="77777777" w:rsidR="00D6403A" w:rsidRPr="00D6403A" w:rsidRDefault="00D6403A" w:rsidP="00E85642">
            <w:pPr>
              <w:pStyle w:val="Tabletext"/>
              <w:rPr>
                <w:lang w:val="en-US"/>
              </w:rPr>
            </w:pPr>
            <w:r w:rsidRPr="00D6403A">
              <w:rPr>
                <w:lang w:val="en-US"/>
              </w:rPr>
              <w:t>2,545</w:t>
            </w:r>
          </w:p>
        </w:tc>
        <w:tc>
          <w:tcPr>
            <w:cnfStyle w:val="000010000000" w:firstRow="0" w:lastRow="0" w:firstColumn="0" w:lastColumn="0" w:oddVBand="1" w:evenVBand="0" w:oddHBand="0" w:evenHBand="0" w:firstRowFirstColumn="0" w:firstRowLastColumn="0" w:lastRowFirstColumn="0" w:lastRowLastColumn="0"/>
            <w:tcW w:w="808" w:type="dxa"/>
          </w:tcPr>
          <w:p w14:paraId="69E9E94C" w14:textId="77777777" w:rsidR="00D6403A" w:rsidRPr="00D6403A" w:rsidRDefault="00D6403A" w:rsidP="00E85642">
            <w:pPr>
              <w:pStyle w:val="Tabletext"/>
              <w:rPr>
                <w:lang w:val="en-US"/>
              </w:rPr>
            </w:pPr>
            <w:r w:rsidRPr="00D6403A">
              <w:rPr>
                <w:lang w:val="en-US"/>
              </w:rPr>
              <w:t>2,730</w:t>
            </w:r>
          </w:p>
        </w:tc>
        <w:tc>
          <w:tcPr>
            <w:cnfStyle w:val="000001000000" w:firstRow="0" w:lastRow="0" w:firstColumn="0" w:lastColumn="0" w:oddVBand="0" w:evenVBand="1" w:oddHBand="0" w:evenHBand="0" w:firstRowFirstColumn="0" w:firstRowLastColumn="0" w:lastRowFirstColumn="0" w:lastRowLastColumn="0"/>
            <w:tcW w:w="808" w:type="dxa"/>
          </w:tcPr>
          <w:p w14:paraId="4DA80391" w14:textId="77777777" w:rsidR="00D6403A" w:rsidRPr="00D6403A" w:rsidRDefault="00D6403A" w:rsidP="00E85642">
            <w:pPr>
              <w:pStyle w:val="Tabletext"/>
              <w:rPr>
                <w:lang w:val="en-US"/>
              </w:rPr>
            </w:pPr>
            <w:r w:rsidRPr="00D6403A">
              <w:rPr>
                <w:lang w:val="en-US"/>
              </w:rPr>
              <w:t>2,830</w:t>
            </w:r>
          </w:p>
        </w:tc>
        <w:tc>
          <w:tcPr>
            <w:cnfStyle w:val="000010000000" w:firstRow="0" w:lastRow="0" w:firstColumn="0" w:lastColumn="0" w:oddVBand="1" w:evenVBand="0" w:oddHBand="0" w:evenHBand="0" w:firstRowFirstColumn="0" w:firstRowLastColumn="0" w:lastRowFirstColumn="0" w:lastRowLastColumn="0"/>
            <w:tcW w:w="808" w:type="dxa"/>
          </w:tcPr>
          <w:p w14:paraId="419DAE4A" w14:textId="77777777" w:rsidR="00D6403A" w:rsidRPr="00D6403A" w:rsidRDefault="00D6403A" w:rsidP="00E85642">
            <w:pPr>
              <w:pStyle w:val="Tabletext"/>
              <w:rPr>
                <w:lang w:val="en-US"/>
              </w:rPr>
            </w:pPr>
            <w:r w:rsidRPr="00D6403A">
              <w:rPr>
                <w:lang w:val="en-US"/>
              </w:rPr>
              <w:t>2,970</w:t>
            </w:r>
          </w:p>
        </w:tc>
        <w:tc>
          <w:tcPr>
            <w:cnfStyle w:val="000001000000" w:firstRow="0" w:lastRow="0" w:firstColumn="0" w:lastColumn="0" w:oddVBand="0" w:evenVBand="1" w:oddHBand="0" w:evenHBand="0" w:firstRowFirstColumn="0" w:firstRowLastColumn="0" w:lastRowFirstColumn="0" w:lastRowLastColumn="0"/>
            <w:tcW w:w="807" w:type="dxa"/>
          </w:tcPr>
          <w:p w14:paraId="593413D7" w14:textId="77777777" w:rsidR="00D6403A" w:rsidRPr="00D6403A" w:rsidRDefault="00D6403A" w:rsidP="00E85642">
            <w:pPr>
              <w:pStyle w:val="Tabletext"/>
              <w:rPr>
                <w:lang w:val="en-US"/>
              </w:rPr>
            </w:pPr>
            <w:r w:rsidRPr="00D6403A">
              <w:rPr>
                <w:lang w:val="en-US"/>
              </w:rPr>
              <w:t>3,210</w:t>
            </w:r>
          </w:p>
        </w:tc>
        <w:tc>
          <w:tcPr>
            <w:cnfStyle w:val="000010000000" w:firstRow="0" w:lastRow="0" w:firstColumn="0" w:lastColumn="0" w:oddVBand="1" w:evenVBand="0" w:oddHBand="0" w:evenHBand="0" w:firstRowFirstColumn="0" w:firstRowLastColumn="0" w:lastRowFirstColumn="0" w:lastRowLastColumn="0"/>
            <w:tcW w:w="808" w:type="dxa"/>
          </w:tcPr>
          <w:p w14:paraId="3DE9F978" w14:textId="77777777" w:rsidR="00D6403A" w:rsidRPr="00D6403A" w:rsidRDefault="00D6403A" w:rsidP="00E85642">
            <w:pPr>
              <w:pStyle w:val="Tabletext"/>
              <w:rPr>
                <w:lang w:val="en-US"/>
              </w:rPr>
            </w:pPr>
            <w:r w:rsidRPr="00D6403A">
              <w:rPr>
                <w:lang w:val="en-US"/>
              </w:rPr>
              <w:t>3,490</w:t>
            </w:r>
          </w:p>
        </w:tc>
        <w:tc>
          <w:tcPr>
            <w:cnfStyle w:val="000001000000" w:firstRow="0" w:lastRow="0" w:firstColumn="0" w:lastColumn="0" w:oddVBand="0" w:evenVBand="1" w:oddHBand="0" w:evenHBand="0" w:firstRowFirstColumn="0" w:firstRowLastColumn="0" w:lastRowFirstColumn="0" w:lastRowLastColumn="0"/>
            <w:tcW w:w="808" w:type="dxa"/>
          </w:tcPr>
          <w:p w14:paraId="54144CAE" w14:textId="77777777" w:rsidR="00D6403A" w:rsidRPr="00D6403A" w:rsidRDefault="00D6403A" w:rsidP="00E85642">
            <w:pPr>
              <w:pStyle w:val="Tabletext"/>
              <w:rPr>
                <w:lang w:val="en-US"/>
              </w:rPr>
            </w:pPr>
            <w:r w:rsidRPr="00D6403A">
              <w:rPr>
                <w:lang w:val="en-US"/>
              </w:rPr>
              <w:t>3,780</w:t>
            </w:r>
          </w:p>
        </w:tc>
        <w:tc>
          <w:tcPr>
            <w:cnfStyle w:val="000010000000" w:firstRow="0" w:lastRow="0" w:firstColumn="0" w:lastColumn="0" w:oddVBand="1" w:evenVBand="0" w:oddHBand="0" w:evenHBand="0" w:firstRowFirstColumn="0" w:firstRowLastColumn="0" w:lastRowFirstColumn="0" w:lastRowLastColumn="0"/>
            <w:tcW w:w="808" w:type="dxa"/>
          </w:tcPr>
          <w:p w14:paraId="29CE921E" w14:textId="77777777" w:rsidR="00D6403A" w:rsidRPr="00D6403A" w:rsidRDefault="00D6403A" w:rsidP="00E85642">
            <w:pPr>
              <w:pStyle w:val="Tabletext"/>
              <w:rPr>
                <w:lang w:val="en-US"/>
              </w:rPr>
            </w:pPr>
            <w:r w:rsidRPr="00D6403A">
              <w:rPr>
                <w:lang w:val="en-US"/>
              </w:rPr>
              <w:t>4,055</w:t>
            </w:r>
          </w:p>
        </w:tc>
        <w:tc>
          <w:tcPr>
            <w:cnfStyle w:val="000001000000" w:firstRow="0" w:lastRow="0" w:firstColumn="0" w:lastColumn="0" w:oddVBand="0" w:evenVBand="1" w:oddHBand="0" w:evenHBand="0" w:firstRowFirstColumn="0" w:firstRowLastColumn="0" w:lastRowFirstColumn="0" w:lastRowLastColumn="0"/>
            <w:tcW w:w="808" w:type="dxa"/>
          </w:tcPr>
          <w:p w14:paraId="74C859BE" w14:textId="77777777" w:rsidR="00D6403A" w:rsidRPr="00D6403A" w:rsidRDefault="00D6403A" w:rsidP="00E85642">
            <w:pPr>
              <w:pStyle w:val="Tabletext"/>
              <w:rPr>
                <w:lang w:val="en-US"/>
              </w:rPr>
            </w:pPr>
            <w:r w:rsidRPr="00D6403A">
              <w:rPr>
                <w:lang w:val="en-US"/>
              </w:rPr>
              <w:t>4,230</w:t>
            </w:r>
          </w:p>
        </w:tc>
        <w:tc>
          <w:tcPr>
            <w:cnfStyle w:val="000010000000" w:firstRow="0" w:lastRow="0" w:firstColumn="0" w:lastColumn="0" w:oddVBand="1" w:evenVBand="0" w:oddHBand="0" w:evenHBand="0" w:firstRowFirstColumn="0" w:firstRowLastColumn="0" w:lastRowFirstColumn="0" w:lastRowLastColumn="0"/>
            <w:tcW w:w="808" w:type="dxa"/>
          </w:tcPr>
          <w:p w14:paraId="4527CDDA" w14:textId="77777777" w:rsidR="00D6403A" w:rsidRPr="00D6403A" w:rsidRDefault="00D6403A" w:rsidP="00E85642">
            <w:pPr>
              <w:pStyle w:val="Tabletext"/>
              <w:rPr>
                <w:lang w:val="en-US"/>
              </w:rPr>
            </w:pPr>
            <w:r w:rsidRPr="00D6403A">
              <w:rPr>
                <w:lang w:val="en-US"/>
              </w:rPr>
              <w:t>4,346</w:t>
            </w:r>
          </w:p>
        </w:tc>
        <w:tc>
          <w:tcPr>
            <w:cnfStyle w:val="000001000000" w:firstRow="0" w:lastRow="0" w:firstColumn="0" w:lastColumn="0" w:oddVBand="0" w:evenVBand="1" w:oddHBand="0" w:evenHBand="0" w:firstRowFirstColumn="0" w:firstRowLastColumn="0" w:lastRowFirstColumn="0" w:lastRowLastColumn="0"/>
            <w:tcW w:w="808" w:type="dxa"/>
          </w:tcPr>
          <w:p w14:paraId="2310F98A" w14:textId="77777777" w:rsidR="00D6403A" w:rsidRPr="00D6403A" w:rsidRDefault="00D6403A" w:rsidP="00E85642">
            <w:pPr>
              <w:pStyle w:val="Tabletext"/>
              <w:rPr>
                <w:lang w:val="en-US"/>
              </w:rPr>
            </w:pPr>
            <w:r w:rsidRPr="00D6403A">
              <w:rPr>
                <w:lang w:val="en-US"/>
              </w:rPr>
              <w:t>4,565</w:t>
            </w:r>
          </w:p>
        </w:tc>
      </w:tr>
      <w:tr w:rsidR="00D6403A" w:rsidRPr="00D6403A" w14:paraId="1CD1271B"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46EED580" w14:textId="77777777" w:rsidR="00D6403A" w:rsidRPr="00E85642" w:rsidRDefault="00D6403A" w:rsidP="00E85642">
            <w:pPr>
              <w:pStyle w:val="Tabletext"/>
              <w:jc w:val="left"/>
              <w:rPr>
                <w:rFonts w:ascii="VIC" w:hAnsi="VIC" w:cs="VIC"/>
                <w:b/>
                <w:lang w:val="en-US"/>
              </w:rPr>
            </w:pPr>
            <w:r w:rsidRPr="00E85642">
              <w:rPr>
                <w:b/>
                <w:lang w:val="en-US"/>
              </w:rPr>
              <w:t>40</w:t>
            </w:r>
          </w:p>
        </w:tc>
        <w:tc>
          <w:tcPr>
            <w:cnfStyle w:val="000001000000" w:firstRow="0" w:lastRow="0" w:firstColumn="0" w:lastColumn="0" w:oddVBand="0" w:evenVBand="1" w:oddHBand="0" w:evenHBand="0" w:firstRowFirstColumn="0" w:firstRowLastColumn="0" w:lastRowFirstColumn="0" w:lastRowLastColumn="0"/>
            <w:tcW w:w="808" w:type="dxa"/>
          </w:tcPr>
          <w:p w14:paraId="53816D9C" w14:textId="77777777" w:rsidR="00D6403A" w:rsidRPr="00D6403A" w:rsidRDefault="00D6403A" w:rsidP="00E85642">
            <w:pPr>
              <w:pStyle w:val="Tabletext"/>
              <w:rPr>
                <w:lang w:val="en-US"/>
              </w:rPr>
            </w:pPr>
            <w:r w:rsidRPr="00D6403A">
              <w:rPr>
                <w:lang w:val="en-US"/>
              </w:rPr>
              <w:t>2,680</w:t>
            </w:r>
          </w:p>
        </w:tc>
        <w:tc>
          <w:tcPr>
            <w:cnfStyle w:val="000010000000" w:firstRow="0" w:lastRow="0" w:firstColumn="0" w:lastColumn="0" w:oddVBand="1" w:evenVBand="0" w:oddHBand="0" w:evenHBand="0" w:firstRowFirstColumn="0" w:firstRowLastColumn="0" w:lastRowFirstColumn="0" w:lastRowLastColumn="0"/>
            <w:tcW w:w="808" w:type="dxa"/>
          </w:tcPr>
          <w:p w14:paraId="2756D8E8" w14:textId="77777777" w:rsidR="00D6403A" w:rsidRPr="00D6403A" w:rsidRDefault="00D6403A" w:rsidP="00E85642">
            <w:pPr>
              <w:pStyle w:val="Tabletext"/>
              <w:rPr>
                <w:lang w:val="en-US"/>
              </w:rPr>
            </w:pPr>
            <w:r w:rsidRPr="00D6403A">
              <w:rPr>
                <w:lang w:val="en-US"/>
              </w:rPr>
              <w:t>2,860</w:t>
            </w:r>
          </w:p>
        </w:tc>
        <w:tc>
          <w:tcPr>
            <w:cnfStyle w:val="000001000000" w:firstRow="0" w:lastRow="0" w:firstColumn="0" w:lastColumn="0" w:oddVBand="0" w:evenVBand="1" w:oddHBand="0" w:evenHBand="0" w:firstRowFirstColumn="0" w:firstRowLastColumn="0" w:lastRowFirstColumn="0" w:lastRowLastColumn="0"/>
            <w:tcW w:w="808" w:type="dxa"/>
          </w:tcPr>
          <w:p w14:paraId="49CC10F3" w14:textId="77777777" w:rsidR="00D6403A" w:rsidRPr="00D6403A" w:rsidRDefault="00D6403A" w:rsidP="00E85642">
            <w:pPr>
              <w:pStyle w:val="Tabletext"/>
              <w:rPr>
                <w:lang w:val="en-US"/>
              </w:rPr>
            </w:pPr>
            <w:r w:rsidRPr="00D6403A">
              <w:rPr>
                <w:lang w:val="en-US"/>
              </w:rPr>
              <w:t>2,960</w:t>
            </w:r>
          </w:p>
        </w:tc>
        <w:tc>
          <w:tcPr>
            <w:cnfStyle w:val="000010000000" w:firstRow="0" w:lastRow="0" w:firstColumn="0" w:lastColumn="0" w:oddVBand="1" w:evenVBand="0" w:oddHBand="0" w:evenHBand="0" w:firstRowFirstColumn="0" w:firstRowLastColumn="0" w:lastRowFirstColumn="0" w:lastRowLastColumn="0"/>
            <w:tcW w:w="808" w:type="dxa"/>
          </w:tcPr>
          <w:p w14:paraId="34B31DDC" w14:textId="77777777" w:rsidR="00D6403A" w:rsidRPr="00D6403A" w:rsidRDefault="00D6403A" w:rsidP="00E85642">
            <w:pPr>
              <w:pStyle w:val="Tabletext"/>
              <w:rPr>
                <w:lang w:val="en-US"/>
              </w:rPr>
            </w:pPr>
            <w:r w:rsidRPr="00D6403A">
              <w:rPr>
                <w:lang w:val="en-US"/>
              </w:rPr>
              <w:t>3,100</w:t>
            </w:r>
          </w:p>
        </w:tc>
        <w:tc>
          <w:tcPr>
            <w:cnfStyle w:val="000001000000" w:firstRow="0" w:lastRow="0" w:firstColumn="0" w:lastColumn="0" w:oddVBand="0" w:evenVBand="1" w:oddHBand="0" w:evenHBand="0" w:firstRowFirstColumn="0" w:firstRowLastColumn="0" w:lastRowFirstColumn="0" w:lastRowLastColumn="0"/>
            <w:tcW w:w="807" w:type="dxa"/>
          </w:tcPr>
          <w:p w14:paraId="568D43C2" w14:textId="77777777" w:rsidR="00D6403A" w:rsidRPr="00D6403A" w:rsidRDefault="00D6403A" w:rsidP="00E85642">
            <w:pPr>
              <w:pStyle w:val="Tabletext"/>
              <w:rPr>
                <w:lang w:val="en-US"/>
              </w:rPr>
            </w:pPr>
            <w:r w:rsidRPr="00D6403A">
              <w:rPr>
                <w:lang w:val="en-US"/>
              </w:rPr>
              <w:t>3,350</w:t>
            </w:r>
          </w:p>
        </w:tc>
        <w:tc>
          <w:tcPr>
            <w:cnfStyle w:val="000010000000" w:firstRow="0" w:lastRow="0" w:firstColumn="0" w:lastColumn="0" w:oddVBand="1" w:evenVBand="0" w:oddHBand="0" w:evenHBand="0" w:firstRowFirstColumn="0" w:firstRowLastColumn="0" w:lastRowFirstColumn="0" w:lastRowLastColumn="0"/>
            <w:tcW w:w="808" w:type="dxa"/>
          </w:tcPr>
          <w:p w14:paraId="046D4438" w14:textId="77777777" w:rsidR="00D6403A" w:rsidRPr="00D6403A" w:rsidRDefault="00D6403A" w:rsidP="00E85642">
            <w:pPr>
              <w:pStyle w:val="Tabletext"/>
              <w:rPr>
                <w:lang w:val="en-US"/>
              </w:rPr>
            </w:pPr>
            <w:r w:rsidRPr="00D6403A">
              <w:rPr>
                <w:lang w:val="en-US"/>
              </w:rPr>
              <w:t>3,630</w:t>
            </w:r>
          </w:p>
        </w:tc>
        <w:tc>
          <w:tcPr>
            <w:cnfStyle w:val="000001000000" w:firstRow="0" w:lastRow="0" w:firstColumn="0" w:lastColumn="0" w:oddVBand="0" w:evenVBand="1" w:oddHBand="0" w:evenHBand="0" w:firstRowFirstColumn="0" w:firstRowLastColumn="0" w:lastRowFirstColumn="0" w:lastRowLastColumn="0"/>
            <w:tcW w:w="808" w:type="dxa"/>
          </w:tcPr>
          <w:p w14:paraId="6EDECA8B" w14:textId="77777777" w:rsidR="00D6403A" w:rsidRPr="00D6403A" w:rsidRDefault="00D6403A" w:rsidP="00E85642">
            <w:pPr>
              <w:pStyle w:val="Tabletext"/>
              <w:rPr>
                <w:lang w:val="en-US"/>
              </w:rPr>
            </w:pPr>
            <w:r w:rsidRPr="00D6403A">
              <w:rPr>
                <w:lang w:val="en-US"/>
              </w:rPr>
              <w:t>3,920</w:t>
            </w:r>
          </w:p>
        </w:tc>
        <w:tc>
          <w:tcPr>
            <w:cnfStyle w:val="000010000000" w:firstRow="0" w:lastRow="0" w:firstColumn="0" w:lastColumn="0" w:oddVBand="1" w:evenVBand="0" w:oddHBand="0" w:evenHBand="0" w:firstRowFirstColumn="0" w:firstRowLastColumn="0" w:lastRowFirstColumn="0" w:lastRowLastColumn="0"/>
            <w:tcW w:w="808" w:type="dxa"/>
          </w:tcPr>
          <w:p w14:paraId="740D2B28" w14:textId="77777777" w:rsidR="00D6403A" w:rsidRPr="00D6403A" w:rsidRDefault="00D6403A" w:rsidP="00E85642">
            <w:pPr>
              <w:pStyle w:val="Tabletext"/>
              <w:rPr>
                <w:lang w:val="en-US"/>
              </w:rPr>
            </w:pPr>
            <w:r w:rsidRPr="00D6403A">
              <w:rPr>
                <w:lang w:val="en-US"/>
              </w:rPr>
              <w:t>4,200</w:t>
            </w:r>
          </w:p>
        </w:tc>
        <w:tc>
          <w:tcPr>
            <w:cnfStyle w:val="000001000000" w:firstRow="0" w:lastRow="0" w:firstColumn="0" w:lastColumn="0" w:oddVBand="0" w:evenVBand="1" w:oddHBand="0" w:evenHBand="0" w:firstRowFirstColumn="0" w:firstRowLastColumn="0" w:lastRowFirstColumn="0" w:lastRowLastColumn="0"/>
            <w:tcW w:w="808" w:type="dxa"/>
          </w:tcPr>
          <w:p w14:paraId="383D96B1" w14:textId="77777777" w:rsidR="00D6403A" w:rsidRPr="00D6403A" w:rsidRDefault="00D6403A" w:rsidP="00E85642">
            <w:pPr>
              <w:pStyle w:val="Tabletext"/>
              <w:rPr>
                <w:lang w:val="en-US"/>
              </w:rPr>
            </w:pPr>
            <w:r w:rsidRPr="00D6403A">
              <w:rPr>
                <w:lang w:val="en-US"/>
              </w:rPr>
              <w:t>4,370</w:t>
            </w:r>
          </w:p>
        </w:tc>
        <w:tc>
          <w:tcPr>
            <w:cnfStyle w:val="000010000000" w:firstRow="0" w:lastRow="0" w:firstColumn="0" w:lastColumn="0" w:oddVBand="1" w:evenVBand="0" w:oddHBand="0" w:evenHBand="0" w:firstRowFirstColumn="0" w:firstRowLastColumn="0" w:lastRowFirstColumn="0" w:lastRowLastColumn="0"/>
            <w:tcW w:w="808" w:type="dxa"/>
          </w:tcPr>
          <w:p w14:paraId="2DCAD334" w14:textId="77777777" w:rsidR="00D6403A" w:rsidRPr="00D6403A" w:rsidRDefault="00D6403A" w:rsidP="00E85642">
            <w:pPr>
              <w:pStyle w:val="Tabletext"/>
              <w:rPr>
                <w:lang w:val="en-US"/>
              </w:rPr>
            </w:pPr>
            <w:r w:rsidRPr="00D6403A">
              <w:rPr>
                <w:lang w:val="en-US"/>
              </w:rPr>
              <w:t>4,485</w:t>
            </w:r>
          </w:p>
        </w:tc>
        <w:tc>
          <w:tcPr>
            <w:cnfStyle w:val="000001000000" w:firstRow="0" w:lastRow="0" w:firstColumn="0" w:lastColumn="0" w:oddVBand="0" w:evenVBand="1" w:oddHBand="0" w:evenHBand="0" w:firstRowFirstColumn="0" w:firstRowLastColumn="0" w:lastRowFirstColumn="0" w:lastRowLastColumn="0"/>
            <w:tcW w:w="808" w:type="dxa"/>
          </w:tcPr>
          <w:p w14:paraId="59152FA1" w14:textId="77777777" w:rsidR="00D6403A" w:rsidRPr="00D6403A" w:rsidRDefault="00D6403A" w:rsidP="00E85642">
            <w:pPr>
              <w:pStyle w:val="Tabletext"/>
              <w:rPr>
                <w:lang w:val="en-US"/>
              </w:rPr>
            </w:pPr>
            <w:r w:rsidRPr="00D6403A">
              <w:rPr>
                <w:lang w:val="en-US"/>
              </w:rPr>
              <w:t>4,700</w:t>
            </w:r>
          </w:p>
        </w:tc>
      </w:tr>
      <w:tr w:rsidR="00D6403A" w:rsidRPr="00D6403A" w14:paraId="009EF58F"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1ED5F4B4" w14:textId="77777777" w:rsidR="00D6403A" w:rsidRPr="00E85642" w:rsidRDefault="00D6403A" w:rsidP="00E85642">
            <w:pPr>
              <w:pStyle w:val="Tabletext"/>
              <w:jc w:val="left"/>
              <w:rPr>
                <w:rFonts w:ascii="VIC" w:hAnsi="VIC" w:cs="VIC"/>
                <w:b/>
                <w:lang w:val="en-US"/>
              </w:rPr>
            </w:pPr>
            <w:r w:rsidRPr="00E85642">
              <w:rPr>
                <w:b/>
                <w:lang w:val="en-US"/>
              </w:rPr>
              <w:t>41</w:t>
            </w:r>
          </w:p>
        </w:tc>
        <w:tc>
          <w:tcPr>
            <w:cnfStyle w:val="000001000000" w:firstRow="0" w:lastRow="0" w:firstColumn="0" w:lastColumn="0" w:oddVBand="0" w:evenVBand="1" w:oddHBand="0" w:evenHBand="0" w:firstRowFirstColumn="0" w:firstRowLastColumn="0" w:lastRowFirstColumn="0" w:lastRowLastColumn="0"/>
            <w:tcW w:w="808" w:type="dxa"/>
          </w:tcPr>
          <w:p w14:paraId="11195238" w14:textId="77777777" w:rsidR="00D6403A" w:rsidRPr="00D6403A" w:rsidRDefault="00D6403A" w:rsidP="00E85642">
            <w:pPr>
              <w:pStyle w:val="Tabletext"/>
              <w:rPr>
                <w:lang w:val="en-US"/>
              </w:rPr>
            </w:pPr>
            <w:r w:rsidRPr="00D6403A">
              <w:rPr>
                <w:lang w:val="en-US"/>
              </w:rPr>
              <w:t>2,800</w:t>
            </w:r>
          </w:p>
        </w:tc>
        <w:tc>
          <w:tcPr>
            <w:cnfStyle w:val="000010000000" w:firstRow="0" w:lastRow="0" w:firstColumn="0" w:lastColumn="0" w:oddVBand="1" w:evenVBand="0" w:oddHBand="0" w:evenHBand="0" w:firstRowFirstColumn="0" w:firstRowLastColumn="0" w:lastRowFirstColumn="0" w:lastRowLastColumn="0"/>
            <w:tcW w:w="808" w:type="dxa"/>
          </w:tcPr>
          <w:p w14:paraId="1373E3FF" w14:textId="77777777" w:rsidR="00D6403A" w:rsidRPr="00D6403A" w:rsidRDefault="00D6403A" w:rsidP="00E85642">
            <w:pPr>
              <w:pStyle w:val="Tabletext"/>
              <w:rPr>
                <w:lang w:val="en-US"/>
              </w:rPr>
            </w:pPr>
            <w:r w:rsidRPr="00D6403A">
              <w:rPr>
                <w:lang w:val="en-US"/>
              </w:rPr>
              <w:t>2,990</w:t>
            </w:r>
          </w:p>
        </w:tc>
        <w:tc>
          <w:tcPr>
            <w:cnfStyle w:val="000001000000" w:firstRow="0" w:lastRow="0" w:firstColumn="0" w:lastColumn="0" w:oddVBand="0" w:evenVBand="1" w:oddHBand="0" w:evenHBand="0" w:firstRowFirstColumn="0" w:firstRowLastColumn="0" w:lastRowFirstColumn="0" w:lastRowLastColumn="0"/>
            <w:tcW w:w="808" w:type="dxa"/>
          </w:tcPr>
          <w:p w14:paraId="5FFE6335" w14:textId="77777777" w:rsidR="00D6403A" w:rsidRPr="00D6403A" w:rsidRDefault="00D6403A" w:rsidP="00E85642">
            <w:pPr>
              <w:pStyle w:val="Tabletext"/>
              <w:rPr>
                <w:lang w:val="en-US"/>
              </w:rPr>
            </w:pPr>
            <w:r w:rsidRPr="00D6403A">
              <w:rPr>
                <w:lang w:val="en-US"/>
              </w:rPr>
              <w:t>3,080</w:t>
            </w:r>
          </w:p>
        </w:tc>
        <w:tc>
          <w:tcPr>
            <w:cnfStyle w:val="000010000000" w:firstRow="0" w:lastRow="0" w:firstColumn="0" w:lastColumn="0" w:oddVBand="1" w:evenVBand="0" w:oddHBand="0" w:evenHBand="0" w:firstRowFirstColumn="0" w:firstRowLastColumn="0" w:lastRowFirstColumn="0" w:lastRowLastColumn="0"/>
            <w:tcW w:w="808" w:type="dxa"/>
          </w:tcPr>
          <w:p w14:paraId="3D30E396" w14:textId="77777777" w:rsidR="00D6403A" w:rsidRPr="00D6403A" w:rsidRDefault="00D6403A" w:rsidP="00E85642">
            <w:pPr>
              <w:pStyle w:val="Tabletext"/>
              <w:rPr>
                <w:lang w:val="en-US"/>
              </w:rPr>
            </w:pPr>
            <w:r w:rsidRPr="00D6403A">
              <w:rPr>
                <w:lang w:val="en-US"/>
              </w:rPr>
              <w:t>3,230</w:t>
            </w:r>
          </w:p>
        </w:tc>
        <w:tc>
          <w:tcPr>
            <w:cnfStyle w:val="000001000000" w:firstRow="0" w:lastRow="0" w:firstColumn="0" w:lastColumn="0" w:oddVBand="0" w:evenVBand="1" w:oddHBand="0" w:evenHBand="0" w:firstRowFirstColumn="0" w:firstRowLastColumn="0" w:lastRowFirstColumn="0" w:lastRowLastColumn="0"/>
            <w:tcW w:w="807" w:type="dxa"/>
          </w:tcPr>
          <w:p w14:paraId="1797CA96" w14:textId="77777777" w:rsidR="00D6403A" w:rsidRPr="00D6403A" w:rsidRDefault="00D6403A" w:rsidP="00E85642">
            <w:pPr>
              <w:pStyle w:val="Tabletext"/>
              <w:rPr>
                <w:lang w:val="en-US"/>
              </w:rPr>
            </w:pPr>
            <w:r w:rsidRPr="00D6403A">
              <w:rPr>
                <w:lang w:val="en-US"/>
              </w:rPr>
              <w:t>3,480</w:t>
            </w:r>
          </w:p>
        </w:tc>
        <w:tc>
          <w:tcPr>
            <w:cnfStyle w:val="000010000000" w:firstRow="0" w:lastRow="0" w:firstColumn="0" w:lastColumn="0" w:oddVBand="1" w:evenVBand="0" w:oddHBand="0" w:evenHBand="0" w:firstRowFirstColumn="0" w:firstRowLastColumn="0" w:lastRowFirstColumn="0" w:lastRowLastColumn="0"/>
            <w:tcW w:w="808" w:type="dxa"/>
          </w:tcPr>
          <w:p w14:paraId="35438ED8" w14:textId="77777777" w:rsidR="00D6403A" w:rsidRPr="00D6403A" w:rsidRDefault="00D6403A" w:rsidP="00E85642">
            <w:pPr>
              <w:pStyle w:val="Tabletext"/>
              <w:rPr>
                <w:lang w:val="en-US"/>
              </w:rPr>
            </w:pPr>
            <w:r w:rsidRPr="00D6403A">
              <w:rPr>
                <w:lang w:val="en-US"/>
              </w:rPr>
              <w:t>3,765</w:t>
            </w:r>
          </w:p>
        </w:tc>
        <w:tc>
          <w:tcPr>
            <w:cnfStyle w:val="000001000000" w:firstRow="0" w:lastRow="0" w:firstColumn="0" w:lastColumn="0" w:oddVBand="0" w:evenVBand="1" w:oddHBand="0" w:evenHBand="0" w:firstRowFirstColumn="0" w:firstRowLastColumn="0" w:lastRowFirstColumn="0" w:lastRowLastColumn="0"/>
            <w:tcW w:w="808" w:type="dxa"/>
          </w:tcPr>
          <w:p w14:paraId="7BCBD0B4" w14:textId="77777777" w:rsidR="00D6403A" w:rsidRPr="00D6403A" w:rsidRDefault="00D6403A" w:rsidP="00E85642">
            <w:pPr>
              <w:pStyle w:val="Tabletext"/>
              <w:rPr>
                <w:lang w:val="en-US"/>
              </w:rPr>
            </w:pPr>
            <w:r w:rsidRPr="00D6403A">
              <w:rPr>
                <w:lang w:val="en-US"/>
              </w:rPr>
              <w:t>4,065</w:t>
            </w:r>
          </w:p>
        </w:tc>
        <w:tc>
          <w:tcPr>
            <w:cnfStyle w:val="000010000000" w:firstRow="0" w:lastRow="0" w:firstColumn="0" w:lastColumn="0" w:oddVBand="1" w:evenVBand="0" w:oddHBand="0" w:evenHBand="0" w:firstRowFirstColumn="0" w:firstRowLastColumn="0" w:lastRowFirstColumn="0" w:lastRowLastColumn="0"/>
            <w:tcW w:w="808" w:type="dxa"/>
          </w:tcPr>
          <w:p w14:paraId="55127A3B" w14:textId="77777777" w:rsidR="00D6403A" w:rsidRPr="00D6403A" w:rsidRDefault="00D6403A" w:rsidP="00E85642">
            <w:pPr>
              <w:pStyle w:val="Tabletext"/>
              <w:rPr>
                <w:lang w:val="en-US"/>
              </w:rPr>
            </w:pPr>
            <w:r w:rsidRPr="00D6403A">
              <w:rPr>
                <w:lang w:val="en-US"/>
              </w:rPr>
              <w:t>4,350</w:t>
            </w:r>
          </w:p>
        </w:tc>
        <w:tc>
          <w:tcPr>
            <w:cnfStyle w:val="000001000000" w:firstRow="0" w:lastRow="0" w:firstColumn="0" w:lastColumn="0" w:oddVBand="0" w:evenVBand="1" w:oddHBand="0" w:evenHBand="0" w:firstRowFirstColumn="0" w:firstRowLastColumn="0" w:lastRowFirstColumn="0" w:lastRowLastColumn="0"/>
            <w:tcW w:w="808" w:type="dxa"/>
          </w:tcPr>
          <w:p w14:paraId="40E8188D" w14:textId="77777777" w:rsidR="00D6403A" w:rsidRPr="00D6403A" w:rsidRDefault="00D6403A" w:rsidP="00E85642">
            <w:pPr>
              <w:pStyle w:val="Tabletext"/>
              <w:rPr>
                <w:lang w:val="en-US"/>
              </w:rPr>
            </w:pPr>
            <w:r w:rsidRPr="00D6403A">
              <w:rPr>
                <w:lang w:val="en-US"/>
              </w:rPr>
              <w:t>4,520</w:t>
            </w:r>
          </w:p>
        </w:tc>
        <w:tc>
          <w:tcPr>
            <w:cnfStyle w:val="000010000000" w:firstRow="0" w:lastRow="0" w:firstColumn="0" w:lastColumn="0" w:oddVBand="1" w:evenVBand="0" w:oddHBand="0" w:evenHBand="0" w:firstRowFirstColumn="0" w:firstRowLastColumn="0" w:lastRowFirstColumn="0" w:lastRowLastColumn="0"/>
            <w:tcW w:w="808" w:type="dxa"/>
          </w:tcPr>
          <w:p w14:paraId="2302C160" w14:textId="77777777" w:rsidR="00D6403A" w:rsidRPr="00D6403A" w:rsidRDefault="00D6403A" w:rsidP="00E85642">
            <w:pPr>
              <w:pStyle w:val="Tabletext"/>
              <w:rPr>
                <w:lang w:val="en-US"/>
              </w:rPr>
            </w:pPr>
            <w:r w:rsidRPr="00D6403A">
              <w:rPr>
                <w:lang w:val="en-US"/>
              </w:rPr>
              <w:t>4,640</w:t>
            </w:r>
          </w:p>
        </w:tc>
        <w:tc>
          <w:tcPr>
            <w:cnfStyle w:val="000001000000" w:firstRow="0" w:lastRow="0" w:firstColumn="0" w:lastColumn="0" w:oddVBand="0" w:evenVBand="1" w:oddHBand="0" w:evenHBand="0" w:firstRowFirstColumn="0" w:firstRowLastColumn="0" w:lastRowFirstColumn="0" w:lastRowLastColumn="0"/>
            <w:tcW w:w="808" w:type="dxa"/>
          </w:tcPr>
          <w:p w14:paraId="3BC145C9" w14:textId="77777777" w:rsidR="00D6403A" w:rsidRPr="00D6403A" w:rsidRDefault="00D6403A" w:rsidP="00E85642">
            <w:pPr>
              <w:pStyle w:val="Tabletext"/>
              <w:rPr>
                <w:lang w:val="en-US"/>
              </w:rPr>
            </w:pPr>
            <w:r w:rsidRPr="00D6403A">
              <w:rPr>
                <w:lang w:val="en-US"/>
              </w:rPr>
              <w:t>4,865</w:t>
            </w:r>
          </w:p>
        </w:tc>
      </w:tr>
      <w:tr w:rsidR="00D6403A" w:rsidRPr="00D6403A" w14:paraId="0B31E3F2"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6D3F11A3" w14:textId="77777777" w:rsidR="00D6403A" w:rsidRPr="00E85642" w:rsidRDefault="00D6403A" w:rsidP="00E85642">
            <w:pPr>
              <w:pStyle w:val="Tabletext"/>
              <w:jc w:val="left"/>
              <w:rPr>
                <w:rFonts w:ascii="VIC" w:hAnsi="VIC" w:cs="VIC"/>
                <w:b/>
                <w:lang w:val="en-US"/>
              </w:rPr>
            </w:pPr>
            <w:r w:rsidRPr="00E85642">
              <w:rPr>
                <w:b/>
                <w:lang w:val="en-US"/>
              </w:rPr>
              <w:t>42</w:t>
            </w:r>
          </w:p>
        </w:tc>
        <w:tc>
          <w:tcPr>
            <w:cnfStyle w:val="000001000000" w:firstRow="0" w:lastRow="0" w:firstColumn="0" w:lastColumn="0" w:oddVBand="0" w:evenVBand="1" w:oddHBand="0" w:evenHBand="0" w:firstRowFirstColumn="0" w:firstRowLastColumn="0" w:lastRowFirstColumn="0" w:lastRowLastColumn="0"/>
            <w:tcW w:w="808" w:type="dxa"/>
          </w:tcPr>
          <w:p w14:paraId="27949E3E" w14:textId="77777777" w:rsidR="00D6403A" w:rsidRPr="00D6403A" w:rsidRDefault="00D6403A" w:rsidP="00E85642">
            <w:pPr>
              <w:pStyle w:val="Tabletext"/>
              <w:rPr>
                <w:lang w:val="en-US"/>
              </w:rPr>
            </w:pPr>
            <w:r w:rsidRPr="00D6403A">
              <w:rPr>
                <w:lang w:val="en-US"/>
              </w:rPr>
              <w:t>2,820</w:t>
            </w:r>
          </w:p>
        </w:tc>
        <w:tc>
          <w:tcPr>
            <w:cnfStyle w:val="000010000000" w:firstRow="0" w:lastRow="0" w:firstColumn="0" w:lastColumn="0" w:oddVBand="1" w:evenVBand="0" w:oddHBand="0" w:evenHBand="0" w:firstRowFirstColumn="0" w:firstRowLastColumn="0" w:lastRowFirstColumn="0" w:lastRowLastColumn="0"/>
            <w:tcW w:w="808" w:type="dxa"/>
          </w:tcPr>
          <w:p w14:paraId="0B87717D" w14:textId="77777777" w:rsidR="00D6403A" w:rsidRPr="00D6403A" w:rsidRDefault="00D6403A" w:rsidP="00E85642">
            <w:pPr>
              <w:pStyle w:val="Tabletext"/>
              <w:rPr>
                <w:lang w:val="en-US"/>
              </w:rPr>
            </w:pPr>
            <w:r w:rsidRPr="00D6403A">
              <w:rPr>
                <w:lang w:val="en-US"/>
              </w:rPr>
              <w:t>3,010</w:t>
            </w:r>
          </w:p>
        </w:tc>
        <w:tc>
          <w:tcPr>
            <w:cnfStyle w:val="000001000000" w:firstRow="0" w:lastRow="0" w:firstColumn="0" w:lastColumn="0" w:oddVBand="0" w:evenVBand="1" w:oddHBand="0" w:evenHBand="0" w:firstRowFirstColumn="0" w:firstRowLastColumn="0" w:lastRowFirstColumn="0" w:lastRowLastColumn="0"/>
            <w:tcW w:w="808" w:type="dxa"/>
          </w:tcPr>
          <w:p w14:paraId="66198E64" w14:textId="77777777" w:rsidR="00D6403A" w:rsidRPr="00D6403A" w:rsidRDefault="00D6403A" w:rsidP="00E85642">
            <w:pPr>
              <w:pStyle w:val="Tabletext"/>
              <w:rPr>
                <w:lang w:val="en-US"/>
              </w:rPr>
            </w:pPr>
            <w:r w:rsidRPr="00D6403A">
              <w:rPr>
                <w:lang w:val="en-US"/>
              </w:rPr>
              <w:t>3,120</w:t>
            </w:r>
          </w:p>
        </w:tc>
        <w:tc>
          <w:tcPr>
            <w:cnfStyle w:val="000010000000" w:firstRow="0" w:lastRow="0" w:firstColumn="0" w:lastColumn="0" w:oddVBand="1" w:evenVBand="0" w:oddHBand="0" w:evenHBand="0" w:firstRowFirstColumn="0" w:firstRowLastColumn="0" w:lastRowFirstColumn="0" w:lastRowLastColumn="0"/>
            <w:tcW w:w="808" w:type="dxa"/>
          </w:tcPr>
          <w:p w14:paraId="7D788531" w14:textId="77777777" w:rsidR="00D6403A" w:rsidRPr="00D6403A" w:rsidRDefault="00D6403A" w:rsidP="00E85642">
            <w:pPr>
              <w:pStyle w:val="Tabletext"/>
              <w:rPr>
                <w:lang w:val="en-US"/>
              </w:rPr>
            </w:pPr>
            <w:r w:rsidRPr="00D6403A">
              <w:rPr>
                <w:lang w:val="en-US"/>
              </w:rPr>
              <w:t>3,270</w:t>
            </w:r>
          </w:p>
        </w:tc>
        <w:tc>
          <w:tcPr>
            <w:cnfStyle w:val="000001000000" w:firstRow="0" w:lastRow="0" w:firstColumn="0" w:lastColumn="0" w:oddVBand="0" w:evenVBand="1" w:oddHBand="0" w:evenHBand="0" w:firstRowFirstColumn="0" w:firstRowLastColumn="0" w:lastRowFirstColumn="0" w:lastRowLastColumn="0"/>
            <w:tcW w:w="807" w:type="dxa"/>
          </w:tcPr>
          <w:p w14:paraId="139A941A" w14:textId="77777777" w:rsidR="00D6403A" w:rsidRPr="00D6403A" w:rsidRDefault="00D6403A" w:rsidP="00E85642">
            <w:pPr>
              <w:pStyle w:val="Tabletext"/>
              <w:rPr>
                <w:lang w:val="en-US"/>
              </w:rPr>
            </w:pPr>
            <w:r w:rsidRPr="00D6403A">
              <w:rPr>
                <w:lang w:val="en-US"/>
              </w:rPr>
              <w:t>3,540</w:t>
            </w:r>
          </w:p>
        </w:tc>
        <w:tc>
          <w:tcPr>
            <w:cnfStyle w:val="000010000000" w:firstRow="0" w:lastRow="0" w:firstColumn="0" w:lastColumn="0" w:oddVBand="1" w:evenVBand="0" w:oddHBand="0" w:evenHBand="0" w:firstRowFirstColumn="0" w:firstRowLastColumn="0" w:lastRowFirstColumn="0" w:lastRowLastColumn="0"/>
            <w:tcW w:w="808" w:type="dxa"/>
          </w:tcPr>
          <w:p w14:paraId="2C30611E" w14:textId="77777777" w:rsidR="00D6403A" w:rsidRPr="00D6403A" w:rsidRDefault="00D6403A" w:rsidP="00E85642">
            <w:pPr>
              <w:pStyle w:val="Tabletext"/>
              <w:rPr>
                <w:lang w:val="en-US"/>
              </w:rPr>
            </w:pPr>
            <w:r w:rsidRPr="00D6403A">
              <w:rPr>
                <w:lang w:val="en-US"/>
              </w:rPr>
              <w:t>3,840</w:t>
            </w:r>
          </w:p>
        </w:tc>
        <w:tc>
          <w:tcPr>
            <w:cnfStyle w:val="000001000000" w:firstRow="0" w:lastRow="0" w:firstColumn="0" w:lastColumn="0" w:oddVBand="0" w:evenVBand="1" w:oddHBand="0" w:evenHBand="0" w:firstRowFirstColumn="0" w:firstRowLastColumn="0" w:lastRowFirstColumn="0" w:lastRowLastColumn="0"/>
            <w:tcW w:w="808" w:type="dxa"/>
          </w:tcPr>
          <w:p w14:paraId="570A942A" w14:textId="77777777" w:rsidR="00D6403A" w:rsidRPr="00D6403A" w:rsidRDefault="00D6403A" w:rsidP="00E85642">
            <w:pPr>
              <w:pStyle w:val="Tabletext"/>
              <w:rPr>
                <w:lang w:val="en-US"/>
              </w:rPr>
            </w:pPr>
            <w:r w:rsidRPr="00D6403A">
              <w:rPr>
                <w:lang w:val="en-US"/>
              </w:rPr>
              <w:t>4,150</w:t>
            </w:r>
          </w:p>
        </w:tc>
        <w:tc>
          <w:tcPr>
            <w:cnfStyle w:val="000010000000" w:firstRow="0" w:lastRow="0" w:firstColumn="0" w:lastColumn="0" w:oddVBand="1" w:evenVBand="0" w:oddHBand="0" w:evenHBand="0" w:firstRowFirstColumn="0" w:firstRowLastColumn="0" w:lastRowFirstColumn="0" w:lastRowLastColumn="0"/>
            <w:tcW w:w="808" w:type="dxa"/>
          </w:tcPr>
          <w:p w14:paraId="4BE2E80C" w14:textId="77777777" w:rsidR="00D6403A" w:rsidRPr="00D6403A" w:rsidRDefault="00D6403A" w:rsidP="00E85642">
            <w:pPr>
              <w:pStyle w:val="Tabletext"/>
              <w:rPr>
                <w:lang w:val="en-US"/>
              </w:rPr>
            </w:pPr>
            <w:r w:rsidRPr="00D6403A">
              <w:rPr>
                <w:lang w:val="en-US"/>
              </w:rPr>
              <w:t>4,456</w:t>
            </w:r>
          </w:p>
        </w:tc>
        <w:tc>
          <w:tcPr>
            <w:cnfStyle w:val="000001000000" w:firstRow="0" w:lastRow="0" w:firstColumn="0" w:lastColumn="0" w:oddVBand="0" w:evenVBand="1" w:oddHBand="0" w:evenHBand="0" w:firstRowFirstColumn="0" w:firstRowLastColumn="0" w:lastRowFirstColumn="0" w:lastRowLastColumn="0"/>
            <w:tcW w:w="808" w:type="dxa"/>
          </w:tcPr>
          <w:p w14:paraId="5AECF790" w14:textId="77777777" w:rsidR="00D6403A" w:rsidRPr="00D6403A" w:rsidRDefault="00D6403A" w:rsidP="00E85642">
            <w:pPr>
              <w:pStyle w:val="Tabletext"/>
              <w:rPr>
                <w:lang w:val="en-US"/>
              </w:rPr>
            </w:pPr>
            <w:r w:rsidRPr="00D6403A">
              <w:rPr>
                <w:lang w:val="en-US"/>
              </w:rPr>
              <w:t>4,640</w:t>
            </w:r>
          </w:p>
        </w:tc>
        <w:tc>
          <w:tcPr>
            <w:cnfStyle w:val="000010000000" w:firstRow="0" w:lastRow="0" w:firstColumn="0" w:lastColumn="0" w:oddVBand="1" w:evenVBand="0" w:oddHBand="0" w:evenHBand="0" w:firstRowFirstColumn="0" w:firstRowLastColumn="0" w:lastRowFirstColumn="0" w:lastRowLastColumn="0"/>
            <w:tcW w:w="808" w:type="dxa"/>
          </w:tcPr>
          <w:p w14:paraId="4FE23C08" w14:textId="77777777" w:rsidR="00D6403A" w:rsidRPr="00D6403A" w:rsidRDefault="00D6403A" w:rsidP="00E85642">
            <w:pPr>
              <w:pStyle w:val="Tabletext"/>
              <w:rPr>
                <w:lang w:val="en-US"/>
              </w:rPr>
            </w:pPr>
            <w:r w:rsidRPr="00D6403A">
              <w:rPr>
                <w:lang w:val="en-US"/>
              </w:rPr>
              <w:t>4,760</w:t>
            </w:r>
          </w:p>
        </w:tc>
        <w:tc>
          <w:tcPr>
            <w:cnfStyle w:val="000001000000" w:firstRow="0" w:lastRow="0" w:firstColumn="0" w:lastColumn="0" w:oddVBand="0" w:evenVBand="1" w:oddHBand="0" w:evenHBand="0" w:firstRowFirstColumn="0" w:firstRowLastColumn="0" w:lastRowFirstColumn="0" w:lastRowLastColumn="0"/>
            <w:tcW w:w="808" w:type="dxa"/>
          </w:tcPr>
          <w:p w14:paraId="3525EE40" w14:textId="77777777" w:rsidR="00D6403A" w:rsidRPr="00D6403A" w:rsidRDefault="00D6403A" w:rsidP="00E85642">
            <w:pPr>
              <w:pStyle w:val="Tabletext"/>
              <w:rPr>
                <w:lang w:val="en-US"/>
              </w:rPr>
            </w:pPr>
            <w:r w:rsidRPr="00D6403A">
              <w:rPr>
                <w:lang w:val="en-US"/>
              </w:rPr>
              <w:t>4,970</w:t>
            </w:r>
          </w:p>
        </w:tc>
      </w:tr>
      <w:tr w:rsidR="00D6403A" w:rsidRPr="00D6403A" w14:paraId="0FD8EF74"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14027476" w14:textId="77777777" w:rsidR="00D6403A" w:rsidRPr="00E85642" w:rsidRDefault="00D6403A" w:rsidP="00E85642">
            <w:pPr>
              <w:pStyle w:val="Tabletext"/>
              <w:jc w:val="left"/>
              <w:rPr>
                <w:rFonts w:ascii="VIC" w:hAnsi="VIC" w:cs="VIC"/>
                <w:b/>
                <w:lang w:val="en-US"/>
              </w:rPr>
            </w:pPr>
            <w:r w:rsidRPr="00E85642">
              <w:rPr>
                <w:b/>
                <w:lang w:val="en-US"/>
              </w:rPr>
              <w:t>43</w:t>
            </w:r>
          </w:p>
        </w:tc>
        <w:tc>
          <w:tcPr>
            <w:cnfStyle w:val="000001000000" w:firstRow="0" w:lastRow="0" w:firstColumn="0" w:lastColumn="0" w:oddVBand="0" w:evenVBand="1" w:oddHBand="0" w:evenHBand="0" w:firstRowFirstColumn="0" w:firstRowLastColumn="0" w:lastRowFirstColumn="0" w:lastRowLastColumn="0"/>
            <w:tcW w:w="808" w:type="dxa"/>
          </w:tcPr>
          <w:p w14:paraId="3D3A9986" w14:textId="77777777" w:rsidR="00D6403A" w:rsidRPr="00D6403A" w:rsidRDefault="00D6403A" w:rsidP="00E85642">
            <w:pPr>
              <w:pStyle w:val="Tabletext"/>
              <w:rPr>
                <w:lang w:val="en-US"/>
              </w:rPr>
            </w:pPr>
            <w:r w:rsidRPr="00D6403A">
              <w:rPr>
                <w:lang w:val="en-US"/>
              </w:rPr>
              <w:t>2,605</w:t>
            </w:r>
          </w:p>
        </w:tc>
        <w:tc>
          <w:tcPr>
            <w:cnfStyle w:val="000010000000" w:firstRow="0" w:lastRow="0" w:firstColumn="0" w:lastColumn="0" w:oddVBand="1" w:evenVBand="0" w:oddHBand="0" w:evenHBand="0" w:firstRowFirstColumn="0" w:firstRowLastColumn="0" w:lastRowFirstColumn="0" w:lastRowLastColumn="0"/>
            <w:tcW w:w="808" w:type="dxa"/>
          </w:tcPr>
          <w:p w14:paraId="0C208E89" w14:textId="77777777" w:rsidR="00D6403A" w:rsidRPr="00D6403A" w:rsidRDefault="00D6403A" w:rsidP="00E85642">
            <w:pPr>
              <w:pStyle w:val="Tabletext"/>
              <w:rPr>
                <w:lang w:val="en-US"/>
              </w:rPr>
            </w:pPr>
            <w:r w:rsidRPr="00D6403A">
              <w:rPr>
                <w:lang w:val="en-US"/>
              </w:rPr>
              <w:t>2,810</w:t>
            </w:r>
          </w:p>
        </w:tc>
        <w:tc>
          <w:tcPr>
            <w:cnfStyle w:val="000001000000" w:firstRow="0" w:lastRow="0" w:firstColumn="0" w:lastColumn="0" w:oddVBand="0" w:evenVBand="1" w:oddHBand="0" w:evenHBand="0" w:firstRowFirstColumn="0" w:firstRowLastColumn="0" w:lastRowFirstColumn="0" w:lastRowLastColumn="0"/>
            <w:tcW w:w="808" w:type="dxa"/>
          </w:tcPr>
          <w:p w14:paraId="5808E3FA" w14:textId="77777777" w:rsidR="00D6403A" w:rsidRPr="00D6403A" w:rsidRDefault="00D6403A" w:rsidP="00E85642">
            <w:pPr>
              <w:pStyle w:val="Tabletext"/>
              <w:rPr>
                <w:lang w:val="en-US"/>
              </w:rPr>
            </w:pPr>
            <w:r w:rsidRPr="00D6403A">
              <w:rPr>
                <w:lang w:val="en-US"/>
              </w:rPr>
              <w:t>2,958</w:t>
            </w:r>
          </w:p>
        </w:tc>
        <w:tc>
          <w:tcPr>
            <w:cnfStyle w:val="000010000000" w:firstRow="0" w:lastRow="0" w:firstColumn="0" w:lastColumn="0" w:oddVBand="1" w:evenVBand="0" w:oddHBand="0" w:evenHBand="0" w:firstRowFirstColumn="0" w:firstRowLastColumn="0" w:lastRowFirstColumn="0" w:lastRowLastColumn="0"/>
            <w:tcW w:w="808" w:type="dxa"/>
          </w:tcPr>
          <w:p w14:paraId="681ECF3A" w14:textId="77777777" w:rsidR="00D6403A" w:rsidRPr="00D6403A" w:rsidRDefault="00D6403A" w:rsidP="00E85642">
            <w:pPr>
              <w:pStyle w:val="Tabletext"/>
              <w:rPr>
                <w:lang w:val="en-US"/>
              </w:rPr>
            </w:pPr>
            <w:r w:rsidRPr="00D6403A">
              <w:rPr>
                <w:lang w:val="en-US"/>
              </w:rPr>
              <w:t>3,113</w:t>
            </w:r>
          </w:p>
        </w:tc>
        <w:tc>
          <w:tcPr>
            <w:cnfStyle w:val="000001000000" w:firstRow="0" w:lastRow="0" w:firstColumn="0" w:lastColumn="0" w:oddVBand="0" w:evenVBand="1" w:oddHBand="0" w:evenHBand="0" w:firstRowFirstColumn="0" w:firstRowLastColumn="0" w:lastRowFirstColumn="0" w:lastRowLastColumn="0"/>
            <w:tcW w:w="807" w:type="dxa"/>
          </w:tcPr>
          <w:p w14:paraId="0100C302" w14:textId="77777777" w:rsidR="00D6403A" w:rsidRPr="00D6403A" w:rsidRDefault="00D6403A" w:rsidP="00E85642">
            <w:pPr>
              <w:pStyle w:val="Tabletext"/>
              <w:rPr>
                <w:lang w:val="en-US"/>
              </w:rPr>
            </w:pPr>
            <w:r w:rsidRPr="00D6403A">
              <w:rPr>
                <w:lang w:val="en-US"/>
              </w:rPr>
              <w:t>3,385</w:t>
            </w:r>
          </w:p>
        </w:tc>
        <w:tc>
          <w:tcPr>
            <w:cnfStyle w:val="000010000000" w:firstRow="0" w:lastRow="0" w:firstColumn="0" w:lastColumn="0" w:oddVBand="1" w:evenVBand="0" w:oddHBand="0" w:evenHBand="0" w:firstRowFirstColumn="0" w:firstRowLastColumn="0" w:lastRowFirstColumn="0" w:lastRowLastColumn="0"/>
            <w:tcW w:w="808" w:type="dxa"/>
          </w:tcPr>
          <w:p w14:paraId="1545DC86" w14:textId="77777777" w:rsidR="00D6403A" w:rsidRPr="00D6403A" w:rsidRDefault="00D6403A" w:rsidP="00E85642">
            <w:pPr>
              <w:pStyle w:val="Tabletext"/>
              <w:rPr>
                <w:lang w:val="en-US"/>
              </w:rPr>
            </w:pPr>
            <w:r w:rsidRPr="00D6403A">
              <w:rPr>
                <w:lang w:val="en-US"/>
              </w:rPr>
              <w:t>3,740</w:t>
            </w:r>
          </w:p>
        </w:tc>
        <w:tc>
          <w:tcPr>
            <w:cnfStyle w:val="000001000000" w:firstRow="0" w:lastRow="0" w:firstColumn="0" w:lastColumn="0" w:oddVBand="0" w:evenVBand="1" w:oddHBand="0" w:evenHBand="0" w:firstRowFirstColumn="0" w:firstRowLastColumn="0" w:lastRowFirstColumn="0" w:lastRowLastColumn="0"/>
            <w:tcW w:w="808" w:type="dxa"/>
          </w:tcPr>
          <w:p w14:paraId="3429CE62" w14:textId="77777777" w:rsidR="00D6403A" w:rsidRPr="00D6403A" w:rsidRDefault="00D6403A" w:rsidP="00E85642">
            <w:pPr>
              <w:pStyle w:val="Tabletext"/>
              <w:rPr>
                <w:lang w:val="en-US"/>
              </w:rPr>
            </w:pPr>
            <w:r w:rsidRPr="00D6403A">
              <w:rPr>
                <w:lang w:val="en-US"/>
              </w:rPr>
              <w:t>4,110</w:t>
            </w:r>
          </w:p>
        </w:tc>
        <w:tc>
          <w:tcPr>
            <w:cnfStyle w:val="000010000000" w:firstRow="0" w:lastRow="0" w:firstColumn="0" w:lastColumn="0" w:oddVBand="1" w:evenVBand="0" w:oddHBand="0" w:evenHBand="0" w:firstRowFirstColumn="0" w:firstRowLastColumn="0" w:lastRowFirstColumn="0" w:lastRowLastColumn="0"/>
            <w:tcW w:w="808" w:type="dxa"/>
          </w:tcPr>
          <w:p w14:paraId="42DF5271" w14:textId="77777777" w:rsidR="00D6403A" w:rsidRPr="00D6403A" w:rsidRDefault="00D6403A" w:rsidP="00E85642">
            <w:pPr>
              <w:pStyle w:val="Tabletext"/>
              <w:rPr>
                <w:lang w:val="en-US"/>
              </w:rPr>
            </w:pPr>
            <w:r w:rsidRPr="00D6403A">
              <w:rPr>
                <w:lang w:val="en-US"/>
              </w:rPr>
              <w:t>4,413</w:t>
            </w:r>
          </w:p>
        </w:tc>
        <w:tc>
          <w:tcPr>
            <w:cnfStyle w:val="000001000000" w:firstRow="0" w:lastRow="0" w:firstColumn="0" w:lastColumn="0" w:oddVBand="0" w:evenVBand="1" w:oddHBand="0" w:evenHBand="0" w:firstRowFirstColumn="0" w:firstRowLastColumn="0" w:lastRowFirstColumn="0" w:lastRowLastColumn="0"/>
            <w:tcW w:w="808" w:type="dxa"/>
          </w:tcPr>
          <w:p w14:paraId="0C6A8A2A" w14:textId="77777777" w:rsidR="00D6403A" w:rsidRPr="00D6403A" w:rsidRDefault="00D6403A" w:rsidP="00E85642">
            <w:pPr>
              <w:pStyle w:val="Tabletext"/>
              <w:rPr>
                <w:lang w:val="en-US"/>
              </w:rPr>
            </w:pPr>
            <w:r w:rsidRPr="00D6403A">
              <w:rPr>
                <w:lang w:val="en-US"/>
              </w:rPr>
              <w:t>4,595</w:t>
            </w:r>
          </w:p>
        </w:tc>
        <w:tc>
          <w:tcPr>
            <w:cnfStyle w:val="000010000000" w:firstRow="0" w:lastRow="0" w:firstColumn="0" w:lastColumn="0" w:oddVBand="1" w:evenVBand="0" w:oddHBand="0" w:evenHBand="0" w:firstRowFirstColumn="0" w:firstRowLastColumn="0" w:lastRowFirstColumn="0" w:lastRowLastColumn="0"/>
            <w:tcW w:w="808" w:type="dxa"/>
          </w:tcPr>
          <w:p w14:paraId="6E43259A" w14:textId="77777777" w:rsidR="00D6403A" w:rsidRPr="00D6403A" w:rsidRDefault="00D6403A" w:rsidP="00E85642">
            <w:pPr>
              <w:pStyle w:val="Tabletext"/>
              <w:rPr>
                <w:lang w:val="en-US"/>
              </w:rPr>
            </w:pPr>
            <w:r w:rsidRPr="00D6403A">
              <w:rPr>
                <w:lang w:val="en-US"/>
              </w:rPr>
              <w:t>4,785</w:t>
            </w:r>
          </w:p>
        </w:tc>
        <w:tc>
          <w:tcPr>
            <w:cnfStyle w:val="000001000000" w:firstRow="0" w:lastRow="0" w:firstColumn="0" w:lastColumn="0" w:oddVBand="0" w:evenVBand="1" w:oddHBand="0" w:evenHBand="0" w:firstRowFirstColumn="0" w:firstRowLastColumn="0" w:lastRowFirstColumn="0" w:lastRowLastColumn="0"/>
            <w:tcW w:w="808" w:type="dxa"/>
          </w:tcPr>
          <w:p w14:paraId="21067591" w14:textId="77777777" w:rsidR="00D6403A" w:rsidRPr="00D6403A" w:rsidRDefault="00D6403A" w:rsidP="00E85642">
            <w:pPr>
              <w:pStyle w:val="Tabletext"/>
              <w:rPr>
                <w:lang w:val="en-US"/>
              </w:rPr>
            </w:pPr>
            <w:r w:rsidRPr="00D6403A">
              <w:rPr>
                <w:lang w:val="en-US"/>
              </w:rPr>
              <w:t>5,000</w:t>
            </w:r>
          </w:p>
        </w:tc>
      </w:tr>
      <w:tr w:rsidR="00D6403A" w:rsidRPr="00D6403A" w14:paraId="3D043184"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1066FC53" w14:textId="77777777" w:rsidR="00D6403A" w:rsidRPr="00E85642" w:rsidRDefault="00D6403A" w:rsidP="00E85642">
            <w:pPr>
              <w:pStyle w:val="Tabletext"/>
              <w:jc w:val="left"/>
              <w:rPr>
                <w:rFonts w:ascii="VIC" w:hAnsi="VIC" w:cs="VIC"/>
                <w:b/>
                <w:lang w:val="en-US"/>
              </w:rPr>
            </w:pPr>
            <w:r w:rsidRPr="00E85642">
              <w:rPr>
                <w:b/>
                <w:lang w:val="en-US"/>
              </w:rPr>
              <w:t>44</w:t>
            </w:r>
          </w:p>
        </w:tc>
        <w:tc>
          <w:tcPr>
            <w:cnfStyle w:val="000001000000" w:firstRow="0" w:lastRow="0" w:firstColumn="0" w:lastColumn="0" w:oddVBand="0" w:evenVBand="1" w:oddHBand="0" w:evenHBand="0" w:firstRowFirstColumn="0" w:firstRowLastColumn="0" w:lastRowFirstColumn="0" w:lastRowLastColumn="0"/>
            <w:tcW w:w="808" w:type="dxa"/>
          </w:tcPr>
          <w:p w14:paraId="59EAC50E" w14:textId="77777777" w:rsidR="00D6403A" w:rsidRPr="00D6403A" w:rsidRDefault="00D6403A" w:rsidP="00E85642">
            <w:pPr>
              <w:pStyle w:val="Tabletext"/>
              <w:rPr>
                <w:lang w:val="en-US"/>
              </w:rPr>
            </w:pPr>
            <w:r w:rsidRPr="00D6403A">
              <w:rPr>
                <w:lang w:val="en-US"/>
              </w:rPr>
              <w:t>–</w:t>
            </w:r>
          </w:p>
        </w:tc>
        <w:tc>
          <w:tcPr>
            <w:cnfStyle w:val="000010000000" w:firstRow="0" w:lastRow="0" w:firstColumn="0" w:lastColumn="0" w:oddVBand="1" w:evenVBand="0" w:oddHBand="0" w:evenHBand="0" w:firstRowFirstColumn="0" w:firstRowLastColumn="0" w:lastRowFirstColumn="0" w:lastRowLastColumn="0"/>
            <w:tcW w:w="808" w:type="dxa"/>
          </w:tcPr>
          <w:p w14:paraId="1E96A02D" w14:textId="77777777" w:rsidR="00D6403A" w:rsidRPr="00D6403A" w:rsidRDefault="00D6403A" w:rsidP="00E85642">
            <w:pPr>
              <w:pStyle w:val="Tabletext"/>
              <w:rPr>
                <w:lang w:val="en-US"/>
              </w:rPr>
            </w:pPr>
            <w:r w:rsidRPr="00D6403A">
              <w:rPr>
                <w:lang w:val="en-US"/>
              </w:rPr>
              <w:t>–</w:t>
            </w:r>
          </w:p>
        </w:tc>
        <w:tc>
          <w:tcPr>
            <w:cnfStyle w:val="000001000000" w:firstRow="0" w:lastRow="0" w:firstColumn="0" w:lastColumn="0" w:oddVBand="0" w:evenVBand="1" w:oddHBand="0" w:evenHBand="0" w:firstRowFirstColumn="0" w:firstRowLastColumn="0" w:lastRowFirstColumn="0" w:lastRowLastColumn="0"/>
            <w:tcW w:w="808" w:type="dxa"/>
          </w:tcPr>
          <w:p w14:paraId="138B9C04" w14:textId="77777777" w:rsidR="00D6403A" w:rsidRPr="00D6403A" w:rsidRDefault="00D6403A" w:rsidP="00E85642">
            <w:pPr>
              <w:pStyle w:val="Tabletext"/>
              <w:rPr>
                <w:lang w:val="en-US"/>
              </w:rPr>
            </w:pPr>
            <w:r w:rsidRPr="00D6403A">
              <w:rPr>
                <w:lang w:val="en-US"/>
              </w:rPr>
              <w:t>–</w:t>
            </w:r>
          </w:p>
        </w:tc>
        <w:tc>
          <w:tcPr>
            <w:cnfStyle w:val="000010000000" w:firstRow="0" w:lastRow="0" w:firstColumn="0" w:lastColumn="0" w:oddVBand="1" w:evenVBand="0" w:oddHBand="0" w:evenHBand="0" w:firstRowFirstColumn="0" w:firstRowLastColumn="0" w:lastRowFirstColumn="0" w:lastRowLastColumn="0"/>
            <w:tcW w:w="808" w:type="dxa"/>
          </w:tcPr>
          <w:p w14:paraId="6DED0BBC" w14:textId="77777777" w:rsidR="00D6403A" w:rsidRPr="00D6403A" w:rsidRDefault="00D6403A" w:rsidP="00E85642">
            <w:pPr>
              <w:pStyle w:val="Tabletext"/>
              <w:rPr>
                <w:lang w:val="en-US"/>
              </w:rPr>
            </w:pPr>
            <w:r w:rsidRPr="00D6403A">
              <w:rPr>
                <w:lang w:val="en-US"/>
              </w:rPr>
              <w:t>3,030</w:t>
            </w:r>
          </w:p>
        </w:tc>
        <w:tc>
          <w:tcPr>
            <w:cnfStyle w:val="000001000000" w:firstRow="0" w:lastRow="0" w:firstColumn="0" w:lastColumn="0" w:oddVBand="0" w:evenVBand="1" w:oddHBand="0" w:evenHBand="0" w:firstRowFirstColumn="0" w:firstRowLastColumn="0" w:lastRowFirstColumn="0" w:lastRowLastColumn="0"/>
            <w:tcW w:w="807" w:type="dxa"/>
          </w:tcPr>
          <w:p w14:paraId="39E813AC" w14:textId="77777777" w:rsidR="00D6403A" w:rsidRPr="00D6403A" w:rsidRDefault="00D6403A" w:rsidP="00E85642">
            <w:pPr>
              <w:pStyle w:val="Tabletext"/>
              <w:rPr>
                <w:lang w:val="en-US"/>
              </w:rPr>
            </w:pPr>
            <w:r w:rsidRPr="00D6403A">
              <w:rPr>
                <w:lang w:val="en-US"/>
              </w:rPr>
              <w:t>3,445</w:t>
            </w:r>
          </w:p>
        </w:tc>
        <w:tc>
          <w:tcPr>
            <w:cnfStyle w:val="000010000000" w:firstRow="0" w:lastRow="0" w:firstColumn="0" w:lastColumn="0" w:oddVBand="1" w:evenVBand="0" w:oddHBand="0" w:evenHBand="0" w:firstRowFirstColumn="0" w:firstRowLastColumn="0" w:lastRowFirstColumn="0" w:lastRowLastColumn="0"/>
            <w:tcW w:w="808" w:type="dxa"/>
          </w:tcPr>
          <w:p w14:paraId="17478860" w14:textId="77777777" w:rsidR="00D6403A" w:rsidRPr="00D6403A" w:rsidRDefault="00D6403A" w:rsidP="00E85642">
            <w:pPr>
              <w:pStyle w:val="Tabletext"/>
              <w:rPr>
                <w:lang w:val="en-US"/>
              </w:rPr>
            </w:pPr>
            <w:r w:rsidRPr="00D6403A">
              <w:rPr>
                <w:lang w:val="en-US"/>
              </w:rPr>
              <w:t>3,755</w:t>
            </w:r>
          </w:p>
        </w:tc>
        <w:tc>
          <w:tcPr>
            <w:cnfStyle w:val="000001000000" w:firstRow="0" w:lastRow="0" w:firstColumn="0" w:lastColumn="0" w:oddVBand="0" w:evenVBand="1" w:oddHBand="0" w:evenHBand="0" w:firstRowFirstColumn="0" w:firstRowLastColumn="0" w:lastRowFirstColumn="0" w:lastRowLastColumn="0"/>
            <w:tcW w:w="808" w:type="dxa"/>
          </w:tcPr>
          <w:p w14:paraId="2E478B04" w14:textId="77777777" w:rsidR="00D6403A" w:rsidRPr="00D6403A" w:rsidRDefault="00D6403A" w:rsidP="00E85642">
            <w:pPr>
              <w:pStyle w:val="Tabletext"/>
              <w:rPr>
                <w:lang w:val="en-US"/>
              </w:rPr>
            </w:pPr>
            <w:r w:rsidRPr="00D6403A">
              <w:rPr>
                <w:lang w:val="en-US"/>
              </w:rPr>
              <w:t>4,118</w:t>
            </w:r>
          </w:p>
        </w:tc>
        <w:tc>
          <w:tcPr>
            <w:cnfStyle w:val="000010000000" w:firstRow="0" w:lastRow="0" w:firstColumn="0" w:lastColumn="0" w:oddVBand="1" w:evenVBand="0" w:oddHBand="0" w:evenHBand="0" w:firstRowFirstColumn="0" w:firstRowLastColumn="0" w:lastRowFirstColumn="0" w:lastRowLastColumn="0"/>
            <w:tcW w:w="808" w:type="dxa"/>
          </w:tcPr>
          <w:p w14:paraId="09ACDE84" w14:textId="77777777" w:rsidR="00D6403A" w:rsidRPr="00D6403A" w:rsidRDefault="00D6403A" w:rsidP="00E85642">
            <w:pPr>
              <w:pStyle w:val="Tabletext"/>
              <w:rPr>
                <w:lang w:val="en-US"/>
              </w:rPr>
            </w:pPr>
            <w:r w:rsidRPr="00D6403A">
              <w:rPr>
                <w:lang w:val="en-US"/>
              </w:rPr>
              <w:t>4,430</w:t>
            </w:r>
          </w:p>
        </w:tc>
        <w:tc>
          <w:tcPr>
            <w:cnfStyle w:val="000001000000" w:firstRow="0" w:lastRow="0" w:firstColumn="0" w:lastColumn="0" w:oddVBand="0" w:evenVBand="1" w:oddHBand="0" w:evenHBand="0" w:firstRowFirstColumn="0" w:firstRowLastColumn="0" w:lastRowFirstColumn="0" w:lastRowLastColumn="0"/>
            <w:tcW w:w="808" w:type="dxa"/>
          </w:tcPr>
          <w:p w14:paraId="47E11B0F" w14:textId="77777777" w:rsidR="00D6403A" w:rsidRPr="00D6403A" w:rsidRDefault="00D6403A" w:rsidP="00E85642">
            <w:pPr>
              <w:pStyle w:val="Tabletext"/>
              <w:rPr>
                <w:lang w:val="en-US"/>
              </w:rPr>
            </w:pPr>
            <w:r w:rsidRPr="00D6403A">
              <w:rPr>
                <w:lang w:val="en-US"/>
              </w:rPr>
              <w:t>–</w:t>
            </w:r>
          </w:p>
        </w:tc>
        <w:tc>
          <w:tcPr>
            <w:cnfStyle w:val="000010000000" w:firstRow="0" w:lastRow="0" w:firstColumn="0" w:lastColumn="0" w:oddVBand="1" w:evenVBand="0" w:oddHBand="0" w:evenHBand="0" w:firstRowFirstColumn="0" w:firstRowLastColumn="0" w:lastRowFirstColumn="0" w:lastRowLastColumn="0"/>
            <w:tcW w:w="808" w:type="dxa"/>
          </w:tcPr>
          <w:p w14:paraId="21D7F5A1" w14:textId="77777777" w:rsidR="00D6403A" w:rsidRPr="00D6403A" w:rsidRDefault="00D6403A" w:rsidP="00E85642">
            <w:pPr>
              <w:pStyle w:val="Tabletext"/>
              <w:rPr>
                <w:lang w:val="en-US"/>
              </w:rPr>
            </w:pPr>
            <w:r w:rsidRPr="00D6403A">
              <w:rPr>
                <w:lang w:val="en-US"/>
              </w:rPr>
              <w:t>–</w:t>
            </w:r>
          </w:p>
        </w:tc>
        <w:tc>
          <w:tcPr>
            <w:cnfStyle w:val="000001000000" w:firstRow="0" w:lastRow="0" w:firstColumn="0" w:lastColumn="0" w:oddVBand="0" w:evenVBand="1" w:oddHBand="0" w:evenHBand="0" w:firstRowFirstColumn="0" w:firstRowLastColumn="0" w:lastRowFirstColumn="0" w:lastRowLastColumn="0"/>
            <w:tcW w:w="808" w:type="dxa"/>
          </w:tcPr>
          <w:p w14:paraId="74F6D988" w14:textId="77777777" w:rsidR="00D6403A" w:rsidRPr="00D6403A" w:rsidRDefault="00D6403A" w:rsidP="00E85642">
            <w:pPr>
              <w:pStyle w:val="Tabletext"/>
              <w:rPr>
                <w:lang w:val="en-US"/>
              </w:rPr>
            </w:pPr>
            <w:r w:rsidRPr="00D6403A">
              <w:rPr>
                <w:lang w:val="en-US"/>
              </w:rPr>
              <w:t>–</w:t>
            </w:r>
          </w:p>
        </w:tc>
      </w:tr>
    </w:tbl>
    <w:p w14:paraId="5A2758AA" w14:textId="5894AC54" w:rsidR="00D6403A" w:rsidRPr="00D6403A" w:rsidRDefault="00D6403A" w:rsidP="00BE40B9">
      <w:pPr>
        <w:pStyle w:val="FootnoteText"/>
        <w:rPr>
          <w:lang w:val="en-GB"/>
        </w:rPr>
      </w:pPr>
      <w:r w:rsidRPr="00D6403A">
        <w:rPr>
          <w:lang w:val="en-GB"/>
        </w:rPr>
        <w:t xml:space="preserve">Source: </w:t>
      </w:r>
      <w:hyperlink r:id="rId141" w:history="1">
        <w:r w:rsidRPr="00E85642">
          <w:rPr>
            <w:rStyle w:val="Hyperlink"/>
            <w:lang w:val="en-GB"/>
          </w:rPr>
          <w:t>AIHW Data tables: National Perinatal Data Collection annual update 2021</w:t>
        </w:r>
      </w:hyperlink>
      <w:r w:rsidRPr="00D6403A">
        <w:rPr>
          <w:lang w:val="en-GB"/>
        </w:rPr>
        <w:t xml:space="preserve"> &lt;https://www.aihw.gov.au/reports/mothers-babies/australias-mothers-babies/data&gt;</w:t>
      </w:r>
    </w:p>
    <w:p w14:paraId="2D0D735A" w14:textId="77777777" w:rsidR="00E85642" w:rsidRDefault="00E85642">
      <w:pPr>
        <w:rPr>
          <w:b/>
          <w:bCs/>
          <w:color w:val="007586" w:themeColor="text2"/>
          <w:spacing w:val="2"/>
          <w:szCs w:val="18"/>
          <w:lang w:val="en-GB"/>
        </w:rPr>
      </w:pPr>
      <w:r>
        <w:rPr>
          <w:lang w:val="en-GB"/>
        </w:rPr>
        <w:br w:type="page"/>
      </w:r>
    </w:p>
    <w:p w14:paraId="24D0C32C" w14:textId="57212175" w:rsidR="00D6403A" w:rsidRPr="00D6403A" w:rsidRDefault="00D6403A" w:rsidP="00887B5A">
      <w:pPr>
        <w:pStyle w:val="Tablechartdiagramheading"/>
        <w:rPr>
          <w:lang w:val="en-GB"/>
        </w:rPr>
      </w:pPr>
      <w:r w:rsidRPr="00D6403A">
        <w:rPr>
          <w:lang w:val="en-GB"/>
        </w:rPr>
        <w:lastRenderedPageBreak/>
        <w:t>Table 28. Birthweight percentiles for live singleton female infants, Australia, 2004 to 2013</w:t>
      </w:r>
    </w:p>
    <w:tbl>
      <w:tblPr>
        <w:tblStyle w:val="TableGrid"/>
        <w:tblW w:w="0" w:type="auto"/>
        <w:tblLayout w:type="fixed"/>
        <w:tblLook w:val="0020" w:firstRow="1" w:lastRow="0" w:firstColumn="0" w:lastColumn="0" w:noHBand="0" w:noVBand="0"/>
      </w:tblPr>
      <w:tblGrid>
        <w:gridCol w:w="1318"/>
        <w:gridCol w:w="808"/>
        <w:gridCol w:w="808"/>
        <w:gridCol w:w="808"/>
        <w:gridCol w:w="808"/>
        <w:gridCol w:w="807"/>
        <w:gridCol w:w="808"/>
        <w:gridCol w:w="808"/>
        <w:gridCol w:w="808"/>
        <w:gridCol w:w="808"/>
        <w:gridCol w:w="808"/>
        <w:gridCol w:w="808"/>
      </w:tblGrid>
      <w:tr w:rsidR="00D6403A" w:rsidRPr="00D6403A" w14:paraId="7D0D9DBC" w14:textId="77777777" w:rsidTr="00E85642">
        <w:trPr>
          <w:cnfStyle w:val="100000000000" w:firstRow="1" w:lastRow="0" w:firstColumn="0" w:lastColumn="0" w:oddVBand="0" w:evenVBand="0" w:oddHBand="0" w:evenHBand="0" w:firstRowFirstColumn="0" w:firstRowLastColumn="0" w:lastRowFirstColumn="0" w:lastRowLastColumn="0"/>
          <w:trHeight w:val="143"/>
          <w:tblHeader/>
        </w:trPr>
        <w:tc>
          <w:tcPr>
            <w:cnfStyle w:val="000010000000" w:firstRow="0" w:lastRow="0" w:firstColumn="0" w:lastColumn="0" w:oddVBand="1" w:evenVBand="0" w:oddHBand="0" w:evenHBand="0" w:firstRowFirstColumn="0" w:firstRowLastColumn="0" w:lastRowFirstColumn="0" w:lastRowLastColumn="0"/>
            <w:tcW w:w="1318" w:type="dxa"/>
            <w:vMerge w:val="restart"/>
          </w:tcPr>
          <w:p w14:paraId="77DC2528" w14:textId="77777777" w:rsidR="00D6403A" w:rsidRPr="00D6403A" w:rsidRDefault="00D6403A" w:rsidP="00E85642">
            <w:pPr>
              <w:pStyle w:val="Tableheader"/>
              <w:rPr>
                <w:b/>
                <w:lang w:val="en-GB"/>
              </w:rPr>
            </w:pPr>
            <w:r w:rsidRPr="00D6403A">
              <w:rPr>
                <w:b/>
                <w:lang w:val="en-GB"/>
              </w:rPr>
              <w:t>Gestational age (weeks)</w:t>
            </w:r>
          </w:p>
        </w:tc>
        <w:tc>
          <w:tcPr>
            <w:cnfStyle w:val="000001000000" w:firstRow="0" w:lastRow="0" w:firstColumn="0" w:lastColumn="0" w:oddVBand="0" w:evenVBand="1" w:oddHBand="0" w:evenHBand="0" w:firstRowFirstColumn="0" w:firstRowLastColumn="0" w:lastRowFirstColumn="0" w:lastRowLastColumn="0"/>
            <w:tcW w:w="8887" w:type="dxa"/>
            <w:gridSpan w:val="11"/>
          </w:tcPr>
          <w:p w14:paraId="538A55E2" w14:textId="77777777" w:rsidR="00D6403A" w:rsidRPr="00D6403A" w:rsidRDefault="00D6403A" w:rsidP="00E85642">
            <w:pPr>
              <w:pStyle w:val="Tableheader"/>
              <w:jc w:val="center"/>
              <w:rPr>
                <w:b/>
                <w:lang w:val="en-GB"/>
              </w:rPr>
            </w:pPr>
            <w:r w:rsidRPr="00D6403A">
              <w:rPr>
                <w:b/>
                <w:lang w:val="en-GB"/>
              </w:rPr>
              <w:t>Birthweight percentile (g)</w:t>
            </w:r>
          </w:p>
        </w:tc>
      </w:tr>
      <w:tr w:rsidR="00D6403A" w:rsidRPr="00D6403A" w14:paraId="3E9845AB" w14:textId="77777777" w:rsidTr="00E8564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1318" w:type="dxa"/>
            <w:vMerge/>
          </w:tcPr>
          <w:p w14:paraId="0E691EF3" w14:textId="77777777" w:rsidR="00D6403A" w:rsidRPr="00D6403A" w:rsidRDefault="00D6403A" w:rsidP="00E85642">
            <w:pPr>
              <w:pStyle w:val="Tableheader"/>
              <w:rPr>
                <w:sz w:val="24"/>
                <w:szCs w:val="24"/>
                <w:lang w:val="en-US"/>
              </w:rPr>
            </w:pPr>
          </w:p>
        </w:tc>
        <w:tc>
          <w:tcPr>
            <w:cnfStyle w:val="000001000000" w:firstRow="0" w:lastRow="0" w:firstColumn="0" w:lastColumn="0" w:oddVBand="0" w:evenVBand="1" w:oddHBand="0" w:evenHBand="0" w:firstRowFirstColumn="0" w:firstRowLastColumn="0" w:lastRowFirstColumn="0" w:lastRowLastColumn="0"/>
            <w:tcW w:w="808" w:type="dxa"/>
          </w:tcPr>
          <w:p w14:paraId="71D5083F" w14:textId="77777777" w:rsidR="00D6403A" w:rsidRPr="00E85642" w:rsidRDefault="00D6403A" w:rsidP="00E85642">
            <w:pPr>
              <w:pStyle w:val="Tableheader"/>
              <w:jc w:val="right"/>
              <w:rPr>
                <w:b/>
                <w:lang w:val="en-GB"/>
              </w:rPr>
            </w:pPr>
            <w:r w:rsidRPr="00E85642">
              <w:rPr>
                <w:b/>
                <w:lang w:val="en-GB"/>
              </w:rPr>
              <w:t>1st</w:t>
            </w:r>
          </w:p>
        </w:tc>
        <w:tc>
          <w:tcPr>
            <w:cnfStyle w:val="000010000000" w:firstRow="0" w:lastRow="0" w:firstColumn="0" w:lastColumn="0" w:oddVBand="1" w:evenVBand="0" w:oddHBand="0" w:evenHBand="0" w:firstRowFirstColumn="0" w:firstRowLastColumn="0" w:lastRowFirstColumn="0" w:lastRowLastColumn="0"/>
            <w:tcW w:w="808" w:type="dxa"/>
          </w:tcPr>
          <w:p w14:paraId="14AA4D07" w14:textId="77777777" w:rsidR="00D6403A" w:rsidRPr="00E85642" w:rsidRDefault="00D6403A" w:rsidP="00E85642">
            <w:pPr>
              <w:pStyle w:val="Tableheader"/>
              <w:jc w:val="right"/>
              <w:rPr>
                <w:b/>
                <w:lang w:val="en-GB"/>
              </w:rPr>
            </w:pPr>
            <w:r w:rsidRPr="00E85642">
              <w:rPr>
                <w:b/>
                <w:lang w:val="en-GB"/>
              </w:rPr>
              <w:t>3rd</w:t>
            </w:r>
          </w:p>
        </w:tc>
        <w:tc>
          <w:tcPr>
            <w:cnfStyle w:val="000001000000" w:firstRow="0" w:lastRow="0" w:firstColumn="0" w:lastColumn="0" w:oddVBand="0" w:evenVBand="1" w:oddHBand="0" w:evenHBand="0" w:firstRowFirstColumn="0" w:firstRowLastColumn="0" w:lastRowFirstColumn="0" w:lastRowLastColumn="0"/>
            <w:tcW w:w="808" w:type="dxa"/>
          </w:tcPr>
          <w:p w14:paraId="6459CDFF" w14:textId="77777777" w:rsidR="00D6403A" w:rsidRPr="00E85642" w:rsidRDefault="00D6403A" w:rsidP="00E85642">
            <w:pPr>
              <w:pStyle w:val="Tableheader"/>
              <w:jc w:val="right"/>
              <w:rPr>
                <w:b/>
                <w:lang w:val="en-GB"/>
              </w:rPr>
            </w:pPr>
            <w:r w:rsidRPr="00E85642">
              <w:rPr>
                <w:b/>
                <w:lang w:val="en-GB"/>
              </w:rPr>
              <w:t>5th</w:t>
            </w:r>
          </w:p>
        </w:tc>
        <w:tc>
          <w:tcPr>
            <w:cnfStyle w:val="000010000000" w:firstRow="0" w:lastRow="0" w:firstColumn="0" w:lastColumn="0" w:oddVBand="1" w:evenVBand="0" w:oddHBand="0" w:evenHBand="0" w:firstRowFirstColumn="0" w:firstRowLastColumn="0" w:lastRowFirstColumn="0" w:lastRowLastColumn="0"/>
            <w:tcW w:w="808" w:type="dxa"/>
          </w:tcPr>
          <w:p w14:paraId="6440A246" w14:textId="77777777" w:rsidR="00D6403A" w:rsidRPr="00E85642" w:rsidRDefault="00D6403A" w:rsidP="00E85642">
            <w:pPr>
              <w:pStyle w:val="Tableheader"/>
              <w:jc w:val="right"/>
              <w:rPr>
                <w:b/>
                <w:lang w:val="en-GB"/>
              </w:rPr>
            </w:pPr>
            <w:r w:rsidRPr="00E85642">
              <w:rPr>
                <w:b/>
                <w:lang w:val="en-GB"/>
              </w:rPr>
              <w:t>10th</w:t>
            </w:r>
          </w:p>
        </w:tc>
        <w:tc>
          <w:tcPr>
            <w:cnfStyle w:val="000001000000" w:firstRow="0" w:lastRow="0" w:firstColumn="0" w:lastColumn="0" w:oddVBand="0" w:evenVBand="1" w:oddHBand="0" w:evenHBand="0" w:firstRowFirstColumn="0" w:firstRowLastColumn="0" w:lastRowFirstColumn="0" w:lastRowLastColumn="0"/>
            <w:tcW w:w="807" w:type="dxa"/>
          </w:tcPr>
          <w:p w14:paraId="1E9E5430" w14:textId="77777777" w:rsidR="00D6403A" w:rsidRPr="00E85642" w:rsidRDefault="00D6403A" w:rsidP="00E85642">
            <w:pPr>
              <w:pStyle w:val="Tableheader"/>
              <w:jc w:val="right"/>
              <w:rPr>
                <w:b/>
                <w:lang w:val="en-GB"/>
              </w:rPr>
            </w:pPr>
            <w:r w:rsidRPr="00E85642">
              <w:rPr>
                <w:b/>
                <w:lang w:val="en-GB"/>
              </w:rPr>
              <w:t>25th</w:t>
            </w:r>
          </w:p>
        </w:tc>
        <w:tc>
          <w:tcPr>
            <w:cnfStyle w:val="000010000000" w:firstRow="0" w:lastRow="0" w:firstColumn="0" w:lastColumn="0" w:oddVBand="1" w:evenVBand="0" w:oddHBand="0" w:evenHBand="0" w:firstRowFirstColumn="0" w:firstRowLastColumn="0" w:lastRowFirstColumn="0" w:lastRowLastColumn="0"/>
            <w:tcW w:w="808" w:type="dxa"/>
          </w:tcPr>
          <w:p w14:paraId="3B107979" w14:textId="77777777" w:rsidR="00D6403A" w:rsidRPr="00E85642" w:rsidRDefault="00D6403A" w:rsidP="00E85642">
            <w:pPr>
              <w:pStyle w:val="Tableheader"/>
              <w:jc w:val="right"/>
              <w:rPr>
                <w:b/>
                <w:lang w:val="en-GB"/>
              </w:rPr>
            </w:pPr>
            <w:r w:rsidRPr="00E85642">
              <w:rPr>
                <w:b/>
                <w:lang w:val="en-GB"/>
              </w:rPr>
              <w:t>50th</w:t>
            </w:r>
          </w:p>
        </w:tc>
        <w:tc>
          <w:tcPr>
            <w:cnfStyle w:val="000001000000" w:firstRow="0" w:lastRow="0" w:firstColumn="0" w:lastColumn="0" w:oddVBand="0" w:evenVBand="1" w:oddHBand="0" w:evenHBand="0" w:firstRowFirstColumn="0" w:firstRowLastColumn="0" w:lastRowFirstColumn="0" w:lastRowLastColumn="0"/>
            <w:tcW w:w="808" w:type="dxa"/>
          </w:tcPr>
          <w:p w14:paraId="0210EE1A" w14:textId="77777777" w:rsidR="00D6403A" w:rsidRPr="00E85642" w:rsidRDefault="00D6403A" w:rsidP="00E85642">
            <w:pPr>
              <w:pStyle w:val="Tableheader"/>
              <w:jc w:val="right"/>
              <w:rPr>
                <w:b/>
                <w:lang w:val="en-GB"/>
              </w:rPr>
            </w:pPr>
            <w:r w:rsidRPr="00E85642">
              <w:rPr>
                <w:b/>
                <w:lang w:val="en-GB"/>
              </w:rPr>
              <w:t>75th</w:t>
            </w:r>
          </w:p>
        </w:tc>
        <w:tc>
          <w:tcPr>
            <w:cnfStyle w:val="000010000000" w:firstRow="0" w:lastRow="0" w:firstColumn="0" w:lastColumn="0" w:oddVBand="1" w:evenVBand="0" w:oddHBand="0" w:evenHBand="0" w:firstRowFirstColumn="0" w:firstRowLastColumn="0" w:lastRowFirstColumn="0" w:lastRowLastColumn="0"/>
            <w:tcW w:w="808" w:type="dxa"/>
          </w:tcPr>
          <w:p w14:paraId="5E8B186F" w14:textId="77777777" w:rsidR="00D6403A" w:rsidRPr="00E85642" w:rsidRDefault="00D6403A" w:rsidP="00E85642">
            <w:pPr>
              <w:pStyle w:val="Tableheader"/>
              <w:jc w:val="right"/>
              <w:rPr>
                <w:b/>
                <w:lang w:val="en-GB"/>
              </w:rPr>
            </w:pPr>
            <w:r w:rsidRPr="00E85642">
              <w:rPr>
                <w:b/>
                <w:lang w:val="en-GB"/>
              </w:rPr>
              <w:t>90th</w:t>
            </w:r>
          </w:p>
        </w:tc>
        <w:tc>
          <w:tcPr>
            <w:cnfStyle w:val="000001000000" w:firstRow="0" w:lastRow="0" w:firstColumn="0" w:lastColumn="0" w:oddVBand="0" w:evenVBand="1" w:oddHBand="0" w:evenHBand="0" w:firstRowFirstColumn="0" w:firstRowLastColumn="0" w:lastRowFirstColumn="0" w:lastRowLastColumn="0"/>
            <w:tcW w:w="808" w:type="dxa"/>
          </w:tcPr>
          <w:p w14:paraId="193554FD" w14:textId="77777777" w:rsidR="00D6403A" w:rsidRPr="00E85642" w:rsidRDefault="00D6403A" w:rsidP="00E85642">
            <w:pPr>
              <w:pStyle w:val="Tableheader"/>
              <w:jc w:val="right"/>
              <w:rPr>
                <w:b/>
                <w:lang w:val="en-GB"/>
              </w:rPr>
            </w:pPr>
            <w:r w:rsidRPr="00E85642">
              <w:rPr>
                <w:b/>
                <w:lang w:val="en-GB"/>
              </w:rPr>
              <w:t>95th</w:t>
            </w:r>
          </w:p>
        </w:tc>
        <w:tc>
          <w:tcPr>
            <w:cnfStyle w:val="000010000000" w:firstRow="0" w:lastRow="0" w:firstColumn="0" w:lastColumn="0" w:oddVBand="1" w:evenVBand="0" w:oddHBand="0" w:evenHBand="0" w:firstRowFirstColumn="0" w:firstRowLastColumn="0" w:lastRowFirstColumn="0" w:lastRowLastColumn="0"/>
            <w:tcW w:w="808" w:type="dxa"/>
          </w:tcPr>
          <w:p w14:paraId="2E0A1F4A" w14:textId="77777777" w:rsidR="00D6403A" w:rsidRPr="00E85642" w:rsidRDefault="00D6403A" w:rsidP="00E85642">
            <w:pPr>
              <w:pStyle w:val="Tableheader"/>
              <w:jc w:val="right"/>
              <w:rPr>
                <w:b/>
                <w:lang w:val="en-GB"/>
              </w:rPr>
            </w:pPr>
            <w:r w:rsidRPr="00E85642">
              <w:rPr>
                <w:b/>
                <w:lang w:val="en-GB"/>
              </w:rPr>
              <w:t>97th</w:t>
            </w:r>
          </w:p>
        </w:tc>
        <w:tc>
          <w:tcPr>
            <w:cnfStyle w:val="000001000000" w:firstRow="0" w:lastRow="0" w:firstColumn="0" w:lastColumn="0" w:oddVBand="0" w:evenVBand="1" w:oddHBand="0" w:evenHBand="0" w:firstRowFirstColumn="0" w:firstRowLastColumn="0" w:lastRowFirstColumn="0" w:lastRowLastColumn="0"/>
            <w:tcW w:w="808" w:type="dxa"/>
          </w:tcPr>
          <w:p w14:paraId="555F2842" w14:textId="77777777" w:rsidR="00D6403A" w:rsidRPr="00E85642" w:rsidRDefault="00D6403A" w:rsidP="00E85642">
            <w:pPr>
              <w:pStyle w:val="Tableheader"/>
              <w:jc w:val="right"/>
              <w:rPr>
                <w:b/>
                <w:lang w:val="en-GB"/>
              </w:rPr>
            </w:pPr>
            <w:r w:rsidRPr="00E85642">
              <w:rPr>
                <w:b/>
                <w:lang w:val="en-GB"/>
              </w:rPr>
              <w:t>99th</w:t>
            </w:r>
          </w:p>
        </w:tc>
      </w:tr>
      <w:tr w:rsidR="00D6403A" w:rsidRPr="00D6403A" w14:paraId="0905B14D"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72B574DA" w14:textId="77777777" w:rsidR="00D6403A" w:rsidRPr="00E85642" w:rsidRDefault="00D6403A" w:rsidP="00E85642">
            <w:pPr>
              <w:pStyle w:val="Tabletext"/>
              <w:jc w:val="left"/>
              <w:rPr>
                <w:rFonts w:ascii="VIC" w:hAnsi="VIC" w:cs="VIC"/>
                <w:b/>
                <w:lang w:val="en-US"/>
              </w:rPr>
            </w:pPr>
            <w:r w:rsidRPr="00E85642">
              <w:rPr>
                <w:b/>
                <w:lang w:val="en-US"/>
              </w:rPr>
              <w:t>32</w:t>
            </w:r>
          </w:p>
        </w:tc>
        <w:tc>
          <w:tcPr>
            <w:cnfStyle w:val="000001000000" w:firstRow="0" w:lastRow="0" w:firstColumn="0" w:lastColumn="0" w:oddVBand="0" w:evenVBand="1" w:oddHBand="0" w:evenHBand="0" w:firstRowFirstColumn="0" w:firstRowLastColumn="0" w:lastRowFirstColumn="0" w:lastRowLastColumn="0"/>
            <w:tcW w:w="808" w:type="dxa"/>
          </w:tcPr>
          <w:p w14:paraId="3650D731" w14:textId="77777777" w:rsidR="00D6403A" w:rsidRPr="00D6403A" w:rsidRDefault="00D6403A" w:rsidP="00E85642">
            <w:pPr>
              <w:pStyle w:val="Tabletext"/>
              <w:rPr>
                <w:lang w:val="en-US"/>
              </w:rPr>
            </w:pPr>
            <w:r w:rsidRPr="00D6403A">
              <w:rPr>
                <w:lang w:val="en-US"/>
              </w:rPr>
              <w:t>1,033</w:t>
            </w:r>
          </w:p>
        </w:tc>
        <w:tc>
          <w:tcPr>
            <w:cnfStyle w:val="000010000000" w:firstRow="0" w:lastRow="0" w:firstColumn="0" w:lastColumn="0" w:oddVBand="1" w:evenVBand="0" w:oddHBand="0" w:evenHBand="0" w:firstRowFirstColumn="0" w:firstRowLastColumn="0" w:lastRowFirstColumn="0" w:lastRowLastColumn="0"/>
            <w:tcW w:w="808" w:type="dxa"/>
          </w:tcPr>
          <w:p w14:paraId="565C405A" w14:textId="77777777" w:rsidR="00D6403A" w:rsidRPr="00D6403A" w:rsidRDefault="00D6403A" w:rsidP="00E85642">
            <w:pPr>
              <w:pStyle w:val="Tabletext"/>
              <w:rPr>
                <w:lang w:val="en-US"/>
              </w:rPr>
            </w:pPr>
            <w:r w:rsidRPr="00D6403A">
              <w:rPr>
                <w:lang w:val="en-US"/>
              </w:rPr>
              <w:t>1,174</w:t>
            </w:r>
          </w:p>
        </w:tc>
        <w:tc>
          <w:tcPr>
            <w:cnfStyle w:val="000001000000" w:firstRow="0" w:lastRow="0" w:firstColumn="0" w:lastColumn="0" w:oddVBand="0" w:evenVBand="1" w:oddHBand="0" w:evenHBand="0" w:firstRowFirstColumn="0" w:firstRowLastColumn="0" w:lastRowFirstColumn="0" w:lastRowLastColumn="0"/>
            <w:tcW w:w="808" w:type="dxa"/>
          </w:tcPr>
          <w:p w14:paraId="2C1D9676" w14:textId="77777777" w:rsidR="00D6403A" w:rsidRPr="00D6403A" w:rsidRDefault="00D6403A" w:rsidP="00E85642">
            <w:pPr>
              <w:pStyle w:val="Tabletext"/>
              <w:rPr>
                <w:lang w:val="en-US"/>
              </w:rPr>
            </w:pPr>
            <w:r w:rsidRPr="00D6403A">
              <w:rPr>
                <w:lang w:val="en-US"/>
              </w:rPr>
              <w:t>1,240</w:t>
            </w:r>
          </w:p>
        </w:tc>
        <w:tc>
          <w:tcPr>
            <w:cnfStyle w:val="000010000000" w:firstRow="0" w:lastRow="0" w:firstColumn="0" w:lastColumn="0" w:oddVBand="1" w:evenVBand="0" w:oddHBand="0" w:evenHBand="0" w:firstRowFirstColumn="0" w:firstRowLastColumn="0" w:lastRowFirstColumn="0" w:lastRowLastColumn="0"/>
            <w:tcW w:w="808" w:type="dxa"/>
          </w:tcPr>
          <w:p w14:paraId="0621F793" w14:textId="77777777" w:rsidR="00D6403A" w:rsidRPr="00D6403A" w:rsidRDefault="00D6403A" w:rsidP="00E85642">
            <w:pPr>
              <w:pStyle w:val="Tabletext"/>
              <w:rPr>
                <w:lang w:val="en-US"/>
              </w:rPr>
            </w:pPr>
            <w:r w:rsidRPr="00D6403A">
              <w:rPr>
                <w:lang w:val="en-US"/>
              </w:rPr>
              <w:t>1,370</w:t>
            </w:r>
          </w:p>
        </w:tc>
        <w:tc>
          <w:tcPr>
            <w:cnfStyle w:val="000001000000" w:firstRow="0" w:lastRow="0" w:firstColumn="0" w:lastColumn="0" w:oddVBand="0" w:evenVBand="1" w:oddHBand="0" w:evenHBand="0" w:firstRowFirstColumn="0" w:firstRowLastColumn="0" w:lastRowFirstColumn="0" w:lastRowLastColumn="0"/>
            <w:tcW w:w="807" w:type="dxa"/>
          </w:tcPr>
          <w:p w14:paraId="6023798C" w14:textId="77777777" w:rsidR="00D6403A" w:rsidRPr="00D6403A" w:rsidRDefault="00D6403A" w:rsidP="00E85642">
            <w:pPr>
              <w:pStyle w:val="Tabletext"/>
              <w:rPr>
                <w:lang w:val="en-US"/>
              </w:rPr>
            </w:pPr>
            <w:r w:rsidRPr="00D6403A">
              <w:rPr>
                <w:lang w:val="en-US"/>
              </w:rPr>
              <w:t>1,585</w:t>
            </w:r>
          </w:p>
        </w:tc>
        <w:tc>
          <w:tcPr>
            <w:cnfStyle w:val="000010000000" w:firstRow="0" w:lastRow="0" w:firstColumn="0" w:lastColumn="0" w:oddVBand="1" w:evenVBand="0" w:oddHBand="0" w:evenHBand="0" w:firstRowFirstColumn="0" w:firstRowLastColumn="0" w:lastRowFirstColumn="0" w:lastRowLastColumn="0"/>
            <w:tcW w:w="808" w:type="dxa"/>
          </w:tcPr>
          <w:p w14:paraId="4BFAE413" w14:textId="77777777" w:rsidR="00D6403A" w:rsidRPr="00D6403A" w:rsidRDefault="00D6403A" w:rsidP="00E85642">
            <w:pPr>
              <w:pStyle w:val="Tabletext"/>
              <w:rPr>
                <w:lang w:val="en-US"/>
              </w:rPr>
            </w:pPr>
            <w:r w:rsidRPr="00D6403A">
              <w:rPr>
                <w:lang w:val="en-US"/>
              </w:rPr>
              <w:t>1,800</w:t>
            </w:r>
          </w:p>
        </w:tc>
        <w:tc>
          <w:tcPr>
            <w:cnfStyle w:val="000001000000" w:firstRow="0" w:lastRow="0" w:firstColumn="0" w:lastColumn="0" w:oddVBand="0" w:evenVBand="1" w:oddHBand="0" w:evenHBand="0" w:firstRowFirstColumn="0" w:firstRowLastColumn="0" w:lastRowFirstColumn="0" w:lastRowLastColumn="0"/>
            <w:tcW w:w="808" w:type="dxa"/>
          </w:tcPr>
          <w:p w14:paraId="730C7C2C" w14:textId="77777777" w:rsidR="00D6403A" w:rsidRPr="00D6403A" w:rsidRDefault="00D6403A" w:rsidP="00E85642">
            <w:pPr>
              <w:pStyle w:val="Tabletext"/>
              <w:rPr>
                <w:lang w:val="en-US"/>
              </w:rPr>
            </w:pPr>
            <w:r w:rsidRPr="00D6403A">
              <w:rPr>
                <w:lang w:val="en-US"/>
              </w:rPr>
              <w:t>1,996</w:t>
            </w:r>
          </w:p>
        </w:tc>
        <w:tc>
          <w:tcPr>
            <w:cnfStyle w:val="000010000000" w:firstRow="0" w:lastRow="0" w:firstColumn="0" w:lastColumn="0" w:oddVBand="1" w:evenVBand="0" w:oddHBand="0" w:evenHBand="0" w:firstRowFirstColumn="0" w:firstRowLastColumn="0" w:lastRowFirstColumn="0" w:lastRowLastColumn="0"/>
            <w:tcW w:w="808" w:type="dxa"/>
          </w:tcPr>
          <w:p w14:paraId="4104AAEE" w14:textId="77777777" w:rsidR="00D6403A" w:rsidRPr="00D6403A" w:rsidRDefault="00D6403A" w:rsidP="00E85642">
            <w:pPr>
              <w:pStyle w:val="Tabletext"/>
              <w:rPr>
                <w:lang w:val="en-US"/>
              </w:rPr>
            </w:pPr>
            <w:r w:rsidRPr="00D6403A">
              <w:rPr>
                <w:lang w:val="en-US"/>
              </w:rPr>
              <w:t>2,180</w:t>
            </w:r>
          </w:p>
        </w:tc>
        <w:tc>
          <w:tcPr>
            <w:cnfStyle w:val="000001000000" w:firstRow="0" w:lastRow="0" w:firstColumn="0" w:lastColumn="0" w:oddVBand="0" w:evenVBand="1" w:oddHBand="0" w:evenHBand="0" w:firstRowFirstColumn="0" w:firstRowLastColumn="0" w:lastRowFirstColumn="0" w:lastRowLastColumn="0"/>
            <w:tcW w:w="808" w:type="dxa"/>
          </w:tcPr>
          <w:p w14:paraId="6B1E4B8B" w14:textId="77777777" w:rsidR="00D6403A" w:rsidRPr="00D6403A" w:rsidRDefault="00D6403A" w:rsidP="00E85642">
            <w:pPr>
              <w:pStyle w:val="Tabletext"/>
              <w:rPr>
                <w:lang w:val="en-US"/>
              </w:rPr>
            </w:pPr>
            <w:r w:rsidRPr="00D6403A">
              <w:rPr>
                <w:lang w:val="en-US"/>
              </w:rPr>
              <w:t>2,300</w:t>
            </w:r>
          </w:p>
        </w:tc>
        <w:tc>
          <w:tcPr>
            <w:cnfStyle w:val="000010000000" w:firstRow="0" w:lastRow="0" w:firstColumn="0" w:lastColumn="0" w:oddVBand="1" w:evenVBand="0" w:oddHBand="0" w:evenHBand="0" w:firstRowFirstColumn="0" w:firstRowLastColumn="0" w:lastRowFirstColumn="0" w:lastRowLastColumn="0"/>
            <w:tcW w:w="808" w:type="dxa"/>
          </w:tcPr>
          <w:p w14:paraId="04450098" w14:textId="77777777" w:rsidR="00D6403A" w:rsidRPr="00D6403A" w:rsidRDefault="00D6403A" w:rsidP="00E85642">
            <w:pPr>
              <w:pStyle w:val="Tabletext"/>
              <w:rPr>
                <w:lang w:val="en-US"/>
              </w:rPr>
            </w:pPr>
            <w:r w:rsidRPr="00D6403A">
              <w:rPr>
                <w:lang w:val="en-US"/>
              </w:rPr>
              <w:t>2,400</w:t>
            </w:r>
          </w:p>
        </w:tc>
        <w:tc>
          <w:tcPr>
            <w:cnfStyle w:val="000001000000" w:firstRow="0" w:lastRow="0" w:firstColumn="0" w:lastColumn="0" w:oddVBand="0" w:evenVBand="1" w:oddHBand="0" w:evenHBand="0" w:firstRowFirstColumn="0" w:firstRowLastColumn="0" w:lastRowFirstColumn="0" w:lastRowLastColumn="0"/>
            <w:tcW w:w="808" w:type="dxa"/>
          </w:tcPr>
          <w:p w14:paraId="66348CAD" w14:textId="77777777" w:rsidR="00D6403A" w:rsidRPr="00D6403A" w:rsidRDefault="00D6403A" w:rsidP="00E85642">
            <w:pPr>
              <w:pStyle w:val="Tabletext"/>
              <w:rPr>
                <w:lang w:val="en-US"/>
              </w:rPr>
            </w:pPr>
            <w:r w:rsidRPr="00D6403A">
              <w:rPr>
                <w:lang w:val="en-US"/>
              </w:rPr>
              <w:t>2,620</w:t>
            </w:r>
          </w:p>
        </w:tc>
      </w:tr>
      <w:tr w:rsidR="00D6403A" w:rsidRPr="00D6403A" w14:paraId="6B0FBD0A"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3A6F9264" w14:textId="77777777" w:rsidR="00D6403A" w:rsidRPr="00E85642" w:rsidRDefault="00D6403A" w:rsidP="00E85642">
            <w:pPr>
              <w:pStyle w:val="Tabletext"/>
              <w:jc w:val="left"/>
              <w:rPr>
                <w:rFonts w:ascii="VIC" w:hAnsi="VIC" w:cs="VIC"/>
                <w:b/>
                <w:lang w:val="en-US"/>
              </w:rPr>
            </w:pPr>
            <w:r w:rsidRPr="00E85642">
              <w:rPr>
                <w:b/>
                <w:lang w:val="en-US"/>
              </w:rPr>
              <w:t>33</w:t>
            </w:r>
          </w:p>
        </w:tc>
        <w:tc>
          <w:tcPr>
            <w:cnfStyle w:val="000001000000" w:firstRow="0" w:lastRow="0" w:firstColumn="0" w:lastColumn="0" w:oddVBand="0" w:evenVBand="1" w:oddHBand="0" w:evenHBand="0" w:firstRowFirstColumn="0" w:firstRowLastColumn="0" w:lastRowFirstColumn="0" w:lastRowLastColumn="0"/>
            <w:tcW w:w="808" w:type="dxa"/>
          </w:tcPr>
          <w:p w14:paraId="654FE1BD" w14:textId="77777777" w:rsidR="00D6403A" w:rsidRPr="00D6403A" w:rsidRDefault="00D6403A" w:rsidP="00E85642">
            <w:pPr>
              <w:pStyle w:val="Tabletext"/>
              <w:rPr>
                <w:lang w:val="en-US"/>
              </w:rPr>
            </w:pPr>
            <w:r w:rsidRPr="00D6403A">
              <w:rPr>
                <w:lang w:val="en-US"/>
              </w:rPr>
              <w:t>1,160</w:t>
            </w:r>
          </w:p>
        </w:tc>
        <w:tc>
          <w:tcPr>
            <w:cnfStyle w:val="000010000000" w:firstRow="0" w:lastRow="0" w:firstColumn="0" w:lastColumn="0" w:oddVBand="1" w:evenVBand="0" w:oddHBand="0" w:evenHBand="0" w:firstRowFirstColumn="0" w:firstRowLastColumn="0" w:lastRowFirstColumn="0" w:lastRowLastColumn="0"/>
            <w:tcW w:w="808" w:type="dxa"/>
          </w:tcPr>
          <w:p w14:paraId="44940094" w14:textId="77777777" w:rsidR="00D6403A" w:rsidRPr="00D6403A" w:rsidRDefault="00D6403A" w:rsidP="00E85642">
            <w:pPr>
              <w:pStyle w:val="Tabletext"/>
              <w:rPr>
                <w:lang w:val="en-US"/>
              </w:rPr>
            </w:pPr>
            <w:r w:rsidRPr="00D6403A">
              <w:rPr>
                <w:lang w:val="en-US"/>
              </w:rPr>
              <w:t>1,306</w:t>
            </w:r>
          </w:p>
        </w:tc>
        <w:tc>
          <w:tcPr>
            <w:cnfStyle w:val="000001000000" w:firstRow="0" w:lastRow="0" w:firstColumn="0" w:lastColumn="0" w:oddVBand="0" w:evenVBand="1" w:oddHBand="0" w:evenHBand="0" w:firstRowFirstColumn="0" w:firstRowLastColumn="0" w:lastRowFirstColumn="0" w:lastRowLastColumn="0"/>
            <w:tcW w:w="808" w:type="dxa"/>
          </w:tcPr>
          <w:p w14:paraId="7CE6FD56" w14:textId="77777777" w:rsidR="00D6403A" w:rsidRPr="00D6403A" w:rsidRDefault="00D6403A" w:rsidP="00E85642">
            <w:pPr>
              <w:pStyle w:val="Tabletext"/>
              <w:rPr>
                <w:lang w:val="en-US"/>
              </w:rPr>
            </w:pPr>
            <w:r w:rsidRPr="00D6403A">
              <w:rPr>
                <w:lang w:val="en-US"/>
              </w:rPr>
              <w:t>1,394</w:t>
            </w:r>
          </w:p>
        </w:tc>
        <w:tc>
          <w:tcPr>
            <w:cnfStyle w:val="000010000000" w:firstRow="0" w:lastRow="0" w:firstColumn="0" w:lastColumn="0" w:oddVBand="1" w:evenVBand="0" w:oddHBand="0" w:evenHBand="0" w:firstRowFirstColumn="0" w:firstRowLastColumn="0" w:lastRowFirstColumn="0" w:lastRowLastColumn="0"/>
            <w:tcW w:w="808" w:type="dxa"/>
          </w:tcPr>
          <w:p w14:paraId="4491C8B3" w14:textId="77777777" w:rsidR="00D6403A" w:rsidRPr="00D6403A" w:rsidRDefault="00D6403A" w:rsidP="00E85642">
            <w:pPr>
              <w:pStyle w:val="Tabletext"/>
              <w:rPr>
                <w:lang w:val="en-US"/>
              </w:rPr>
            </w:pPr>
            <w:r w:rsidRPr="00D6403A">
              <w:rPr>
                <w:lang w:val="en-US"/>
              </w:rPr>
              <w:t>1,550</w:t>
            </w:r>
          </w:p>
        </w:tc>
        <w:tc>
          <w:tcPr>
            <w:cnfStyle w:val="000001000000" w:firstRow="0" w:lastRow="0" w:firstColumn="0" w:lastColumn="0" w:oddVBand="0" w:evenVBand="1" w:oddHBand="0" w:evenHBand="0" w:firstRowFirstColumn="0" w:firstRowLastColumn="0" w:lastRowFirstColumn="0" w:lastRowLastColumn="0"/>
            <w:tcW w:w="807" w:type="dxa"/>
          </w:tcPr>
          <w:p w14:paraId="27CD49A1" w14:textId="77777777" w:rsidR="00D6403A" w:rsidRPr="00D6403A" w:rsidRDefault="00D6403A" w:rsidP="00E85642">
            <w:pPr>
              <w:pStyle w:val="Tabletext"/>
              <w:rPr>
                <w:lang w:val="en-US"/>
              </w:rPr>
            </w:pPr>
            <w:r w:rsidRPr="00D6403A">
              <w:rPr>
                <w:lang w:val="en-US"/>
              </w:rPr>
              <w:t>1,795</w:t>
            </w:r>
          </w:p>
        </w:tc>
        <w:tc>
          <w:tcPr>
            <w:cnfStyle w:val="000010000000" w:firstRow="0" w:lastRow="0" w:firstColumn="0" w:lastColumn="0" w:oddVBand="1" w:evenVBand="0" w:oddHBand="0" w:evenHBand="0" w:firstRowFirstColumn="0" w:firstRowLastColumn="0" w:lastRowFirstColumn="0" w:lastRowLastColumn="0"/>
            <w:tcW w:w="808" w:type="dxa"/>
          </w:tcPr>
          <w:p w14:paraId="098E6DB9" w14:textId="77777777" w:rsidR="00D6403A" w:rsidRPr="00D6403A" w:rsidRDefault="00D6403A" w:rsidP="00E85642">
            <w:pPr>
              <w:pStyle w:val="Tabletext"/>
              <w:rPr>
                <w:lang w:val="en-US"/>
              </w:rPr>
            </w:pPr>
            <w:r w:rsidRPr="00D6403A">
              <w:rPr>
                <w:lang w:val="en-US"/>
              </w:rPr>
              <w:t>2,020</w:t>
            </w:r>
          </w:p>
        </w:tc>
        <w:tc>
          <w:tcPr>
            <w:cnfStyle w:val="000001000000" w:firstRow="0" w:lastRow="0" w:firstColumn="0" w:lastColumn="0" w:oddVBand="0" w:evenVBand="1" w:oddHBand="0" w:evenHBand="0" w:firstRowFirstColumn="0" w:firstRowLastColumn="0" w:lastRowFirstColumn="0" w:lastRowLastColumn="0"/>
            <w:tcW w:w="808" w:type="dxa"/>
          </w:tcPr>
          <w:p w14:paraId="38140994" w14:textId="77777777" w:rsidR="00D6403A" w:rsidRPr="00D6403A" w:rsidRDefault="00D6403A" w:rsidP="00E85642">
            <w:pPr>
              <w:pStyle w:val="Tabletext"/>
              <w:rPr>
                <w:lang w:val="en-US"/>
              </w:rPr>
            </w:pPr>
            <w:r w:rsidRPr="00D6403A">
              <w:rPr>
                <w:lang w:val="en-US"/>
              </w:rPr>
              <w:t>2,260</w:t>
            </w:r>
          </w:p>
        </w:tc>
        <w:tc>
          <w:tcPr>
            <w:cnfStyle w:val="000010000000" w:firstRow="0" w:lastRow="0" w:firstColumn="0" w:lastColumn="0" w:oddVBand="1" w:evenVBand="0" w:oddHBand="0" w:evenHBand="0" w:firstRowFirstColumn="0" w:firstRowLastColumn="0" w:lastRowFirstColumn="0" w:lastRowLastColumn="0"/>
            <w:tcW w:w="808" w:type="dxa"/>
          </w:tcPr>
          <w:p w14:paraId="73C05585" w14:textId="77777777" w:rsidR="00D6403A" w:rsidRPr="00D6403A" w:rsidRDefault="00D6403A" w:rsidP="00E85642">
            <w:pPr>
              <w:pStyle w:val="Tabletext"/>
              <w:rPr>
                <w:lang w:val="en-US"/>
              </w:rPr>
            </w:pPr>
            <w:r w:rsidRPr="00D6403A">
              <w:rPr>
                <w:lang w:val="en-US"/>
              </w:rPr>
              <w:t>2,480</w:t>
            </w:r>
          </w:p>
        </w:tc>
        <w:tc>
          <w:tcPr>
            <w:cnfStyle w:val="000001000000" w:firstRow="0" w:lastRow="0" w:firstColumn="0" w:lastColumn="0" w:oddVBand="0" w:evenVBand="1" w:oddHBand="0" w:evenHBand="0" w:firstRowFirstColumn="0" w:firstRowLastColumn="0" w:lastRowFirstColumn="0" w:lastRowLastColumn="0"/>
            <w:tcW w:w="808" w:type="dxa"/>
          </w:tcPr>
          <w:p w14:paraId="349DB897" w14:textId="77777777" w:rsidR="00D6403A" w:rsidRPr="00D6403A" w:rsidRDefault="00D6403A" w:rsidP="00E85642">
            <w:pPr>
              <w:pStyle w:val="Tabletext"/>
              <w:rPr>
                <w:lang w:val="en-US"/>
              </w:rPr>
            </w:pPr>
            <w:r w:rsidRPr="00D6403A">
              <w:rPr>
                <w:lang w:val="en-US"/>
              </w:rPr>
              <w:t>2,650</w:t>
            </w:r>
          </w:p>
        </w:tc>
        <w:tc>
          <w:tcPr>
            <w:cnfStyle w:val="000010000000" w:firstRow="0" w:lastRow="0" w:firstColumn="0" w:lastColumn="0" w:oddVBand="1" w:evenVBand="0" w:oddHBand="0" w:evenHBand="0" w:firstRowFirstColumn="0" w:firstRowLastColumn="0" w:lastRowFirstColumn="0" w:lastRowLastColumn="0"/>
            <w:tcW w:w="808" w:type="dxa"/>
          </w:tcPr>
          <w:p w14:paraId="21BF5AA4" w14:textId="77777777" w:rsidR="00D6403A" w:rsidRPr="00D6403A" w:rsidRDefault="00D6403A" w:rsidP="00E85642">
            <w:pPr>
              <w:pStyle w:val="Tabletext"/>
              <w:rPr>
                <w:lang w:val="en-US"/>
              </w:rPr>
            </w:pPr>
            <w:r w:rsidRPr="00D6403A">
              <w:rPr>
                <w:lang w:val="en-US"/>
              </w:rPr>
              <w:t>2,770</w:t>
            </w:r>
          </w:p>
        </w:tc>
        <w:tc>
          <w:tcPr>
            <w:cnfStyle w:val="000001000000" w:firstRow="0" w:lastRow="0" w:firstColumn="0" w:lastColumn="0" w:oddVBand="0" w:evenVBand="1" w:oddHBand="0" w:evenHBand="0" w:firstRowFirstColumn="0" w:firstRowLastColumn="0" w:lastRowFirstColumn="0" w:lastRowLastColumn="0"/>
            <w:tcW w:w="808" w:type="dxa"/>
          </w:tcPr>
          <w:p w14:paraId="4504FAA1" w14:textId="77777777" w:rsidR="00D6403A" w:rsidRPr="00D6403A" w:rsidRDefault="00D6403A" w:rsidP="00E85642">
            <w:pPr>
              <w:pStyle w:val="Tabletext"/>
              <w:rPr>
                <w:lang w:val="en-US"/>
              </w:rPr>
            </w:pPr>
            <w:r w:rsidRPr="00D6403A">
              <w:rPr>
                <w:lang w:val="en-US"/>
              </w:rPr>
              <w:t>3,012</w:t>
            </w:r>
          </w:p>
        </w:tc>
      </w:tr>
      <w:tr w:rsidR="00D6403A" w:rsidRPr="00D6403A" w14:paraId="32915D97"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55D41E92" w14:textId="77777777" w:rsidR="00D6403A" w:rsidRPr="00E85642" w:rsidRDefault="00D6403A" w:rsidP="00E85642">
            <w:pPr>
              <w:pStyle w:val="Tabletext"/>
              <w:jc w:val="left"/>
              <w:rPr>
                <w:rFonts w:ascii="VIC" w:hAnsi="VIC" w:cs="VIC"/>
                <w:b/>
                <w:lang w:val="en-US"/>
              </w:rPr>
            </w:pPr>
            <w:r w:rsidRPr="00E85642">
              <w:rPr>
                <w:b/>
                <w:lang w:val="en-US"/>
              </w:rPr>
              <w:t>34</w:t>
            </w:r>
          </w:p>
        </w:tc>
        <w:tc>
          <w:tcPr>
            <w:cnfStyle w:val="000001000000" w:firstRow="0" w:lastRow="0" w:firstColumn="0" w:lastColumn="0" w:oddVBand="0" w:evenVBand="1" w:oddHBand="0" w:evenHBand="0" w:firstRowFirstColumn="0" w:firstRowLastColumn="0" w:lastRowFirstColumn="0" w:lastRowLastColumn="0"/>
            <w:tcW w:w="808" w:type="dxa"/>
          </w:tcPr>
          <w:p w14:paraId="45A59D48" w14:textId="77777777" w:rsidR="00D6403A" w:rsidRPr="00D6403A" w:rsidRDefault="00D6403A" w:rsidP="00E85642">
            <w:pPr>
              <w:pStyle w:val="Tabletext"/>
              <w:rPr>
                <w:lang w:val="en-US"/>
              </w:rPr>
            </w:pPr>
            <w:r w:rsidRPr="00D6403A">
              <w:rPr>
                <w:lang w:val="en-US"/>
              </w:rPr>
              <w:t>1,339</w:t>
            </w:r>
          </w:p>
        </w:tc>
        <w:tc>
          <w:tcPr>
            <w:cnfStyle w:val="000010000000" w:firstRow="0" w:lastRow="0" w:firstColumn="0" w:lastColumn="0" w:oddVBand="1" w:evenVBand="0" w:oddHBand="0" w:evenHBand="0" w:firstRowFirstColumn="0" w:firstRowLastColumn="0" w:lastRowFirstColumn="0" w:lastRowLastColumn="0"/>
            <w:tcW w:w="808" w:type="dxa"/>
          </w:tcPr>
          <w:p w14:paraId="7D8FAF9D" w14:textId="77777777" w:rsidR="00D6403A" w:rsidRPr="00D6403A" w:rsidRDefault="00D6403A" w:rsidP="00E85642">
            <w:pPr>
              <w:pStyle w:val="Tabletext"/>
              <w:rPr>
                <w:lang w:val="en-US"/>
              </w:rPr>
            </w:pPr>
            <w:r w:rsidRPr="00D6403A">
              <w:rPr>
                <w:lang w:val="en-US"/>
              </w:rPr>
              <w:t>1,520</w:t>
            </w:r>
          </w:p>
        </w:tc>
        <w:tc>
          <w:tcPr>
            <w:cnfStyle w:val="000001000000" w:firstRow="0" w:lastRow="0" w:firstColumn="0" w:lastColumn="0" w:oddVBand="0" w:evenVBand="1" w:oddHBand="0" w:evenHBand="0" w:firstRowFirstColumn="0" w:firstRowLastColumn="0" w:lastRowFirstColumn="0" w:lastRowLastColumn="0"/>
            <w:tcW w:w="808" w:type="dxa"/>
          </w:tcPr>
          <w:p w14:paraId="0C511FC9" w14:textId="77777777" w:rsidR="00D6403A" w:rsidRPr="00D6403A" w:rsidRDefault="00D6403A" w:rsidP="00E85642">
            <w:pPr>
              <w:pStyle w:val="Tabletext"/>
              <w:rPr>
                <w:lang w:val="en-US"/>
              </w:rPr>
            </w:pPr>
            <w:r w:rsidRPr="00D6403A">
              <w:rPr>
                <w:lang w:val="en-US"/>
              </w:rPr>
              <w:t>1,620</w:t>
            </w:r>
          </w:p>
        </w:tc>
        <w:tc>
          <w:tcPr>
            <w:cnfStyle w:val="000010000000" w:firstRow="0" w:lastRow="0" w:firstColumn="0" w:lastColumn="0" w:oddVBand="1" w:evenVBand="0" w:oddHBand="0" w:evenHBand="0" w:firstRowFirstColumn="0" w:firstRowLastColumn="0" w:lastRowFirstColumn="0" w:lastRowLastColumn="0"/>
            <w:tcW w:w="808" w:type="dxa"/>
          </w:tcPr>
          <w:p w14:paraId="1F3D1E57" w14:textId="77777777" w:rsidR="00D6403A" w:rsidRPr="00D6403A" w:rsidRDefault="00D6403A" w:rsidP="00E85642">
            <w:pPr>
              <w:pStyle w:val="Tabletext"/>
              <w:rPr>
                <w:lang w:val="en-US"/>
              </w:rPr>
            </w:pPr>
            <w:r w:rsidRPr="00D6403A">
              <w:rPr>
                <w:lang w:val="en-US"/>
              </w:rPr>
              <w:t>1,773</w:t>
            </w:r>
          </w:p>
        </w:tc>
        <w:tc>
          <w:tcPr>
            <w:cnfStyle w:val="000001000000" w:firstRow="0" w:lastRow="0" w:firstColumn="0" w:lastColumn="0" w:oddVBand="0" w:evenVBand="1" w:oddHBand="0" w:evenHBand="0" w:firstRowFirstColumn="0" w:firstRowLastColumn="0" w:lastRowFirstColumn="0" w:lastRowLastColumn="0"/>
            <w:tcW w:w="807" w:type="dxa"/>
          </w:tcPr>
          <w:p w14:paraId="06C1AB8D" w14:textId="77777777" w:rsidR="00D6403A" w:rsidRPr="00D6403A" w:rsidRDefault="00D6403A" w:rsidP="00E85642">
            <w:pPr>
              <w:pStyle w:val="Tabletext"/>
              <w:rPr>
                <w:lang w:val="en-US"/>
              </w:rPr>
            </w:pPr>
            <w:r w:rsidRPr="00D6403A">
              <w:rPr>
                <w:lang w:val="en-US"/>
              </w:rPr>
              <w:t>2,020</w:t>
            </w:r>
          </w:p>
        </w:tc>
        <w:tc>
          <w:tcPr>
            <w:cnfStyle w:val="000010000000" w:firstRow="0" w:lastRow="0" w:firstColumn="0" w:lastColumn="0" w:oddVBand="1" w:evenVBand="0" w:oddHBand="0" w:evenHBand="0" w:firstRowFirstColumn="0" w:firstRowLastColumn="0" w:lastRowFirstColumn="0" w:lastRowLastColumn="0"/>
            <w:tcW w:w="808" w:type="dxa"/>
          </w:tcPr>
          <w:p w14:paraId="4EDEFFB0" w14:textId="77777777" w:rsidR="00D6403A" w:rsidRPr="00D6403A" w:rsidRDefault="00D6403A" w:rsidP="00E85642">
            <w:pPr>
              <w:pStyle w:val="Tabletext"/>
              <w:rPr>
                <w:lang w:val="en-US"/>
              </w:rPr>
            </w:pPr>
            <w:r w:rsidRPr="00D6403A">
              <w:rPr>
                <w:lang w:val="en-US"/>
              </w:rPr>
              <w:t>2,260</w:t>
            </w:r>
          </w:p>
        </w:tc>
        <w:tc>
          <w:tcPr>
            <w:cnfStyle w:val="000001000000" w:firstRow="0" w:lastRow="0" w:firstColumn="0" w:lastColumn="0" w:oddVBand="0" w:evenVBand="1" w:oddHBand="0" w:evenHBand="0" w:firstRowFirstColumn="0" w:firstRowLastColumn="0" w:lastRowFirstColumn="0" w:lastRowLastColumn="0"/>
            <w:tcW w:w="808" w:type="dxa"/>
          </w:tcPr>
          <w:p w14:paraId="5C03D701" w14:textId="77777777" w:rsidR="00D6403A" w:rsidRPr="00D6403A" w:rsidRDefault="00D6403A" w:rsidP="00E85642">
            <w:pPr>
              <w:pStyle w:val="Tabletext"/>
              <w:rPr>
                <w:lang w:val="en-US"/>
              </w:rPr>
            </w:pPr>
            <w:r w:rsidRPr="00D6403A">
              <w:rPr>
                <w:lang w:val="en-US"/>
              </w:rPr>
              <w:t>2,495</w:t>
            </w:r>
          </w:p>
        </w:tc>
        <w:tc>
          <w:tcPr>
            <w:cnfStyle w:val="000010000000" w:firstRow="0" w:lastRow="0" w:firstColumn="0" w:lastColumn="0" w:oddVBand="1" w:evenVBand="0" w:oddHBand="0" w:evenHBand="0" w:firstRowFirstColumn="0" w:firstRowLastColumn="0" w:lastRowFirstColumn="0" w:lastRowLastColumn="0"/>
            <w:tcW w:w="808" w:type="dxa"/>
          </w:tcPr>
          <w:p w14:paraId="1A5C39ED" w14:textId="77777777" w:rsidR="00D6403A" w:rsidRPr="00D6403A" w:rsidRDefault="00D6403A" w:rsidP="00E85642">
            <w:pPr>
              <w:pStyle w:val="Tabletext"/>
              <w:rPr>
                <w:lang w:val="en-US"/>
              </w:rPr>
            </w:pPr>
            <w:r w:rsidRPr="00D6403A">
              <w:rPr>
                <w:lang w:val="en-US"/>
              </w:rPr>
              <w:t>2,736</w:t>
            </w:r>
          </w:p>
        </w:tc>
        <w:tc>
          <w:tcPr>
            <w:cnfStyle w:val="000001000000" w:firstRow="0" w:lastRow="0" w:firstColumn="0" w:lastColumn="0" w:oddVBand="0" w:evenVBand="1" w:oddHBand="0" w:evenHBand="0" w:firstRowFirstColumn="0" w:firstRowLastColumn="0" w:lastRowFirstColumn="0" w:lastRowLastColumn="0"/>
            <w:tcW w:w="808" w:type="dxa"/>
          </w:tcPr>
          <w:p w14:paraId="5F26F68A" w14:textId="77777777" w:rsidR="00D6403A" w:rsidRPr="00D6403A" w:rsidRDefault="00D6403A" w:rsidP="00E85642">
            <w:pPr>
              <w:pStyle w:val="Tabletext"/>
              <w:rPr>
                <w:lang w:val="en-US"/>
              </w:rPr>
            </w:pPr>
            <w:r w:rsidRPr="00D6403A">
              <w:rPr>
                <w:lang w:val="en-US"/>
              </w:rPr>
              <w:t>2,900</w:t>
            </w:r>
          </w:p>
        </w:tc>
        <w:tc>
          <w:tcPr>
            <w:cnfStyle w:val="000010000000" w:firstRow="0" w:lastRow="0" w:firstColumn="0" w:lastColumn="0" w:oddVBand="1" w:evenVBand="0" w:oddHBand="0" w:evenHBand="0" w:firstRowFirstColumn="0" w:firstRowLastColumn="0" w:lastRowFirstColumn="0" w:lastRowLastColumn="0"/>
            <w:tcW w:w="808" w:type="dxa"/>
          </w:tcPr>
          <w:p w14:paraId="74CCE3DF" w14:textId="77777777" w:rsidR="00D6403A" w:rsidRPr="00D6403A" w:rsidRDefault="00D6403A" w:rsidP="00E85642">
            <w:pPr>
              <w:pStyle w:val="Tabletext"/>
              <w:rPr>
                <w:lang w:val="en-US"/>
              </w:rPr>
            </w:pPr>
            <w:r w:rsidRPr="00D6403A">
              <w:rPr>
                <w:lang w:val="en-US"/>
              </w:rPr>
              <w:t>3,010</w:t>
            </w:r>
          </w:p>
        </w:tc>
        <w:tc>
          <w:tcPr>
            <w:cnfStyle w:val="000001000000" w:firstRow="0" w:lastRow="0" w:firstColumn="0" w:lastColumn="0" w:oddVBand="0" w:evenVBand="1" w:oddHBand="0" w:evenHBand="0" w:firstRowFirstColumn="0" w:firstRowLastColumn="0" w:lastRowFirstColumn="0" w:lastRowLastColumn="0"/>
            <w:tcW w:w="808" w:type="dxa"/>
          </w:tcPr>
          <w:p w14:paraId="734ED6BF" w14:textId="77777777" w:rsidR="00D6403A" w:rsidRPr="00D6403A" w:rsidRDefault="00D6403A" w:rsidP="00E85642">
            <w:pPr>
              <w:pStyle w:val="Tabletext"/>
              <w:rPr>
                <w:lang w:val="en-US"/>
              </w:rPr>
            </w:pPr>
            <w:r w:rsidRPr="00D6403A">
              <w:rPr>
                <w:lang w:val="en-US"/>
              </w:rPr>
              <w:t>3,230</w:t>
            </w:r>
          </w:p>
        </w:tc>
      </w:tr>
      <w:tr w:rsidR="00D6403A" w:rsidRPr="00D6403A" w14:paraId="281A3CE9"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0DC03B9B" w14:textId="77777777" w:rsidR="00D6403A" w:rsidRPr="00E85642" w:rsidRDefault="00D6403A" w:rsidP="00E85642">
            <w:pPr>
              <w:pStyle w:val="Tabletext"/>
              <w:jc w:val="left"/>
              <w:rPr>
                <w:rFonts w:ascii="VIC" w:hAnsi="VIC" w:cs="VIC"/>
                <w:b/>
                <w:lang w:val="en-US"/>
              </w:rPr>
            </w:pPr>
            <w:r w:rsidRPr="00E85642">
              <w:rPr>
                <w:b/>
                <w:lang w:val="en-US"/>
              </w:rPr>
              <w:t>35</w:t>
            </w:r>
          </w:p>
        </w:tc>
        <w:tc>
          <w:tcPr>
            <w:cnfStyle w:val="000001000000" w:firstRow="0" w:lastRow="0" w:firstColumn="0" w:lastColumn="0" w:oddVBand="0" w:evenVBand="1" w:oddHBand="0" w:evenHBand="0" w:firstRowFirstColumn="0" w:firstRowLastColumn="0" w:lastRowFirstColumn="0" w:lastRowLastColumn="0"/>
            <w:tcW w:w="808" w:type="dxa"/>
          </w:tcPr>
          <w:p w14:paraId="22BB634E" w14:textId="77777777" w:rsidR="00D6403A" w:rsidRPr="00D6403A" w:rsidRDefault="00D6403A" w:rsidP="00E85642">
            <w:pPr>
              <w:pStyle w:val="Tabletext"/>
              <w:rPr>
                <w:lang w:val="en-US"/>
              </w:rPr>
            </w:pPr>
            <w:r w:rsidRPr="00D6403A">
              <w:rPr>
                <w:lang w:val="en-US"/>
              </w:rPr>
              <w:t>1,552</w:t>
            </w:r>
          </w:p>
        </w:tc>
        <w:tc>
          <w:tcPr>
            <w:cnfStyle w:val="000010000000" w:firstRow="0" w:lastRow="0" w:firstColumn="0" w:lastColumn="0" w:oddVBand="1" w:evenVBand="0" w:oddHBand="0" w:evenHBand="0" w:firstRowFirstColumn="0" w:firstRowLastColumn="0" w:lastRowFirstColumn="0" w:lastRowLastColumn="0"/>
            <w:tcW w:w="808" w:type="dxa"/>
          </w:tcPr>
          <w:p w14:paraId="09DD7172" w14:textId="77777777" w:rsidR="00D6403A" w:rsidRPr="00D6403A" w:rsidRDefault="00D6403A" w:rsidP="00E85642">
            <w:pPr>
              <w:pStyle w:val="Tabletext"/>
              <w:rPr>
                <w:lang w:val="en-US"/>
              </w:rPr>
            </w:pPr>
            <w:r w:rsidRPr="00D6403A">
              <w:rPr>
                <w:lang w:val="en-US"/>
              </w:rPr>
              <w:t>1,735</w:t>
            </w:r>
          </w:p>
        </w:tc>
        <w:tc>
          <w:tcPr>
            <w:cnfStyle w:val="000001000000" w:firstRow="0" w:lastRow="0" w:firstColumn="0" w:lastColumn="0" w:oddVBand="0" w:evenVBand="1" w:oddHBand="0" w:evenHBand="0" w:firstRowFirstColumn="0" w:firstRowLastColumn="0" w:lastRowFirstColumn="0" w:lastRowLastColumn="0"/>
            <w:tcW w:w="808" w:type="dxa"/>
          </w:tcPr>
          <w:p w14:paraId="0F55C82E" w14:textId="77777777" w:rsidR="00D6403A" w:rsidRPr="00D6403A" w:rsidRDefault="00D6403A" w:rsidP="00E85642">
            <w:pPr>
              <w:pStyle w:val="Tabletext"/>
              <w:rPr>
                <w:lang w:val="en-US"/>
              </w:rPr>
            </w:pPr>
            <w:r w:rsidRPr="00D6403A">
              <w:rPr>
                <w:lang w:val="en-US"/>
              </w:rPr>
              <w:t>1,835</w:t>
            </w:r>
          </w:p>
        </w:tc>
        <w:tc>
          <w:tcPr>
            <w:cnfStyle w:val="000010000000" w:firstRow="0" w:lastRow="0" w:firstColumn="0" w:lastColumn="0" w:oddVBand="1" w:evenVBand="0" w:oddHBand="0" w:evenHBand="0" w:firstRowFirstColumn="0" w:firstRowLastColumn="0" w:lastRowFirstColumn="0" w:lastRowLastColumn="0"/>
            <w:tcW w:w="808" w:type="dxa"/>
          </w:tcPr>
          <w:p w14:paraId="68ED552A" w14:textId="77777777" w:rsidR="00D6403A" w:rsidRPr="00D6403A" w:rsidRDefault="00D6403A" w:rsidP="00E85642">
            <w:pPr>
              <w:pStyle w:val="Tabletext"/>
              <w:rPr>
                <w:lang w:val="en-US"/>
              </w:rPr>
            </w:pPr>
            <w:r w:rsidRPr="00D6403A">
              <w:rPr>
                <w:lang w:val="en-US"/>
              </w:rPr>
              <w:t>1,995</w:t>
            </w:r>
          </w:p>
        </w:tc>
        <w:tc>
          <w:tcPr>
            <w:cnfStyle w:val="000001000000" w:firstRow="0" w:lastRow="0" w:firstColumn="0" w:lastColumn="0" w:oddVBand="0" w:evenVBand="1" w:oddHBand="0" w:evenHBand="0" w:firstRowFirstColumn="0" w:firstRowLastColumn="0" w:lastRowFirstColumn="0" w:lastRowLastColumn="0"/>
            <w:tcW w:w="807" w:type="dxa"/>
          </w:tcPr>
          <w:p w14:paraId="73E91EE5" w14:textId="77777777" w:rsidR="00D6403A" w:rsidRPr="00D6403A" w:rsidRDefault="00D6403A" w:rsidP="00E85642">
            <w:pPr>
              <w:pStyle w:val="Tabletext"/>
              <w:rPr>
                <w:lang w:val="en-US"/>
              </w:rPr>
            </w:pPr>
            <w:r w:rsidRPr="00D6403A">
              <w:rPr>
                <w:lang w:val="en-US"/>
              </w:rPr>
              <w:t>2,240</w:t>
            </w:r>
          </w:p>
        </w:tc>
        <w:tc>
          <w:tcPr>
            <w:cnfStyle w:val="000010000000" w:firstRow="0" w:lastRow="0" w:firstColumn="0" w:lastColumn="0" w:oddVBand="1" w:evenVBand="0" w:oddHBand="0" w:evenHBand="0" w:firstRowFirstColumn="0" w:firstRowLastColumn="0" w:lastRowFirstColumn="0" w:lastRowLastColumn="0"/>
            <w:tcW w:w="808" w:type="dxa"/>
          </w:tcPr>
          <w:p w14:paraId="515333F2" w14:textId="77777777" w:rsidR="00D6403A" w:rsidRPr="00D6403A" w:rsidRDefault="00D6403A" w:rsidP="00E85642">
            <w:pPr>
              <w:pStyle w:val="Tabletext"/>
              <w:rPr>
                <w:lang w:val="en-US"/>
              </w:rPr>
            </w:pPr>
            <w:r w:rsidRPr="00D6403A">
              <w:rPr>
                <w:lang w:val="en-US"/>
              </w:rPr>
              <w:t>2,495</w:t>
            </w:r>
          </w:p>
        </w:tc>
        <w:tc>
          <w:tcPr>
            <w:cnfStyle w:val="000001000000" w:firstRow="0" w:lastRow="0" w:firstColumn="0" w:lastColumn="0" w:oddVBand="0" w:evenVBand="1" w:oddHBand="0" w:evenHBand="0" w:firstRowFirstColumn="0" w:firstRowLastColumn="0" w:lastRowFirstColumn="0" w:lastRowLastColumn="0"/>
            <w:tcW w:w="808" w:type="dxa"/>
          </w:tcPr>
          <w:p w14:paraId="7FFCB562" w14:textId="77777777" w:rsidR="00D6403A" w:rsidRPr="00D6403A" w:rsidRDefault="00D6403A" w:rsidP="00E85642">
            <w:pPr>
              <w:pStyle w:val="Tabletext"/>
              <w:rPr>
                <w:lang w:val="en-US"/>
              </w:rPr>
            </w:pPr>
            <w:r w:rsidRPr="00D6403A">
              <w:rPr>
                <w:lang w:val="en-US"/>
              </w:rPr>
              <w:t>2,756</w:t>
            </w:r>
          </w:p>
        </w:tc>
        <w:tc>
          <w:tcPr>
            <w:cnfStyle w:val="000010000000" w:firstRow="0" w:lastRow="0" w:firstColumn="0" w:lastColumn="0" w:oddVBand="1" w:evenVBand="0" w:oddHBand="0" w:evenHBand="0" w:firstRowFirstColumn="0" w:firstRowLastColumn="0" w:lastRowFirstColumn="0" w:lastRowLastColumn="0"/>
            <w:tcW w:w="808" w:type="dxa"/>
          </w:tcPr>
          <w:p w14:paraId="1CC77514" w14:textId="77777777" w:rsidR="00D6403A" w:rsidRPr="00D6403A" w:rsidRDefault="00D6403A" w:rsidP="00E85642">
            <w:pPr>
              <w:pStyle w:val="Tabletext"/>
              <w:rPr>
                <w:lang w:val="en-US"/>
              </w:rPr>
            </w:pPr>
            <w:r w:rsidRPr="00D6403A">
              <w:rPr>
                <w:lang w:val="en-US"/>
              </w:rPr>
              <w:t>3,015</w:t>
            </w:r>
          </w:p>
        </w:tc>
        <w:tc>
          <w:tcPr>
            <w:cnfStyle w:val="000001000000" w:firstRow="0" w:lastRow="0" w:firstColumn="0" w:lastColumn="0" w:oddVBand="0" w:evenVBand="1" w:oddHBand="0" w:evenHBand="0" w:firstRowFirstColumn="0" w:firstRowLastColumn="0" w:lastRowFirstColumn="0" w:lastRowLastColumn="0"/>
            <w:tcW w:w="808" w:type="dxa"/>
          </w:tcPr>
          <w:p w14:paraId="2AE33923" w14:textId="77777777" w:rsidR="00D6403A" w:rsidRPr="00D6403A" w:rsidRDefault="00D6403A" w:rsidP="00E85642">
            <w:pPr>
              <w:pStyle w:val="Tabletext"/>
              <w:rPr>
                <w:lang w:val="en-US"/>
              </w:rPr>
            </w:pPr>
            <w:r w:rsidRPr="00D6403A">
              <w:rPr>
                <w:lang w:val="en-US"/>
              </w:rPr>
              <w:t>3,210</w:t>
            </w:r>
          </w:p>
        </w:tc>
        <w:tc>
          <w:tcPr>
            <w:cnfStyle w:val="000010000000" w:firstRow="0" w:lastRow="0" w:firstColumn="0" w:lastColumn="0" w:oddVBand="1" w:evenVBand="0" w:oddHBand="0" w:evenHBand="0" w:firstRowFirstColumn="0" w:firstRowLastColumn="0" w:lastRowFirstColumn="0" w:lastRowLastColumn="0"/>
            <w:tcW w:w="808" w:type="dxa"/>
          </w:tcPr>
          <w:p w14:paraId="6A13C862" w14:textId="77777777" w:rsidR="00D6403A" w:rsidRPr="00D6403A" w:rsidRDefault="00D6403A" w:rsidP="00E85642">
            <w:pPr>
              <w:pStyle w:val="Tabletext"/>
              <w:rPr>
                <w:lang w:val="en-US"/>
              </w:rPr>
            </w:pPr>
            <w:r w:rsidRPr="00D6403A">
              <w:rPr>
                <w:lang w:val="en-US"/>
              </w:rPr>
              <w:t>3,324</w:t>
            </w:r>
          </w:p>
        </w:tc>
        <w:tc>
          <w:tcPr>
            <w:cnfStyle w:val="000001000000" w:firstRow="0" w:lastRow="0" w:firstColumn="0" w:lastColumn="0" w:oddVBand="0" w:evenVBand="1" w:oddHBand="0" w:evenHBand="0" w:firstRowFirstColumn="0" w:firstRowLastColumn="0" w:lastRowFirstColumn="0" w:lastRowLastColumn="0"/>
            <w:tcW w:w="808" w:type="dxa"/>
          </w:tcPr>
          <w:p w14:paraId="13FB3B2F" w14:textId="77777777" w:rsidR="00D6403A" w:rsidRPr="00D6403A" w:rsidRDefault="00D6403A" w:rsidP="00E85642">
            <w:pPr>
              <w:pStyle w:val="Tabletext"/>
              <w:rPr>
                <w:lang w:val="en-US"/>
              </w:rPr>
            </w:pPr>
            <w:r w:rsidRPr="00D6403A">
              <w:rPr>
                <w:lang w:val="en-US"/>
              </w:rPr>
              <w:t>3,560</w:t>
            </w:r>
          </w:p>
        </w:tc>
      </w:tr>
      <w:tr w:rsidR="00D6403A" w:rsidRPr="00D6403A" w14:paraId="6AAE2181"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119F9163" w14:textId="77777777" w:rsidR="00D6403A" w:rsidRPr="00E85642" w:rsidRDefault="00D6403A" w:rsidP="00E85642">
            <w:pPr>
              <w:pStyle w:val="Tabletext"/>
              <w:jc w:val="left"/>
              <w:rPr>
                <w:rFonts w:ascii="VIC" w:hAnsi="VIC" w:cs="VIC"/>
                <w:b/>
                <w:lang w:val="en-US"/>
              </w:rPr>
            </w:pPr>
            <w:r w:rsidRPr="00E85642">
              <w:rPr>
                <w:b/>
                <w:lang w:val="en-US"/>
              </w:rPr>
              <w:t>36</w:t>
            </w:r>
          </w:p>
        </w:tc>
        <w:tc>
          <w:tcPr>
            <w:cnfStyle w:val="000001000000" w:firstRow="0" w:lastRow="0" w:firstColumn="0" w:lastColumn="0" w:oddVBand="0" w:evenVBand="1" w:oddHBand="0" w:evenHBand="0" w:firstRowFirstColumn="0" w:firstRowLastColumn="0" w:lastRowFirstColumn="0" w:lastRowLastColumn="0"/>
            <w:tcW w:w="808" w:type="dxa"/>
          </w:tcPr>
          <w:p w14:paraId="3199352B" w14:textId="77777777" w:rsidR="00D6403A" w:rsidRPr="00D6403A" w:rsidRDefault="00D6403A" w:rsidP="00E85642">
            <w:pPr>
              <w:pStyle w:val="Tabletext"/>
              <w:rPr>
                <w:lang w:val="en-US"/>
              </w:rPr>
            </w:pPr>
            <w:r w:rsidRPr="00D6403A">
              <w:rPr>
                <w:lang w:val="en-US"/>
              </w:rPr>
              <w:t>1,740</w:t>
            </w:r>
          </w:p>
        </w:tc>
        <w:tc>
          <w:tcPr>
            <w:cnfStyle w:val="000010000000" w:firstRow="0" w:lastRow="0" w:firstColumn="0" w:lastColumn="0" w:oddVBand="1" w:evenVBand="0" w:oddHBand="0" w:evenHBand="0" w:firstRowFirstColumn="0" w:firstRowLastColumn="0" w:lastRowFirstColumn="0" w:lastRowLastColumn="0"/>
            <w:tcW w:w="808" w:type="dxa"/>
          </w:tcPr>
          <w:p w14:paraId="5D9980EB" w14:textId="77777777" w:rsidR="00D6403A" w:rsidRPr="00D6403A" w:rsidRDefault="00D6403A" w:rsidP="00E85642">
            <w:pPr>
              <w:pStyle w:val="Tabletext"/>
              <w:rPr>
                <w:lang w:val="en-US"/>
              </w:rPr>
            </w:pPr>
            <w:r w:rsidRPr="00D6403A">
              <w:rPr>
                <w:lang w:val="en-US"/>
              </w:rPr>
              <w:t>1,930</w:t>
            </w:r>
          </w:p>
        </w:tc>
        <w:tc>
          <w:tcPr>
            <w:cnfStyle w:val="000001000000" w:firstRow="0" w:lastRow="0" w:firstColumn="0" w:lastColumn="0" w:oddVBand="0" w:evenVBand="1" w:oddHBand="0" w:evenHBand="0" w:firstRowFirstColumn="0" w:firstRowLastColumn="0" w:lastRowFirstColumn="0" w:lastRowLastColumn="0"/>
            <w:tcW w:w="808" w:type="dxa"/>
          </w:tcPr>
          <w:p w14:paraId="64F3B074" w14:textId="77777777" w:rsidR="00D6403A" w:rsidRPr="00D6403A" w:rsidRDefault="00D6403A" w:rsidP="00E85642">
            <w:pPr>
              <w:pStyle w:val="Tabletext"/>
              <w:rPr>
                <w:lang w:val="en-US"/>
              </w:rPr>
            </w:pPr>
            <w:r w:rsidRPr="00D6403A">
              <w:rPr>
                <w:lang w:val="en-US"/>
              </w:rPr>
              <w:t>2,040</w:t>
            </w:r>
          </w:p>
        </w:tc>
        <w:tc>
          <w:tcPr>
            <w:cnfStyle w:val="000010000000" w:firstRow="0" w:lastRow="0" w:firstColumn="0" w:lastColumn="0" w:oddVBand="1" w:evenVBand="0" w:oddHBand="0" w:evenHBand="0" w:firstRowFirstColumn="0" w:firstRowLastColumn="0" w:lastRowFirstColumn="0" w:lastRowLastColumn="0"/>
            <w:tcW w:w="808" w:type="dxa"/>
          </w:tcPr>
          <w:p w14:paraId="73C5405B" w14:textId="77777777" w:rsidR="00D6403A" w:rsidRPr="00D6403A" w:rsidRDefault="00D6403A" w:rsidP="00E85642">
            <w:pPr>
              <w:pStyle w:val="Tabletext"/>
              <w:rPr>
                <w:lang w:val="en-US"/>
              </w:rPr>
            </w:pPr>
            <w:r w:rsidRPr="00D6403A">
              <w:rPr>
                <w:lang w:val="en-US"/>
              </w:rPr>
              <w:t>2,195</w:t>
            </w:r>
          </w:p>
        </w:tc>
        <w:tc>
          <w:tcPr>
            <w:cnfStyle w:val="000001000000" w:firstRow="0" w:lastRow="0" w:firstColumn="0" w:lastColumn="0" w:oddVBand="0" w:evenVBand="1" w:oddHBand="0" w:evenHBand="0" w:firstRowFirstColumn="0" w:firstRowLastColumn="0" w:lastRowFirstColumn="0" w:lastRowLastColumn="0"/>
            <w:tcW w:w="807" w:type="dxa"/>
          </w:tcPr>
          <w:p w14:paraId="7142EAAD" w14:textId="77777777" w:rsidR="00D6403A" w:rsidRPr="00D6403A" w:rsidRDefault="00D6403A" w:rsidP="00E85642">
            <w:pPr>
              <w:pStyle w:val="Tabletext"/>
              <w:rPr>
                <w:lang w:val="en-US"/>
              </w:rPr>
            </w:pPr>
            <w:r w:rsidRPr="00D6403A">
              <w:rPr>
                <w:lang w:val="en-US"/>
              </w:rPr>
              <w:t>2,456</w:t>
            </w:r>
          </w:p>
        </w:tc>
        <w:tc>
          <w:tcPr>
            <w:cnfStyle w:val="000010000000" w:firstRow="0" w:lastRow="0" w:firstColumn="0" w:lastColumn="0" w:oddVBand="1" w:evenVBand="0" w:oddHBand="0" w:evenHBand="0" w:firstRowFirstColumn="0" w:firstRowLastColumn="0" w:lastRowFirstColumn="0" w:lastRowLastColumn="0"/>
            <w:tcW w:w="808" w:type="dxa"/>
          </w:tcPr>
          <w:p w14:paraId="2F31E65C" w14:textId="77777777" w:rsidR="00D6403A" w:rsidRPr="00D6403A" w:rsidRDefault="00D6403A" w:rsidP="00E85642">
            <w:pPr>
              <w:pStyle w:val="Tabletext"/>
              <w:rPr>
                <w:lang w:val="en-US"/>
              </w:rPr>
            </w:pPr>
            <w:r w:rsidRPr="00D6403A">
              <w:rPr>
                <w:lang w:val="en-US"/>
              </w:rPr>
              <w:t>2,726</w:t>
            </w:r>
          </w:p>
        </w:tc>
        <w:tc>
          <w:tcPr>
            <w:cnfStyle w:val="000001000000" w:firstRow="0" w:lastRow="0" w:firstColumn="0" w:lastColumn="0" w:oddVBand="0" w:evenVBand="1" w:oddHBand="0" w:evenHBand="0" w:firstRowFirstColumn="0" w:firstRowLastColumn="0" w:lastRowFirstColumn="0" w:lastRowLastColumn="0"/>
            <w:tcW w:w="808" w:type="dxa"/>
          </w:tcPr>
          <w:p w14:paraId="285F2679" w14:textId="77777777" w:rsidR="00D6403A" w:rsidRPr="00D6403A" w:rsidRDefault="00D6403A" w:rsidP="00E85642">
            <w:pPr>
              <w:pStyle w:val="Tabletext"/>
              <w:rPr>
                <w:lang w:val="en-US"/>
              </w:rPr>
            </w:pPr>
            <w:r w:rsidRPr="00D6403A">
              <w:rPr>
                <w:lang w:val="en-US"/>
              </w:rPr>
              <w:t>3,000</w:t>
            </w:r>
          </w:p>
        </w:tc>
        <w:tc>
          <w:tcPr>
            <w:cnfStyle w:val="000010000000" w:firstRow="0" w:lastRow="0" w:firstColumn="0" w:lastColumn="0" w:oddVBand="1" w:evenVBand="0" w:oddHBand="0" w:evenHBand="0" w:firstRowFirstColumn="0" w:firstRowLastColumn="0" w:lastRowFirstColumn="0" w:lastRowLastColumn="0"/>
            <w:tcW w:w="808" w:type="dxa"/>
          </w:tcPr>
          <w:p w14:paraId="6553BBA2" w14:textId="77777777" w:rsidR="00D6403A" w:rsidRPr="00D6403A" w:rsidRDefault="00D6403A" w:rsidP="00E85642">
            <w:pPr>
              <w:pStyle w:val="Tabletext"/>
              <w:rPr>
                <w:lang w:val="en-US"/>
              </w:rPr>
            </w:pPr>
            <w:r w:rsidRPr="00D6403A">
              <w:rPr>
                <w:lang w:val="en-US"/>
              </w:rPr>
              <w:t>3,275</w:t>
            </w:r>
          </w:p>
        </w:tc>
        <w:tc>
          <w:tcPr>
            <w:cnfStyle w:val="000001000000" w:firstRow="0" w:lastRow="0" w:firstColumn="0" w:lastColumn="0" w:oddVBand="0" w:evenVBand="1" w:oddHBand="0" w:evenHBand="0" w:firstRowFirstColumn="0" w:firstRowLastColumn="0" w:lastRowFirstColumn="0" w:lastRowLastColumn="0"/>
            <w:tcW w:w="808" w:type="dxa"/>
          </w:tcPr>
          <w:p w14:paraId="58522139" w14:textId="77777777" w:rsidR="00D6403A" w:rsidRPr="00D6403A" w:rsidRDefault="00D6403A" w:rsidP="00E85642">
            <w:pPr>
              <w:pStyle w:val="Tabletext"/>
              <w:rPr>
                <w:lang w:val="en-US"/>
              </w:rPr>
            </w:pPr>
            <w:r w:rsidRPr="00D6403A">
              <w:rPr>
                <w:lang w:val="en-US"/>
              </w:rPr>
              <w:t>3,465</w:t>
            </w:r>
          </w:p>
        </w:tc>
        <w:tc>
          <w:tcPr>
            <w:cnfStyle w:val="000010000000" w:firstRow="0" w:lastRow="0" w:firstColumn="0" w:lastColumn="0" w:oddVBand="1" w:evenVBand="0" w:oddHBand="0" w:evenHBand="0" w:firstRowFirstColumn="0" w:firstRowLastColumn="0" w:lastRowFirstColumn="0" w:lastRowLastColumn="0"/>
            <w:tcW w:w="808" w:type="dxa"/>
          </w:tcPr>
          <w:p w14:paraId="61D16CB5" w14:textId="77777777" w:rsidR="00D6403A" w:rsidRPr="00D6403A" w:rsidRDefault="00D6403A" w:rsidP="00E85642">
            <w:pPr>
              <w:pStyle w:val="Tabletext"/>
              <w:rPr>
                <w:lang w:val="en-US"/>
              </w:rPr>
            </w:pPr>
            <w:r w:rsidRPr="00D6403A">
              <w:rPr>
                <w:lang w:val="en-US"/>
              </w:rPr>
              <w:t>3,595</w:t>
            </w:r>
          </w:p>
        </w:tc>
        <w:tc>
          <w:tcPr>
            <w:cnfStyle w:val="000001000000" w:firstRow="0" w:lastRow="0" w:firstColumn="0" w:lastColumn="0" w:oddVBand="0" w:evenVBand="1" w:oddHBand="0" w:evenHBand="0" w:firstRowFirstColumn="0" w:firstRowLastColumn="0" w:lastRowFirstColumn="0" w:lastRowLastColumn="0"/>
            <w:tcW w:w="808" w:type="dxa"/>
          </w:tcPr>
          <w:p w14:paraId="3A445643" w14:textId="77777777" w:rsidR="00D6403A" w:rsidRPr="00D6403A" w:rsidRDefault="00D6403A" w:rsidP="00E85642">
            <w:pPr>
              <w:pStyle w:val="Tabletext"/>
              <w:rPr>
                <w:lang w:val="en-US"/>
              </w:rPr>
            </w:pPr>
            <w:r w:rsidRPr="00D6403A">
              <w:rPr>
                <w:lang w:val="en-US"/>
              </w:rPr>
              <w:t>3,840</w:t>
            </w:r>
          </w:p>
        </w:tc>
      </w:tr>
      <w:tr w:rsidR="00D6403A" w:rsidRPr="00D6403A" w14:paraId="654A3CEC"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3548318C" w14:textId="77777777" w:rsidR="00D6403A" w:rsidRPr="00E85642" w:rsidRDefault="00D6403A" w:rsidP="00E85642">
            <w:pPr>
              <w:pStyle w:val="Tabletext"/>
              <w:jc w:val="left"/>
              <w:rPr>
                <w:rFonts w:ascii="VIC" w:hAnsi="VIC" w:cs="VIC"/>
                <w:b/>
                <w:lang w:val="en-US"/>
              </w:rPr>
            </w:pPr>
            <w:r w:rsidRPr="00E85642">
              <w:rPr>
                <w:b/>
                <w:lang w:val="en-US"/>
              </w:rPr>
              <w:t>37</w:t>
            </w:r>
          </w:p>
        </w:tc>
        <w:tc>
          <w:tcPr>
            <w:cnfStyle w:val="000001000000" w:firstRow="0" w:lastRow="0" w:firstColumn="0" w:lastColumn="0" w:oddVBand="0" w:evenVBand="1" w:oddHBand="0" w:evenHBand="0" w:firstRowFirstColumn="0" w:firstRowLastColumn="0" w:lastRowFirstColumn="0" w:lastRowLastColumn="0"/>
            <w:tcW w:w="808" w:type="dxa"/>
          </w:tcPr>
          <w:p w14:paraId="2DA19FFA" w14:textId="77777777" w:rsidR="00D6403A" w:rsidRPr="00D6403A" w:rsidRDefault="00D6403A" w:rsidP="00E85642">
            <w:pPr>
              <w:pStyle w:val="Tabletext"/>
              <w:rPr>
                <w:lang w:val="en-US"/>
              </w:rPr>
            </w:pPr>
            <w:r w:rsidRPr="00D6403A">
              <w:rPr>
                <w:lang w:val="en-US"/>
              </w:rPr>
              <w:t>2,000</w:t>
            </w:r>
          </w:p>
        </w:tc>
        <w:tc>
          <w:tcPr>
            <w:cnfStyle w:val="000010000000" w:firstRow="0" w:lastRow="0" w:firstColumn="0" w:lastColumn="0" w:oddVBand="1" w:evenVBand="0" w:oddHBand="0" w:evenHBand="0" w:firstRowFirstColumn="0" w:firstRowLastColumn="0" w:lastRowFirstColumn="0" w:lastRowLastColumn="0"/>
            <w:tcW w:w="808" w:type="dxa"/>
          </w:tcPr>
          <w:p w14:paraId="2C8304AD" w14:textId="77777777" w:rsidR="00D6403A" w:rsidRPr="00D6403A" w:rsidRDefault="00D6403A" w:rsidP="00E85642">
            <w:pPr>
              <w:pStyle w:val="Tabletext"/>
              <w:rPr>
                <w:lang w:val="en-US"/>
              </w:rPr>
            </w:pPr>
            <w:r w:rsidRPr="00D6403A">
              <w:rPr>
                <w:lang w:val="en-US"/>
              </w:rPr>
              <w:t>2,190</w:t>
            </w:r>
          </w:p>
        </w:tc>
        <w:tc>
          <w:tcPr>
            <w:cnfStyle w:val="000001000000" w:firstRow="0" w:lastRow="0" w:firstColumn="0" w:lastColumn="0" w:oddVBand="0" w:evenVBand="1" w:oddHBand="0" w:evenHBand="0" w:firstRowFirstColumn="0" w:firstRowLastColumn="0" w:lastRowFirstColumn="0" w:lastRowLastColumn="0"/>
            <w:tcW w:w="808" w:type="dxa"/>
          </w:tcPr>
          <w:p w14:paraId="395725EF" w14:textId="77777777" w:rsidR="00D6403A" w:rsidRPr="00D6403A" w:rsidRDefault="00D6403A" w:rsidP="00E85642">
            <w:pPr>
              <w:pStyle w:val="Tabletext"/>
              <w:rPr>
                <w:lang w:val="en-US"/>
              </w:rPr>
            </w:pPr>
            <w:r w:rsidRPr="00D6403A">
              <w:rPr>
                <w:lang w:val="en-US"/>
              </w:rPr>
              <w:t>2,290</w:t>
            </w:r>
          </w:p>
        </w:tc>
        <w:tc>
          <w:tcPr>
            <w:cnfStyle w:val="000010000000" w:firstRow="0" w:lastRow="0" w:firstColumn="0" w:lastColumn="0" w:oddVBand="1" w:evenVBand="0" w:oddHBand="0" w:evenHBand="0" w:firstRowFirstColumn="0" w:firstRowLastColumn="0" w:lastRowFirstColumn="0" w:lastRowLastColumn="0"/>
            <w:tcW w:w="808" w:type="dxa"/>
          </w:tcPr>
          <w:p w14:paraId="5F57076E" w14:textId="77777777" w:rsidR="00D6403A" w:rsidRPr="00D6403A" w:rsidRDefault="00D6403A" w:rsidP="00E85642">
            <w:pPr>
              <w:pStyle w:val="Tabletext"/>
              <w:rPr>
                <w:lang w:val="en-US"/>
              </w:rPr>
            </w:pPr>
            <w:r w:rsidRPr="00D6403A">
              <w:rPr>
                <w:lang w:val="en-US"/>
              </w:rPr>
              <w:t>2,440</w:t>
            </w:r>
          </w:p>
        </w:tc>
        <w:tc>
          <w:tcPr>
            <w:cnfStyle w:val="000001000000" w:firstRow="0" w:lastRow="0" w:firstColumn="0" w:lastColumn="0" w:oddVBand="0" w:evenVBand="1" w:oddHBand="0" w:evenHBand="0" w:firstRowFirstColumn="0" w:firstRowLastColumn="0" w:lastRowFirstColumn="0" w:lastRowLastColumn="0"/>
            <w:tcW w:w="807" w:type="dxa"/>
          </w:tcPr>
          <w:p w14:paraId="28C4FD59" w14:textId="77777777" w:rsidR="00D6403A" w:rsidRPr="00D6403A" w:rsidRDefault="00D6403A" w:rsidP="00E85642">
            <w:pPr>
              <w:pStyle w:val="Tabletext"/>
              <w:rPr>
                <w:lang w:val="en-US"/>
              </w:rPr>
            </w:pPr>
            <w:r w:rsidRPr="00D6403A">
              <w:rPr>
                <w:lang w:val="en-US"/>
              </w:rPr>
              <w:t>2,690</w:t>
            </w:r>
          </w:p>
        </w:tc>
        <w:tc>
          <w:tcPr>
            <w:cnfStyle w:val="000010000000" w:firstRow="0" w:lastRow="0" w:firstColumn="0" w:lastColumn="0" w:oddVBand="1" w:evenVBand="0" w:oddHBand="0" w:evenHBand="0" w:firstRowFirstColumn="0" w:firstRowLastColumn="0" w:lastRowFirstColumn="0" w:lastRowLastColumn="0"/>
            <w:tcW w:w="808" w:type="dxa"/>
          </w:tcPr>
          <w:p w14:paraId="283818E0" w14:textId="77777777" w:rsidR="00D6403A" w:rsidRPr="00D6403A" w:rsidRDefault="00D6403A" w:rsidP="00E85642">
            <w:pPr>
              <w:pStyle w:val="Tabletext"/>
              <w:rPr>
                <w:lang w:val="en-US"/>
              </w:rPr>
            </w:pPr>
            <w:r w:rsidRPr="00D6403A">
              <w:rPr>
                <w:lang w:val="en-US"/>
              </w:rPr>
              <w:t>2,975</w:t>
            </w:r>
          </w:p>
        </w:tc>
        <w:tc>
          <w:tcPr>
            <w:cnfStyle w:val="000001000000" w:firstRow="0" w:lastRow="0" w:firstColumn="0" w:lastColumn="0" w:oddVBand="0" w:evenVBand="1" w:oddHBand="0" w:evenHBand="0" w:firstRowFirstColumn="0" w:firstRowLastColumn="0" w:lastRowFirstColumn="0" w:lastRowLastColumn="0"/>
            <w:tcW w:w="808" w:type="dxa"/>
          </w:tcPr>
          <w:p w14:paraId="0B1EFF2D" w14:textId="77777777" w:rsidR="00D6403A" w:rsidRPr="00D6403A" w:rsidRDefault="00D6403A" w:rsidP="00E85642">
            <w:pPr>
              <w:pStyle w:val="Tabletext"/>
              <w:rPr>
                <w:lang w:val="en-US"/>
              </w:rPr>
            </w:pPr>
            <w:r w:rsidRPr="00D6403A">
              <w:rPr>
                <w:lang w:val="en-US"/>
              </w:rPr>
              <w:t>3,265</w:t>
            </w:r>
          </w:p>
        </w:tc>
        <w:tc>
          <w:tcPr>
            <w:cnfStyle w:val="000010000000" w:firstRow="0" w:lastRow="0" w:firstColumn="0" w:lastColumn="0" w:oddVBand="1" w:evenVBand="0" w:oddHBand="0" w:evenHBand="0" w:firstRowFirstColumn="0" w:firstRowLastColumn="0" w:lastRowFirstColumn="0" w:lastRowLastColumn="0"/>
            <w:tcW w:w="808" w:type="dxa"/>
          </w:tcPr>
          <w:p w14:paraId="3F3024DC" w14:textId="77777777" w:rsidR="00D6403A" w:rsidRPr="00D6403A" w:rsidRDefault="00D6403A" w:rsidP="00E85642">
            <w:pPr>
              <w:pStyle w:val="Tabletext"/>
              <w:rPr>
                <w:lang w:val="en-US"/>
              </w:rPr>
            </w:pPr>
            <w:r w:rsidRPr="00D6403A">
              <w:rPr>
                <w:lang w:val="en-US"/>
              </w:rPr>
              <w:t>3,555</w:t>
            </w:r>
          </w:p>
        </w:tc>
        <w:tc>
          <w:tcPr>
            <w:cnfStyle w:val="000001000000" w:firstRow="0" w:lastRow="0" w:firstColumn="0" w:lastColumn="0" w:oddVBand="0" w:evenVBand="1" w:oddHBand="0" w:evenHBand="0" w:firstRowFirstColumn="0" w:firstRowLastColumn="0" w:lastRowFirstColumn="0" w:lastRowLastColumn="0"/>
            <w:tcW w:w="808" w:type="dxa"/>
          </w:tcPr>
          <w:p w14:paraId="3502D8A6" w14:textId="77777777" w:rsidR="00D6403A" w:rsidRPr="00D6403A" w:rsidRDefault="00D6403A" w:rsidP="00E85642">
            <w:pPr>
              <w:pStyle w:val="Tabletext"/>
              <w:rPr>
                <w:lang w:val="en-US"/>
              </w:rPr>
            </w:pPr>
            <w:r w:rsidRPr="00D6403A">
              <w:rPr>
                <w:lang w:val="en-US"/>
              </w:rPr>
              <w:t>3,745</w:t>
            </w:r>
          </w:p>
        </w:tc>
        <w:tc>
          <w:tcPr>
            <w:cnfStyle w:val="000010000000" w:firstRow="0" w:lastRow="0" w:firstColumn="0" w:lastColumn="0" w:oddVBand="1" w:evenVBand="0" w:oddHBand="0" w:evenHBand="0" w:firstRowFirstColumn="0" w:firstRowLastColumn="0" w:lastRowFirstColumn="0" w:lastRowLastColumn="0"/>
            <w:tcW w:w="808" w:type="dxa"/>
          </w:tcPr>
          <w:p w14:paraId="493E3225" w14:textId="77777777" w:rsidR="00D6403A" w:rsidRPr="00D6403A" w:rsidRDefault="00D6403A" w:rsidP="00E85642">
            <w:pPr>
              <w:pStyle w:val="Tabletext"/>
              <w:rPr>
                <w:lang w:val="en-US"/>
              </w:rPr>
            </w:pPr>
            <w:r w:rsidRPr="00D6403A">
              <w:rPr>
                <w:lang w:val="en-US"/>
              </w:rPr>
              <w:t>3,870</w:t>
            </w:r>
          </w:p>
        </w:tc>
        <w:tc>
          <w:tcPr>
            <w:cnfStyle w:val="000001000000" w:firstRow="0" w:lastRow="0" w:firstColumn="0" w:lastColumn="0" w:oddVBand="0" w:evenVBand="1" w:oddHBand="0" w:evenHBand="0" w:firstRowFirstColumn="0" w:firstRowLastColumn="0" w:lastRowFirstColumn="0" w:lastRowLastColumn="0"/>
            <w:tcW w:w="808" w:type="dxa"/>
          </w:tcPr>
          <w:p w14:paraId="7216871C" w14:textId="77777777" w:rsidR="00D6403A" w:rsidRPr="00D6403A" w:rsidRDefault="00D6403A" w:rsidP="00E85642">
            <w:pPr>
              <w:pStyle w:val="Tabletext"/>
              <w:rPr>
                <w:lang w:val="en-US"/>
              </w:rPr>
            </w:pPr>
            <w:r w:rsidRPr="00D6403A">
              <w:rPr>
                <w:lang w:val="en-US"/>
              </w:rPr>
              <w:t>4,100</w:t>
            </w:r>
          </w:p>
        </w:tc>
      </w:tr>
      <w:tr w:rsidR="00D6403A" w:rsidRPr="00D6403A" w14:paraId="2F5B2E83"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6C101E65" w14:textId="77777777" w:rsidR="00D6403A" w:rsidRPr="00E85642" w:rsidRDefault="00D6403A" w:rsidP="00E85642">
            <w:pPr>
              <w:pStyle w:val="Tabletext"/>
              <w:jc w:val="left"/>
              <w:rPr>
                <w:rFonts w:ascii="VIC" w:hAnsi="VIC" w:cs="VIC"/>
                <w:b/>
                <w:lang w:val="en-US"/>
              </w:rPr>
            </w:pPr>
            <w:r w:rsidRPr="00E85642">
              <w:rPr>
                <w:b/>
                <w:lang w:val="en-US"/>
              </w:rPr>
              <w:t>38</w:t>
            </w:r>
          </w:p>
        </w:tc>
        <w:tc>
          <w:tcPr>
            <w:cnfStyle w:val="000001000000" w:firstRow="0" w:lastRow="0" w:firstColumn="0" w:lastColumn="0" w:oddVBand="0" w:evenVBand="1" w:oddHBand="0" w:evenHBand="0" w:firstRowFirstColumn="0" w:firstRowLastColumn="0" w:lastRowFirstColumn="0" w:lastRowLastColumn="0"/>
            <w:tcW w:w="808" w:type="dxa"/>
          </w:tcPr>
          <w:p w14:paraId="416B01C7" w14:textId="77777777" w:rsidR="00D6403A" w:rsidRPr="00D6403A" w:rsidRDefault="00D6403A" w:rsidP="00E85642">
            <w:pPr>
              <w:pStyle w:val="Tabletext"/>
              <w:rPr>
                <w:lang w:val="en-US"/>
              </w:rPr>
            </w:pPr>
            <w:r w:rsidRPr="00D6403A">
              <w:rPr>
                <w:lang w:val="en-US"/>
              </w:rPr>
              <w:t>2,280</w:t>
            </w:r>
          </w:p>
        </w:tc>
        <w:tc>
          <w:tcPr>
            <w:cnfStyle w:val="000010000000" w:firstRow="0" w:lastRow="0" w:firstColumn="0" w:lastColumn="0" w:oddVBand="1" w:evenVBand="0" w:oddHBand="0" w:evenHBand="0" w:firstRowFirstColumn="0" w:firstRowLastColumn="0" w:lastRowFirstColumn="0" w:lastRowLastColumn="0"/>
            <w:tcW w:w="808" w:type="dxa"/>
          </w:tcPr>
          <w:p w14:paraId="412FF726" w14:textId="77777777" w:rsidR="00D6403A" w:rsidRPr="00D6403A" w:rsidRDefault="00D6403A" w:rsidP="00E85642">
            <w:pPr>
              <w:pStyle w:val="Tabletext"/>
              <w:rPr>
                <w:lang w:val="en-US"/>
              </w:rPr>
            </w:pPr>
            <w:r w:rsidRPr="00D6403A">
              <w:rPr>
                <w:lang w:val="en-US"/>
              </w:rPr>
              <w:t>2,460</w:t>
            </w:r>
          </w:p>
        </w:tc>
        <w:tc>
          <w:tcPr>
            <w:cnfStyle w:val="000001000000" w:firstRow="0" w:lastRow="0" w:firstColumn="0" w:lastColumn="0" w:oddVBand="0" w:evenVBand="1" w:oddHBand="0" w:evenHBand="0" w:firstRowFirstColumn="0" w:firstRowLastColumn="0" w:lastRowFirstColumn="0" w:lastRowLastColumn="0"/>
            <w:tcW w:w="808" w:type="dxa"/>
          </w:tcPr>
          <w:p w14:paraId="68294E0F" w14:textId="77777777" w:rsidR="00D6403A" w:rsidRPr="00D6403A" w:rsidRDefault="00D6403A" w:rsidP="00E85642">
            <w:pPr>
              <w:pStyle w:val="Tabletext"/>
              <w:rPr>
                <w:lang w:val="en-US"/>
              </w:rPr>
            </w:pPr>
            <w:r w:rsidRPr="00D6403A">
              <w:rPr>
                <w:lang w:val="en-US"/>
              </w:rPr>
              <w:t>2,555</w:t>
            </w:r>
          </w:p>
        </w:tc>
        <w:tc>
          <w:tcPr>
            <w:cnfStyle w:val="000010000000" w:firstRow="0" w:lastRow="0" w:firstColumn="0" w:lastColumn="0" w:oddVBand="1" w:evenVBand="0" w:oddHBand="0" w:evenHBand="0" w:firstRowFirstColumn="0" w:firstRowLastColumn="0" w:lastRowFirstColumn="0" w:lastRowLastColumn="0"/>
            <w:tcW w:w="808" w:type="dxa"/>
          </w:tcPr>
          <w:p w14:paraId="13A48CD0" w14:textId="77777777" w:rsidR="00D6403A" w:rsidRPr="00D6403A" w:rsidRDefault="00D6403A" w:rsidP="00E85642">
            <w:pPr>
              <w:pStyle w:val="Tabletext"/>
              <w:rPr>
                <w:lang w:val="en-US"/>
              </w:rPr>
            </w:pPr>
            <w:r w:rsidRPr="00D6403A">
              <w:rPr>
                <w:lang w:val="en-US"/>
              </w:rPr>
              <w:t>2,700</w:t>
            </w:r>
          </w:p>
        </w:tc>
        <w:tc>
          <w:tcPr>
            <w:cnfStyle w:val="000001000000" w:firstRow="0" w:lastRow="0" w:firstColumn="0" w:lastColumn="0" w:oddVBand="0" w:evenVBand="1" w:oddHBand="0" w:evenHBand="0" w:firstRowFirstColumn="0" w:firstRowLastColumn="0" w:lastRowFirstColumn="0" w:lastRowLastColumn="0"/>
            <w:tcW w:w="807" w:type="dxa"/>
          </w:tcPr>
          <w:p w14:paraId="2ABAC89A" w14:textId="77777777" w:rsidR="00D6403A" w:rsidRPr="00D6403A" w:rsidRDefault="00D6403A" w:rsidP="00E85642">
            <w:pPr>
              <w:pStyle w:val="Tabletext"/>
              <w:rPr>
                <w:lang w:val="en-US"/>
              </w:rPr>
            </w:pPr>
            <w:r w:rsidRPr="00D6403A">
              <w:rPr>
                <w:lang w:val="en-US"/>
              </w:rPr>
              <w:t>2,940</w:t>
            </w:r>
          </w:p>
        </w:tc>
        <w:tc>
          <w:tcPr>
            <w:cnfStyle w:val="000010000000" w:firstRow="0" w:lastRow="0" w:firstColumn="0" w:lastColumn="0" w:oddVBand="1" w:evenVBand="0" w:oddHBand="0" w:evenHBand="0" w:firstRowFirstColumn="0" w:firstRowLastColumn="0" w:lastRowFirstColumn="0" w:lastRowLastColumn="0"/>
            <w:tcW w:w="808" w:type="dxa"/>
          </w:tcPr>
          <w:p w14:paraId="5AAE88E5" w14:textId="77777777" w:rsidR="00D6403A" w:rsidRPr="00D6403A" w:rsidRDefault="00D6403A" w:rsidP="00E85642">
            <w:pPr>
              <w:pStyle w:val="Tabletext"/>
              <w:rPr>
                <w:lang w:val="en-US"/>
              </w:rPr>
            </w:pPr>
            <w:r w:rsidRPr="00D6403A">
              <w:rPr>
                <w:lang w:val="en-US"/>
              </w:rPr>
              <w:t>3,210</w:t>
            </w:r>
          </w:p>
        </w:tc>
        <w:tc>
          <w:tcPr>
            <w:cnfStyle w:val="000001000000" w:firstRow="0" w:lastRow="0" w:firstColumn="0" w:lastColumn="0" w:oddVBand="0" w:evenVBand="1" w:oddHBand="0" w:evenHBand="0" w:firstRowFirstColumn="0" w:firstRowLastColumn="0" w:lastRowFirstColumn="0" w:lastRowLastColumn="0"/>
            <w:tcW w:w="808" w:type="dxa"/>
          </w:tcPr>
          <w:p w14:paraId="74C6A7EF" w14:textId="77777777" w:rsidR="00D6403A" w:rsidRPr="00D6403A" w:rsidRDefault="00D6403A" w:rsidP="00E85642">
            <w:pPr>
              <w:pStyle w:val="Tabletext"/>
              <w:rPr>
                <w:lang w:val="en-US"/>
              </w:rPr>
            </w:pPr>
            <w:r w:rsidRPr="00D6403A">
              <w:rPr>
                <w:lang w:val="en-US"/>
              </w:rPr>
              <w:t>3,500</w:t>
            </w:r>
          </w:p>
        </w:tc>
        <w:tc>
          <w:tcPr>
            <w:cnfStyle w:val="000010000000" w:firstRow="0" w:lastRow="0" w:firstColumn="0" w:lastColumn="0" w:oddVBand="1" w:evenVBand="0" w:oddHBand="0" w:evenHBand="0" w:firstRowFirstColumn="0" w:firstRowLastColumn="0" w:lastRowFirstColumn="0" w:lastRowLastColumn="0"/>
            <w:tcW w:w="808" w:type="dxa"/>
          </w:tcPr>
          <w:p w14:paraId="04256780" w14:textId="77777777" w:rsidR="00D6403A" w:rsidRPr="00D6403A" w:rsidRDefault="00D6403A" w:rsidP="00E85642">
            <w:pPr>
              <w:pStyle w:val="Tabletext"/>
              <w:rPr>
                <w:lang w:val="en-US"/>
              </w:rPr>
            </w:pPr>
            <w:r w:rsidRPr="00D6403A">
              <w:rPr>
                <w:lang w:val="en-US"/>
              </w:rPr>
              <w:t>3,780</w:t>
            </w:r>
          </w:p>
        </w:tc>
        <w:tc>
          <w:tcPr>
            <w:cnfStyle w:val="000001000000" w:firstRow="0" w:lastRow="0" w:firstColumn="0" w:lastColumn="0" w:oddVBand="0" w:evenVBand="1" w:oddHBand="0" w:evenHBand="0" w:firstRowFirstColumn="0" w:firstRowLastColumn="0" w:lastRowFirstColumn="0" w:lastRowLastColumn="0"/>
            <w:tcW w:w="808" w:type="dxa"/>
          </w:tcPr>
          <w:p w14:paraId="2A004DBA" w14:textId="77777777" w:rsidR="00D6403A" w:rsidRPr="00D6403A" w:rsidRDefault="00D6403A" w:rsidP="00E85642">
            <w:pPr>
              <w:pStyle w:val="Tabletext"/>
              <w:rPr>
                <w:lang w:val="en-US"/>
              </w:rPr>
            </w:pPr>
            <w:r w:rsidRPr="00D6403A">
              <w:rPr>
                <w:lang w:val="en-US"/>
              </w:rPr>
              <w:t>3,950</w:t>
            </w:r>
          </w:p>
        </w:tc>
        <w:tc>
          <w:tcPr>
            <w:cnfStyle w:val="000010000000" w:firstRow="0" w:lastRow="0" w:firstColumn="0" w:lastColumn="0" w:oddVBand="1" w:evenVBand="0" w:oddHBand="0" w:evenHBand="0" w:firstRowFirstColumn="0" w:firstRowLastColumn="0" w:lastRowFirstColumn="0" w:lastRowLastColumn="0"/>
            <w:tcW w:w="808" w:type="dxa"/>
          </w:tcPr>
          <w:p w14:paraId="68B2A332" w14:textId="77777777" w:rsidR="00D6403A" w:rsidRPr="00D6403A" w:rsidRDefault="00D6403A" w:rsidP="00E85642">
            <w:pPr>
              <w:pStyle w:val="Tabletext"/>
              <w:rPr>
                <w:lang w:val="en-US"/>
              </w:rPr>
            </w:pPr>
            <w:r w:rsidRPr="00D6403A">
              <w:rPr>
                <w:lang w:val="en-US"/>
              </w:rPr>
              <w:t>4,070</w:t>
            </w:r>
          </w:p>
        </w:tc>
        <w:tc>
          <w:tcPr>
            <w:cnfStyle w:val="000001000000" w:firstRow="0" w:lastRow="0" w:firstColumn="0" w:lastColumn="0" w:oddVBand="0" w:evenVBand="1" w:oddHBand="0" w:evenHBand="0" w:firstRowFirstColumn="0" w:firstRowLastColumn="0" w:lastRowFirstColumn="0" w:lastRowLastColumn="0"/>
            <w:tcW w:w="808" w:type="dxa"/>
          </w:tcPr>
          <w:p w14:paraId="282BB212" w14:textId="77777777" w:rsidR="00D6403A" w:rsidRPr="00D6403A" w:rsidRDefault="00D6403A" w:rsidP="00E85642">
            <w:pPr>
              <w:pStyle w:val="Tabletext"/>
              <w:rPr>
                <w:lang w:val="en-US"/>
              </w:rPr>
            </w:pPr>
            <w:r w:rsidRPr="00D6403A">
              <w:rPr>
                <w:lang w:val="en-US"/>
              </w:rPr>
              <w:t>4,300</w:t>
            </w:r>
          </w:p>
        </w:tc>
      </w:tr>
      <w:tr w:rsidR="00D6403A" w:rsidRPr="00D6403A" w14:paraId="267B5CDE"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5814267D" w14:textId="77777777" w:rsidR="00D6403A" w:rsidRPr="00E85642" w:rsidRDefault="00D6403A" w:rsidP="00E85642">
            <w:pPr>
              <w:pStyle w:val="Tabletext"/>
              <w:jc w:val="left"/>
              <w:rPr>
                <w:rFonts w:ascii="VIC" w:hAnsi="VIC" w:cs="VIC"/>
                <w:b/>
                <w:lang w:val="en-US"/>
              </w:rPr>
            </w:pPr>
            <w:r w:rsidRPr="00E85642">
              <w:rPr>
                <w:b/>
                <w:lang w:val="en-US"/>
              </w:rPr>
              <w:t>39</w:t>
            </w:r>
          </w:p>
        </w:tc>
        <w:tc>
          <w:tcPr>
            <w:cnfStyle w:val="000001000000" w:firstRow="0" w:lastRow="0" w:firstColumn="0" w:lastColumn="0" w:oddVBand="0" w:evenVBand="1" w:oddHBand="0" w:evenHBand="0" w:firstRowFirstColumn="0" w:firstRowLastColumn="0" w:lastRowFirstColumn="0" w:lastRowLastColumn="0"/>
            <w:tcW w:w="808" w:type="dxa"/>
          </w:tcPr>
          <w:p w14:paraId="18156D84" w14:textId="77777777" w:rsidR="00D6403A" w:rsidRPr="00D6403A" w:rsidRDefault="00D6403A" w:rsidP="00E85642">
            <w:pPr>
              <w:pStyle w:val="Tabletext"/>
              <w:rPr>
                <w:lang w:val="en-US"/>
              </w:rPr>
            </w:pPr>
            <w:r w:rsidRPr="00D6403A">
              <w:rPr>
                <w:lang w:val="en-US"/>
              </w:rPr>
              <w:t>2,450</w:t>
            </w:r>
          </w:p>
        </w:tc>
        <w:tc>
          <w:tcPr>
            <w:cnfStyle w:val="000010000000" w:firstRow="0" w:lastRow="0" w:firstColumn="0" w:lastColumn="0" w:oddVBand="1" w:evenVBand="0" w:oddHBand="0" w:evenHBand="0" w:firstRowFirstColumn="0" w:firstRowLastColumn="0" w:lastRowFirstColumn="0" w:lastRowLastColumn="0"/>
            <w:tcW w:w="808" w:type="dxa"/>
          </w:tcPr>
          <w:p w14:paraId="09172E35" w14:textId="77777777" w:rsidR="00D6403A" w:rsidRPr="00D6403A" w:rsidRDefault="00D6403A" w:rsidP="00E85642">
            <w:pPr>
              <w:pStyle w:val="Tabletext"/>
              <w:rPr>
                <w:lang w:val="en-US"/>
              </w:rPr>
            </w:pPr>
            <w:r w:rsidRPr="00D6403A">
              <w:rPr>
                <w:lang w:val="en-US"/>
              </w:rPr>
              <w:t>2,630</w:t>
            </w:r>
          </w:p>
        </w:tc>
        <w:tc>
          <w:tcPr>
            <w:cnfStyle w:val="000001000000" w:firstRow="0" w:lastRow="0" w:firstColumn="0" w:lastColumn="0" w:oddVBand="0" w:evenVBand="1" w:oddHBand="0" w:evenHBand="0" w:firstRowFirstColumn="0" w:firstRowLastColumn="0" w:lastRowFirstColumn="0" w:lastRowLastColumn="0"/>
            <w:tcW w:w="808" w:type="dxa"/>
          </w:tcPr>
          <w:p w14:paraId="59546525" w14:textId="77777777" w:rsidR="00D6403A" w:rsidRPr="00D6403A" w:rsidRDefault="00D6403A" w:rsidP="00E85642">
            <w:pPr>
              <w:pStyle w:val="Tabletext"/>
              <w:rPr>
                <w:lang w:val="en-US"/>
              </w:rPr>
            </w:pPr>
            <w:r w:rsidRPr="00D6403A">
              <w:rPr>
                <w:lang w:val="en-US"/>
              </w:rPr>
              <w:t>2,720</w:t>
            </w:r>
          </w:p>
        </w:tc>
        <w:tc>
          <w:tcPr>
            <w:cnfStyle w:val="000010000000" w:firstRow="0" w:lastRow="0" w:firstColumn="0" w:lastColumn="0" w:oddVBand="1" w:evenVBand="0" w:oddHBand="0" w:evenHBand="0" w:firstRowFirstColumn="0" w:firstRowLastColumn="0" w:lastRowFirstColumn="0" w:lastRowLastColumn="0"/>
            <w:tcW w:w="808" w:type="dxa"/>
          </w:tcPr>
          <w:p w14:paraId="15B917A2" w14:textId="77777777" w:rsidR="00D6403A" w:rsidRPr="00D6403A" w:rsidRDefault="00D6403A" w:rsidP="00E85642">
            <w:pPr>
              <w:pStyle w:val="Tabletext"/>
              <w:rPr>
                <w:lang w:val="en-US"/>
              </w:rPr>
            </w:pPr>
            <w:r w:rsidRPr="00D6403A">
              <w:rPr>
                <w:lang w:val="en-US"/>
              </w:rPr>
              <w:t>2,850</w:t>
            </w:r>
          </w:p>
        </w:tc>
        <w:tc>
          <w:tcPr>
            <w:cnfStyle w:val="000001000000" w:firstRow="0" w:lastRow="0" w:firstColumn="0" w:lastColumn="0" w:oddVBand="0" w:evenVBand="1" w:oddHBand="0" w:evenHBand="0" w:firstRowFirstColumn="0" w:firstRowLastColumn="0" w:lastRowFirstColumn="0" w:lastRowLastColumn="0"/>
            <w:tcW w:w="807" w:type="dxa"/>
          </w:tcPr>
          <w:p w14:paraId="78CC577F" w14:textId="77777777" w:rsidR="00D6403A" w:rsidRPr="00D6403A" w:rsidRDefault="00D6403A" w:rsidP="00E85642">
            <w:pPr>
              <w:pStyle w:val="Tabletext"/>
              <w:rPr>
                <w:lang w:val="en-US"/>
              </w:rPr>
            </w:pPr>
            <w:r w:rsidRPr="00D6403A">
              <w:rPr>
                <w:lang w:val="en-US"/>
              </w:rPr>
              <w:t>3,085</w:t>
            </w:r>
          </w:p>
        </w:tc>
        <w:tc>
          <w:tcPr>
            <w:cnfStyle w:val="000010000000" w:firstRow="0" w:lastRow="0" w:firstColumn="0" w:lastColumn="0" w:oddVBand="1" w:evenVBand="0" w:oddHBand="0" w:evenHBand="0" w:firstRowFirstColumn="0" w:firstRowLastColumn="0" w:lastRowFirstColumn="0" w:lastRowLastColumn="0"/>
            <w:tcW w:w="808" w:type="dxa"/>
          </w:tcPr>
          <w:p w14:paraId="5245A570" w14:textId="77777777" w:rsidR="00D6403A" w:rsidRPr="00D6403A" w:rsidRDefault="00D6403A" w:rsidP="00E85642">
            <w:pPr>
              <w:pStyle w:val="Tabletext"/>
              <w:rPr>
                <w:lang w:val="en-US"/>
              </w:rPr>
            </w:pPr>
            <w:r w:rsidRPr="00D6403A">
              <w:rPr>
                <w:lang w:val="en-US"/>
              </w:rPr>
              <w:t>3,350</w:t>
            </w:r>
          </w:p>
        </w:tc>
        <w:tc>
          <w:tcPr>
            <w:cnfStyle w:val="000001000000" w:firstRow="0" w:lastRow="0" w:firstColumn="0" w:lastColumn="0" w:oddVBand="0" w:evenVBand="1" w:oddHBand="0" w:evenHBand="0" w:firstRowFirstColumn="0" w:firstRowLastColumn="0" w:lastRowFirstColumn="0" w:lastRowLastColumn="0"/>
            <w:tcW w:w="808" w:type="dxa"/>
          </w:tcPr>
          <w:p w14:paraId="54E88EBB" w14:textId="77777777" w:rsidR="00D6403A" w:rsidRPr="00D6403A" w:rsidRDefault="00D6403A" w:rsidP="00E85642">
            <w:pPr>
              <w:pStyle w:val="Tabletext"/>
              <w:rPr>
                <w:lang w:val="en-US"/>
              </w:rPr>
            </w:pPr>
            <w:r w:rsidRPr="00D6403A">
              <w:rPr>
                <w:lang w:val="en-US"/>
              </w:rPr>
              <w:t>3,630</w:t>
            </w:r>
          </w:p>
        </w:tc>
        <w:tc>
          <w:tcPr>
            <w:cnfStyle w:val="000010000000" w:firstRow="0" w:lastRow="0" w:firstColumn="0" w:lastColumn="0" w:oddVBand="1" w:evenVBand="0" w:oddHBand="0" w:evenHBand="0" w:firstRowFirstColumn="0" w:firstRowLastColumn="0" w:lastRowFirstColumn="0" w:lastRowLastColumn="0"/>
            <w:tcW w:w="808" w:type="dxa"/>
          </w:tcPr>
          <w:p w14:paraId="78B87BFD" w14:textId="77777777" w:rsidR="00D6403A" w:rsidRPr="00D6403A" w:rsidRDefault="00D6403A" w:rsidP="00E85642">
            <w:pPr>
              <w:pStyle w:val="Tabletext"/>
              <w:rPr>
                <w:lang w:val="en-US"/>
              </w:rPr>
            </w:pPr>
            <w:r w:rsidRPr="00D6403A">
              <w:rPr>
                <w:lang w:val="en-US"/>
              </w:rPr>
              <w:t>3,900</w:t>
            </w:r>
          </w:p>
        </w:tc>
        <w:tc>
          <w:tcPr>
            <w:cnfStyle w:val="000001000000" w:firstRow="0" w:lastRow="0" w:firstColumn="0" w:lastColumn="0" w:oddVBand="0" w:evenVBand="1" w:oddHBand="0" w:evenHBand="0" w:firstRowFirstColumn="0" w:firstRowLastColumn="0" w:lastRowFirstColumn="0" w:lastRowLastColumn="0"/>
            <w:tcW w:w="808" w:type="dxa"/>
          </w:tcPr>
          <w:p w14:paraId="587993DE" w14:textId="77777777" w:rsidR="00D6403A" w:rsidRPr="00D6403A" w:rsidRDefault="00D6403A" w:rsidP="00E85642">
            <w:pPr>
              <w:pStyle w:val="Tabletext"/>
              <w:rPr>
                <w:lang w:val="en-US"/>
              </w:rPr>
            </w:pPr>
            <w:r w:rsidRPr="00D6403A">
              <w:rPr>
                <w:lang w:val="en-US"/>
              </w:rPr>
              <w:t>4,070</w:t>
            </w:r>
          </w:p>
        </w:tc>
        <w:tc>
          <w:tcPr>
            <w:cnfStyle w:val="000010000000" w:firstRow="0" w:lastRow="0" w:firstColumn="0" w:lastColumn="0" w:oddVBand="1" w:evenVBand="0" w:oddHBand="0" w:evenHBand="0" w:firstRowFirstColumn="0" w:firstRowLastColumn="0" w:lastRowFirstColumn="0" w:lastRowLastColumn="0"/>
            <w:tcW w:w="808" w:type="dxa"/>
          </w:tcPr>
          <w:p w14:paraId="4B2A8856" w14:textId="77777777" w:rsidR="00D6403A" w:rsidRPr="00D6403A" w:rsidRDefault="00D6403A" w:rsidP="00E85642">
            <w:pPr>
              <w:pStyle w:val="Tabletext"/>
              <w:rPr>
                <w:lang w:val="en-US"/>
              </w:rPr>
            </w:pPr>
            <w:r w:rsidRPr="00D6403A">
              <w:rPr>
                <w:lang w:val="en-US"/>
              </w:rPr>
              <w:t>4,190</w:t>
            </w:r>
          </w:p>
        </w:tc>
        <w:tc>
          <w:tcPr>
            <w:cnfStyle w:val="000001000000" w:firstRow="0" w:lastRow="0" w:firstColumn="0" w:lastColumn="0" w:oddVBand="0" w:evenVBand="1" w:oddHBand="0" w:evenHBand="0" w:firstRowFirstColumn="0" w:firstRowLastColumn="0" w:lastRowFirstColumn="0" w:lastRowLastColumn="0"/>
            <w:tcW w:w="808" w:type="dxa"/>
          </w:tcPr>
          <w:p w14:paraId="39BD192B" w14:textId="77777777" w:rsidR="00D6403A" w:rsidRPr="00D6403A" w:rsidRDefault="00D6403A" w:rsidP="00E85642">
            <w:pPr>
              <w:pStyle w:val="Tabletext"/>
              <w:rPr>
                <w:lang w:val="en-US"/>
              </w:rPr>
            </w:pPr>
            <w:r w:rsidRPr="00D6403A">
              <w:rPr>
                <w:lang w:val="en-US"/>
              </w:rPr>
              <w:t>4,400</w:t>
            </w:r>
          </w:p>
        </w:tc>
      </w:tr>
      <w:tr w:rsidR="00D6403A" w:rsidRPr="00D6403A" w14:paraId="64DCAE9D"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65A666BF" w14:textId="77777777" w:rsidR="00D6403A" w:rsidRPr="00E85642" w:rsidRDefault="00D6403A" w:rsidP="00E85642">
            <w:pPr>
              <w:pStyle w:val="Tabletext"/>
              <w:jc w:val="left"/>
              <w:rPr>
                <w:rFonts w:ascii="VIC" w:hAnsi="VIC" w:cs="VIC"/>
                <w:b/>
                <w:lang w:val="en-US"/>
              </w:rPr>
            </w:pPr>
            <w:r w:rsidRPr="00E85642">
              <w:rPr>
                <w:b/>
                <w:lang w:val="en-US"/>
              </w:rPr>
              <w:t>40</w:t>
            </w:r>
          </w:p>
        </w:tc>
        <w:tc>
          <w:tcPr>
            <w:cnfStyle w:val="000001000000" w:firstRow="0" w:lastRow="0" w:firstColumn="0" w:lastColumn="0" w:oddVBand="0" w:evenVBand="1" w:oddHBand="0" w:evenHBand="0" w:firstRowFirstColumn="0" w:firstRowLastColumn="0" w:lastRowFirstColumn="0" w:lastRowLastColumn="0"/>
            <w:tcW w:w="808" w:type="dxa"/>
          </w:tcPr>
          <w:p w14:paraId="3BC08CC5" w14:textId="77777777" w:rsidR="00D6403A" w:rsidRPr="00D6403A" w:rsidRDefault="00D6403A" w:rsidP="00E85642">
            <w:pPr>
              <w:pStyle w:val="Tabletext"/>
              <w:rPr>
                <w:lang w:val="en-US"/>
              </w:rPr>
            </w:pPr>
            <w:r w:rsidRPr="00D6403A">
              <w:rPr>
                <w:lang w:val="en-US"/>
              </w:rPr>
              <w:t>2,595</w:t>
            </w:r>
          </w:p>
        </w:tc>
        <w:tc>
          <w:tcPr>
            <w:cnfStyle w:val="000010000000" w:firstRow="0" w:lastRow="0" w:firstColumn="0" w:lastColumn="0" w:oddVBand="1" w:evenVBand="0" w:oddHBand="0" w:evenHBand="0" w:firstRowFirstColumn="0" w:firstRowLastColumn="0" w:lastRowFirstColumn="0" w:lastRowLastColumn="0"/>
            <w:tcW w:w="808" w:type="dxa"/>
          </w:tcPr>
          <w:p w14:paraId="64E5442C" w14:textId="77777777" w:rsidR="00D6403A" w:rsidRPr="00D6403A" w:rsidRDefault="00D6403A" w:rsidP="00E85642">
            <w:pPr>
              <w:pStyle w:val="Tabletext"/>
              <w:rPr>
                <w:lang w:val="en-US"/>
              </w:rPr>
            </w:pPr>
            <w:r w:rsidRPr="00D6403A">
              <w:rPr>
                <w:lang w:val="en-US"/>
              </w:rPr>
              <w:t>2,760</w:t>
            </w:r>
          </w:p>
        </w:tc>
        <w:tc>
          <w:tcPr>
            <w:cnfStyle w:val="000001000000" w:firstRow="0" w:lastRow="0" w:firstColumn="0" w:lastColumn="0" w:oddVBand="0" w:evenVBand="1" w:oddHBand="0" w:evenHBand="0" w:firstRowFirstColumn="0" w:firstRowLastColumn="0" w:lastRowFirstColumn="0" w:lastRowLastColumn="0"/>
            <w:tcW w:w="808" w:type="dxa"/>
          </w:tcPr>
          <w:p w14:paraId="4A752752" w14:textId="77777777" w:rsidR="00D6403A" w:rsidRPr="00D6403A" w:rsidRDefault="00D6403A" w:rsidP="00E85642">
            <w:pPr>
              <w:pStyle w:val="Tabletext"/>
              <w:rPr>
                <w:lang w:val="en-US"/>
              </w:rPr>
            </w:pPr>
            <w:r w:rsidRPr="00D6403A">
              <w:rPr>
                <w:lang w:val="en-US"/>
              </w:rPr>
              <w:t>2,850</w:t>
            </w:r>
          </w:p>
        </w:tc>
        <w:tc>
          <w:tcPr>
            <w:cnfStyle w:val="000010000000" w:firstRow="0" w:lastRow="0" w:firstColumn="0" w:lastColumn="0" w:oddVBand="1" w:evenVBand="0" w:oddHBand="0" w:evenHBand="0" w:firstRowFirstColumn="0" w:firstRowLastColumn="0" w:lastRowFirstColumn="0" w:lastRowLastColumn="0"/>
            <w:tcW w:w="808" w:type="dxa"/>
          </w:tcPr>
          <w:p w14:paraId="0B725EBE" w14:textId="77777777" w:rsidR="00D6403A" w:rsidRPr="00D6403A" w:rsidRDefault="00D6403A" w:rsidP="00E85642">
            <w:pPr>
              <w:pStyle w:val="Tabletext"/>
              <w:rPr>
                <w:lang w:val="en-US"/>
              </w:rPr>
            </w:pPr>
            <w:r w:rsidRPr="00D6403A">
              <w:rPr>
                <w:lang w:val="en-US"/>
              </w:rPr>
              <w:t>2,990</w:t>
            </w:r>
          </w:p>
        </w:tc>
        <w:tc>
          <w:tcPr>
            <w:cnfStyle w:val="000001000000" w:firstRow="0" w:lastRow="0" w:firstColumn="0" w:lastColumn="0" w:oddVBand="0" w:evenVBand="1" w:oddHBand="0" w:evenHBand="0" w:firstRowFirstColumn="0" w:firstRowLastColumn="0" w:lastRowFirstColumn="0" w:lastRowLastColumn="0"/>
            <w:tcW w:w="807" w:type="dxa"/>
          </w:tcPr>
          <w:p w14:paraId="3DA94C5B" w14:textId="77777777" w:rsidR="00D6403A" w:rsidRPr="00D6403A" w:rsidRDefault="00D6403A" w:rsidP="00E85642">
            <w:pPr>
              <w:pStyle w:val="Tabletext"/>
              <w:rPr>
                <w:lang w:val="en-US"/>
              </w:rPr>
            </w:pPr>
            <w:r w:rsidRPr="00D6403A">
              <w:rPr>
                <w:lang w:val="en-US"/>
              </w:rPr>
              <w:t>3,220</w:t>
            </w:r>
          </w:p>
        </w:tc>
        <w:tc>
          <w:tcPr>
            <w:cnfStyle w:val="000010000000" w:firstRow="0" w:lastRow="0" w:firstColumn="0" w:lastColumn="0" w:oddVBand="1" w:evenVBand="0" w:oddHBand="0" w:evenHBand="0" w:firstRowFirstColumn="0" w:firstRowLastColumn="0" w:lastRowFirstColumn="0" w:lastRowLastColumn="0"/>
            <w:tcW w:w="808" w:type="dxa"/>
          </w:tcPr>
          <w:p w14:paraId="22E314C7" w14:textId="77777777" w:rsidR="00D6403A" w:rsidRPr="00D6403A" w:rsidRDefault="00D6403A" w:rsidP="00E85642">
            <w:pPr>
              <w:pStyle w:val="Tabletext"/>
              <w:rPr>
                <w:lang w:val="en-US"/>
              </w:rPr>
            </w:pPr>
            <w:r w:rsidRPr="00D6403A">
              <w:rPr>
                <w:lang w:val="en-US"/>
              </w:rPr>
              <w:t>3,490</w:t>
            </w:r>
          </w:p>
        </w:tc>
        <w:tc>
          <w:tcPr>
            <w:cnfStyle w:val="000001000000" w:firstRow="0" w:lastRow="0" w:firstColumn="0" w:lastColumn="0" w:oddVBand="0" w:evenVBand="1" w:oddHBand="0" w:evenHBand="0" w:firstRowFirstColumn="0" w:firstRowLastColumn="0" w:lastRowFirstColumn="0" w:lastRowLastColumn="0"/>
            <w:tcW w:w="808" w:type="dxa"/>
          </w:tcPr>
          <w:p w14:paraId="7CA0E856" w14:textId="77777777" w:rsidR="00D6403A" w:rsidRPr="00D6403A" w:rsidRDefault="00D6403A" w:rsidP="00E85642">
            <w:pPr>
              <w:pStyle w:val="Tabletext"/>
              <w:rPr>
                <w:lang w:val="en-US"/>
              </w:rPr>
            </w:pPr>
            <w:r w:rsidRPr="00D6403A">
              <w:rPr>
                <w:lang w:val="en-US"/>
              </w:rPr>
              <w:t>3,770</w:t>
            </w:r>
          </w:p>
        </w:tc>
        <w:tc>
          <w:tcPr>
            <w:cnfStyle w:val="000010000000" w:firstRow="0" w:lastRow="0" w:firstColumn="0" w:lastColumn="0" w:oddVBand="1" w:evenVBand="0" w:oddHBand="0" w:evenHBand="0" w:firstRowFirstColumn="0" w:firstRowLastColumn="0" w:lastRowFirstColumn="0" w:lastRowLastColumn="0"/>
            <w:tcW w:w="808" w:type="dxa"/>
          </w:tcPr>
          <w:p w14:paraId="43FE2779" w14:textId="77777777" w:rsidR="00D6403A" w:rsidRPr="00D6403A" w:rsidRDefault="00D6403A" w:rsidP="00E85642">
            <w:pPr>
              <w:pStyle w:val="Tabletext"/>
              <w:rPr>
                <w:lang w:val="en-US"/>
              </w:rPr>
            </w:pPr>
            <w:r w:rsidRPr="00D6403A">
              <w:rPr>
                <w:lang w:val="en-US"/>
              </w:rPr>
              <w:t>4,040</w:t>
            </w:r>
          </w:p>
        </w:tc>
        <w:tc>
          <w:tcPr>
            <w:cnfStyle w:val="000001000000" w:firstRow="0" w:lastRow="0" w:firstColumn="0" w:lastColumn="0" w:oddVBand="0" w:evenVBand="1" w:oddHBand="0" w:evenHBand="0" w:firstRowFirstColumn="0" w:firstRowLastColumn="0" w:lastRowFirstColumn="0" w:lastRowLastColumn="0"/>
            <w:tcW w:w="808" w:type="dxa"/>
          </w:tcPr>
          <w:p w14:paraId="083D2D18" w14:textId="77777777" w:rsidR="00D6403A" w:rsidRPr="00D6403A" w:rsidRDefault="00D6403A" w:rsidP="00E85642">
            <w:pPr>
              <w:pStyle w:val="Tabletext"/>
              <w:rPr>
                <w:lang w:val="en-US"/>
              </w:rPr>
            </w:pPr>
            <w:r w:rsidRPr="00D6403A">
              <w:rPr>
                <w:lang w:val="en-US"/>
              </w:rPr>
              <w:t>4,210</w:t>
            </w:r>
          </w:p>
        </w:tc>
        <w:tc>
          <w:tcPr>
            <w:cnfStyle w:val="000010000000" w:firstRow="0" w:lastRow="0" w:firstColumn="0" w:lastColumn="0" w:oddVBand="1" w:evenVBand="0" w:oddHBand="0" w:evenHBand="0" w:firstRowFirstColumn="0" w:firstRowLastColumn="0" w:lastRowFirstColumn="0" w:lastRowLastColumn="0"/>
            <w:tcW w:w="808" w:type="dxa"/>
          </w:tcPr>
          <w:p w14:paraId="2DF7A6EB" w14:textId="77777777" w:rsidR="00D6403A" w:rsidRPr="00D6403A" w:rsidRDefault="00D6403A" w:rsidP="00E85642">
            <w:pPr>
              <w:pStyle w:val="Tabletext"/>
              <w:rPr>
                <w:lang w:val="en-US"/>
              </w:rPr>
            </w:pPr>
            <w:r w:rsidRPr="00D6403A">
              <w:rPr>
                <w:lang w:val="en-US"/>
              </w:rPr>
              <w:t>4,320</w:t>
            </w:r>
          </w:p>
        </w:tc>
        <w:tc>
          <w:tcPr>
            <w:cnfStyle w:val="000001000000" w:firstRow="0" w:lastRow="0" w:firstColumn="0" w:lastColumn="0" w:oddVBand="0" w:evenVBand="1" w:oddHBand="0" w:evenHBand="0" w:firstRowFirstColumn="0" w:firstRowLastColumn="0" w:lastRowFirstColumn="0" w:lastRowLastColumn="0"/>
            <w:tcW w:w="808" w:type="dxa"/>
          </w:tcPr>
          <w:p w14:paraId="10CB5DDD" w14:textId="77777777" w:rsidR="00D6403A" w:rsidRPr="00D6403A" w:rsidRDefault="00D6403A" w:rsidP="00E85642">
            <w:pPr>
              <w:pStyle w:val="Tabletext"/>
              <w:rPr>
                <w:lang w:val="en-US"/>
              </w:rPr>
            </w:pPr>
            <w:r w:rsidRPr="00D6403A">
              <w:rPr>
                <w:lang w:val="en-US"/>
              </w:rPr>
              <w:t>4,530</w:t>
            </w:r>
          </w:p>
        </w:tc>
      </w:tr>
      <w:tr w:rsidR="00D6403A" w:rsidRPr="00D6403A" w14:paraId="68303F2A"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0123BA3F" w14:textId="77777777" w:rsidR="00D6403A" w:rsidRPr="00E85642" w:rsidRDefault="00D6403A" w:rsidP="00E85642">
            <w:pPr>
              <w:pStyle w:val="Tabletext"/>
              <w:jc w:val="left"/>
              <w:rPr>
                <w:rFonts w:ascii="VIC" w:hAnsi="VIC" w:cs="VIC"/>
                <w:b/>
                <w:lang w:val="en-US"/>
              </w:rPr>
            </w:pPr>
            <w:r w:rsidRPr="00E85642">
              <w:rPr>
                <w:b/>
                <w:lang w:val="en-US"/>
              </w:rPr>
              <w:t>41</w:t>
            </w:r>
          </w:p>
        </w:tc>
        <w:tc>
          <w:tcPr>
            <w:cnfStyle w:val="000001000000" w:firstRow="0" w:lastRow="0" w:firstColumn="0" w:lastColumn="0" w:oddVBand="0" w:evenVBand="1" w:oddHBand="0" w:evenHBand="0" w:firstRowFirstColumn="0" w:firstRowLastColumn="0" w:lastRowFirstColumn="0" w:lastRowLastColumn="0"/>
            <w:tcW w:w="808" w:type="dxa"/>
          </w:tcPr>
          <w:p w14:paraId="52ACA401" w14:textId="77777777" w:rsidR="00D6403A" w:rsidRPr="00D6403A" w:rsidRDefault="00D6403A" w:rsidP="00E85642">
            <w:pPr>
              <w:pStyle w:val="Tabletext"/>
              <w:rPr>
                <w:lang w:val="en-US"/>
              </w:rPr>
            </w:pPr>
            <w:r w:rsidRPr="00D6403A">
              <w:rPr>
                <w:lang w:val="en-US"/>
              </w:rPr>
              <w:t>2,700</w:t>
            </w:r>
          </w:p>
        </w:tc>
        <w:tc>
          <w:tcPr>
            <w:cnfStyle w:val="000010000000" w:firstRow="0" w:lastRow="0" w:firstColumn="0" w:lastColumn="0" w:oddVBand="1" w:evenVBand="0" w:oddHBand="0" w:evenHBand="0" w:firstRowFirstColumn="0" w:firstRowLastColumn="0" w:lastRowFirstColumn="0" w:lastRowLastColumn="0"/>
            <w:tcW w:w="808" w:type="dxa"/>
          </w:tcPr>
          <w:p w14:paraId="441C9F25" w14:textId="77777777" w:rsidR="00D6403A" w:rsidRPr="00D6403A" w:rsidRDefault="00D6403A" w:rsidP="00E85642">
            <w:pPr>
              <w:pStyle w:val="Tabletext"/>
              <w:rPr>
                <w:lang w:val="en-US"/>
              </w:rPr>
            </w:pPr>
            <w:r w:rsidRPr="00D6403A">
              <w:rPr>
                <w:lang w:val="en-US"/>
              </w:rPr>
              <w:t>2,875</w:t>
            </w:r>
          </w:p>
        </w:tc>
        <w:tc>
          <w:tcPr>
            <w:cnfStyle w:val="000001000000" w:firstRow="0" w:lastRow="0" w:firstColumn="0" w:lastColumn="0" w:oddVBand="0" w:evenVBand="1" w:oddHBand="0" w:evenHBand="0" w:firstRowFirstColumn="0" w:firstRowLastColumn="0" w:lastRowFirstColumn="0" w:lastRowLastColumn="0"/>
            <w:tcW w:w="808" w:type="dxa"/>
          </w:tcPr>
          <w:p w14:paraId="19121926" w14:textId="77777777" w:rsidR="00D6403A" w:rsidRPr="00D6403A" w:rsidRDefault="00D6403A" w:rsidP="00E85642">
            <w:pPr>
              <w:pStyle w:val="Tabletext"/>
              <w:rPr>
                <w:lang w:val="en-US"/>
              </w:rPr>
            </w:pPr>
            <w:r w:rsidRPr="00D6403A">
              <w:rPr>
                <w:lang w:val="en-US"/>
              </w:rPr>
              <w:t>2,965</w:t>
            </w:r>
          </w:p>
        </w:tc>
        <w:tc>
          <w:tcPr>
            <w:cnfStyle w:val="000010000000" w:firstRow="0" w:lastRow="0" w:firstColumn="0" w:lastColumn="0" w:oddVBand="1" w:evenVBand="0" w:oddHBand="0" w:evenHBand="0" w:firstRowFirstColumn="0" w:firstRowLastColumn="0" w:lastRowFirstColumn="0" w:lastRowLastColumn="0"/>
            <w:tcW w:w="808" w:type="dxa"/>
          </w:tcPr>
          <w:p w14:paraId="665B7DF3" w14:textId="77777777" w:rsidR="00D6403A" w:rsidRPr="00D6403A" w:rsidRDefault="00D6403A" w:rsidP="00E85642">
            <w:pPr>
              <w:pStyle w:val="Tabletext"/>
              <w:rPr>
                <w:lang w:val="en-US"/>
              </w:rPr>
            </w:pPr>
            <w:r w:rsidRPr="00D6403A">
              <w:rPr>
                <w:lang w:val="en-US"/>
              </w:rPr>
              <w:t>3,105</w:t>
            </w:r>
          </w:p>
        </w:tc>
        <w:tc>
          <w:tcPr>
            <w:cnfStyle w:val="000001000000" w:firstRow="0" w:lastRow="0" w:firstColumn="0" w:lastColumn="0" w:oddVBand="0" w:evenVBand="1" w:oddHBand="0" w:evenHBand="0" w:firstRowFirstColumn="0" w:firstRowLastColumn="0" w:lastRowFirstColumn="0" w:lastRowLastColumn="0"/>
            <w:tcW w:w="807" w:type="dxa"/>
          </w:tcPr>
          <w:p w14:paraId="5EFBC77D" w14:textId="77777777" w:rsidR="00D6403A" w:rsidRPr="00D6403A" w:rsidRDefault="00D6403A" w:rsidP="00E85642">
            <w:pPr>
              <w:pStyle w:val="Tabletext"/>
              <w:rPr>
                <w:lang w:val="en-US"/>
              </w:rPr>
            </w:pPr>
            <w:r w:rsidRPr="00D6403A">
              <w:rPr>
                <w:lang w:val="en-US"/>
              </w:rPr>
              <w:t>3,340</w:t>
            </w:r>
          </w:p>
        </w:tc>
        <w:tc>
          <w:tcPr>
            <w:cnfStyle w:val="000010000000" w:firstRow="0" w:lastRow="0" w:firstColumn="0" w:lastColumn="0" w:oddVBand="1" w:evenVBand="0" w:oddHBand="0" w:evenHBand="0" w:firstRowFirstColumn="0" w:firstRowLastColumn="0" w:lastRowFirstColumn="0" w:lastRowLastColumn="0"/>
            <w:tcW w:w="808" w:type="dxa"/>
          </w:tcPr>
          <w:p w14:paraId="7C20FC0B" w14:textId="77777777" w:rsidR="00D6403A" w:rsidRPr="00D6403A" w:rsidRDefault="00D6403A" w:rsidP="00E85642">
            <w:pPr>
              <w:pStyle w:val="Tabletext"/>
              <w:rPr>
                <w:lang w:val="en-US"/>
              </w:rPr>
            </w:pPr>
            <w:r w:rsidRPr="00D6403A">
              <w:rPr>
                <w:lang w:val="en-US"/>
              </w:rPr>
              <w:t>3,615</w:t>
            </w:r>
          </w:p>
        </w:tc>
        <w:tc>
          <w:tcPr>
            <w:cnfStyle w:val="000001000000" w:firstRow="0" w:lastRow="0" w:firstColumn="0" w:lastColumn="0" w:oddVBand="0" w:evenVBand="1" w:oddHBand="0" w:evenHBand="0" w:firstRowFirstColumn="0" w:firstRowLastColumn="0" w:lastRowFirstColumn="0" w:lastRowLastColumn="0"/>
            <w:tcW w:w="808" w:type="dxa"/>
          </w:tcPr>
          <w:p w14:paraId="187238F2" w14:textId="77777777" w:rsidR="00D6403A" w:rsidRPr="00D6403A" w:rsidRDefault="00D6403A" w:rsidP="00E85642">
            <w:pPr>
              <w:pStyle w:val="Tabletext"/>
              <w:rPr>
                <w:lang w:val="en-US"/>
              </w:rPr>
            </w:pPr>
            <w:r w:rsidRPr="00D6403A">
              <w:rPr>
                <w:lang w:val="en-US"/>
              </w:rPr>
              <w:t>3,905</w:t>
            </w:r>
          </w:p>
        </w:tc>
        <w:tc>
          <w:tcPr>
            <w:cnfStyle w:val="000010000000" w:firstRow="0" w:lastRow="0" w:firstColumn="0" w:lastColumn="0" w:oddVBand="1" w:evenVBand="0" w:oddHBand="0" w:evenHBand="0" w:firstRowFirstColumn="0" w:firstRowLastColumn="0" w:lastRowFirstColumn="0" w:lastRowLastColumn="0"/>
            <w:tcW w:w="808" w:type="dxa"/>
          </w:tcPr>
          <w:p w14:paraId="70FF54A2" w14:textId="77777777" w:rsidR="00D6403A" w:rsidRPr="00D6403A" w:rsidRDefault="00D6403A" w:rsidP="00E85642">
            <w:pPr>
              <w:pStyle w:val="Tabletext"/>
              <w:rPr>
                <w:lang w:val="en-US"/>
              </w:rPr>
            </w:pPr>
            <w:r w:rsidRPr="00D6403A">
              <w:rPr>
                <w:lang w:val="en-US"/>
              </w:rPr>
              <w:t>4,180</w:t>
            </w:r>
          </w:p>
        </w:tc>
        <w:tc>
          <w:tcPr>
            <w:cnfStyle w:val="000001000000" w:firstRow="0" w:lastRow="0" w:firstColumn="0" w:lastColumn="0" w:oddVBand="0" w:evenVBand="1" w:oddHBand="0" w:evenHBand="0" w:firstRowFirstColumn="0" w:firstRowLastColumn="0" w:lastRowFirstColumn="0" w:lastRowLastColumn="0"/>
            <w:tcW w:w="808" w:type="dxa"/>
          </w:tcPr>
          <w:p w14:paraId="0E5EB7F3" w14:textId="77777777" w:rsidR="00D6403A" w:rsidRPr="00D6403A" w:rsidRDefault="00D6403A" w:rsidP="00E85642">
            <w:pPr>
              <w:pStyle w:val="Tabletext"/>
              <w:rPr>
                <w:lang w:val="en-US"/>
              </w:rPr>
            </w:pPr>
            <w:r w:rsidRPr="00D6403A">
              <w:rPr>
                <w:lang w:val="en-US"/>
              </w:rPr>
              <w:t>4,350</w:t>
            </w:r>
          </w:p>
        </w:tc>
        <w:tc>
          <w:tcPr>
            <w:cnfStyle w:val="000010000000" w:firstRow="0" w:lastRow="0" w:firstColumn="0" w:lastColumn="0" w:oddVBand="1" w:evenVBand="0" w:oddHBand="0" w:evenHBand="0" w:firstRowFirstColumn="0" w:firstRowLastColumn="0" w:lastRowFirstColumn="0" w:lastRowLastColumn="0"/>
            <w:tcW w:w="808" w:type="dxa"/>
          </w:tcPr>
          <w:p w14:paraId="62C3AABC" w14:textId="77777777" w:rsidR="00D6403A" w:rsidRPr="00D6403A" w:rsidRDefault="00D6403A" w:rsidP="00E85642">
            <w:pPr>
              <w:pStyle w:val="Tabletext"/>
              <w:rPr>
                <w:lang w:val="en-US"/>
              </w:rPr>
            </w:pPr>
            <w:r w:rsidRPr="00D6403A">
              <w:rPr>
                <w:lang w:val="en-US"/>
              </w:rPr>
              <w:t>4,460</w:t>
            </w:r>
          </w:p>
        </w:tc>
        <w:tc>
          <w:tcPr>
            <w:cnfStyle w:val="000001000000" w:firstRow="0" w:lastRow="0" w:firstColumn="0" w:lastColumn="0" w:oddVBand="0" w:evenVBand="1" w:oddHBand="0" w:evenHBand="0" w:firstRowFirstColumn="0" w:firstRowLastColumn="0" w:lastRowFirstColumn="0" w:lastRowLastColumn="0"/>
            <w:tcW w:w="808" w:type="dxa"/>
          </w:tcPr>
          <w:p w14:paraId="0779D6C0" w14:textId="77777777" w:rsidR="00D6403A" w:rsidRPr="00D6403A" w:rsidRDefault="00D6403A" w:rsidP="00E85642">
            <w:pPr>
              <w:pStyle w:val="Tabletext"/>
              <w:rPr>
                <w:lang w:val="en-US"/>
              </w:rPr>
            </w:pPr>
            <w:r w:rsidRPr="00D6403A">
              <w:rPr>
                <w:lang w:val="en-US"/>
              </w:rPr>
              <w:t>4,680</w:t>
            </w:r>
          </w:p>
        </w:tc>
      </w:tr>
      <w:tr w:rsidR="00D6403A" w:rsidRPr="00D6403A" w14:paraId="6193FE08"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1DF43009" w14:textId="77777777" w:rsidR="00D6403A" w:rsidRPr="00E85642" w:rsidRDefault="00D6403A" w:rsidP="00E85642">
            <w:pPr>
              <w:pStyle w:val="Tabletext"/>
              <w:jc w:val="left"/>
              <w:rPr>
                <w:rFonts w:ascii="VIC" w:hAnsi="VIC" w:cs="VIC"/>
                <w:b/>
                <w:lang w:val="en-US"/>
              </w:rPr>
            </w:pPr>
            <w:r w:rsidRPr="00E85642">
              <w:rPr>
                <w:b/>
                <w:lang w:val="en-US"/>
              </w:rPr>
              <w:t>42</w:t>
            </w:r>
          </w:p>
        </w:tc>
        <w:tc>
          <w:tcPr>
            <w:cnfStyle w:val="000001000000" w:firstRow="0" w:lastRow="0" w:firstColumn="0" w:lastColumn="0" w:oddVBand="0" w:evenVBand="1" w:oddHBand="0" w:evenHBand="0" w:firstRowFirstColumn="0" w:firstRowLastColumn="0" w:lastRowFirstColumn="0" w:lastRowLastColumn="0"/>
            <w:tcW w:w="808" w:type="dxa"/>
          </w:tcPr>
          <w:p w14:paraId="3BE393D3" w14:textId="77777777" w:rsidR="00D6403A" w:rsidRPr="00D6403A" w:rsidRDefault="00D6403A" w:rsidP="00E85642">
            <w:pPr>
              <w:pStyle w:val="Tabletext"/>
              <w:rPr>
                <w:lang w:val="en-US"/>
              </w:rPr>
            </w:pPr>
            <w:r w:rsidRPr="00D6403A">
              <w:rPr>
                <w:lang w:val="en-US"/>
              </w:rPr>
              <w:t>2,690</w:t>
            </w:r>
          </w:p>
        </w:tc>
        <w:tc>
          <w:tcPr>
            <w:cnfStyle w:val="000010000000" w:firstRow="0" w:lastRow="0" w:firstColumn="0" w:lastColumn="0" w:oddVBand="1" w:evenVBand="0" w:oddHBand="0" w:evenHBand="0" w:firstRowFirstColumn="0" w:firstRowLastColumn="0" w:lastRowFirstColumn="0" w:lastRowLastColumn="0"/>
            <w:tcW w:w="808" w:type="dxa"/>
          </w:tcPr>
          <w:p w14:paraId="24AAD53A" w14:textId="77777777" w:rsidR="00D6403A" w:rsidRPr="00D6403A" w:rsidRDefault="00D6403A" w:rsidP="00E85642">
            <w:pPr>
              <w:pStyle w:val="Tabletext"/>
              <w:rPr>
                <w:lang w:val="en-US"/>
              </w:rPr>
            </w:pPr>
            <w:r w:rsidRPr="00D6403A">
              <w:rPr>
                <w:lang w:val="en-US"/>
              </w:rPr>
              <w:t>2,870</w:t>
            </w:r>
          </w:p>
        </w:tc>
        <w:tc>
          <w:tcPr>
            <w:cnfStyle w:val="000001000000" w:firstRow="0" w:lastRow="0" w:firstColumn="0" w:lastColumn="0" w:oddVBand="0" w:evenVBand="1" w:oddHBand="0" w:evenHBand="0" w:firstRowFirstColumn="0" w:firstRowLastColumn="0" w:lastRowFirstColumn="0" w:lastRowLastColumn="0"/>
            <w:tcW w:w="808" w:type="dxa"/>
          </w:tcPr>
          <w:p w14:paraId="48C2E82A" w14:textId="77777777" w:rsidR="00D6403A" w:rsidRPr="00D6403A" w:rsidRDefault="00D6403A" w:rsidP="00E85642">
            <w:pPr>
              <w:pStyle w:val="Tabletext"/>
              <w:rPr>
                <w:lang w:val="en-US"/>
              </w:rPr>
            </w:pPr>
            <w:r w:rsidRPr="00D6403A">
              <w:rPr>
                <w:lang w:val="en-US"/>
              </w:rPr>
              <w:t>2,970</w:t>
            </w:r>
          </w:p>
        </w:tc>
        <w:tc>
          <w:tcPr>
            <w:cnfStyle w:val="000010000000" w:firstRow="0" w:lastRow="0" w:firstColumn="0" w:lastColumn="0" w:oddVBand="1" w:evenVBand="0" w:oddHBand="0" w:evenHBand="0" w:firstRowFirstColumn="0" w:firstRowLastColumn="0" w:lastRowFirstColumn="0" w:lastRowLastColumn="0"/>
            <w:tcW w:w="808" w:type="dxa"/>
          </w:tcPr>
          <w:p w14:paraId="785161C8" w14:textId="77777777" w:rsidR="00D6403A" w:rsidRPr="00D6403A" w:rsidRDefault="00D6403A" w:rsidP="00E85642">
            <w:pPr>
              <w:pStyle w:val="Tabletext"/>
              <w:rPr>
                <w:lang w:val="en-US"/>
              </w:rPr>
            </w:pPr>
            <w:r w:rsidRPr="00D6403A">
              <w:rPr>
                <w:lang w:val="en-US"/>
              </w:rPr>
              <w:t>3,130</w:t>
            </w:r>
          </w:p>
        </w:tc>
        <w:tc>
          <w:tcPr>
            <w:cnfStyle w:val="000001000000" w:firstRow="0" w:lastRow="0" w:firstColumn="0" w:lastColumn="0" w:oddVBand="0" w:evenVBand="1" w:oddHBand="0" w:evenHBand="0" w:firstRowFirstColumn="0" w:firstRowLastColumn="0" w:lastRowFirstColumn="0" w:lastRowLastColumn="0"/>
            <w:tcW w:w="807" w:type="dxa"/>
          </w:tcPr>
          <w:p w14:paraId="65211D48" w14:textId="77777777" w:rsidR="00D6403A" w:rsidRPr="00D6403A" w:rsidRDefault="00D6403A" w:rsidP="00E85642">
            <w:pPr>
              <w:pStyle w:val="Tabletext"/>
              <w:rPr>
                <w:lang w:val="en-US"/>
              </w:rPr>
            </w:pPr>
            <w:r w:rsidRPr="00D6403A">
              <w:rPr>
                <w:lang w:val="en-US"/>
              </w:rPr>
              <w:t>3,380</w:t>
            </w:r>
          </w:p>
        </w:tc>
        <w:tc>
          <w:tcPr>
            <w:cnfStyle w:val="000010000000" w:firstRow="0" w:lastRow="0" w:firstColumn="0" w:lastColumn="0" w:oddVBand="1" w:evenVBand="0" w:oddHBand="0" w:evenHBand="0" w:firstRowFirstColumn="0" w:firstRowLastColumn="0" w:lastRowFirstColumn="0" w:lastRowLastColumn="0"/>
            <w:tcW w:w="808" w:type="dxa"/>
          </w:tcPr>
          <w:p w14:paraId="426D3516" w14:textId="77777777" w:rsidR="00D6403A" w:rsidRPr="00D6403A" w:rsidRDefault="00D6403A" w:rsidP="00E85642">
            <w:pPr>
              <w:pStyle w:val="Tabletext"/>
              <w:rPr>
                <w:lang w:val="en-US"/>
              </w:rPr>
            </w:pPr>
            <w:r w:rsidRPr="00D6403A">
              <w:rPr>
                <w:lang w:val="en-US"/>
              </w:rPr>
              <w:t>3,675</w:t>
            </w:r>
          </w:p>
        </w:tc>
        <w:tc>
          <w:tcPr>
            <w:cnfStyle w:val="000001000000" w:firstRow="0" w:lastRow="0" w:firstColumn="0" w:lastColumn="0" w:oddVBand="0" w:evenVBand="1" w:oddHBand="0" w:evenHBand="0" w:firstRowFirstColumn="0" w:firstRowLastColumn="0" w:lastRowFirstColumn="0" w:lastRowLastColumn="0"/>
            <w:tcW w:w="808" w:type="dxa"/>
          </w:tcPr>
          <w:p w14:paraId="729A7657" w14:textId="77777777" w:rsidR="00D6403A" w:rsidRPr="00D6403A" w:rsidRDefault="00D6403A" w:rsidP="00E85642">
            <w:pPr>
              <w:pStyle w:val="Tabletext"/>
              <w:rPr>
                <w:lang w:val="en-US"/>
              </w:rPr>
            </w:pPr>
            <w:r w:rsidRPr="00D6403A">
              <w:rPr>
                <w:lang w:val="en-US"/>
              </w:rPr>
              <w:t>3,980</w:t>
            </w:r>
          </w:p>
        </w:tc>
        <w:tc>
          <w:tcPr>
            <w:cnfStyle w:val="000010000000" w:firstRow="0" w:lastRow="0" w:firstColumn="0" w:lastColumn="0" w:oddVBand="1" w:evenVBand="0" w:oddHBand="0" w:evenHBand="0" w:firstRowFirstColumn="0" w:firstRowLastColumn="0" w:lastRowFirstColumn="0" w:lastRowLastColumn="0"/>
            <w:tcW w:w="808" w:type="dxa"/>
          </w:tcPr>
          <w:p w14:paraId="2ABAD048" w14:textId="77777777" w:rsidR="00D6403A" w:rsidRPr="00D6403A" w:rsidRDefault="00D6403A" w:rsidP="00E85642">
            <w:pPr>
              <w:pStyle w:val="Tabletext"/>
              <w:rPr>
                <w:lang w:val="en-US"/>
              </w:rPr>
            </w:pPr>
            <w:r w:rsidRPr="00D6403A">
              <w:rPr>
                <w:lang w:val="en-US"/>
              </w:rPr>
              <w:t>4,270</w:t>
            </w:r>
          </w:p>
        </w:tc>
        <w:tc>
          <w:tcPr>
            <w:cnfStyle w:val="000001000000" w:firstRow="0" w:lastRow="0" w:firstColumn="0" w:lastColumn="0" w:oddVBand="0" w:evenVBand="1" w:oddHBand="0" w:evenHBand="0" w:firstRowFirstColumn="0" w:firstRowLastColumn="0" w:lastRowFirstColumn="0" w:lastRowLastColumn="0"/>
            <w:tcW w:w="808" w:type="dxa"/>
          </w:tcPr>
          <w:p w14:paraId="5BD52A8E" w14:textId="77777777" w:rsidR="00D6403A" w:rsidRPr="00D6403A" w:rsidRDefault="00D6403A" w:rsidP="00E85642">
            <w:pPr>
              <w:pStyle w:val="Tabletext"/>
              <w:rPr>
                <w:lang w:val="en-US"/>
              </w:rPr>
            </w:pPr>
            <w:r w:rsidRPr="00D6403A">
              <w:rPr>
                <w:lang w:val="en-US"/>
              </w:rPr>
              <w:t>4,450</w:t>
            </w:r>
          </w:p>
        </w:tc>
        <w:tc>
          <w:tcPr>
            <w:cnfStyle w:val="000010000000" w:firstRow="0" w:lastRow="0" w:firstColumn="0" w:lastColumn="0" w:oddVBand="1" w:evenVBand="0" w:oddHBand="0" w:evenHBand="0" w:firstRowFirstColumn="0" w:firstRowLastColumn="0" w:lastRowFirstColumn="0" w:lastRowLastColumn="0"/>
            <w:tcW w:w="808" w:type="dxa"/>
          </w:tcPr>
          <w:p w14:paraId="1BCE5F9B" w14:textId="77777777" w:rsidR="00D6403A" w:rsidRPr="00D6403A" w:rsidRDefault="00D6403A" w:rsidP="00E85642">
            <w:pPr>
              <w:pStyle w:val="Tabletext"/>
              <w:rPr>
                <w:lang w:val="en-US"/>
              </w:rPr>
            </w:pPr>
            <w:r w:rsidRPr="00D6403A">
              <w:rPr>
                <w:lang w:val="en-US"/>
              </w:rPr>
              <w:t>4,570</w:t>
            </w:r>
          </w:p>
        </w:tc>
        <w:tc>
          <w:tcPr>
            <w:cnfStyle w:val="000001000000" w:firstRow="0" w:lastRow="0" w:firstColumn="0" w:lastColumn="0" w:oddVBand="0" w:evenVBand="1" w:oddHBand="0" w:evenHBand="0" w:firstRowFirstColumn="0" w:firstRowLastColumn="0" w:lastRowFirstColumn="0" w:lastRowLastColumn="0"/>
            <w:tcW w:w="808" w:type="dxa"/>
          </w:tcPr>
          <w:p w14:paraId="573684DD" w14:textId="77777777" w:rsidR="00D6403A" w:rsidRPr="00D6403A" w:rsidRDefault="00D6403A" w:rsidP="00E85642">
            <w:pPr>
              <w:pStyle w:val="Tabletext"/>
              <w:rPr>
                <w:lang w:val="en-US"/>
              </w:rPr>
            </w:pPr>
            <w:r w:rsidRPr="00D6403A">
              <w:rPr>
                <w:lang w:val="en-US"/>
              </w:rPr>
              <w:t>4,780</w:t>
            </w:r>
          </w:p>
        </w:tc>
      </w:tr>
      <w:tr w:rsidR="00D6403A" w:rsidRPr="00D6403A" w14:paraId="6B6F5842"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05855A64" w14:textId="77777777" w:rsidR="00D6403A" w:rsidRPr="00E85642" w:rsidRDefault="00D6403A" w:rsidP="00E85642">
            <w:pPr>
              <w:pStyle w:val="Tabletext"/>
              <w:jc w:val="left"/>
              <w:rPr>
                <w:rFonts w:ascii="VIC" w:hAnsi="VIC" w:cs="VIC"/>
                <w:b/>
                <w:lang w:val="en-US"/>
              </w:rPr>
            </w:pPr>
            <w:r w:rsidRPr="00E85642">
              <w:rPr>
                <w:b/>
                <w:lang w:val="en-US"/>
              </w:rPr>
              <w:t>43</w:t>
            </w:r>
          </w:p>
        </w:tc>
        <w:tc>
          <w:tcPr>
            <w:cnfStyle w:val="000001000000" w:firstRow="0" w:lastRow="0" w:firstColumn="0" w:lastColumn="0" w:oddVBand="0" w:evenVBand="1" w:oddHBand="0" w:evenHBand="0" w:firstRowFirstColumn="0" w:firstRowLastColumn="0" w:lastRowFirstColumn="0" w:lastRowLastColumn="0"/>
            <w:tcW w:w="808" w:type="dxa"/>
          </w:tcPr>
          <w:p w14:paraId="67E96DDD" w14:textId="77777777" w:rsidR="00D6403A" w:rsidRPr="00D6403A" w:rsidRDefault="00D6403A" w:rsidP="00E85642">
            <w:pPr>
              <w:pStyle w:val="Tabletext"/>
              <w:rPr>
                <w:lang w:val="en-US"/>
              </w:rPr>
            </w:pPr>
            <w:r w:rsidRPr="00D6403A">
              <w:rPr>
                <w:lang w:val="en-US"/>
              </w:rPr>
              <w:t>2,645</w:t>
            </w:r>
          </w:p>
        </w:tc>
        <w:tc>
          <w:tcPr>
            <w:cnfStyle w:val="000010000000" w:firstRow="0" w:lastRow="0" w:firstColumn="0" w:lastColumn="0" w:oddVBand="1" w:evenVBand="0" w:oddHBand="0" w:evenHBand="0" w:firstRowFirstColumn="0" w:firstRowLastColumn="0" w:lastRowFirstColumn="0" w:lastRowLastColumn="0"/>
            <w:tcW w:w="808" w:type="dxa"/>
          </w:tcPr>
          <w:p w14:paraId="0128B8B1" w14:textId="77777777" w:rsidR="00D6403A" w:rsidRPr="00D6403A" w:rsidRDefault="00D6403A" w:rsidP="00E85642">
            <w:pPr>
              <w:pStyle w:val="Tabletext"/>
              <w:rPr>
                <w:lang w:val="en-US"/>
              </w:rPr>
            </w:pPr>
            <w:r w:rsidRPr="00D6403A">
              <w:rPr>
                <w:lang w:val="en-US"/>
              </w:rPr>
              <w:t>2,760</w:t>
            </w:r>
          </w:p>
        </w:tc>
        <w:tc>
          <w:tcPr>
            <w:cnfStyle w:val="000001000000" w:firstRow="0" w:lastRow="0" w:firstColumn="0" w:lastColumn="0" w:oddVBand="0" w:evenVBand="1" w:oddHBand="0" w:evenHBand="0" w:firstRowFirstColumn="0" w:firstRowLastColumn="0" w:lastRowFirstColumn="0" w:lastRowLastColumn="0"/>
            <w:tcW w:w="808" w:type="dxa"/>
          </w:tcPr>
          <w:p w14:paraId="12420604" w14:textId="77777777" w:rsidR="00D6403A" w:rsidRPr="00D6403A" w:rsidRDefault="00D6403A" w:rsidP="00E85642">
            <w:pPr>
              <w:pStyle w:val="Tabletext"/>
              <w:rPr>
                <w:lang w:val="en-US"/>
              </w:rPr>
            </w:pPr>
            <w:r w:rsidRPr="00D6403A">
              <w:rPr>
                <w:lang w:val="en-US"/>
              </w:rPr>
              <w:t>2,865</w:t>
            </w:r>
          </w:p>
        </w:tc>
        <w:tc>
          <w:tcPr>
            <w:cnfStyle w:val="000010000000" w:firstRow="0" w:lastRow="0" w:firstColumn="0" w:lastColumn="0" w:oddVBand="1" w:evenVBand="0" w:oddHBand="0" w:evenHBand="0" w:firstRowFirstColumn="0" w:firstRowLastColumn="0" w:lastRowFirstColumn="0" w:lastRowLastColumn="0"/>
            <w:tcW w:w="808" w:type="dxa"/>
          </w:tcPr>
          <w:p w14:paraId="09ED8546" w14:textId="77777777" w:rsidR="00D6403A" w:rsidRPr="00D6403A" w:rsidRDefault="00D6403A" w:rsidP="00E85642">
            <w:pPr>
              <w:pStyle w:val="Tabletext"/>
              <w:rPr>
                <w:lang w:val="en-US"/>
              </w:rPr>
            </w:pPr>
            <w:r w:rsidRPr="00D6403A">
              <w:rPr>
                <w:lang w:val="en-US"/>
              </w:rPr>
              <w:t>3,000</w:t>
            </w:r>
          </w:p>
        </w:tc>
        <w:tc>
          <w:tcPr>
            <w:cnfStyle w:val="000001000000" w:firstRow="0" w:lastRow="0" w:firstColumn="0" w:lastColumn="0" w:oddVBand="0" w:evenVBand="1" w:oddHBand="0" w:evenHBand="0" w:firstRowFirstColumn="0" w:firstRowLastColumn="0" w:lastRowFirstColumn="0" w:lastRowLastColumn="0"/>
            <w:tcW w:w="807" w:type="dxa"/>
          </w:tcPr>
          <w:p w14:paraId="781E87C9" w14:textId="77777777" w:rsidR="00D6403A" w:rsidRPr="00D6403A" w:rsidRDefault="00D6403A" w:rsidP="00E85642">
            <w:pPr>
              <w:pStyle w:val="Tabletext"/>
              <w:rPr>
                <w:lang w:val="en-US"/>
              </w:rPr>
            </w:pPr>
            <w:r w:rsidRPr="00D6403A">
              <w:rPr>
                <w:lang w:val="en-US"/>
              </w:rPr>
              <w:t>3,250</w:t>
            </w:r>
          </w:p>
        </w:tc>
        <w:tc>
          <w:tcPr>
            <w:cnfStyle w:val="000010000000" w:firstRow="0" w:lastRow="0" w:firstColumn="0" w:lastColumn="0" w:oddVBand="1" w:evenVBand="0" w:oddHBand="0" w:evenHBand="0" w:firstRowFirstColumn="0" w:firstRowLastColumn="0" w:lastRowFirstColumn="0" w:lastRowLastColumn="0"/>
            <w:tcW w:w="808" w:type="dxa"/>
          </w:tcPr>
          <w:p w14:paraId="464C18CD" w14:textId="77777777" w:rsidR="00D6403A" w:rsidRPr="00D6403A" w:rsidRDefault="00D6403A" w:rsidP="00E85642">
            <w:pPr>
              <w:pStyle w:val="Tabletext"/>
              <w:rPr>
                <w:lang w:val="en-US"/>
              </w:rPr>
            </w:pPr>
            <w:r w:rsidRPr="00D6403A">
              <w:rPr>
                <w:lang w:val="en-US"/>
              </w:rPr>
              <w:t>3,560</w:t>
            </w:r>
          </w:p>
        </w:tc>
        <w:tc>
          <w:tcPr>
            <w:cnfStyle w:val="000001000000" w:firstRow="0" w:lastRow="0" w:firstColumn="0" w:lastColumn="0" w:oddVBand="0" w:evenVBand="1" w:oddHBand="0" w:evenHBand="0" w:firstRowFirstColumn="0" w:firstRowLastColumn="0" w:lastRowFirstColumn="0" w:lastRowLastColumn="0"/>
            <w:tcW w:w="808" w:type="dxa"/>
          </w:tcPr>
          <w:p w14:paraId="70604C8F" w14:textId="77777777" w:rsidR="00D6403A" w:rsidRPr="00D6403A" w:rsidRDefault="00D6403A" w:rsidP="00E85642">
            <w:pPr>
              <w:pStyle w:val="Tabletext"/>
              <w:rPr>
                <w:lang w:val="en-US"/>
              </w:rPr>
            </w:pPr>
            <w:r w:rsidRPr="00D6403A">
              <w:rPr>
                <w:lang w:val="en-US"/>
              </w:rPr>
              <w:t>3,870</w:t>
            </w:r>
          </w:p>
        </w:tc>
        <w:tc>
          <w:tcPr>
            <w:cnfStyle w:val="000010000000" w:firstRow="0" w:lastRow="0" w:firstColumn="0" w:lastColumn="0" w:oddVBand="1" w:evenVBand="0" w:oddHBand="0" w:evenHBand="0" w:firstRowFirstColumn="0" w:firstRowLastColumn="0" w:lastRowFirstColumn="0" w:lastRowLastColumn="0"/>
            <w:tcW w:w="808" w:type="dxa"/>
          </w:tcPr>
          <w:p w14:paraId="3965ECDB" w14:textId="77777777" w:rsidR="00D6403A" w:rsidRPr="00D6403A" w:rsidRDefault="00D6403A" w:rsidP="00E85642">
            <w:pPr>
              <w:pStyle w:val="Tabletext"/>
              <w:rPr>
                <w:lang w:val="en-US"/>
              </w:rPr>
            </w:pPr>
            <w:r w:rsidRPr="00D6403A">
              <w:rPr>
                <w:lang w:val="en-US"/>
              </w:rPr>
              <w:t>4,190</w:t>
            </w:r>
          </w:p>
        </w:tc>
        <w:tc>
          <w:tcPr>
            <w:cnfStyle w:val="000001000000" w:firstRow="0" w:lastRow="0" w:firstColumn="0" w:lastColumn="0" w:oddVBand="0" w:evenVBand="1" w:oddHBand="0" w:evenHBand="0" w:firstRowFirstColumn="0" w:firstRowLastColumn="0" w:lastRowFirstColumn="0" w:lastRowLastColumn="0"/>
            <w:tcW w:w="808" w:type="dxa"/>
          </w:tcPr>
          <w:p w14:paraId="163C5E69" w14:textId="77777777" w:rsidR="00D6403A" w:rsidRPr="00D6403A" w:rsidRDefault="00D6403A" w:rsidP="00E85642">
            <w:pPr>
              <w:pStyle w:val="Tabletext"/>
              <w:rPr>
                <w:lang w:val="en-US"/>
              </w:rPr>
            </w:pPr>
            <w:r w:rsidRPr="00D6403A">
              <w:rPr>
                <w:lang w:val="en-US"/>
              </w:rPr>
              <w:t>4,325</w:t>
            </w:r>
          </w:p>
        </w:tc>
        <w:tc>
          <w:tcPr>
            <w:cnfStyle w:val="000010000000" w:firstRow="0" w:lastRow="0" w:firstColumn="0" w:lastColumn="0" w:oddVBand="1" w:evenVBand="0" w:oddHBand="0" w:evenHBand="0" w:firstRowFirstColumn="0" w:firstRowLastColumn="0" w:lastRowFirstColumn="0" w:lastRowLastColumn="0"/>
            <w:tcW w:w="808" w:type="dxa"/>
          </w:tcPr>
          <w:p w14:paraId="24FE953F" w14:textId="77777777" w:rsidR="00D6403A" w:rsidRPr="00D6403A" w:rsidRDefault="00D6403A" w:rsidP="00E85642">
            <w:pPr>
              <w:pStyle w:val="Tabletext"/>
              <w:rPr>
                <w:lang w:val="en-US"/>
              </w:rPr>
            </w:pPr>
            <w:r w:rsidRPr="00D6403A">
              <w:rPr>
                <w:lang w:val="en-US"/>
              </w:rPr>
              <w:t>4,440</w:t>
            </w:r>
          </w:p>
        </w:tc>
        <w:tc>
          <w:tcPr>
            <w:cnfStyle w:val="000001000000" w:firstRow="0" w:lastRow="0" w:firstColumn="0" w:lastColumn="0" w:oddVBand="0" w:evenVBand="1" w:oddHBand="0" w:evenHBand="0" w:firstRowFirstColumn="0" w:firstRowLastColumn="0" w:lastRowFirstColumn="0" w:lastRowLastColumn="0"/>
            <w:tcW w:w="808" w:type="dxa"/>
          </w:tcPr>
          <w:p w14:paraId="55B06714" w14:textId="77777777" w:rsidR="00D6403A" w:rsidRPr="00D6403A" w:rsidRDefault="00D6403A" w:rsidP="00E85642">
            <w:pPr>
              <w:pStyle w:val="Tabletext"/>
              <w:rPr>
                <w:lang w:val="en-US"/>
              </w:rPr>
            </w:pPr>
            <w:r w:rsidRPr="00D6403A">
              <w:rPr>
                <w:lang w:val="en-US"/>
              </w:rPr>
              <w:t>4,700</w:t>
            </w:r>
          </w:p>
        </w:tc>
      </w:tr>
      <w:tr w:rsidR="00D6403A" w:rsidRPr="00D6403A" w14:paraId="0A1F51C9"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1318" w:type="dxa"/>
          </w:tcPr>
          <w:p w14:paraId="2999CEB2" w14:textId="77777777" w:rsidR="00D6403A" w:rsidRPr="00E85642" w:rsidRDefault="00D6403A" w:rsidP="00E85642">
            <w:pPr>
              <w:pStyle w:val="Tabletext"/>
              <w:jc w:val="left"/>
              <w:rPr>
                <w:rFonts w:ascii="VIC" w:hAnsi="VIC" w:cs="VIC"/>
                <w:b/>
                <w:lang w:val="en-US"/>
              </w:rPr>
            </w:pPr>
            <w:r w:rsidRPr="00E85642">
              <w:rPr>
                <w:b/>
                <w:lang w:val="en-US"/>
              </w:rPr>
              <w:t>44</w:t>
            </w:r>
          </w:p>
        </w:tc>
        <w:tc>
          <w:tcPr>
            <w:cnfStyle w:val="000001000000" w:firstRow="0" w:lastRow="0" w:firstColumn="0" w:lastColumn="0" w:oddVBand="0" w:evenVBand="1" w:oddHBand="0" w:evenHBand="0" w:firstRowFirstColumn="0" w:firstRowLastColumn="0" w:lastRowFirstColumn="0" w:lastRowLastColumn="0"/>
            <w:tcW w:w="808" w:type="dxa"/>
          </w:tcPr>
          <w:p w14:paraId="0C9B39BD" w14:textId="77777777" w:rsidR="00D6403A" w:rsidRPr="00D6403A" w:rsidRDefault="00D6403A" w:rsidP="00E85642">
            <w:pPr>
              <w:pStyle w:val="Tabletext"/>
              <w:rPr>
                <w:lang w:val="en-US"/>
              </w:rPr>
            </w:pPr>
            <w:r w:rsidRPr="00D6403A">
              <w:rPr>
                <w:lang w:val="en-US"/>
              </w:rPr>
              <w:t>–</w:t>
            </w:r>
          </w:p>
        </w:tc>
        <w:tc>
          <w:tcPr>
            <w:cnfStyle w:val="000010000000" w:firstRow="0" w:lastRow="0" w:firstColumn="0" w:lastColumn="0" w:oddVBand="1" w:evenVBand="0" w:oddHBand="0" w:evenHBand="0" w:firstRowFirstColumn="0" w:firstRowLastColumn="0" w:lastRowFirstColumn="0" w:lastRowLastColumn="0"/>
            <w:tcW w:w="808" w:type="dxa"/>
          </w:tcPr>
          <w:p w14:paraId="3A02CE8B" w14:textId="77777777" w:rsidR="00D6403A" w:rsidRPr="00D6403A" w:rsidRDefault="00D6403A" w:rsidP="00E85642">
            <w:pPr>
              <w:pStyle w:val="Tabletext"/>
              <w:rPr>
                <w:lang w:val="en-US"/>
              </w:rPr>
            </w:pPr>
            <w:r w:rsidRPr="00D6403A">
              <w:rPr>
                <w:lang w:val="en-US"/>
              </w:rPr>
              <w:t>–</w:t>
            </w:r>
          </w:p>
        </w:tc>
        <w:tc>
          <w:tcPr>
            <w:cnfStyle w:val="000001000000" w:firstRow="0" w:lastRow="0" w:firstColumn="0" w:lastColumn="0" w:oddVBand="0" w:evenVBand="1" w:oddHBand="0" w:evenHBand="0" w:firstRowFirstColumn="0" w:firstRowLastColumn="0" w:lastRowFirstColumn="0" w:lastRowLastColumn="0"/>
            <w:tcW w:w="808" w:type="dxa"/>
          </w:tcPr>
          <w:p w14:paraId="18BA7DE5" w14:textId="77777777" w:rsidR="00D6403A" w:rsidRPr="00D6403A" w:rsidRDefault="00D6403A" w:rsidP="00E85642">
            <w:pPr>
              <w:pStyle w:val="Tabletext"/>
              <w:rPr>
                <w:lang w:val="en-US"/>
              </w:rPr>
            </w:pPr>
            <w:r w:rsidRPr="00D6403A">
              <w:rPr>
                <w:lang w:val="en-US"/>
              </w:rPr>
              <w:t>–</w:t>
            </w:r>
          </w:p>
        </w:tc>
        <w:tc>
          <w:tcPr>
            <w:cnfStyle w:val="000010000000" w:firstRow="0" w:lastRow="0" w:firstColumn="0" w:lastColumn="0" w:oddVBand="1" w:evenVBand="0" w:oddHBand="0" w:evenHBand="0" w:firstRowFirstColumn="0" w:firstRowLastColumn="0" w:lastRowFirstColumn="0" w:lastRowLastColumn="0"/>
            <w:tcW w:w="808" w:type="dxa"/>
          </w:tcPr>
          <w:p w14:paraId="457C7409" w14:textId="77777777" w:rsidR="00D6403A" w:rsidRPr="00D6403A" w:rsidRDefault="00D6403A" w:rsidP="00E85642">
            <w:pPr>
              <w:pStyle w:val="Tabletext"/>
              <w:rPr>
                <w:lang w:val="en-US"/>
              </w:rPr>
            </w:pPr>
            <w:r w:rsidRPr="00D6403A">
              <w:rPr>
                <w:lang w:val="en-US"/>
              </w:rPr>
              <w:t>2,890</w:t>
            </w:r>
          </w:p>
        </w:tc>
        <w:tc>
          <w:tcPr>
            <w:cnfStyle w:val="000001000000" w:firstRow="0" w:lastRow="0" w:firstColumn="0" w:lastColumn="0" w:oddVBand="0" w:evenVBand="1" w:oddHBand="0" w:evenHBand="0" w:firstRowFirstColumn="0" w:firstRowLastColumn="0" w:lastRowFirstColumn="0" w:lastRowLastColumn="0"/>
            <w:tcW w:w="807" w:type="dxa"/>
          </w:tcPr>
          <w:p w14:paraId="527C5FCD" w14:textId="77777777" w:rsidR="00D6403A" w:rsidRPr="00D6403A" w:rsidRDefault="00D6403A" w:rsidP="00E85642">
            <w:pPr>
              <w:pStyle w:val="Tabletext"/>
              <w:rPr>
                <w:lang w:val="en-US"/>
              </w:rPr>
            </w:pPr>
            <w:r w:rsidRPr="00D6403A">
              <w:rPr>
                <w:lang w:val="en-US"/>
              </w:rPr>
              <w:t>3,120</w:t>
            </w:r>
          </w:p>
        </w:tc>
        <w:tc>
          <w:tcPr>
            <w:cnfStyle w:val="000010000000" w:firstRow="0" w:lastRow="0" w:firstColumn="0" w:lastColumn="0" w:oddVBand="1" w:evenVBand="0" w:oddHBand="0" w:evenHBand="0" w:firstRowFirstColumn="0" w:firstRowLastColumn="0" w:lastRowFirstColumn="0" w:lastRowLastColumn="0"/>
            <w:tcW w:w="808" w:type="dxa"/>
          </w:tcPr>
          <w:p w14:paraId="08740FD8" w14:textId="77777777" w:rsidR="00D6403A" w:rsidRPr="00D6403A" w:rsidRDefault="00D6403A" w:rsidP="00E85642">
            <w:pPr>
              <w:pStyle w:val="Tabletext"/>
              <w:rPr>
                <w:lang w:val="en-US"/>
              </w:rPr>
            </w:pPr>
            <w:r w:rsidRPr="00D6403A">
              <w:rPr>
                <w:lang w:val="en-US"/>
              </w:rPr>
              <w:t>3,530</w:t>
            </w:r>
          </w:p>
        </w:tc>
        <w:tc>
          <w:tcPr>
            <w:cnfStyle w:val="000001000000" w:firstRow="0" w:lastRow="0" w:firstColumn="0" w:lastColumn="0" w:oddVBand="0" w:evenVBand="1" w:oddHBand="0" w:evenHBand="0" w:firstRowFirstColumn="0" w:firstRowLastColumn="0" w:lastRowFirstColumn="0" w:lastRowLastColumn="0"/>
            <w:tcW w:w="808" w:type="dxa"/>
          </w:tcPr>
          <w:p w14:paraId="6790992C" w14:textId="77777777" w:rsidR="00D6403A" w:rsidRPr="00D6403A" w:rsidRDefault="00D6403A" w:rsidP="00E85642">
            <w:pPr>
              <w:pStyle w:val="Tabletext"/>
              <w:rPr>
                <w:lang w:val="en-US"/>
              </w:rPr>
            </w:pPr>
            <w:r w:rsidRPr="00D6403A">
              <w:rPr>
                <w:lang w:val="en-US"/>
              </w:rPr>
              <w:t>3,860</w:t>
            </w:r>
          </w:p>
        </w:tc>
        <w:tc>
          <w:tcPr>
            <w:cnfStyle w:val="000010000000" w:firstRow="0" w:lastRow="0" w:firstColumn="0" w:lastColumn="0" w:oddVBand="1" w:evenVBand="0" w:oddHBand="0" w:evenHBand="0" w:firstRowFirstColumn="0" w:firstRowLastColumn="0" w:lastRowFirstColumn="0" w:lastRowLastColumn="0"/>
            <w:tcW w:w="808" w:type="dxa"/>
          </w:tcPr>
          <w:p w14:paraId="315126AB" w14:textId="77777777" w:rsidR="00D6403A" w:rsidRPr="00D6403A" w:rsidRDefault="00D6403A" w:rsidP="00E85642">
            <w:pPr>
              <w:pStyle w:val="Tabletext"/>
              <w:rPr>
                <w:lang w:val="en-US"/>
              </w:rPr>
            </w:pPr>
            <w:r w:rsidRPr="00D6403A">
              <w:rPr>
                <w:lang w:val="en-US"/>
              </w:rPr>
              <w:t>4,320</w:t>
            </w:r>
          </w:p>
        </w:tc>
        <w:tc>
          <w:tcPr>
            <w:cnfStyle w:val="000001000000" w:firstRow="0" w:lastRow="0" w:firstColumn="0" w:lastColumn="0" w:oddVBand="0" w:evenVBand="1" w:oddHBand="0" w:evenHBand="0" w:firstRowFirstColumn="0" w:firstRowLastColumn="0" w:lastRowFirstColumn="0" w:lastRowLastColumn="0"/>
            <w:tcW w:w="808" w:type="dxa"/>
          </w:tcPr>
          <w:p w14:paraId="1145475D" w14:textId="77777777" w:rsidR="00D6403A" w:rsidRPr="00D6403A" w:rsidRDefault="00D6403A" w:rsidP="00E85642">
            <w:pPr>
              <w:pStyle w:val="Tabletext"/>
              <w:rPr>
                <w:lang w:val="en-US"/>
              </w:rPr>
            </w:pPr>
            <w:r w:rsidRPr="00D6403A">
              <w:rPr>
                <w:lang w:val="en-US"/>
              </w:rPr>
              <w:t>–</w:t>
            </w:r>
          </w:p>
        </w:tc>
        <w:tc>
          <w:tcPr>
            <w:cnfStyle w:val="000010000000" w:firstRow="0" w:lastRow="0" w:firstColumn="0" w:lastColumn="0" w:oddVBand="1" w:evenVBand="0" w:oddHBand="0" w:evenHBand="0" w:firstRowFirstColumn="0" w:firstRowLastColumn="0" w:lastRowFirstColumn="0" w:lastRowLastColumn="0"/>
            <w:tcW w:w="808" w:type="dxa"/>
          </w:tcPr>
          <w:p w14:paraId="29CF7B13" w14:textId="77777777" w:rsidR="00D6403A" w:rsidRPr="00D6403A" w:rsidRDefault="00D6403A" w:rsidP="00E85642">
            <w:pPr>
              <w:pStyle w:val="Tabletext"/>
              <w:rPr>
                <w:lang w:val="en-US"/>
              </w:rPr>
            </w:pPr>
            <w:r w:rsidRPr="00D6403A">
              <w:rPr>
                <w:lang w:val="en-US"/>
              </w:rPr>
              <w:t>–</w:t>
            </w:r>
          </w:p>
        </w:tc>
        <w:tc>
          <w:tcPr>
            <w:cnfStyle w:val="000001000000" w:firstRow="0" w:lastRow="0" w:firstColumn="0" w:lastColumn="0" w:oddVBand="0" w:evenVBand="1" w:oddHBand="0" w:evenHBand="0" w:firstRowFirstColumn="0" w:firstRowLastColumn="0" w:lastRowFirstColumn="0" w:lastRowLastColumn="0"/>
            <w:tcW w:w="808" w:type="dxa"/>
          </w:tcPr>
          <w:p w14:paraId="17B15BE6" w14:textId="77777777" w:rsidR="00D6403A" w:rsidRPr="00D6403A" w:rsidRDefault="00D6403A" w:rsidP="00E85642">
            <w:pPr>
              <w:pStyle w:val="Tabletext"/>
              <w:rPr>
                <w:lang w:val="en-US"/>
              </w:rPr>
            </w:pPr>
            <w:r w:rsidRPr="00D6403A">
              <w:rPr>
                <w:lang w:val="en-US"/>
              </w:rPr>
              <w:t>–</w:t>
            </w:r>
          </w:p>
        </w:tc>
      </w:tr>
    </w:tbl>
    <w:p w14:paraId="575A247F" w14:textId="6ECC7A5F" w:rsidR="00D6403A" w:rsidRPr="00D6403A" w:rsidRDefault="00D6403A" w:rsidP="00BE40B9">
      <w:pPr>
        <w:pStyle w:val="FootnoteText"/>
        <w:rPr>
          <w:lang w:val="en-GB"/>
        </w:rPr>
      </w:pPr>
      <w:r w:rsidRPr="00D6403A">
        <w:rPr>
          <w:lang w:val="en-GB"/>
        </w:rPr>
        <w:t xml:space="preserve">Source: </w:t>
      </w:r>
      <w:hyperlink r:id="rId142" w:history="1">
        <w:r w:rsidRPr="00E85642">
          <w:rPr>
            <w:rStyle w:val="Hyperlink"/>
            <w:lang w:val="en-GB"/>
          </w:rPr>
          <w:t>AIHW Data tables: National Perinatal Data Collection annual update 2021</w:t>
        </w:r>
      </w:hyperlink>
      <w:r w:rsidRPr="00D6403A">
        <w:rPr>
          <w:lang w:val="en-GB"/>
        </w:rPr>
        <w:t xml:space="preserve"> &lt;https://www.aihw.gov.au/reports/mothers-babies/australias-mothers-babies/data&gt;</w:t>
      </w:r>
      <w:r w:rsidRPr="00D6403A">
        <w:rPr>
          <w:lang w:val="en-GB"/>
        </w:rPr>
        <w:t> </w:t>
      </w:r>
    </w:p>
    <w:p w14:paraId="72D0D1C6" w14:textId="77777777" w:rsidR="00E85642" w:rsidRDefault="00E85642" w:rsidP="00E85642">
      <w:pPr>
        <w:pStyle w:val="Heading2"/>
        <w:rPr>
          <w:lang w:val="en-GB"/>
        </w:rPr>
        <w:sectPr w:rsidR="00E85642" w:rsidSect="004D6F5F">
          <w:pgSz w:w="11901" w:h="16817" w:code="9"/>
          <w:pgMar w:top="3402" w:right="851" w:bottom="1361" w:left="851" w:header="539" w:footer="624" w:gutter="0"/>
          <w:cols w:space="284"/>
          <w:docGrid w:linePitch="360" w:charSpace="46114"/>
        </w:sectPr>
      </w:pPr>
      <w:bookmarkStart w:id="100" w:name="_Toc159326655"/>
    </w:p>
    <w:p w14:paraId="2E5C56F2" w14:textId="780F021C" w:rsidR="00D6403A" w:rsidRPr="00D6403A" w:rsidRDefault="00D6403A" w:rsidP="00E85642">
      <w:pPr>
        <w:pStyle w:val="Heading1"/>
        <w:framePr w:wrap="around"/>
        <w:rPr>
          <w:lang w:val="en-GB"/>
        </w:rPr>
      </w:pPr>
      <w:r w:rsidRPr="00D6403A">
        <w:rPr>
          <w:lang w:val="en-GB"/>
        </w:rPr>
        <w:lastRenderedPageBreak/>
        <w:t>Acknowledgements</w:t>
      </w:r>
      <w:bookmarkEnd w:id="100"/>
      <w:r w:rsidRPr="00D6403A">
        <w:rPr>
          <w:lang w:val="en-GB"/>
        </w:rPr>
        <w:t xml:space="preserve"> </w:t>
      </w:r>
    </w:p>
    <w:p w14:paraId="7D78C464" w14:textId="77777777" w:rsidR="00D6403A" w:rsidRPr="00D6403A" w:rsidRDefault="00D6403A" w:rsidP="00862996">
      <w:pPr>
        <w:rPr>
          <w:lang w:val="en-GB"/>
        </w:rPr>
      </w:pPr>
      <w:r w:rsidRPr="00D6403A">
        <w:rPr>
          <w:lang w:val="en-GB"/>
        </w:rPr>
        <w:t>This report was produced by Safer Care Victoria by the Consultative Councils Unit and Technical Development Support – Safety Insights Program with expert advice from the Maternity and Newborn Learning Health Network (MNLHN) Data and Advisory Groups.</w:t>
      </w:r>
    </w:p>
    <w:tbl>
      <w:tblPr>
        <w:tblStyle w:val="TableGrid"/>
        <w:tblW w:w="0" w:type="auto"/>
        <w:tblLayout w:type="fixed"/>
        <w:tblLook w:val="0020" w:firstRow="1" w:lastRow="0" w:firstColumn="0" w:lastColumn="0" w:noHBand="0" w:noVBand="0"/>
      </w:tblPr>
      <w:tblGrid>
        <w:gridCol w:w="2438"/>
        <w:gridCol w:w="2778"/>
        <w:gridCol w:w="4989"/>
      </w:tblGrid>
      <w:tr w:rsidR="00D6403A" w:rsidRPr="00D6403A" w14:paraId="6342AACD" w14:textId="77777777" w:rsidTr="00E85642">
        <w:trPr>
          <w:cnfStyle w:val="100000000000" w:firstRow="1" w:lastRow="0" w:firstColumn="0" w:lastColumn="0" w:oddVBand="0" w:evenVBand="0" w:oddHBand="0" w:evenHBand="0" w:firstRowFirstColumn="0" w:firstRowLastColumn="0" w:lastRowFirstColumn="0" w:lastRowLastColumn="0"/>
          <w:trHeight w:val="283"/>
          <w:tblHeader/>
        </w:trPr>
        <w:tc>
          <w:tcPr>
            <w:cnfStyle w:val="000010000000" w:firstRow="0" w:lastRow="0" w:firstColumn="0" w:lastColumn="0" w:oddVBand="1" w:evenVBand="0" w:oddHBand="0" w:evenHBand="0" w:firstRowFirstColumn="0" w:firstRowLastColumn="0" w:lastRowFirstColumn="0" w:lastRowLastColumn="0"/>
            <w:tcW w:w="2438" w:type="dxa"/>
          </w:tcPr>
          <w:p w14:paraId="1D13376D" w14:textId="77777777" w:rsidR="00D6403A" w:rsidRPr="00D6403A" w:rsidRDefault="00D6403A" w:rsidP="00E85642">
            <w:pPr>
              <w:pStyle w:val="Tableheader"/>
              <w:rPr>
                <w:b/>
                <w:sz w:val="17"/>
                <w:szCs w:val="17"/>
                <w:lang w:val="en-GB"/>
              </w:rPr>
            </w:pPr>
            <w:r w:rsidRPr="00D6403A">
              <w:rPr>
                <w:b/>
                <w:lang w:val="en-GB"/>
              </w:rPr>
              <w:t>Member</w:t>
            </w:r>
          </w:p>
        </w:tc>
        <w:tc>
          <w:tcPr>
            <w:cnfStyle w:val="000001000000" w:firstRow="0" w:lastRow="0" w:firstColumn="0" w:lastColumn="0" w:oddVBand="0" w:evenVBand="1" w:oddHBand="0" w:evenHBand="0" w:firstRowFirstColumn="0" w:firstRowLastColumn="0" w:lastRowFirstColumn="0" w:lastRowLastColumn="0"/>
            <w:tcW w:w="2778" w:type="dxa"/>
          </w:tcPr>
          <w:p w14:paraId="05421742" w14:textId="77777777" w:rsidR="00D6403A" w:rsidRPr="00D6403A" w:rsidRDefault="00D6403A" w:rsidP="00E85642">
            <w:pPr>
              <w:pStyle w:val="Tableheader"/>
              <w:rPr>
                <w:b/>
                <w:sz w:val="17"/>
                <w:szCs w:val="17"/>
                <w:lang w:val="en-GB"/>
              </w:rPr>
            </w:pPr>
            <w:r w:rsidRPr="00D6403A">
              <w:rPr>
                <w:b/>
                <w:lang w:val="en-GB"/>
              </w:rPr>
              <w:t>Role</w:t>
            </w:r>
          </w:p>
        </w:tc>
        <w:tc>
          <w:tcPr>
            <w:cnfStyle w:val="000010000000" w:firstRow="0" w:lastRow="0" w:firstColumn="0" w:lastColumn="0" w:oddVBand="1" w:evenVBand="0" w:oddHBand="0" w:evenHBand="0" w:firstRowFirstColumn="0" w:firstRowLastColumn="0" w:lastRowFirstColumn="0" w:lastRowLastColumn="0"/>
            <w:tcW w:w="4989" w:type="dxa"/>
          </w:tcPr>
          <w:p w14:paraId="5382FD77" w14:textId="77777777" w:rsidR="00D6403A" w:rsidRPr="00D6403A" w:rsidRDefault="00D6403A" w:rsidP="00E85642">
            <w:pPr>
              <w:pStyle w:val="Tableheader"/>
              <w:rPr>
                <w:b/>
                <w:sz w:val="17"/>
                <w:szCs w:val="17"/>
                <w:lang w:val="en-GB"/>
              </w:rPr>
            </w:pPr>
            <w:r w:rsidRPr="00D6403A">
              <w:rPr>
                <w:b/>
                <w:lang w:val="en-GB"/>
              </w:rPr>
              <w:t>Affiliations</w:t>
            </w:r>
          </w:p>
        </w:tc>
      </w:tr>
      <w:tr w:rsidR="00D6403A" w:rsidRPr="00D6403A" w14:paraId="293405CB"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0F9F5BE2" w14:textId="77777777" w:rsidR="00D6403A" w:rsidRPr="00D6403A" w:rsidRDefault="00D6403A" w:rsidP="00E85642">
            <w:pPr>
              <w:pStyle w:val="Tabletext"/>
              <w:jc w:val="left"/>
              <w:rPr>
                <w:sz w:val="17"/>
                <w:szCs w:val="17"/>
                <w:lang w:val="en-US"/>
              </w:rPr>
            </w:pPr>
            <w:r w:rsidRPr="00D6403A">
              <w:rPr>
                <w:lang w:val="en-US"/>
              </w:rPr>
              <w:t>Dr Mary-Ann Davey</w:t>
            </w:r>
          </w:p>
        </w:tc>
        <w:tc>
          <w:tcPr>
            <w:cnfStyle w:val="000001000000" w:firstRow="0" w:lastRow="0" w:firstColumn="0" w:lastColumn="0" w:oddVBand="0" w:evenVBand="1" w:oddHBand="0" w:evenHBand="0" w:firstRowFirstColumn="0" w:firstRowLastColumn="0" w:lastRowFirstColumn="0" w:lastRowLastColumn="0"/>
            <w:tcW w:w="2778" w:type="dxa"/>
          </w:tcPr>
          <w:p w14:paraId="6F94A5AB" w14:textId="77777777" w:rsidR="00D6403A" w:rsidRPr="00D6403A" w:rsidRDefault="00D6403A" w:rsidP="00E85642">
            <w:pPr>
              <w:pStyle w:val="Tabletext"/>
              <w:jc w:val="left"/>
              <w:rPr>
                <w:sz w:val="17"/>
                <w:szCs w:val="17"/>
                <w:lang w:val="en-US"/>
              </w:rPr>
            </w:pPr>
            <w:r w:rsidRPr="00D6403A">
              <w:rPr>
                <w:lang w:val="en-US"/>
              </w:rPr>
              <w:t xml:space="preserve">Senior Epidemiologist </w:t>
            </w:r>
          </w:p>
        </w:tc>
        <w:tc>
          <w:tcPr>
            <w:cnfStyle w:val="000010000000" w:firstRow="0" w:lastRow="0" w:firstColumn="0" w:lastColumn="0" w:oddVBand="1" w:evenVBand="0" w:oddHBand="0" w:evenHBand="0" w:firstRowFirstColumn="0" w:firstRowLastColumn="0" w:lastRowFirstColumn="0" w:lastRowLastColumn="0"/>
            <w:tcW w:w="4989" w:type="dxa"/>
          </w:tcPr>
          <w:p w14:paraId="34A496A5" w14:textId="77777777" w:rsidR="00D6403A" w:rsidRPr="00D6403A" w:rsidRDefault="00D6403A" w:rsidP="00E85642">
            <w:pPr>
              <w:pStyle w:val="Tabletext"/>
              <w:jc w:val="left"/>
              <w:rPr>
                <w:sz w:val="17"/>
                <w:szCs w:val="17"/>
                <w:lang w:val="en-US"/>
              </w:rPr>
            </w:pPr>
            <w:r w:rsidRPr="00D6403A">
              <w:rPr>
                <w:lang w:val="en-US"/>
              </w:rPr>
              <w:t>Consultative Councils Unit</w:t>
            </w:r>
            <w:r w:rsidRPr="00D6403A">
              <w:rPr>
                <w:lang w:val="en-US"/>
              </w:rPr>
              <w:br/>
              <w:t>Safer Care Victoria</w:t>
            </w:r>
          </w:p>
        </w:tc>
      </w:tr>
      <w:tr w:rsidR="00D6403A" w:rsidRPr="00D6403A" w14:paraId="6F77AFF0"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4BCF0C05" w14:textId="77777777" w:rsidR="00D6403A" w:rsidRPr="00D6403A" w:rsidRDefault="00D6403A" w:rsidP="00E85642">
            <w:pPr>
              <w:pStyle w:val="Tabletext"/>
              <w:jc w:val="left"/>
              <w:rPr>
                <w:sz w:val="17"/>
                <w:szCs w:val="17"/>
                <w:lang w:val="en-US"/>
              </w:rPr>
            </w:pPr>
            <w:r w:rsidRPr="00D6403A">
              <w:rPr>
                <w:lang w:val="en-US"/>
              </w:rPr>
              <w:t>Dr Jake Valentine</w:t>
            </w:r>
          </w:p>
        </w:tc>
        <w:tc>
          <w:tcPr>
            <w:cnfStyle w:val="000001000000" w:firstRow="0" w:lastRow="0" w:firstColumn="0" w:lastColumn="0" w:oddVBand="0" w:evenVBand="1" w:oddHBand="0" w:evenHBand="0" w:firstRowFirstColumn="0" w:firstRowLastColumn="0" w:lastRowFirstColumn="0" w:lastRowLastColumn="0"/>
            <w:tcW w:w="2778" w:type="dxa"/>
          </w:tcPr>
          <w:p w14:paraId="610CFC66" w14:textId="77777777" w:rsidR="00D6403A" w:rsidRPr="00D6403A" w:rsidRDefault="00D6403A" w:rsidP="00E85642">
            <w:pPr>
              <w:pStyle w:val="Tabletext"/>
              <w:jc w:val="left"/>
              <w:rPr>
                <w:sz w:val="17"/>
                <w:szCs w:val="17"/>
                <w:lang w:val="en-US"/>
              </w:rPr>
            </w:pPr>
            <w:r w:rsidRPr="00D6403A">
              <w:rPr>
                <w:lang w:val="en-US"/>
              </w:rPr>
              <w:t xml:space="preserve">Senior Project Officer </w:t>
            </w:r>
          </w:p>
        </w:tc>
        <w:tc>
          <w:tcPr>
            <w:cnfStyle w:val="000010000000" w:firstRow="0" w:lastRow="0" w:firstColumn="0" w:lastColumn="0" w:oddVBand="1" w:evenVBand="0" w:oddHBand="0" w:evenHBand="0" w:firstRowFirstColumn="0" w:firstRowLastColumn="0" w:lastRowFirstColumn="0" w:lastRowLastColumn="0"/>
            <w:tcW w:w="4989" w:type="dxa"/>
          </w:tcPr>
          <w:p w14:paraId="4A3BB410" w14:textId="77777777" w:rsidR="00D6403A" w:rsidRPr="00D6403A" w:rsidRDefault="00D6403A" w:rsidP="00E85642">
            <w:pPr>
              <w:pStyle w:val="Tabletext"/>
              <w:jc w:val="left"/>
              <w:rPr>
                <w:sz w:val="17"/>
                <w:szCs w:val="17"/>
                <w:lang w:val="en-US"/>
              </w:rPr>
            </w:pPr>
            <w:r w:rsidRPr="00D6403A">
              <w:rPr>
                <w:lang w:val="en-US"/>
              </w:rPr>
              <w:t xml:space="preserve">Safety Insights Program </w:t>
            </w:r>
            <w:r w:rsidRPr="00D6403A">
              <w:rPr>
                <w:lang w:val="en-US"/>
              </w:rPr>
              <w:br/>
              <w:t>Safer Care Victoria</w:t>
            </w:r>
          </w:p>
        </w:tc>
      </w:tr>
      <w:tr w:rsidR="00D6403A" w:rsidRPr="00D6403A" w14:paraId="4FCFE755"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5DA57A21" w14:textId="77777777" w:rsidR="00D6403A" w:rsidRPr="00D6403A" w:rsidRDefault="00D6403A" w:rsidP="00E85642">
            <w:pPr>
              <w:pStyle w:val="Tabletext"/>
              <w:jc w:val="left"/>
              <w:rPr>
                <w:sz w:val="17"/>
                <w:szCs w:val="17"/>
                <w:lang w:val="en-US"/>
              </w:rPr>
            </w:pPr>
            <w:r w:rsidRPr="00D6403A">
              <w:rPr>
                <w:lang w:val="en-US"/>
              </w:rPr>
              <w:t>Katherine Hunt</w:t>
            </w:r>
          </w:p>
        </w:tc>
        <w:tc>
          <w:tcPr>
            <w:cnfStyle w:val="000001000000" w:firstRow="0" w:lastRow="0" w:firstColumn="0" w:lastColumn="0" w:oddVBand="0" w:evenVBand="1" w:oddHBand="0" w:evenHBand="0" w:firstRowFirstColumn="0" w:firstRowLastColumn="0" w:lastRowFirstColumn="0" w:lastRowLastColumn="0"/>
            <w:tcW w:w="2778" w:type="dxa"/>
          </w:tcPr>
          <w:p w14:paraId="304B2C37" w14:textId="77777777" w:rsidR="00D6403A" w:rsidRPr="00D6403A" w:rsidRDefault="00D6403A" w:rsidP="00E85642">
            <w:pPr>
              <w:pStyle w:val="Tabletext"/>
              <w:jc w:val="left"/>
              <w:rPr>
                <w:sz w:val="17"/>
                <w:szCs w:val="17"/>
                <w:lang w:val="en-US"/>
              </w:rPr>
            </w:pPr>
            <w:r w:rsidRPr="00D6403A">
              <w:rPr>
                <w:lang w:val="en-US"/>
              </w:rPr>
              <w:t xml:space="preserve">Clinical Fellow </w:t>
            </w:r>
          </w:p>
        </w:tc>
        <w:tc>
          <w:tcPr>
            <w:cnfStyle w:val="000010000000" w:firstRow="0" w:lastRow="0" w:firstColumn="0" w:lastColumn="0" w:oddVBand="1" w:evenVBand="0" w:oddHBand="0" w:evenHBand="0" w:firstRowFirstColumn="0" w:firstRowLastColumn="0" w:lastRowFirstColumn="0" w:lastRowLastColumn="0"/>
            <w:tcW w:w="4989" w:type="dxa"/>
          </w:tcPr>
          <w:p w14:paraId="4EEC06DB" w14:textId="77777777" w:rsidR="00D6403A" w:rsidRPr="00D6403A" w:rsidRDefault="00D6403A" w:rsidP="00E85642">
            <w:pPr>
              <w:pStyle w:val="Tabletext"/>
              <w:jc w:val="left"/>
              <w:rPr>
                <w:sz w:val="17"/>
                <w:szCs w:val="17"/>
                <w:lang w:val="en-US"/>
              </w:rPr>
            </w:pPr>
            <w:r w:rsidRPr="00D6403A">
              <w:rPr>
                <w:lang w:val="en-US"/>
              </w:rPr>
              <w:t xml:space="preserve">Maternity and Newborn Learning Health Network </w:t>
            </w:r>
            <w:r w:rsidRPr="00D6403A">
              <w:rPr>
                <w:lang w:val="en-US"/>
              </w:rPr>
              <w:br/>
              <w:t xml:space="preserve">Safer Care Victoria </w:t>
            </w:r>
          </w:p>
        </w:tc>
      </w:tr>
      <w:tr w:rsidR="00D6403A" w:rsidRPr="00D6403A" w14:paraId="2A1C2F7A"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75EA97AB" w14:textId="77777777" w:rsidR="00D6403A" w:rsidRPr="00D6403A" w:rsidRDefault="00D6403A" w:rsidP="00E85642">
            <w:pPr>
              <w:pStyle w:val="Tabletext"/>
              <w:jc w:val="left"/>
              <w:rPr>
                <w:sz w:val="17"/>
                <w:szCs w:val="17"/>
                <w:lang w:val="en-US"/>
              </w:rPr>
            </w:pPr>
            <w:r w:rsidRPr="00D6403A">
              <w:rPr>
                <w:lang w:val="en-US"/>
              </w:rPr>
              <w:t>Melissah Burnett</w:t>
            </w:r>
          </w:p>
        </w:tc>
        <w:tc>
          <w:tcPr>
            <w:cnfStyle w:val="000001000000" w:firstRow="0" w:lastRow="0" w:firstColumn="0" w:lastColumn="0" w:oddVBand="0" w:evenVBand="1" w:oddHBand="0" w:evenHBand="0" w:firstRowFirstColumn="0" w:firstRowLastColumn="0" w:lastRowFirstColumn="0" w:lastRowLastColumn="0"/>
            <w:tcW w:w="2778" w:type="dxa"/>
          </w:tcPr>
          <w:p w14:paraId="43C97BA0" w14:textId="77777777" w:rsidR="00D6403A" w:rsidRPr="00D6403A" w:rsidRDefault="00D6403A" w:rsidP="00E85642">
            <w:pPr>
              <w:pStyle w:val="Tabletext"/>
              <w:jc w:val="left"/>
              <w:rPr>
                <w:sz w:val="17"/>
                <w:szCs w:val="17"/>
                <w:lang w:val="en-US"/>
              </w:rPr>
            </w:pPr>
            <w:r w:rsidRPr="00D6403A">
              <w:rPr>
                <w:lang w:val="en-US"/>
              </w:rPr>
              <w:t xml:space="preserve">Principal Project Officer </w:t>
            </w:r>
          </w:p>
        </w:tc>
        <w:tc>
          <w:tcPr>
            <w:cnfStyle w:val="000010000000" w:firstRow="0" w:lastRow="0" w:firstColumn="0" w:lastColumn="0" w:oddVBand="1" w:evenVBand="0" w:oddHBand="0" w:evenHBand="0" w:firstRowFirstColumn="0" w:firstRowLastColumn="0" w:lastRowFirstColumn="0" w:lastRowLastColumn="0"/>
            <w:tcW w:w="4989" w:type="dxa"/>
          </w:tcPr>
          <w:p w14:paraId="23987062" w14:textId="77777777" w:rsidR="00D6403A" w:rsidRPr="00D6403A" w:rsidRDefault="00D6403A" w:rsidP="00E85642">
            <w:pPr>
              <w:pStyle w:val="Tabletext"/>
              <w:jc w:val="left"/>
              <w:rPr>
                <w:sz w:val="17"/>
                <w:szCs w:val="17"/>
                <w:lang w:val="en-US"/>
              </w:rPr>
            </w:pPr>
            <w:r w:rsidRPr="00D6403A">
              <w:rPr>
                <w:lang w:val="en-US"/>
              </w:rPr>
              <w:t>Consultative Councils Unit</w:t>
            </w:r>
            <w:r w:rsidRPr="00D6403A">
              <w:rPr>
                <w:lang w:val="en-US"/>
              </w:rPr>
              <w:br/>
              <w:t>Safer Care Victoria</w:t>
            </w:r>
            <w:r w:rsidRPr="00D6403A">
              <w:rPr>
                <w:lang w:val="en-US"/>
              </w:rPr>
              <w:br/>
              <w:t xml:space="preserve">Maternity and Newborn Learning Health Network </w:t>
            </w:r>
          </w:p>
        </w:tc>
      </w:tr>
      <w:tr w:rsidR="00D6403A" w:rsidRPr="00D6403A" w14:paraId="698BC6E0"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165626ED" w14:textId="77777777" w:rsidR="00D6403A" w:rsidRPr="00D6403A" w:rsidRDefault="00D6403A" w:rsidP="00E85642">
            <w:pPr>
              <w:pStyle w:val="Tabletext"/>
              <w:jc w:val="left"/>
              <w:rPr>
                <w:sz w:val="17"/>
                <w:szCs w:val="17"/>
                <w:lang w:val="en-US"/>
              </w:rPr>
            </w:pPr>
            <w:r w:rsidRPr="00D6403A">
              <w:rPr>
                <w:lang w:val="en-US"/>
              </w:rPr>
              <w:t>Selina Takanashi</w:t>
            </w:r>
          </w:p>
        </w:tc>
        <w:tc>
          <w:tcPr>
            <w:cnfStyle w:val="000001000000" w:firstRow="0" w:lastRow="0" w:firstColumn="0" w:lastColumn="0" w:oddVBand="0" w:evenVBand="1" w:oddHBand="0" w:evenHBand="0" w:firstRowFirstColumn="0" w:firstRowLastColumn="0" w:lastRowFirstColumn="0" w:lastRowLastColumn="0"/>
            <w:tcW w:w="2778" w:type="dxa"/>
          </w:tcPr>
          <w:p w14:paraId="02201024" w14:textId="77777777" w:rsidR="00D6403A" w:rsidRPr="00D6403A" w:rsidRDefault="00D6403A" w:rsidP="00E85642">
            <w:pPr>
              <w:pStyle w:val="Tabletext"/>
              <w:jc w:val="left"/>
              <w:rPr>
                <w:sz w:val="17"/>
                <w:szCs w:val="17"/>
                <w:lang w:val="en-US"/>
              </w:rPr>
            </w:pPr>
            <w:r w:rsidRPr="00D6403A">
              <w:rPr>
                <w:lang w:val="en-US"/>
              </w:rPr>
              <w:t>Senior Project Officer</w:t>
            </w:r>
          </w:p>
        </w:tc>
        <w:tc>
          <w:tcPr>
            <w:cnfStyle w:val="000010000000" w:firstRow="0" w:lastRow="0" w:firstColumn="0" w:lastColumn="0" w:oddVBand="1" w:evenVBand="0" w:oddHBand="0" w:evenHBand="0" w:firstRowFirstColumn="0" w:firstRowLastColumn="0" w:lastRowFirstColumn="0" w:lastRowLastColumn="0"/>
            <w:tcW w:w="4989" w:type="dxa"/>
          </w:tcPr>
          <w:p w14:paraId="2317F7D7" w14:textId="77777777" w:rsidR="00D6403A" w:rsidRPr="00D6403A" w:rsidRDefault="00D6403A" w:rsidP="00E85642">
            <w:pPr>
              <w:pStyle w:val="Tabletext"/>
              <w:jc w:val="left"/>
              <w:rPr>
                <w:sz w:val="17"/>
                <w:szCs w:val="17"/>
                <w:lang w:val="en-US"/>
              </w:rPr>
            </w:pPr>
            <w:r w:rsidRPr="00D6403A">
              <w:rPr>
                <w:lang w:val="en-US"/>
              </w:rPr>
              <w:t xml:space="preserve">Safety Insights Program </w:t>
            </w:r>
            <w:r w:rsidRPr="00D6403A">
              <w:rPr>
                <w:lang w:val="en-US"/>
              </w:rPr>
              <w:br/>
              <w:t>Safer Care Victoria</w:t>
            </w:r>
          </w:p>
        </w:tc>
      </w:tr>
      <w:tr w:rsidR="00D6403A" w:rsidRPr="00D6403A" w14:paraId="2DCC07A1"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32597311" w14:textId="77777777" w:rsidR="00D6403A" w:rsidRPr="00D6403A" w:rsidRDefault="00D6403A" w:rsidP="00E85642">
            <w:pPr>
              <w:pStyle w:val="Tabletext"/>
              <w:jc w:val="left"/>
              <w:rPr>
                <w:sz w:val="17"/>
                <w:szCs w:val="17"/>
                <w:lang w:val="en-US"/>
              </w:rPr>
            </w:pPr>
            <w:r w:rsidRPr="00D6403A">
              <w:rPr>
                <w:lang w:val="en-US"/>
              </w:rPr>
              <w:t>Hope Deng</w:t>
            </w:r>
          </w:p>
        </w:tc>
        <w:tc>
          <w:tcPr>
            <w:cnfStyle w:val="000001000000" w:firstRow="0" w:lastRow="0" w:firstColumn="0" w:lastColumn="0" w:oddVBand="0" w:evenVBand="1" w:oddHBand="0" w:evenHBand="0" w:firstRowFirstColumn="0" w:firstRowLastColumn="0" w:lastRowFirstColumn="0" w:lastRowLastColumn="0"/>
            <w:tcW w:w="2778" w:type="dxa"/>
          </w:tcPr>
          <w:p w14:paraId="2CA01809" w14:textId="77777777" w:rsidR="00D6403A" w:rsidRPr="00D6403A" w:rsidRDefault="00D6403A" w:rsidP="00E85642">
            <w:pPr>
              <w:pStyle w:val="Tabletext"/>
              <w:jc w:val="left"/>
              <w:rPr>
                <w:sz w:val="17"/>
                <w:szCs w:val="17"/>
                <w:lang w:val="en-US"/>
              </w:rPr>
            </w:pPr>
            <w:r w:rsidRPr="00D6403A">
              <w:rPr>
                <w:lang w:val="en-US"/>
              </w:rPr>
              <w:t>Manager</w:t>
            </w:r>
          </w:p>
        </w:tc>
        <w:tc>
          <w:tcPr>
            <w:cnfStyle w:val="000010000000" w:firstRow="0" w:lastRow="0" w:firstColumn="0" w:lastColumn="0" w:oddVBand="1" w:evenVBand="0" w:oddHBand="0" w:evenHBand="0" w:firstRowFirstColumn="0" w:firstRowLastColumn="0" w:lastRowFirstColumn="0" w:lastRowLastColumn="0"/>
            <w:tcW w:w="4989" w:type="dxa"/>
          </w:tcPr>
          <w:p w14:paraId="14C6E857" w14:textId="77777777" w:rsidR="00D6403A" w:rsidRPr="00D6403A" w:rsidRDefault="00D6403A" w:rsidP="00E85642">
            <w:pPr>
              <w:pStyle w:val="Tabletext"/>
              <w:jc w:val="left"/>
              <w:rPr>
                <w:sz w:val="17"/>
                <w:szCs w:val="17"/>
                <w:lang w:val="en-US"/>
              </w:rPr>
            </w:pPr>
            <w:r w:rsidRPr="00D6403A">
              <w:rPr>
                <w:lang w:val="en-US"/>
              </w:rPr>
              <w:t>Safety Insights Program</w:t>
            </w:r>
            <w:r w:rsidRPr="00D6403A">
              <w:rPr>
                <w:lang w:val="en-US"/>
              </w:rPr>
              <w:br/>
              <w:t>Safer Care Victoria</w:t>
            </w:r>
          </w:p>
        </w:tc>
      </w:tr>
      <w:tr w:rsidR="00D6403A" w:rsidRPr="00D6403A" w14:paraId="206C8264"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074D83E8" w14:textId="77777777" w:rsidR="00D6403A" w:rsidRPr="00D6403A" w:rsidRDefault="00D6403A" w:rsidP="00E85642">
            <w:pPr>
              <w:pStyle w:val="Tabletext"/>
              <w:jc w:val="left"/>
              <w:rPr>
                <w:sz w:val="17"/>
                <w:szCs w:val="17"/>
                <w:lang w:val="en-US"/>
              </w:rPr>
            </w:pPr>
            <w:r w:rsidRPr="00D6403A">
              <w:rPr>
                <w:lang w:val="en-US"/>
              </w:rPr>
              <w:t xml:space="preserve">Dr Adnan Ansar </w:t>
            </w:r>
          </w:p>
        </w:tc>
        <w:tc>
          <w:tcPr>
            <w:cnfStyle w:val="000001000000" w:firstRow="0" w:lastRow="0" w:firstColumn="0" w:lastColumn="0" w:oddVBand="0" w:evenVBand="1" w:oddHBand="0" w:evenHBand="0" w:firstRowFirstColumn="0" w:firstRowLastColumn="0" w:lastRowFirstColumn="0" w:lastRowLastColumn="0"/>
            <w:tcW w:w="2778" w:type="dxa"/>
          </w:tcPr>
          <w:p w14:paraId="43CA1BA5" w14:textId="77777777" w:rsidR="00D6403A" w:rsidRPr="00D6403A" w:rsidRDefault="00D6403A" w:rsidP="00E85642">
            <w:pPr>
              <w:pStyle w:val="Tabletext"/>
              <w:jc w:val="left"/>
              <w:rPr>
                <w:sz w:val="17"/>
                <w:szCs w:val="17"/>
                <w:lang w:val="en-US"/>
              </w:rPr>
            </w:pPr>
            <w:r w:rsidRPr="00D6403A">
              <w:rPr>
                <w:lang w:val="en-US"/>
              </w:rPr>
              <w:t>Senior Project Officer</w:t>
            </w:r>
          </w:p>
        </w:tc>
        <w:tc>
          <w:tcPr>
            <w:cnfStyle w:val="000010000000" w:firstRow="0" w:lastRow="0" w:firstColumn="0" w:lastColumn="0" w:oddVBand="1" w:evenVBand="0" w:oddHBand="0" w:evenHBand="0" w:firstRowFirstColumn="0" w:firstRowLastColumn="0" w:lastRowFirstColumn="0" w:lastRowLastColumn="0"/>
            <w:tcW w:w="4989" w:type="dxa"/>
          </w:tcPr>
          <w:p w14:paraId="3B9363E8" w14:textId="77777777" w:rsidR="00D6403A" w:rsidRPr="00D6403A" w:rsidRDefault="00D6403A" w:rsidP="00E85642">
            <w:pPr>
              <w:pStyle w:val="Tabletext"/>
              <w:jc w:val="left"/>
              <w:rPr>
                <w:sz w:val="17"/>
                <w:szCs w:val="17"/>
                <w:lang w:val="en-US"/>
              </w:rPr>
            </w:pPr>
            <w:r w:rsidRPr="00D6403A">
              <w:rPr>
                <w:lang w:val="en-US"/>
              </w:rPr>
              <w:t xml:space="preserve">Consultative Councils Unit </w:t>
            </w:r>
            <w:r w:rsidRPr="00D6403A">
              <w:rPr>
                <w:lang w:val="en-US"/>
              </w:rPr>
              <w:br/>
              <w:t>Safer Care Victoria</w:t>
            </w:r>
          </w:p>
        </w:tc>
      </w:tr>
      <w:tr w:rsidR="00D6403A" w:rsidRPr="00D6403A" w14:paraId="6B4A13A0"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7DD2F843" w14:textId="77777777" w:rsidR="00D6403A" w:rsidRPr="00D6403A" w:rsidRDefault="00D6403A" w:rsidP="00E85642">
            <w:pPr>
              <w:pStyle w:val="Tabletext"/>
              <w:jc w:val="left"/>
              <w:rPr>
                <w:sz w:val="17"/>
                <w:szCs w:val="17"/>
                <w:lang w:val="en-US"/>
              </w:rPr>
            </w:pPr>
            <w:r w:rsidRPr="00D6403A">
              <w:rPr>
                <w:lang w:val="en-US"/>
              </w:rPr>
              <w:t>Bronwyn Hogan</w:t>
            </w:r>
          </w:p>
        </w:tc>
        <w:tc>
          <w:tcPr>
            <w:cnfStyle w:val="000001000000" w:firstRow="0" w:lastRow="0" w:firstColumn="0" w:lastColumn="0" w:oddVBand="0" w:evenVBand="1" w:oddHBand="0" w:evenHBand="0" w:firstRowFirstColumn="0" w:firstRowLastColumn="0" w:lastRowFirstColumn="0" w:lastRowLastColumn="0"/>
            <w:tcW w:w="2778" w:type="dxa"/>
          </w:tcPr>
          <w:p w14:paraId="218B1C8D" w14:textId="77777777" w:rsidR="00D6403A" w:rsidRPr="00D6403A" w:rsidRDefault="00D6403A" w:rsidP="00E85642">
            <w:pPr>
              <w:pStyle w:val="Tabletext"/>
              <w:jc w:val="left"/>
              <w:rPr>
                <w:sz w:val="17"/>
                <w:szCs w:val="17"/>
                <w:lang w:val="en-US"/>
              </w:rPr>
            </w:pPr>
            <w:r w:rsidRPr="00D6403A">
              <w:rPr>
                <w:lang w:val="en-US"/>
              </w:rPr>
              <w:t>Consumer Lead</w:t>
            </w:r>
          </w:p>
        </w:tc>
        <w:tc>
          <w:tcPr>
            <w:cnfStyle w:val="000010000000" w:firstRow="0" w:lastRow="0" w:firstColumn="0" w:lastColumn="0" w:oddVBand="1" w:evenVBand="0" w:oddHBand="0" w:evenHBand="0" w:firstRowFirstColumn="0" w:firstRowLastColumn="0" w:lastRowFirstColumn="0" w:lastRowLastColumn="0"/>
            <w:tcW w:w="4989" w:type="dxa"/>
          </w:tcPr>
          <w:p w14:paraId="70D30A96" w14:textId="77777777" w:rsidR="00D6403A" w:rsidRPr="00D6403A" w:rsidRDefault="00D6403A" w:rsidP="00E85642">
            <w:pPr>
              <w:pStyle w:val="Tabletext"/>
              <w:jc w:val="left"/>
              <w:rPr>
                <w:sz w:val="17"/>
                <w:szCs w:val="17"/>
                <w:lang w:val="en-US"/>
              </w:rPr>
            </w:pPr>
            <w:r w:rsidRPr="00D6403A">
              <w:rPr>
                <w:lang w:val="en-US"/>
              </w:rPr>
              <w:t xml:space="preserve">Maternity and Newborn Learning Health Network </w:t>
            </w:r>
            <w:r w:rsidRPr="00D6403A">
              <w:rPr>
                <w:lang w:val="en-US"/>
              </w:rPr>
              <w:br/>
              <w:t>Safer Care Victoria</w:t>
            </w:r>
          </w:p>
        </w:tc>
      </w:tr>
      <w:tr w:rsidR="00D6403A" w:rsidRPr="00D6403A" w14:paraId="7B7A98AA"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13DFDA23" w14:textId="77777777" w:rsidR="00D6403A" w:rsidRPr="00D6403A" w:rsidRDefault="00D6403A" w:rsidP="00E85642">
            <w:pPr>
              <w:pStyle w:val="Tabletext"/>
              <w:jc w:val="left"/>
              <w:rPr>
                <w:sz w:val="17"/>
                <w:szCs w:val="17"/>
                <w:lang w:val="en-US"/>
              </w:rPr>
            </w:pPr>
            <w:r w:rsidRPr="00D6403A">
              <w:rPr>
                <w:lang w:val="en-US"/>
              </w:rPr>
              <w:t>Dr Penny Sheehan</w:t>
            </w:r>
          </w:p>
        </w:tc>
        <w:tc>
          <w:tcPr>
            <w:cnfStyle w:val="000001000000" w:firstRow="0" w:lastRow="0" w:firstColumn="0" w:lastColumn="0" w:oddVBand="0" w:evenVBand="1" w:oddHBand="0" w:evenHBand="0" w:firstRowFirstColumn="0" w:firstRowLastColumn="0" w:lastRowFirstColumn="0" w:lastRowLastColumn="0"/>
            <w:tcW w:w="2778" w:type="dxa"/>
          </w:tcPr>
          <w:p w14:paraId="0DC031AE" w14:textId="77777777" w:rsidR="00D6403A" w:rsidRPr="00D6403A" w:rsidRDefault="00D6403A" w:rsidP="00E85642">
            <w:pPr>
              <w:pStyle w:val="Tabletext"/>
              <w:jc w:val="left"/>
              <w:rPr>
                <w:sz w:val="17"/>
                <w:szCs w:val="17"/>
                <w:lang w:val="en-US"/>
              </w:rPr>
            </w:pPr>
            <w:r w:rsidRPr="00D6403A">
              <w:rPr>
                <w:lang w:val="en-US"/>
              </w:rPr>
              <w:t xml:space="preserve">Clinical Lead </w:t>
            </w:r>
          </w:p>
        </w:tc>
        <w:tc>
          <w:tcPr>
            <w:cnfStyle w:val="000010000000" w:firstRow="0" w:lastRow="0" w:firstColumn="0" w:lastColumn="0" w:oddVBand="1" w:evenVBand="0" w:oddHBand="0" w:evenHBand="0" w:firstRowFirstColumn="0" w:firstRowLastColumn="0" w:lastRowFirstColumn="0" w:lastRowLastColumn="0"/>
            <w:tcW w:w="4989" w:type="dxa"/>
          </w:tcPr>
          <w:p w14:paraId="213EA632" w14:textId="77777777" w:rsidR="00D6403A" w:rsidRPr="00D6403A" w:rsidRDefault="00D6403A" w:rsidP="00E85642">
            <w:pPr>
              <w:pStyle w:val="Tabletext"/>
              <w:jc w:val="left"/>
              <w:rPr>
                <w:sz w:val="17"/>
                <w:szCs w:val="17"/>
                <w:lang w:val="en-US"/>
              </w:rPr>
            </w:pPr>
            <w:r w:rsidRPr="00D6403A">
              <w:rPr>
                <w:lang w:val="en-US"/>
              </w:rPr>
              <w:t xml:space="preserve">Maternity and Newborn Learning Health Network </w:t>
            </w:r>
            <w:r w:rsidRPr="00D6403A">
              <w:rPr>
                <w:lang w:val="en-US"/>
              </w:rPr>
              <w:br/>
              <w:t>Safer Care Victoria</w:t>
            </w:r>
          </w:p>
        </w:tc>
      </w:tr>
      <w:tr w:rsidR="00D6403A" w:rsidRPr="00D6403A" w14:paraId="050A7CD6"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293F9D0F" w14:textId="77777777" w:rsidR="00D6403A" w:rsidRPr="00D6403A" w:rsidRDefault="00D6403A" w:rsidP="00E85642">
            <w:pPr>
              <w:pStyle w:val="Tabletext"/>
              <w:jc w:val="left"/>
              <w:rPr>
                <w:sz w:val="17"/>
                <w:szCs w:val="17"/>
                <w:lang w:val="en-US"/>
              </w:rPr>
            </w:pPr>
            <w:r w:rsidRPr="00D6403A">
              <w:rPr>
                <w:lang w:val="en-US"/>
              </w:rPr>
              <w:t xml:space="preserve">Tracy Firth </w:t>
            </w:r>
          </w:p>
        </w:tc>
        <w:tc>
          <w:tcPr>
            <w:cnfStyle w:val="000001000000" w:firstRow="0" w:lastRow="0" w:firstColumn="0" w:lastColumn="0" w:oddVBand="0" w:evenVBand="1" w:oddHBand="0" w:evenHBand="0" w:firstRowFirstColumn="0" w:firstRowLastColumn="0" w:lastRowFirstColumn="0" w:lastRowLastColumn="0"/>
            <w:tcW w:w="2778" w:type="dxa"/>
          </w:tcPr>
          <w:p w14:paraId="08790020" w14:textId="77777777" w:rsidR="00D6403A" w:rsidRPr="00D6403A" w:rsidRDefault="00D6403A" w:rsidP="00E85642">
            <w:pPr>
              <w:pStyle w:val="Tabletext"/>
              <w:jc w:val="left"/>
              <w:rPr>
                <w:sz w:val="17"/>
                <w:szCs w:val="17"/>
                <w:lang w:val="en-US"/>
              </w:rPr>
            </w:pPr>
            <w:r w:rsidRPr="00D6403A">
              <w:rPr>
                <w:lang w:val="en-US"/>
              </w:rPr>
              <w:t xml:space="preserve">Senior Maternity Advisor </w:t>
            </w:r>
          </w:p>
        </w:tc>
        <w:tc>
          <w:tcPr>
            <w:cnfStyle w:val="000010000000" w:firstRow="0" w:lastRow="0" w:firstColumn="0" w:lastColumn="0" w:oddVBand="1" w:evenVBand="0" w:oddHBand="0" w:evenHBand="0" w:firstRowFirstColumn="0" w:firstRowLastColumn="0" w:lastRowFirstColumn="0" w:lastRowLastColumn="0"/>
            <w:tcW w:w="4989" w:type="dxa"/>
          </w:tcPr>
          <w:p w14:paraId="25067D87" w14:textId="77777777" w:rsidR="00D6403A" w:rsidRPr="00D6403A" w:rsidRDefault="00D6403A" w:rsidP="00E85642">
            <w:pPr>
              <w:pStyle w:val="Tabletext"/>
              <w:jc w:val="left"/>
              <w:rPr>
                <w:sz w:val="17"/>
                <w:szCs w:val="17"/>
                <w:lang w:val="en-US"/>
              </w:rPr>
            </w:pPr>
            <w:r w:rsidRPr="00D6403A">
              <w:rPr>
                <w:lang w:val="en-US"/>
              </w:rPr>
              <w:t>Safer Care Victoria</w:t>
            </w:r>
          </w:p>
        </w:tc>
      </w:tr>
      <w:tr w:rsidR="00D6403A" w:rsidRPr="00D6403A" w14:paraId="77021AE8"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7E63DA95" w14:textId="77777777" w:rsidR="00D6403A" w:rsidRPr="00D6403A" w:rsidRDefault="00D6403A" w:rsidP="00E85642">
            <w:pPr>
              <w:pStyle w:val="Tabletext"/>
              <w:jc w:val="left"/>
              <w:rPr>
                <w:sz w:val="17"/>
                <w:szCs w:val="17"/>
                <w:lang w:val="en-US"/>
              </w:rPr>
            </w:pPr>
            <w:r w:rsidRPr="00D6403A">
              <w:rPr>
                <w:lang w:val="en-US"/>
              </w:rPr>
              <w:t>MNLHN Data Group Members</w:t>
            </w:r>
          </w:p>
        </w:tc>
        <w:tc>
          <w:tcPr>
            <w:cnfStyle w:val="000001000000" w:firstRow="0" w:lastRow="0" w:firstColumn="0" w:lastColumn="0" w:oddVBand="0" w:evenVBand="1" w:oddHBand="0" w:evenHBand="0" w:firstRowFirstColumn="0" w:firstRowLastColumn="0" w:lastRowFirstColumn="0" w:lastRowLastColumn="0"/>
            <w:tcW w:w="2778" w:type="dxa"/>
          </w:tcPr>
          <w:p w14:paraId="57C572D9" w14:textId="77777777" w:rsidR="00D6403A" w:rsidRPr="00D6403A" w:rsidRDefault="00D6403A" w:rsidP="00E85642">
            <w:pPr>
              <w:pStyle w:val="Tabletext"/>
              <w:jc w:val="left"/>
              <w:rPr>
                <w:sz w:val="17"/>
                <w:szCs w:val="17"/>
                <w:lang w:val="en-US"/>
              </w:rPr>
            </w:pPr>
            <w:r w:rsidRPr="00D6403A">
              <w:rPr>
                <w:lang w:val="en-US"/>
              </w:rPr>
              <w:t>Maternity and Newborn Learning Health Network</w:t>
            </w:r>
          </w:p>
        </w:tc>
        <w:tc>
          <w:tcPr>
            <w:cnfStyle w:val="000010000000" w:firstRow="0" w:lastRow="0" w:firstColumn="0" w:lastColumn="0" w:oddVBand="1" w:evenVBand="0" w:oddHBand="0" w:evenHBand="0" w:firstRowFirstColumn="0" w:firstRowLastColumn="0" w:lastRowFirstColumn="0" w:lastRowLastColumn="0"/>
            <w:tcW w:w="4989" w:type="dxa"/>
          </w:tcPr>
          <w:p w14:paraId="4CD3DE40" w14:textId="77777777" w:rsidR="00D6403A" w:rsidRPr="00D6403A" w:rsidRDefault="00D6403A" w:rsidP="00E85642">
            <w:pPr>
              <w:pStyle w:val="Tabletext"/>
              <w:jc w:val="left"/>
              <w:rPr>
                <w:sz w:val="17"/>
                <w:szCs w:val="17"/>
                <w:lang w:val="en-US"/>
              </w:rPr>
            </w:pPr>
            <w:r w:rsidRPr="00D6403A">
              <w:rPr>
                <w:lang w:val="en-US"/>
              </w:rPr>
              <w:t>Safer Care Victoria</w:t>
            </w:r>
          </w:p>
        </w:tc>
      </w:tr>
      <w:tr w:rsidR="00D6403A" w:rsidRPr="00D6403A" w14:paraId="7704BB2E"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26CF386F" w14:textId="77777777" w:rsidR="00D6403A" w:rsidRPr="00D6403A" w:rsidRDefault="00D6403A" w:rsidP="00E85642">
            <w:pPr>
              <w:pStyle w:val="Tabletext"/>
              <w:jc w:val="left"/>
              <w:rPr>
                <w:sz w:val="17"/>
                <w:szCs w:val="17"/>
                <w:lang w:val="en-US"/>
              </w:rPr>
            </w:pPr>
            <w:r w:rsidRPr="00D6403A">
              <w:rPr>
                <w:lang w:val="en-US"/>
              </w:rPr>
              <w:t>MNLHN Advisory Group Members</w:t>
            </w:r>
          </w:p>
        </w:tc>
        <w:tc>
          <w:tcPr>
            <w:cnfStyle w:val="000001000000" w:firstRow="0" w:lastRow="0" w:firstColumn="0" w:lastColumn="0" w:oddVBand="0" w:evenVBand="1" w:oddHBand="0" w:evenHBand="0" w:firstRowFirstColumn="0" w:firstRowLastColumn="0" w:lastRowFirstColumn="0" w:lastRowLastColumn="0"/>
            <w:tcW w:w="2778" w:type="dxa"/>
          </w:tcPr>
          <w:p w14:paraId="76B4C16E" w14:textId="77777777" w:rsidR="00D6403A" w:rsidRPr="00D6403A" w:rsidRDefault="00D6403A" w:rsidP="00E85642">
            <w:pPr>
              <w:pStyle w:val="Tabletext"/>
              <w:jc w:val="left"/>
              <w:rPr>
                <w:sz w:val="17"/>
                <w:szCs w:val="17"/>
                <w:lang w:val="en-US"/>
              </w:rPr>
            </w:pPr>
            <w:r w:rsidRPr="00D6403A">
              <w:rPr>
                <w:lang w:val="en-US"/>
              </w:rPr>
              <w:t>Maternity and Newborn Learning Health Network</w:t>
            </w:r>
          </w:p>
        </w:tc>
        <w:tc>
          <w:tcPr>
            <w:cnfStyle w:val="000010000000" w:firstRow="0" w:lastRow="0" w:firstColumn="0" w:lastColumn="0" w:oddVBand="1" w:evenVBand="0" w:oddHBand="0" w:evenHBand="0" w:firstRowFirstColumn="0" w:firstRowLastColumn="0" w:lastRowFirstColumn="0" w:lastRowLastColumn="0"/>
            <w:tcW w:w="4989" w:type="dxa"/>
          </w:tcPr>
          <w:p w14:paraId="0F6D8144" w14:textId="77777777" w:rsidR="00D6403A" w:rsidRPr="00D6403A" w:rsidRDefault="00D6403A" w:rsidP="00E85642">
            <w:pPr>
              <w:pStyle w:val="Tabletext"/>
              <w:jc w:val="left"/>
              <w:rPr>
                <w:sz w:val="17"/>
                <w:szCs w:val="17"/>
                <w:lang w:val="en-US"/>
              </w:rPr>
            </w:pPr>
            <w:r w:rsidRPr="00D6403A">
              <w:rPr>
                <w:lang w:val="en-US"/>
              </w:rPr>
              <w:t>Safer Care Victoria</w:t>
            </w:r>
          </w:p>
        </w:tc>
      </w:tr>
      <w:tr w:rsidR="00D6403A" w:rsidRPr="00D6403A" w14:paraId="0BF90D85"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0B8DDDBB" w14:textId="77777777" w:rsidR="00D6403A" w:rsidRPr="00D6403A" w:rsidRDefault="00D6403A" w:rsidP="00E85642">
            <w:pPr>
              <w:pStyle w:val="Tabletext"/>
              <w:jc w:val="left"/>
              <w:rPr>
                <w:sz w:val="17"/>
                <w:szCs w:val="17"/>
                <w:lang w:val="en-US"/>
              </w:rPr>
            </w:pPr>
            <w:r w:rsidRPr="00D6403A">
              <w:rPr>
                <w:lang w:val="en-US"/>
              </w:rPr>
              <w:t>Joanna Gaston</w:t>
            </w:r>
          </w:p>
        </w:tc>
        <w:tc>
          <w:tcPr>
            <w:cnfStyle w:val="000001000000" w:firstRow="0" w:lastRow="0" w:firstColumn="0" w:lastColumn="0" w:oddVBand="0" w:evenVBand="1" w:oddHBand="0" w:evenHBand="0" w:firstRowFirstColumn="0" w:firstRowLastColumn="0" w:lastRowFirstColumn="0" w:lastRowLastColumn="0"/>
            <w:tcW w:w="2778" w:type="dxa"/>
          </w:tcPr>
          <w:p w14:paraId="5C8018E3" w14:textId="77777777" w:rsidR="00D6403A" w:rsidRPr="00D6403A" w:rsidRDefault="00D6403A" w:rsidP="00E85642">
            <w:pPr>
              <w:pStyle w:val="Tabletext"/>
              <w:jc w:val="left"/>
              <w:rPr>
                <w:sz w:val="17"/>
                <w:szCs w:val="17"/>
                <w:lang w:val="en-US"/>
              </w:rPr>
            </w:pPr>
            <w:r w:rsidRPr="00D6403A">
              <w:rPr>
                <w:lang w:val="en-US"/>
              </w:rPr>
              <w:t>Manager</w:t>
            </w:r>
          </w:p>
        </w:tc>
        <w:tc>
          <w:tcPr>
            <w:cnfStyle w:val="000010000000" w:firstRow="0" w:lastRow="0" w:firstColumn="0" w:lastColumn="0" w:oddVBand="1" w:evenVBand="0" w:oddHBand="0" w:evenHBand="0" w:firstRowFirstColumn="0" w:firstRowLastColumn="0" w:lastRowFirstColumn="0" w:lastRowLastColumn="0"/>
            <w:tcW w:w="4989" w:type="dxa"/>
          </w:tcPr>
          <w:p w14:paraId="3947A105" w14:textId="77777777" w:rsidR="00D6403A" w:rsidRPr="00D6403A" w:rsidRDefault="00D6403A" w:rsidP="00E85642">
            <w:pPr>
              <w:pStyle w:val="Tabletext"/>
              <w:jc w:val="left"/>
              <w:rPr>
                <w:sz w:val="17"/>
                <w:szCs w:val="17"/>
                <w:lang w:val="en-US"/>
              </w:rPr>
            </w:pPr>
            <w:r w:rsidRPr="00D6403A">
              <w:rPr>
                <w:lang w:val="en-US"/>
              </w:rPr>
              <w:t xml:space="preserve">Consultative Councils Unit </w:t>
            </w:r>
            <w:r w:rsidRPr="00D6403A">
              <w:rPr>
                <w:lang w:val="en-US"/>
              </w:rPr>
              <w:br/>
              <w:t>Safer Care Victoria</w:t>
            </w:r>
          </w:p>
        </w:tc>
      </w:tr>
      <w:tr w:rsidR="00D6403A" w:rsidRPr="00D6403A" w14:paraId="5F29A2B5"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6C884C7A" w14:textId="77777777" w:rsidR="00D6403A" w:rsidRPr="00D6403A" w:rsidRDefault="00D6403A" w:rsidP="00E85642">
            <w:pPr>
              <w:pStyle w:val="Tabletext"/>
              <w:jc w:val="left"/>
              <w:rPr>
                <w:sz w:val="17"/>
                <w:szCs w:val="17"/>
                <w:lang w:val="en-US"/>
              </w:rPr>
            </w:pPr>
            <w:r w:rsidRPr="00D6403A">
              <w:rPr>
                <w:lang w:val="en-US"/>
              </w:rPr>
              <w:t xml:space="preserve">Dr Shirin Anil </w:t>
            </w:r>
          </w:p>
        </w:tc>
        <w:tc>
          <w:tcPr>
            <w:cnfStyle w:val="000001000000" w:firstRow="0" w:lastRow="0" w:firstColumn="0" w:lastColumn="0" w:oddVBand="0" w:evenVBand="1" w:oddHBand="0" w:evenHBand="0" w:firstRowFirstColumn="0" w:firstRowLastColumn="0" w:lastRowFirstColumn="0" w:lastRowLastColumn="0"/>
            <w:tcW w:w="2778" w:type="dxa"/>
          </w:tcPr>
          <w:p w14:paraId="43EAE81F" w14:textId="77777777" w:rsidR="00D6403A" w:rsidRPr="00D6403A" w:rsidRDefault="00D6403A" w:rsidP="00E85642">
            <w:pPr>
              <w:pStyle w:val="Tabletext"/>
              <w:jc w:val="left"/>
              <w:rPr>
                <w:sz w:val="17"/>
                <w:szCs w:val="17"/>
                <w:lang w:val="en-US"/>
              </w:rPr>
            </w:pPr>
            <w:r w:rsidRPr="00D6403A">
              <w:rPr>
                <w:lang w:val="en-US"/>
              </w:rPr>
              <w:t xml:space="preserve">Manager </w:t>
            </w:r>
          </w:p>
        </w:tc>
        <w:tc>
          <w:tcPr>
            <w:cnfStyle w:val="000010000000" w:firstRow="0" w:lastRow="0" w:firstColumn="0" w:lastColumn="0" w:oddVBand="1" w:evenVBand="0" w:oddHBand="0" w:evenHBand="0" w:firstRowFirstColumn="0" w:firstRowLastColumn="0" w:lastRowFirstColumn="0" w:lastRowLastColumn="0"/>
            <w:tcW w:w="4989" w:type="dxa"/>
          </w:tcPr>
          <w:p w14:paraId="25D7B439" w14:textId="77777777" w:rsidR="00D6403A" w:rsidRPr="00D6403A" w:rsidRDefault="00D6403A" w:rsidP="00E85642">
            <w:pPr>
              <w:pStyle w:val="Tabletext"/>
              <w:jc w:val="left"/>
              <w:rPr>
                <w:sz w:val="17"/>
                <w:szCs w:val="17"/>
                <w:lang w:val="en-US"/>
              </w:rPr>
            </w:pPr>
            <w:r w:rsidRPr="00D6403A">
              <w:rPr>
                <w:lang w:val="en-US"/>
              </w:rPr>
              <w:t xml:space="preserve">Consultative Councils Unit </w:t>
            </w:r>
            <w:r w:rsidRPr="00D6403A">
              <w:rPr>
                <w:lang w:val="en-US"/>
              </w:rPr>
              <w:br/>
              <w:t>Safer Care Victoria</w:t>
            </w:r>
          </w:p>
        </w:tc>
      </w:tr>
      <w:tr w:rsidR="00D6403A" w:rsidRPr="00D6403A" w14:paraId="055883A8" w14:textId="77777777" w:rsidTr="00E85642">
        <w:trPr>
          <w:trHeight w:val="283"/>
        </w:trPr>
        <w:tc>
          <w:tcPr>
            <w:cnfStyle w:val="000010000000" w:firstRow="0" w:lastRow="0" w:firstColumn="0" w:lastColumn="0" w:oddVBand="1" w:evenVBand="0" w:oddHBand="0" w:evenHBand="0" w:firstRowFirstColumn="0" w:firstRowLastColumn="0" w:lastRowFirstColumn="0" w:lastRowLastColumn="0"/>
            <w:tcW w:w="2438" w:type="dxa"/>
          </w:tcPr>
          <w:p w14:paraId="5B53D5D7" w14:textId="77777777" w:rsidR="00D6403A" w:rsidRPr="00D6403A" w:rsidRDefault="00D6403A" w:rsidP="00E85642">
            <w:pPr>
              <w:pStyle w:val="Tabletext"/>
              <w:jc w:val="left"/>
              <w:rPr>
                <w:sz w:val="17"/>
                <w:szCs w:val="17"/>
                <w:lang w:val="en-US"/>
              </w:rPr>
            </w:pPr>
            <w:r w:rsidRPr="00D6403A">
              <w:rPr>
                <w:lang w:val="en-US"/>
              </w:rPr>
              <w:t>Prof. Mark Umstad</w:t>
            </w:r>
          </w:p>
        </w:tc>
        <w:tc>
          <w:tcPr>
            <w:cnfStyle w:val="000001000000" w:firstRow="0" w:lastRow="0" w:firstColumn="0" w:lastColumn="0" w:oddVBand="0" w:evenVBand="1" w:oddHBand="0" w:evenHBand="0" w:firstRowFirstColumn="0" w:firstRowLastColumn="0" w:lastRowFirstColumn="0" w:lastRowLastColumn="0"/>
            <w:tcW w:w="2778" w:type="dxa"/>
          </w:tcPr>
          <w:p w14:paraId="3A3F7C03" w14:textId="77777777" w:rsidR="00D6403A" w:rsidRPr="00D6403A" w:rsidRDefault="00D6403A" w:rsidP="00E85642">
            <w:pPr>
              <w:pStyle w:val="Tabletext"/>
              <w:jc w:val="left"/>
              <w:rPr>
                <w:sz w:val="17"/>
                <w:szCs w:val="17"/>
                <w:lang w:val="en-US"/>
              </w:rPr>
            </w:pPr>
            <w:r w:rsidRPr="00D6403A">
              <w:rPr>
                <w:lang w:val="en-US"/>
              </w:rPr>
              <w:t>Chair</w:t>
            </w:r>
          </w:p>
        </w:tc>
        <w:tc>
          <w:tcPr>
            <w:cnfStyle w:val="000010000000" w:firstRow="0" w:lastRow="0" w:firstColumn="0" w:lastColumn="0" w:oddVBand="1" w:evenVBand="0" w:oddHBand="0" w:evenHBand="0" w:firstRowFirstColumn="0" w:firstRowLastColumn="0" w:lastRowFirstColumn="0" w:lastRowLastColumn="0"/>
            <w:tcW w:w="4989" w:type="dxa"/>
          </w:tcPr>
          <w:p w14:paraId="30854FF0" w14:textId="77777777" w:rsidR="00D6403A" w:rsidRPr="00D6403A" w:rsidRDefault="00D6403A" w:rsidP="00E85642">
            <w:pPr>
              <w:pStyle w:val="Tabletext"/>
              <w:jc w:val="left"/>
              <w:rPr>
                <w:sz w:val="17"/>
                <w:szCs w:val="17"/>
                <w:lang w:val="en-US"/>
              </w:rPr>
            </w:pPr>
            <w:r w:rsidRPr="00D6403A">
              <w:rPr>
                <w:lang w:val="en-US"/>
              </w:rPr>
              <w:t>Consultative Council on Obstetric and Paediatric Mortality and Morbidity</w:t>
            </w:r>
          </w:p>
        </w:tc>
      </w:tr>
    </w:tbl>
    <w:p w14:paraId="6FF05CF3" w14:textId="77777777" w:rsidR="00E85642" w:rsidRDefault="00E85642" w:rsidP="00E85642">
      <w:pPr>
        <w:pStyle w:val="Heading2"/>
        <w:rPr>
          <w:lang w:val="en-GB"/>
        </w:rPr>
        <w:sectPr w:rsidR="00E85642" w:rsidSect="004D6F5F">
          <w:pgSz w:w="11901" w:h="16817" w:code="9"/>
          <w:pgMar w:top="3402" w:right="851" w:bottom="1361" w:left="851" w:header="539" w:footer="624" w:gutter="0"/>
          <w:cols w:space="284"/>
          <w:docGrid w:linePitch="360" w:charSpace="46114"/>
        </w:sectPr>
      </w:pPr>
      <w:bookmarkStart w:id="101" w:name="_Toc159326656"/>
    </w:p>
    <w:p w14:paraId="5EA64FEA" w14:textId="2D3546F8" w:rsidR="00D6403A" w:rsidRPr="00D6403A" w:rsidRDefault="00D6403A" w:rsidP="00E85642">
      <w:pPr>
        <w:pStyle w:val="Heading1"/>
        <w:framePr w:wrap="around"/>
        <w:rPr>
          <w:lang w:val="en-GB"/>
        </w:rPr>
      </w:pPr>
      <w:r w:rsidRPr="00D6403A">
        <w:rPr>
          <w:lang w:val="en-GB"/>
        </w:rPr>
        <w:lastRenderedPageBreak/>
        <w:t>Further reading</w:t>
      </w:r>
      <w:bookmarkEnd w:id="101"/>
      <w:r w:rsidRPr="00D6403A">
        <w:rPr>
          <w:lang w:val="en-GB"/>
        </w:rPr>
        <w:t xml:space="preserve">  </w:t>
      </w:r>
    </w:p>
    <w:p w14:paraId="25F2B492" w14:textId="376F4F9A" w:rsidR="00D6403A" w:rsidRPr="00D6403A" w:rsidRDefault="00D6403A" w:rsidP="00D6403A">
      <w:pPr>
        <w:rPr>
          <w:lang w:val="en-GB"/>
        </w:rPr>
      </w:pPr>
      <w:r w:rsidRPr="00D6403A">
        <w:t xml:space="preserve">Boatin A, Cullinane F, Torloni M, Betrán A. 2018. Audit and feedback using the Robson classification to reduce caesarean section rates: a systematic review. </w:t>
      </w:r>
      <w:r w:rsidRPr="00D6403A">
        <w:rPr>
          <w:i/>
          <w:iCs/>
          <w:lang w:val="en-GB"/>
        </w:rPr>
        <w:t xml:space="preserve">BJOG: An International Journal of Obstetrics &amp; Gynaecology. </w:t>
      </w:r>
      <w:r w:rsidRPr="00D6403A">
        <w:rPr>
          <w:lang w:val="en-GB"/>
        </w:rPr>
        <w:t>125(1):36–42.</w:t>
      </w:r>
    </w:p>
    <w:p w14:paraId="6B0604F3" w14:textId="127284AF" w:rsidR="00D6403A" w:rsidRPr="00D6403A" w:rsidRDefault="00D6403A" w:rsidP="00D6403A">
      <w:pPr>
        <w:rPr>
          <w:lang w:val="en-GB"/>
        </w:rPr>
      </w:pPr>
      <w:r w:rsidRPr="00D6403A">
        <w:rPr>
          <w:lang w:val="en-GB"/>
        </w:rPr>
        <w:t xml:space="preserve">Department of Health, State Government of Victoria. </w:t>
      </w:r>
      <w:r w:rsidRPr="00D6403A">
        <w:rPr>
          <w:i/>
          <w:iCs/>
          <w:lang w:val="en-GB"/>
        </w:rPr>
        <w:t>Caesarean section</w:t>
      </w:r>
      <w:r w:rsidRPr="00D6403A">
        <w:rPr>
          <w:lang w:val="en-GB"/>
        </w:rPr>
        <w:t xml:space="preserve"> [Internet] Australia: Better Health Channel, 2022. Available from: </w:t>
      </w:r>
      <w:hyperlink r:id="rId143" w:history="1">
        <w:r w:rsidRPr="00E85642">
          <w:rPr>
            <w:rStyle w:val="Hyperlink"/>
            <w:lang w:val="en-GB"/>
          </w:rPr>
          <w:t>https://www.betterhealth.vic.gov.au/health/healthyliving/caesarean-section</w:t>
        </w:r>
      </w:hyperlink>
    </w:p>
    <w:p w14:paraId="60F8DC28" w14:textId="77777777" w:rsidR="00D6403A" w:rsidRPr="00D6403A" w:rsidRDefault="00D6403A" w:rsidP="00D6403A">
      <w:pPr>
        <w:rPr>
          <w:lang w:val="en-GB"/>
        </w:rPr>
      </w:pPr>
      <w:r w:rsidRPr="00D6403A">
        <w:rPr>
          <w:lang w:val="en-GB"/>
        </w:rPr>
        <w:t xml:space="preserve">Gavine A, Shinwell SC, Buchanan P, Farre A, Wade A, Lynn F, Marshall J, Cumming SE, Dare S, McFadden A. Support for healthy breastfeeding mothers with healthy term babies. </w:t>
      </w:r>
      <w:r w:rsidRPr="00D6403A">
        <w:rPr>
          <w:i/>
          <w:iCs/>
          <w:lang w:val="en-GB"/>
        </w:rPr>
        <w:t xml:space="preserve">Cochrane Database of Systematic Reviews. </w:t>
      </w:r>
      <w:r w:rsidRPr="00D6403A">
        <w:rPr>
          <w:lang w:val="en-GB"/>
        </w:rPr>
        <w:t>2022(10).</w:t>
      </w:r>
    </w:p>
    <w:p w14:paraId="4622CA5D" w14:textId="77777777" w:rsidR="00D6403A" w:rsidRPr="00D6403A" w:rsidRDefault="00D6403A" w:rsidP="00D6403A">
      <w:pPr>
        <w:rPr>
          <w:lang w:val="en-GB"/>
        </w:rPr>
      </w:pPr>
      <w:r w:rsidRPr="00D6403A">
        <w:rPr>
          <w:lang w:val="en-GB"/>
        </w:rPr>
        <w:t xml:space="preserve">Grobman WA, Rice MM, Reddy UM, Tita AT, Silver RM, Mallett G, Hill K, Thom EA, El-Sayed YY, Perez-Delboy A, Rouse DJ. Labor induction versus expectant management in low-risk nulliparous women. </w:t>
      </w:r>
      <w:r w:rsidRPr="00D6403A">
        <w:rPr>
          <w:i/>
          <w:iCs/>
          <w:lang w:val="en-GB"/>
        </w:rPr>
        <w:t xml:space="preserve">New England Journal of Medicine. </w:t>
      </w:r>
      <w:r w:rsidRPr="00D6403A">
        <w:rPr>
          <w:lang w:val="en-GB"/>
        </w:rPr>
        <w:t>2018 Aug 9;379(6):513–523.</w:t>
      </w:r>
    </w:p>
    <w:p w14:paraId="3FBA37D6" w14:textId="77777777" w:rsidR="00D6403A" w:rsidRPr="00D6403A" w:rsidRDefault="00D6403A" w:rsidP="00D6403A">
      <w:pPr>
        <w:rPr>
          <w:lang w:val="en-GB"/>
        </w:rPr>
      </w:pPr>
      <w:r w:rsidRPr="00D6403A">
        <w:rPr>
          <w:lang w:val="en-GB"/>
        </w:rPr>
        <w:t>Hong J, Atkinson J, Mitchell AR, Tong S, Walker SP, Middleton A, Lindquist A, Hastie R, 2023. Comparison of maternal labor-related complications and neonatal outcomes following elective induction of labor at 39</w:t>
      </w:r>
      <w:r w:rsidRPr="00D6403A">
        <w:rPr>
          <w:rFonts w:ascii="Cambria" w:hAnsi="Cambria" w:cs="Cambria"/>
          <w:lang w:val="en-GB"/>
        </w:rPr>
        <w:t> </w:t>
      </w:r>
      <w:r w:rsidRPr="00D6403A">
        <w:t xml:space="preserve">weeks of gestation vs expectant management: a systematic Review and Meta-analysis. </w:t>
      </w:r>
      <w:r w:rsidRPr="00D6403A">
        <w:rPr>
          <w:i/>
          <w:iCs/>
          <w:lang w:val="en-GB"/>
        </w:rPr>
        <w:t>JAMA Network Open,</w:t>
      </w:r>
      <w:r w:rsidRPr="00D6403A">
        <w:rPr>
          <w:lang w:val="en-GB"/>
        </w:rPr>
        <w:t xml:space="preserve"> 6(5), e2313162-e2313162.</w:t>
      </w:r>
    </w:p>
    <w:p w14:paraId="65FCF5B7" w14:textId="20E90E6C" w:rsidR="00D6403A" w:rsidRPr="00D6403A" w:rsidRDefault="00D6403A" w:rsidP="00D6403A">
      <w:pPr>
        <w:rPr>
          <w:lang w:val="en-GB"/>
        </w:rPr>
      </w:pPr>
      <w:r w:rsidRPr="00D6403A">
        <w:rPr>
          <w:lang w:val="en-GB"/>
        </w:rPr>
        <w:t xml:space="preserve">Red Nose. National Scientific Advisory Group (Young J). </w:t>
      </w:r>
      <w:r w:rsidRPr="00D6403A">
        <w:rPr>
          <w:i/>
          <w:iCs/>
          <w:lang w:val="en-GB"/>
        </w:rPr>
        <w:t xml:space="preserve">Information Statement: Breastfeeding and the risk of sudden unexpected death in infancy. </w:t>
      </w:r>
      <w:r w:rsidRPr="00D6403A">
        <w:rPr>
          <w:lang w:val="en-GB"/>
        </w:rPr>
        <w:t xml:space="preserve">Melbourne: National SIDS Council of Australia, 2014. Available from: </w:t>
      </w:r>
      <w:hyperlink r:id="rId144" w:history="1">
        <w:r w:rsidRPr="00E85642">
          <w:rPr>
            <w:rStyle w:val="Hyperlink"/>
            <w:lang w:val="en-GB"/>
          </w:rPr>
          <w:t>https://rednose.org.au/article/breastfeeding-and-the-risk-of-sudden-unexpected-death-in-infancy</w:t>
        </w:r>
      </w:hyperlink>
    </w:p>
    <w:p w14:paraId="346B59AE" w14:textId="444D8BA8" w:rsidR="00D6403A" w:rsidRPr="00D6403A" w:rsidRDefault="00D6403A" w:rsidP="00D6403A">
      <w:pPr>
        <w:rPr>
          <w:lang w:val="en-GB"/>
        </w:rPr>
      </w:pPr>
      <w:r w:rsidRPr="00D6403A">
        <w:rPr>
          <w:lang w:val="en-GB"/>
        </w:rPr>
        <w:t xml:space="preserve">Royal Australian and New Zealand College of Obstetricians and Gynaecologists (RANZCOG). </w:t>
      </w:r>
      <w:r w:rsidRPr="00D6403A">
        <w:rPr>
          <w:i/>
          <w:iCs/>
          <w:lang w:val="en-GB"/>
        </w:rPr>
        <w:t xml:space="preserve">Birth after previous caesarean section – Best Practice Statement. </w:t>
      </w:r>
      <w:r w:rsidRPr="00D6403A">
        <w:rPr>
          <w:lang w:val="en-GB"/>
        </w:rPr>
        <w:t xml:space="preserve">2019. Available from: </w:t>
      </w:r>
      <w:hyperlink r:id="rId145" w:history="1">
        <w:r w:rsidRPr="00E85642">
          <w:rPr>
            <w:rStyle w:val="Hyperlink"/>
            <w:lang w:val="en-GB"/>
          </w:rPr>
          <w:t>https://ranzcog.edu.au/wp-content/uploads/2022/05/Birth-after-previous-caesarean-section.pdf</w:t>
        </w:r>
      </w:hyperlink>
    </w:p>
    <w:p w14:paraId="155C26C7" w14:textId="6DF37529" w:rsidR="00D6403A" w:rsidRPr="00D6403A" w:rsidRDefault="00D6403A" w:rsidP="00D6403A">
      <w:pPr>
        <w:rPr>
          <w:lang w:val="en-GB"/>
        </w:rPr>
      </w:pPr>
      <w:r w:rsidRPr="00D6403A">
        <w:rPr>
          <w:lang w:val="en-GB"/>
        </w:rPr>
        <w:t xml:space="preserve">Stillbirth Centre of Research Excellence. </w:t>
      </w:r>
      <w:r w:rsidRPr="00D6403A">
        <w:rPr>
          <w:i/>
          <w:iCs/>
          <w:lang w:val="en-GB"/>
        </w:rPr>
        <w:t>Timing of birth,</w:t>
      </w:r>
      <w:r w:rsidRPr="00D6403A">
        <w:rPr>
          <w:lang w:val="en-GB"/>
        </w:rPr>
        <w:t xml:space="preserve"> 2023. Available from: </w:t>
      </w:r>
      <w:hyperlink r:id="rId146" w:history="1">
        <w:r w:rsidRPr="00E85642">
          <w:rPr>
            <w:rStyle w:val="Hyperlink"/>
            <w:lang w:val="en-GB"/>
          </w:rPr>
          <w:t>https://stillbirthcre.org.au/parents/safer-baby/timing-of-birth/</w:t>
        </w:r>
      </w:hyperlink>
    </w:p>
    <w:p w14:paraId="0B486D79" w14:textId="2FE28A86" w:rsidR="00D6403A" w:rsidRPr="00D6403A" w:rsidRDefault="00D6403A" w:rsidP="00D6403A">
      <w:r w:rsidRPr="00D6403A">
        <w:rPr>
          <w:lang w:val="en-GB"/>
        </w:rPr>
        <w:t xml:space="preserve">World Health Organization. </w:t>
      </w:r>
      <w:r w:rsidRPr="00D6403A">
        <w:rPr>
          <w:i/>
          <w:iCs/>
          <w:lang w:val="en-GB"/>
        </w:rPr>
        <w:t xml:space="preserve">Health Topics – Breastfeeding recommendations. </w:t>
      </w:r>
      <w:r w:rsidRPr="00D6403A">
        <w:t xml:space="preserve">World Health Organization, 2023. Available from: </w:t>
      </w:r>
      <w:hyperlink r:id="rId147" w:anchor="tab=tab_1" w:history="1">
        <w:r w:rsidRPr="00E85642">
          <w:rPr>
            <w:rStyle w:val="Hyperlink"/>
          </w:rPr>
          <w:t>https://www.who.int/health-topics/breastfeeding#tab=tab_1</w:t>
        </w:r>
      </w:hyperlink>
    </w:p>
    <w:p w14:paraId="4D08A34A" w14:textId="77777777" w:rsidR="00E85642" w:rsidRDefault="00E85642" w:rsidP="00E85642">
      <w:pPr>
        <w:pStyle w:val="Heading2"/>
        <w:rPr>
          <w:lang w:val="en-GB"/>
        </w:rPr>
        <w:sectPr w:rsidR="00E85642" w:rsidSect="004D6F5F">
          <w:pgSz w:w="11901" w:h="16817" w:code="9"/>
          <w:pgMar w:top="3402" w:right="851" w:bottom="1361" w:left="851" w:header="539" w:footer="624" w:gutter="0"/>
          <w:cols w:space="284"/>
          <w:docGrid w:linePitch="360" w:charSpace="46114"/>
        </w:sectPr>
      </w:pPr>
      <w:bookmarkStart w:id="102" w:name="_Toc159326657"/>
    </w:p>
    <w:p w14:paraId="30C9A40C" w14:textId="732AD3B4" w:rsidR="00D6403A" w:rsidRPr="00D6403A" w:rsidRDefault="00D6403A" w:rsidP="00E85642">
      <w:pPr>
        <w:pStyle w:val="Heading1"/>
        <w:framePr w:wrap="around"/>
        <w:rPr>
          <w:lang w:val="en-GB"/>
        </w:rPr>
      </w:pPr>
      <w:r w:rsidRPr="00D6403A">
        <w:rPr>
          <w:lang w:val="en-GB"/>
        </w:rPr>
        <w:lastRenderedPageBreak/>
        <w:t>Useful online resources</w:t>
      </w:r>
      <w:bookmarkEnd w:id="102"/>
    </w:p>
    <w:p w14:paraId="24B58519" w14:textId="77777777" w:rsidR="00D6403A" w:rsidRPr="00D6403A" w:rsidRDefault="00D6403A" w:rsidP="00F24E78">
      <w:pPr>
        <w:pStyle w:val="Heading2"/>
        <w:rPr>
          <w:lang w:val="en-GB"/>
        </w:rPr>
      </w:pPr>
      <w:r w:rsidRPr="00D6403A">
        <w:rPr>
          <w:lang w:val="en-GB"/>
        </w:rPr>
        <w:t xml:space="preserve">Victorian Department of Health </w:t>
      </w:r>
    </w:p>
    <w:p w14:paraId="1316941A" w14:textId="39C2D3F5" w:rsidR="008D5266" w:rsidRPr="008D5266" w:rsidRDefault="00232C24" w:rsidP="008D5266">
      <w:pPr>
        <w:pStyle w:val="Bullet1"/>
        <w:rPr>
          <w:rFonts w:eastAsiaTheme="minorEastAsia"/>
        </w:rPr>
      </w:pPr>
      <w:hyperlink r:id="rId148" w:history="1">
        <w:r w:rsidR="008D5266" w:rsidRPr="008D5266">
          <w:rPr>
            <w:rStyle w:val="Hyperlink"/>
          </w:rPr>
          <w:t>Victorian Government, Department of Health. Capability frameworks for Victorian maternity and newborn services. Melbourne: State Government of Victoria. 2022.</w:t>
        </w:r>
      </w:hyperlink>
      <w:r w:rsidR="008D5266" w:rsidRPr="008D5266">
        <w:t xml:space="preserve"> </w:t>
      </w:r>
      <w:r w:rsidR="008D5266">
        <w:br/>
      </w:r>
      <w:r w:rsidR="00EC5675">
        <w:t>&lt;</w:t>
      </w:r>
      <w:r w:rsidR="008D5266" w:rsidRPr="008D5266">
        <w:t>https://www.health.vic.gov.au/patient-care/capability-frameworks-for-maternity-and-newborn-care-in-victoria</w:t>
      </w:r>
      <w:r w:rsidR="00EC5675">
        <w:t>&gt;</w:t>
      </w:r>
    </w:p>
    <w:p w14:paraId="643C634A" w14:textId="7458AA9F" w:rsidR="008D5266" w:rsidRPr="008D5266" w:rsidRDefault="00232C24" w:rsidP="008D5266">
      <w:pPr>
        <w:pStyle w:val="Bullet1"/>
        <w:rPr>
          <w:rFonts w:eastAsiaTheme="minorEastAsia"/>
        </w:rPr>
      </w:pPr>
      <w:hyperlink r:id="rId149" w:history="1">
        <w:r w:rsidR="008D5266" w:rsidRPr="008D5266">
          <w:rPr>
            <w:rStyle w:val="Hyperlink"/>
          </w:rPr>
          <w:t>Department of Health, State Government of Victoria. Healthcare decision-making – options, benefits and risks. Australia: Better Health Channel. 2018.</w:t>
        </w:r>
      </w:hyperlink>
      <w:r w:rsidR="008D5266">
        <w:br/>
      </w:r>
      <w:r w:rsidR="00EC5675">
        <w:t>&lt;</w:t>
      </w:r>
      <w:r w:rsidR="008D5266" w:rsidRPr="008D5266">
        <w:t>https://www.betterhealth.vic.gov.au/health/servicesandsupport/healthcare-decision-making-options-benefits-and-risks</w:t>
      </w:r>
      <w:r w:rsidR="00EC5675">
        <w:t>&gt;</w:t>
      </w:r>
    </w:p>
    <w:p w14:paraId="7BB9F069" w14:textId="117A6AA3" w:rsidR="008D5266" w:rsidRPr="008D5266" w:rsidRDefault="00232C24" w:rsidP="008D5266">
      <w:pPr>
        <w:pStyle w:val="Bullet1"/>
        <w:rPr>
          <w:rFonts w:eastAsiaTheme="minorEastAsia"/>
        </w:rPr>
      </w:pPr>
      <w:hyperlink r:id="rId150" w:history="1">
        <w:r w:rsidR="008D5266" w:rsidRPr="008D5266">
          <w:rPr>
            <w:rStyle w:val="Hyperlink"/>
          </w:rPr>
          <w:t>Victorian Government, Department of Health. Victorian Perinatal Data Collection. Melbourne: State Government of Victoria. 2023.</w:t>
        </w:r>
      </w:hyperlink>
      <w:r w:rsidR="008D5266">
        <w:br/>
      </w:r>
      <w:r w:rsidR="00EC5675">
        <w:t>&lt;</w:t>
      </w:r>
      <w:r w:rsidR="008D5266" w:rsidRPr="008D5266">
        <w:t>https://www.health.vic.gov.au/quality-safety-service/victorian-perinatal-data-collection</w:t>
      </w:r>
      <w:r w:rsidR="00EC5675">
        <w:t>&gt;</w:t>
      </w:r>
    </w:p>
    <w:p w14:paraId="33A2C512" w14:textId="77777777" w:rsidR="00D6403A" w:rsidRPr="00D6403A" w:rsidRDefault="00D6403A" w:rsidP="00F24E78">
      <w:pPr>
        <w:pStyle w:val="Heading2"/>
        <w:rPr>
          <w:lang w:val="en-GB"/>
        </w:rPr>
      </w:pPr>
      <w:r w:rsidRPr="00D6403A">
        <w:rPr>
          <w:lang w:val="en-GB"/>
        </w:rPr>
        <w:t xml:space="preserve">Safer Care Victoria </w:t>
      </w:r>
    </w:p>
    <w:p w14:paraId="7AAB137F" w14:textId="27DB139C" w:rsidR="008D5266" w:rsidRPr="00D6403A" w:rsidRDefault="00232C24" w:rsidP="008D5266">
      <w:pPr>
        <w:pStyle w:val="Bullet1"/>
        <w:rPr>
          <w:lang w:val="en-GB"/>
        </w:rPr>
      </w:pPr>
      <w:hyperlink r:id="rId151" w:history="1">
        <w:r w:rsidR="008D5266" w:rsidRPr="008D5266">
          <w:rPr>
            <w:rStyle w:val="Hyperlink"/>
            <w:lang w:val="en-GB"/>
          </w:rPr>
          <w:t>Safer Care Victoria</w:t>
        </w:r>
      </w:hyperlink>
      <w:r w:rsidR="008D5266" w:rsidRPr="00D6403A">
        <w:rPr>
          <w:lang w:val="en-GB"/>
        </w:rPr>
        <w:t xml:space="preserve">. </w:t>
      </w:r>
      <w:r w:rsidR="008D5266">
        <w:rPr>
          <w:lang w:val="en-GB"/>
        </w:rPr>
        <w:br/>
      </w:r>
      <w:r w:rsidR="00EC5675">
        <w:rPr>
          <w:lang w:val="en-GB"/>
        </w:rPr>
        <w:t>&lt;</w:t>
      </w:r>
      <w:r w:rsidR="008D5266" w:rsidRPr="00D6403A">
        <w:rPr>
          <w:lang w:val="en-GB"/>
        </w:rPr>
        <w:t>https://safercare.vic.gov.au</w:t>
      </w:r>
      <w:r w:rsidR="00EC5675">
        <w:rPr>
          <w:lang w:val="en-GB"/>
        </w:rPr>
        <w:t>&gt;</w:t>
      </w:r>
    </w:p>
    <w:p w14:paraId="1017E022" w14:textId="4403F6BD" w:rsidR="008D5266" w:rsidRPr="00D6403A" w:rsidRDefault="00232C24" w:rsidP="008D5266">
      <w:pPr>
        <w:pStyle w:val="Bullet1"/>
        <w:rPr>
          <w:lang w:val="en-GB"/>
        </w:rPr>
      </w:pPr>
      <w:hyperlink r:id="rId152" w:history="1">
        <w:r w:rsidR="008D5266" w:rsidRPr="008D5266">
          <w:rPr>
            <w:rStyle w:val="Hyperlink"/>
            <w:lang w:val="en-GB"/>
          </w:rPr>
          <w:t>Safer Care Victoria. COVID-19 communique. Consultative Council of Obstetric and Paediatric Morbidity and Mortality. 2023.</w:t>
        </w:r>
      </w:hyperlink>
      <w:r w:rsidR="008D5266">
        <w:rPr>
          <w:lang w:val="en-GB"/>
        </w:rPr>
        <w:br/>
      </w:r>
      <w:r w:rsidR="00EC5675">
        <w:rPr>
          <w:lang w:val="en-GB"/>
        </w:rPr>
        <w:t>&lt;</w:t>
      </w:r>
      <w:r w:rsidR="008D5266" w:rsidRPr="00D6403A">
        <w:rPr>
          <w:lang w:val="en-GB"/>
        </w:rPr>
        <w:t>https://www.safercare.vic.gov.au/sites/default/files/2023</w:t>
      </w:r>
      <w:r w:rsidR="008D5266">
        <w:rPr>
          <w:lang w:val="en-GB"/>
        </w:rPr>
        <w:t>-</w:t>
      </w:r>
      <w:r w:rsidR="008D5266" w:rsidRPr="00D6403A">
        <w:rPr>
          <w:lang w:val="en-GB"/>
        </w:rPr>
        <w:t>09/Final%20CCOPMM%20COVID%20communique.pdf</w:t>
      </w:r>
      <w:r w:rsidR="00EC5675">
        <w:rPr>
          <w:lang w:val="en-GB"/>
        </w:rPr>
        <w:t>&gt;</w:t>
      </w:r>
    </w:p>
    <w:p w14:paraId="7EFE2887" w14:textId="70EFFDD8" w:rsidR="008D5266" w:rsidRPr="00D6403A" w:rsidRDefault="00232C24" w:rsidP="008D5266">
      <w:pPr>
        <w:pStyle w:val="Bullet1"/>
        <w:rPr>
          <w:lang w:val="en-GB"/>
        </w:rPr>
      </w:pPr>
      <w:hyperlink r:id="rId153" w:history="1">
        <w:r w:rsidR="008D5266" w:rsidRPr="008D5266">
          <w:rPr>
            <w:rStyle w:val="Hyperlink"/>
            <w:lang w:val="en-GB"/>
          </w:rPr>
          <w:t>Safer Care Victoria. Maternity and Newborn Learning Health Network. 2023.</w:t>
        </w:r>
      </w:hyperlink>
      <w:r w:rsidR="008D5266">
        <w:rPr>
          <w:lang w:val="en-GB"/>
        </w:rPr>
        <w:br/>
      </w:r>
      <w:r w:rsidR="00EC5675">
        <w:rPr>
          <w:lang w:val="en-GB"/>
        </w:rPr>
        <w:t>&lt;</w:t>
      </w:r>
      <w:r w:rsidR="008D5266" w:rsidRPr="00D6403A">
        <w:rPr>
          <w:lang w:val="en-GB"/>
        </w:rPr>
        <w:t>https://www.safercare.vic.gov.au/best-practice-improvement/learning-health-networks/maternity-newborn-lhn</w:t>
      </w:r>
      <w:r w:rsidR="00EC5675">
        <w:rPr>
          <w:lang w:val="en-GB"/>
        </w:rPr>
        <w:t>&gt;</w:t>
      </w:r>
    </w:p>
    <w:p w14:paraId="7577F188" w14:textId="77777777" w:rsidR="00D6403A" w:rsidRPr="00D6403A" w:rsidRDefault="00D6403A" w:rsidP="00F24E78">
      <w:pPr>
        <w:pStyle w:val="Heading2"/>
        <w:rPr>
          <w:lang w:val="en-GB"/>
        </w:rPr>
      </w:pPr>
      <w:r w:rsidRPr="00D6403A">
        <w:rPr>
          <w:lang w:val="en-GB"/>
        </w:rPr>
        <w:t>Breastfeeding</w:t>
      </w:r>
    </w:p>
    <w:p w14:paraId="56E56BFC" w14:textId="53A9E4C8" w:rsidR="008D5266" w:rsidRPr="00D6403A" w:rsidRDefault="00232C24" w:rsidP="008D5266">
      <w:pPr>
        <w:pStyle w:val="Bullet1"/>
        <w:rPr>
          <w:lang w:val="en-GB"/>
        </w:rPr>
      </w:pPr>
      <w:hyperlink r:id="rId154" w:history="1">
        <w:r w:rsidR="008D5266" w:rsidRPr="008D5266">
          <w:rPr>
            <w:rStyle w:val="Hyperlink"/>
            <w:lang w:val="en-GB"/>
          </w:rPr>
          <w:t>Australian Breastfeeding Association.</w:t>
        </w:r>
      </w:hyperlink>
      <w:r w:rsidR="008D5266">
        <w:rPr>
          <w:lang w:val="en-GB"/>
        </w:rPr>
        <w:br/>
      </w:r>
      <w:r w:rsidR="00EC5675">
        <w:rPr>
          <w:lang w:val="en-GB"/>
        </w:rPr>
        <w:t>&lt;</w:t>
      </w:r>
      <w:r w:rsidR="008D5266" w:rsidRPr="00D6403A">
        <w:rPr>
          <w:lang w:val="en-GB"/>
        </w:rPr>
        <w:t>https://www.breastfeeding.asn.au/</w:t>
      </w:r>
      <w:r w:rsidR="00EC5675">
        <w:rPr>
          <w:lang w:val="en-GB"/>
        </w:rPr>
        <w:t>&gt;</w:t>
      </w:r>
    </w:p>
    <w:p w14:paraId="3A6C7FFC" w14:textId="52B13DE5" w:rsidR="008D5266" w:rsidRPr="00D6403A" w:rsidRDefault="00232C24" w:rsidP="008D5266">
      <w:pPr>
        <w:pStyle w:val="Bullet1"/>
        <w:rPr>
          <w:lang w:val="en-GB"/>
        </w:rPr>
      </w:pPr>
      <w:hyperlink r:id="rId155" w:history="1">
        <w:r w:rsidR="008D5266" w:rsidRPr="008D5266">
          <w:rPr>
            <w:rStyle w:val="Hyperlink"/>
            <w:lang w:val="en-GB"/>
          </w:rPr>
          <w:t>BFHI Australia. Baby Friendly Health Initiative.</w:t>
        </w:r>
      </w:hyperlink>
      <w:r w:rsidR="008D5266">
        <w:rPr>
          <w:lang w:val="en-GB"/>
        </w:rPr>
        <w:br/>
      </w:r>
      <w:r w:rsidR="00EC5675">
        <w:rPr>
          <w:lang w:val="en-GB"/>
        </w:rPr>
        <w:t>&lt;</w:t>
      </w:r>
      <w:r w:rsidR="008D5266" w:rsidRPr="00D6403A">
        <w:rPr>
          <w:lang w:val="en-GB"/>
        </w:rPr>
        <w:t>https://bfhi.org.au/</w:t>
      </w:r>
      <w:r w:rsidR="00EC5675">
        <w:rPr>
          <w:lang w:val="en-GB"/>
        </w:rPr>
        <w:t>&gt;</w:t>
      </w:r>
    </w:p>
    <w:p w14:paraId="088BA36B" w14:textId="77777777" w:rsidR="00D6403A" w:rsidRPr="00D6403A" w:rsidRDefault="00D6403A" w:rsidP="00F24E78">
      <w:pPr>
        <w:pStyle w:val="Heading2"/>
        <w:rPr>
          <w:lang w:val="en-GB"/>
        </w:rPr>
      </w:pPr>
      <w:r w:rsidRPr="00F24E78">
        <w:t>Immunisation</w:t>
      </w:r>
    </w:p>
    <w:p w14:paraId="7C33E8E3" w14:textId="1A8C215D" w:rsidR="008D5266" w:rsidRPr="00D6403A" w:rsidRDefault="00232C24" w:rsidP="008D5266">
      <w:pPr>
        <w:pStyle w:val="Bullet1"/>
        <w:rPr>
          <w:lang w:val="en-GB"/>
        </w:rPr>
      </w:pPr>
      <w:hyperlink r:id="rId156" w:history="1">
        <w:r w:rsidR="008D5266" w:rsidRPr="00BF3100">
          <w:rPr>
            <w:rStyle w:val="Hyperlink"/>
            <w:lang w:val="en-GB"/>
          </w:rPr>
          <w:t>Australian Government. Australian Immunisation Handbook. Pertussis (whooping cough). 2023.</w:t>
        </w:r>
      </w:hyperlink>
      <w:r w:rsidR="008D5266">
        <w:rPr>
          <w:lang w:val="en-GB"/>
        </w:rPr>
        <w:br/>
      </w:r>
      <w:r w:rsidR="00EC5675">
        <w:rPr>
          <w:lang w:val="en-GB"/>
        </w:rPr>
        <w:t>&lt;</w:t>
      </w:r>
      <w:r w:rsidR="008D5266" w:rsidRPr="00D6403A">
        <w:rPr>
          <w:lang w:val="en-GB"/>
        </w:rPr>
        <w:t>https://immunisationhandbook.health.gov.au/vaccine-preventable-diseases/pertussis-whooping-cough</w:t>
      </w:r>
      <w:r w:rsidR="00EC5675">
        <w:rPr>
          <w:lang w:val="en-GB"/>
        </w:rPr>
        <w:t>&gt;</w:t>
      </w:r>
    </w:p>
    <w:p w14:paraId="6E7A5608" w14:textId="0CE8B086" w:rsidR="008D5266" w:rsidRPr="00D6403A" w:rsidRDefault="00232C24" w:rsidP="008D5266">
      <w:pPr>
        <w:pStyle w:val="Bullet1"/>
        <w:rPr>
          <w:lang w:val="en-GB"/>
        </w:rPr>
      </w:pPr>
      <w:hyperlink r:id="rId157" w:history="1">
        <w:r w:rsidR="008D5266" w:rsidRPr="00BF3100">
          <w:rPr>
            <w:rStyle w:val="Hyperlink"/>
            <w:lang w:val="en-GB"/>
          </w:rPr>
          <w:t>Australian Government. Australian Immunisation Handbook. Influenza (flu). 2023.</w:t>
        </w:r>
      </w:hyperlink>
      <w:r w:rsidR="008D5266">
        <w:rPr>
          <w:lang w:val="en-GB"/>
        </w:rPr>
        <w:br/>
      </w:r>
      <w:r w:rsidR="00EC5675">
        <w:rPr>
          <w:lang w:val="en-GB"/>
        </w:rPr>
        <w:t>&lt;</w:t>
      </w:r>
      <w:r w:rsidR="008D5266" w:rsidRPr="00D6403A">
        <w:rPr>
          <w:lang w:val="en-GB"/>
        </w:rPr>
        <w:t>https://immunisationhandbook.health.gov.au/contents/vaccine-preventable-diseases/influenza-flu</w:t>
      </w:r>
      <w:r w:rsidR="00EC5675">
        <w:rPr>
          <w:lang w:val="en-GB"/>
        </w:rPr>
        <w:t>&gt;</w:t>
      </w:r>
    </w:p>
    <w:p w14:paraId="66435DA0" w14:textId="55C8BFF2" w:rsidR="008D5266" w:rsidRPr="00D6403A" w:rsidRDefault="00232C24" w:rsidP="008D5266">
      <w:pPr>
        <w:pStyle w:val="Bullet1"/>
        <w:rPr>
          <w:lang w:val="en-GB"/>
        </w:rPr>
      </w:pPr>
      <w:hyperlink r:id="rId158" w:history="1">
        <w:r w:rsidR="008D5266" w:rsidRPr="00BF3100">
          <w:rPr>
            <w:rStyle w:val="Hyperlink"/>
            <w:lang w:val="en-GB"/>
          </w:rPr>
          <w:t>Australian Government. Influenza and pertussis (whooping cough) vaccination in pregnancy. 2019.</w:t>
        </w:r>
      </w:hyperlink>
      <w:r w:rsidR="008D5266">
        <w:rPr>
          <w:lang w:val="en-GB"/>
        </w:rPr>
        <w:br/>
      </w:r>
      <w:r w:rsidR="00EC5675">
        <w:rPr>
          <w:lang w:val="en-GB"/>
        </w:rPr>
        <w:t>&lt;</w:t>
      </w:r>
      <w:r w:rsidR="008D5266" w:rsidRPr="00D6403A">
        <w:rPr>
          <w:lang w:val="en-GB"/>
        </w:rPr>
        <w:t>https://www.health.gov.au/news/influenza-and-pertussis-whooping-cough-vaccination-in-pregnancy</w:t>
      </w:r>
      <w:r w:rsidR="00EC5675">
        <w:rPr>
          <w:lang w:val="en-GB"/>
        </w:rPr>
        <w:t>&gt;</w:t>
      </w:r>
    </w:p>
    <w:p w14:paraId="416BB28B" w14:textId="03D9C614" w:rsidR="008D5266" w:rsidRPr="00D6403A" w:rsidRDefault="00232C24" w:rsidP="008D5266">
      <w:pPr>
        <w:pStyle w:val="Bullet1"/>
        <w:rPr>
          <w:lang w:val="en-GB"/>
        </w:rPr>
      </w:pPr>
      <w:hyperlink r:id="rId159" w:history="1">
        <w:r w:rsidR="008D5266" w:rsidRPr="00BF3100">
          <w:rPr>
            <w:rStyle w:val="Hyperlink"/>
            <w:lang w:val="en-GB"/>
          </w:rPr>
          <w:t>Australian Government. Immunisation. 2023.</w:t>
        </w:r>
      </w:hyperlink>
      <w:r w:rsidR="008D5266">
        <w:rPr>
          <w:lang w:val="en-GB"/>
        </w:rPr>
        <w:br/>
      </w:r>
      <w:r w:rsidR="00EC5675">
        <w:rPr>
          <w:lang w:val="en-GB"/>
        </w:rPr>
        <w:t>&lt;</w:t>
      </w:r>
      <w:r w:rsidR="008D5266" w:rsidRPr="00D6403A">
        <w:rPr>
          <w:lang w:val="en-GB"/>
        </w:rPr>
        <w:t>https://www.health.gov.au/topics/immunisation</w:t>
      </w:r>
      <w:r w:rsidR="00EC5675">
        <w:rPr>
          <w:lang w:val="en-GB"/>
        </w:rPr>
        <w:t>&gt;</w:t>
      </w:r>
    </w:p>
    <w:p w14:paraId="5BAD5C28" w14:textId="49F7FBC4" w:rsidR="008D5266" w:rsidRPr="00D6403A" w:rsidRDefault="00232C24" w:rsidP="008D5266">
      <w:pPr>
        <w:pStyle w:val="Bullet1"/>
        <w:rPr>
          <w:lang w:val="en-GB"/>
        </w:rPr>
      </w:pPr>
      <w:hyperlink r:id="rId160" w:history="1">
        <w:r w:rsidR="008D5266" w:rsidRPr="00BF3100">
          <w:rPr>
            <w:rStyle w:val="Hyperlink"/>
            <w:lang w:val="en-GB"/>
          </w:rPr>
          <w:t>Australian Government. Immunisation for</w:t>
        </w:r>
        <w:r w:rsidR="008D5266" w:rsidRPr="00BF3100">
          <w:rPr>
            <w:rStyle w:val="Hyperlink"/>
            <w:rFonts w:ascii="Cambria" w:hAnsi="Cambria" w:cs="Cambria"/>
            <w:lang w:val="en-GB"/>
          </w:rPr>
          <w:t> </w:t>
        </w:r>
        <w:r w:rsidR="008D5266" w:rsidRPr="00BF3100">
          <w:rPr>
            <w:rStyle w:val="Hyperlink"/>
            <w:lang w:val="en-GB"/>
          </w:rPr>
          <w:t>pregnancy. 2023.</w:t>
        </w:r>
      </w:hyperlink>
      <w:r w:rsidR="008D5266">
        <w:rPr>
          <w:rFonts w:ascii="VIC" w:hAnsi="VIC" w:cs="VIC"/>
          <w:color w:val="000000"/>
          <w:lang w:val="en-GB"/>
        </w:rPr>
        <w:br/>
      </w:r>
      <w:r w:rsidR="00EC5675">
        <w:rPr>
          <w:lang w:val="en-GB"/>
        </w:rPr>
        <w:t>&lt;</w:t>
      </w:r>
      <w:r w:rsidR="008D5266" w:rsidRPr="00D6403A">
        <w:rPr>
          <w:lang w:val="en-GB"/>
        </w:rPr>
        <w:t>https://www.health.gov.au/topics/immunisation/when-to-get-vaccinated/immunisation-for-pregnancy</w:t>
      </w:r>
      <w:r w:rsidR="00EC5675">
        <w:rPr>
          <w:lang w:val="en-GB"/>
        </w:rPr>
        <w:t>&gt;</w:t>
      </w:r>
    </w:p>
    <w:p w14:paraId="24B54652" w14:textId="11789AC2" w:rsidR="008D5266" w:rsidRPr="00D6403A" w:rsidRDefault="00232C24" w:rsidP="008D5266">
      <w:pPr>
        <w:pStyle w:val="Bullet1"/>
        <w:rPr>
          <w:lang w:val="en-GB"/>
        </w:rPr>
      </w:pPr>
      <w:hyperlink r:id="rId161" w:history="1">
        <w:r w:rsidR="008D5266" w:rsidRPr="00BF3100">
          <w:rPr>
            <w:rStyle w:val="Hyperlink"/>
            <w:lang w:val="en-GB"/>
          </w:rPr>
          <w:t>Victorian Government, Department of Health. Immunisation. 2023.</w:t>
        </w:r>
      </w:hyperlink>
      <w:r w:rsidR="008D5266" w:rsidRPr="00D6403A">
        <w:rPr>
          <w:lang w:val="en-GB"/>
        </w:rPr>
        <w:t xml:space="preserve"> </w:t>
      </w:r>
      <w:r w:rsidR="008D5266">
        <w:rPr>
          <w:lang w:val="en-GB"/>
        </w:rPr>
        <w:br/>
      </w:r>
      <w:r w:rsidR="00EC5675">
        <w:rPr>
          <w:lang w:val="en-GB"/>
        </w:rPr>
        <w:t>&lt;</w:t>
      </w:r>
      <w:r w:rsidR="008D5266" w:rsidRPr="00D6403A">
        <w:rPr>
          <w:lang w:val="en-GB"/>
        </w:rPr>
        <w:t>https://www.health.vic.gov.au/public-health/immunisation</w:t>
      </w:r>
      <w:r w:rsidR="00EC5675">
        <w:rPr>
          <w:lang w:val="en-GB"/>
        </w:rPr>
        <w:t>&gt;</w:t>
      </w:r>
    </w:p>
    <w:p w14:paraId="59577ED2" w14:textId="07B5CD42" w:rsidR="008D5266" w:rsidRPr="00D6403A" w:rsidRDefault="00232C24" w:rsidP="008D5266">
      <w:pPr>
        <w:pStyle w:val="Bullet1"/>
        <w:rPr>
          <w:lang w:val="en-GB"/>
        </w:rPr>
      </w:pPr>
      <w:hyperlink r:id="rId162" w:history="1">
        <w:r w:rsidR="008D5266" w:rsidRPr="00BF3100">
          <w:rPr>
            <w:rStyle w:val="Hyperlink"/>
            <w:lang w:val="en-GB"/>
          </w:rPr>
          <w:t>Sharing Knowledge About Immunisation (SKAI). Pregnancy and newborn vaccinations. 2023.</w:t>
        </w:r>
      </w:hyperlink>
      <w:r w:rsidR="008D5266">
        <w:rPr>
          <w:lang w:val="en-GB"/>
        </w:rPr>
        <w:br/>
      </w:r>
      <w:r w:rsidR="00EC5675">
        <w:rPr>
          <w:lang w:val="en-GB"/>
        </w:rPr>
        <w:t>&lt;</w:t>
      </w:r>
      <w:r w:rsidR="008D5266" w:rsidRPr="00D6403A">
        <w:rPr>
          <w:lang w:val="en-GB"/>
        </w:rPr>
        <w:t>https://skai.org.au/pregnancy-and-newborn/resources/factsheets</w:t>
      </w:r>
      <w:r w:rsidR="00EC5675">
        <w:rPr>
          <w:lang w:val="en-GB"/>
        </w:rPr>
        <w:t>&gt;</w:t>
      </w:r>
    </w:p>
    <w:p w14:paraId="4C8ED8D5" w14:textId="77777777" w:rsidR="00D6403A" w:rsidRPr="00D6403A" w:rsidRDefault="00D6403A" w:rsidP="00F24E78">
      <w:pPr>
        <w:pStyle w:val="Heading2"/>
        <w:rPr>
          <w:lang w:val="en-GB"/>
        </w:rPr>
      </w:pPr>
      <w:r w:rsidRPr="00F24E78">
        <w:t>Perineal</w:t>
      </w:r>
      <w:r w:rsidRPr="00D6403A">
        <w:rPr>
          <w:lang w:val="en-GB"/>
        </w:rPr>
        <w:t xml:space="preserve"> tears</w:t>
      </w:r>
    </w:p>
    <w:p w14:paraId="4556FA4F" w14:textId="78C7AE9A" w:rsidR="00BF3100" w:rsidRPr="00D6403A" w:rsidRDefault="00232C24" w:rsidP="00BF3100">
      <w:pPr>
        <w:pStyle w:val="Bullet1"/>
        <w:rPr>
          <w:lang w:val="en-GB"/>
        </w:rPr>
      </w:pPr>
      <w:hyperlink r:id="rId163" w:history="1">
        <w:r w:rsidR="00BF3100" w:rsidRPr="00BF3100">
          <w:rPr>
            <w:rStyle w:val="Hyperlink"/>
            <w:lang w:val="en-GB"/>
          </w:rPr>
          <w:t>Safer Care Victoria. Better births for women collaborative. 2023.</w:t>
        </w:r>
      </w:hyperlink>
      <w:r w:rsidR="00BF3100">
        <w:rPr>
          <w:lang w:val="en-GB"/>
        </w:rPr>
        <w:br/>
      </w:r>
      <w:r w:rsidR="00EC5675">
        <w:rPr>
          <w:lang w:val="en-GB"/>
        </w:rPr>
        <w:t>&lt;</w:t>
      </w:r>
      <w:r w:rsidR="00BF3100" w:rsidRPr="00D6403A">
        <w:rPr>
          <w:lang w:val="en-GB"/>
        </w:rPr>
        <w:t>https://www.safercare.vic.gov.au/improvement/projects/mbc/better-births</w:t>
      </w:r>
      <w:r w:rsidR="00EC5675">
        <w:rPr>
          <w:lang w:val="en-GB"/>
        </w:rPr>
        <w:t>&gt;</w:t>
      </w:r>
    </w:p>
    <w:p w14:paraId="34CD939F" w14:textId="5AD5B0E8" w:rsidR="00BF3100" w:rsidRPr="00D6403A" w:rsidRDefault="00232C24" w:rsidP="00BF3100">
      <w:pPr>
        <w:pStyle w:val="Bullet1"/>
        <w:rPr>
          <w:lang w:val="en-GB"/>
        </w:rPr>
      </w:pPr>
      <w:hyperlink r:id="rId164" w:history="1">
        <w:r w:rsidR="00BF3100" w:rsidRPr="00BF3100">
          <w:rPr>
            <w:rStyle w:val="Hyperlink"/>
            <w:lang w:val="en-GB"/>
          </w:rPr>
          <w:t>Safer Care Victoria. Perineal protection project – audit tool. 2021.</w:t>
        </w:r>
      </w:hyperlink>
      <w:r w:rsidR="00BF3100">
        <w:rPr>
          <w:lang w:val="en-GB"/>
        </w:rPr>
        <w:br/>
      </w:r>
      <w:r w:rsidR="008160DE">
        <w:rPr>
          <w:lang w:val="en-GB"/>
        </w:rPr>
        <w:t>&lt;</w:t>
      </w:r>
      <w:r w:rsidR="00BF3100" w:rsidRPr="00D6403A">
        <w:rPr>
          <w:lang w:val="en-GB"/>
        </w:rPr>
        <w:t>https://www.bettersafercare.vic.gov.au/improvement/projects/mbc/perineal-protection</w:t>
      </w:r>
      <w:r w:rsidR="008160DE">
        <w:rPr>
          <w:lang w:val="en-GB"/>
        </w:rPr>
        <w:t>&gt;</w:t>
      </w:r>
    </w:p>
    <w:p w14:paraId="4DA51C51" w14:textId="4B7C7198" w:rsidR="00BF3100" w:rsidRPr="00D6403A" w:rsidRDefault="00232C24" w:rsidP="00BF3100">
      <w:pPr>
        <w:pStyle w:val="Bullet1"/>
        <w:rPr>
          <w:lang w:val="en-GB"/>
        </w:rPr>
      </w:pPr>
      <w:hyperlink r:id="rId165" w:history="1">
        <w:r w:rsidR="00BF3100" w:rsidRPr="00BF3100">
          <w:rPr>
            <w:rStyle w:val="Hyperlink"/>
            <w:lang w:val="en-GB"/>
          </w:rPr>
          <w:t>Australian Commission on Safety and Quality in</w:t>
        </w:r>
        <w:r w:rsidR="00BF3100" w:rsidRPr="00BF3100">
          <w:rPr>
            <w:rStyle w:val="Hyperlink"/>
            <w:rFonts w:ascii="Cambria" w:hAnsi="Cambria" w:cs="Cambria"/>
            <w:lang w:val="en-GB"/>
          </w:rPr>
          <w:t> </w:t>
        </w:r>
        <w:r w:rsidR="00BF3100" w:rsidRPr="00BF3100">
          <w:rPr>
            <w:rStyle w:val="Hyperlink"/>
            <w:lang w:val="en-GB"/>
          </w:rPr>
          <w:t>Health Care. Third and Fourth Degree Perineal Tears Clinical Care Standard. 2021.</w:t>
        </w:r>
      </w:hyperlink>
      <w:r w:rsidR="00BF3100">
        <w:rPr>
          <w:rFonts w:ascii="VIC" w:hAnsi="VIC" w:cs="VIC"/>
          <w:color w:val="000000"/>
          <w:lang w:val="en-GB"/>
        </w:rPr>
        <w:br/>
      </w:r>
      <w:r w:rsidR="008160DE">
        <w:rPr>
          <w:lang w:val="en-GB"/>
        </w:rPr>
        <w:t>&lt;</w:t>
      </w:r>
      <w:r w:rsidR="00BF3100" w:rsidRPr="00D6403A">
        <w:rPr>
          <w:lang w:val="en-GB"/>
        </w:rPr>
        <w:t>https://www.safetyandquality.gov.au/standards/clinical-care-standards/third-and-fourth-degree-perineal-tears-clinical-care-standard</w:t>
      </w:r>
      <w:r w:rsidR="008160DE">
        <w:rPr>
          <w:lang w:val="en-GB"/>
        </w:rPr>
        <w:t>&gt;</w:t>
      </w:r>
    </w:p>
    <w:p w14:paraId="523C3C4C" w14:textId="52F0A978" w:rsidR="00BF3100" w:rsidRPr="00D6403A" w:rsidRDefault="00232C24" w:rsidP="00BF3100">
      <w:pPr>
        <w:pStyle w:val="Bullet1"/>
        <w:rPr>
          <w:lang w:val="en-GB"/>
        </w:rPr>
      </w:pPr>
      <w:hyperlink r:id="rId166" w:history="1">
        <w:r w:rsidR="00BF3100" w:rsidRPr="00BF3100">
          <w:rPr>
            <w:rStyle w:val="Hyperlink"/>
            <w:lang w:val="en-GB"/>
          </w:rPr>
          <w:t>Women’s Healthcare Australasia. The How to Guide: WHA CEC Perineal Protection Bundle. 2019.</w:t>
        </w:r>
      </w:hyperlink>
      <w:r w:rsidR="00BF3100">
        <w:rPr>
          <w:lang w:val="en-GB"/>
        </w:rPr>
        <w:br/>
      </w:r>
      <w:r w:rsidR="008160DE">
        <w:rPr>
          <w:lang w:val="en-GB"/>
        </w:rPr>
        <w:t>&lt;</w:t>
      </w:r>
      <w:r w:rsidR="00BF3100" w:rsidRPr="00D6403A">
        <w:rPr>
          <w:lang w:val="en-GB"/>
        </w:rPr>
        <w:t>https://women.wcha.asn.au/wp-content/uploads/sites/3/2022/04/wha_national_collaborative_how_to_guide_21.1.20.pdf</w:t>
      </w:r>
      <w:r w:rsidR="008160DE">
        <w:rPr>
          <w:lang w:val="en-GB"/>
        </w:rPr>
        <w:t>&gt;</w:t>
      </w:r>
    </w:p>
    <w:p w14:paraId="14CBA30B" w14:textId="77777777" w:rsidR="00D6403A" w:rsidRPr="00D6403A" w:rsidRDefault="00D6403A" w:rsidP="00F24E78">
      <w:pPr>
        <w:pStyle w:val="Heading2"/>
        <w:rPr>
          <w:lang w:val="en-GB"/>
        </w:rPr>
      </w:pPr>
      <w:r w:rsidRPr="00D6403A">
        <w:rPr>
          <w:lang w:val="en-GB"/>
        </w:rPr>
        <w:t xml:space="preserve">Postpartum </w:t>
      </w:r>
      <w:r w:rsidRPr="00F24E78">
        <w:t>haemorrhage</w:t>
      </w:r>
    </w:p>
    <w:p w14:paraId="32697815" w14:textId="75A23DBA" w:rsidR="00BF3100" w:rsidRPr="00D6403A" w:rsidRDefault="00232C24" w:rsidP="00BF3100">
      <w:pPr>
        <w:pStyle w:val="Bullet1"/>
        <w:rPr>
          <w:lang w:val="en-GB"/>
        </w:rPr>
      </w:pPr>
      <w:hyperlink r:id="rId167" w:history="1">
        <w:r w:rsidR="00BF3100" w:rsidRPr="00BF3100">
          <w:rPr>
            <w:rStyle w:val="Hyperlink"/>
            <w:lang w:val="en-GB"/>
          </w:rPr>
          <w:t>Safer Care Victoria. Postpartum Haemorrhage Collaborative. 2022.</w:t>
        </w:r>
      </w:hyperlink>
      <w:r w:rsidR="00BF3100">
        <w:rPr>
          <w:lang w:val="en-GB"/>
        </w:rPr>
        <w:br/>
      </w:r>
      <w:r w:rsidR="008160DE">
        <w:rPr>
          <w:lang w:val="en-GB"/>
        </w:rPr>
        <w:t>&lt;</w:t>
      </w:r>
      <w:r w:rsidR="00BF3100" w:rsidRPr="00D6403A">
        <w:rPr>
          <w:lang w:val="en-GB"/>
        </w:rPr>
        <w:t>https://www.safercare.vic.gov.au/100000lives/projects/postpartum-haemorrhage-collaborative</w:t>
      </w:r>
      <w:r w:rsidR="008160DE">
        <w:rPr>
          <w:lang w:val="en-GB"/>
        </w:rPr>
        <w:t>&gt;</w:t>
      </w:r>
    </w:p>
    <w:p w14:paraId="13307FCB" w14:textId="6C27004E" w:rsidR="00BF3100" w:rsidRPr="00D6403A" w:rsidRDefault="00232C24" w:rsidP="00BF3100">
      <w:pPr>
        <w:pStyle w:val="Bullet1"/>
        <w:rPr>
          <w:lang w:val="en-GB"/>
        </w:rPr>
      </w:pPr>
      <w:hyperlink r:id="rId168" w:history="1">
        <w:r w:rsidR="00BF3100" w:rsidRPr="00BF3100">
          <w:rPr>
            <w:rStyle w:val="Hyperlink"/>
            <w:lang w:val="en-GB"/>
          </w:rPr>
          <w:t>Safer Care Victoria. Clinical guidance: maternity. Postpartum haemorrhage (PPH) – prevention, assessment and management. 2018.</w:t>
        </w:r>
      </w:hyperlink>
      <w:r w:rsidR="00BF3100">
        <w:rPr>
          <w:lang w:val="en-GB"/>
        </w:rPr>
        <w:br/>
      </w:r>
      <w:r w:rsidR="008160DE">
        <w:rPr>
          <w:lang w:val="en-GB"/>
        </w:rPr>
        <w:t>&lt;</w:t>
      </w:r>
      <w:r w:rsidR="00BF3100" w:rsidRPr="00D6403A">
        <w:rPr>
          <w:lang w:val="en-GB"/>
        </w:rPr>
        <w:t>https://www.safercare.vic.gov.au/clinical-guidance/maternity/postpartum-haemorrhage-pph-prevention-assessment-and-management</w:t>
      </w:r>
      <w:r w:rsidR="008160DE">
        <w:rPr>
          <w:lang w:val="en-GB"/>
        </w:rPr>
        <w:t>&gt;</w:t>
      </w:r>
    </w:p>
    <w:p w14:paraId="3FFD33DF" w14:textId="2F43945E" w:rsidR="00D6403A" w:rsidRPr="00D6403A" w:rsidRDefault="00D6403A" w:rsidP="00F24E78">
      <w:pPr>
        <w:pStyle w:val="Heading2"/>
        <w:rPr>
          <w:lang w:val="en-GB"/>
        </w:rPr>
      </w:pPr>
      <w:r w:rsidRPr="00D6403A">
        <w:rPr>
          <w:lang w:val="en-GB"/>
        </w:rPr>
        <w:t>Smoking cessation</w:t>
      </w:r>
    </w:p>
    <w:p w14:paraId="3BBEA30D" w14:textId="60A60F76" w:rsidR="00BF3100" w:rsidRPr="00D6403A" w:rsidRDefault="00232C24" w:rsidP="00BF3100">
      <w:pPr>
        <w:pStyle w:val="Bullet1"/>
        <w:rPr>
          <w:lang w:val="en-GB"/>
        </w:rPr>
      </w:pPr>
      <w:hyperlink r:id="rId169" w:history="1">
        <w:r w:rsidR="00BF3100" w:rsidRPr="00BF3100">
          <w:rPr>
            <w:rStyle w:val="Hyperlink"/>
            <w:lang w:val="en-GB"/>
          </w:rPr>
          <w:t>Quit Victoria.</w:t>
        </w:r>
      </w:hyperlink>
      <w:r w:rsidR="00BF3100" w:rsidRPr="00D6403A">
        <w:rPr>
          <w:lang w:val="en-GB"/>
        </w:rPr>
        <w:t xml:space="preserve"> </w:t>
      </w:r>
      <w:r w:rsidR="00BF3100">
        <w:rPr>
          <w:lang w:val="en-GB"/>
        </w:rPr>
        <w:br/>
      </w:r>
      <w:r w:rsidR="008160DE">
        <w:rPr>
          <w:lang w:val="en-GB"/>
        </w:rPr>
        <w:t>&lt;</w:t>
      </w:r>
      <w:r w:rsidR="00BF3100" w:rsidRPr="00D6403A">
        <w:rPr>
          <w:lang w:val="en-GB"/>
        </w:rPr>
        <w:t>https://www.quit.org.au</w:t>
      </w:r>
      <w:r w:rsidR="008160DE">
        <w:rPr>
          <w:lang w:val="en-GB"/>
        </w:rPr>
        <w:t>&gt;</w:t>
      </w:r>
    </w:p>
    <w:p w14:paraId="1B81F27B" w14:textId="4E9FA081" w:rsidR="00BF3100" w:rsidRPr="00D6403A" w:rsidRDefault="00232C24" w:rsidP="00BF3100">
      <w:pPr>
        <w:pStyle w:val="Bullet1"/>
        <w:rPr>
          <w:lang w:val="en-GB"/>
        </w:rPr>
      </w:pPr>
      <w:hyperlink r:id="rId170" w:history="1">
        <w:r w:rsidR="00BF3100" w:rsidRPr="00BF3100">
          <w:rPr>
            <w:rStyle w:val="Hyperlink"/>
            <w:lang w:val="en-GB"/>
          </w:rPr>
          <w:t>iSISTAQUIT</w:t>
        </w:r>
      </w:hyperlink>
      <w:r w:rsidR="00BF3100" w:rsidRPr="00D6403A">
        <w:rPr>
          <w:lang w:val="en-GB"/>
        </w:rPr>
        <w:t xml:space="preserve"> </w:t>
      </w:r>
      <w:r w:rsidR="00BF3100">
        <w:rPr>
          <w:lang w:val="en-GB"/>
        </w:rPr>
        <w:br/>
      </w:r>
      <w:r w:rsidR="008160DE">
        <w:rPr>
          <w:lang w:val="en-GB"/>
        </w:rPr>
        <w:t>&lt;</w:t>
      </w:r>
      <w:r w:rsidR="00BF3100" w:rsidRPr="00D6403A">
        <w:rPr>
          <w:lang w:val="en-GB"/>
        </w:rPr>
        <w:t>https://isistaquit.org.au</w:t>
      </w:r>
      <w:r w:rsidR="008160DE">
        <w:rPr>
          <w:lang w:val="en-GB"/>
        </w:rPr>
        <w:t>&gt;</w:t>
      </w:r>
    </w:p>
    <w:p w14:paraId="63401A78" w14:textId="6AC0A4D8" w:rsidR="00BF3100" w:rsidRPr="00D6403A" w:rsidRDefault="00232C24" w:rsidP="00BF3100">
      <w:pPr>
        <w:pStyle w:val="Bullet1"/>
        <w:rPr>
          <w:lang w:val="en-GB"/>
        </w:rPr>
      </w:pPr>
      <w:hyperlink r:id="rId171" w:history="1">
        <w:r w:rsidR="00BF3100" w:rsidRPr="003955CB">
          <w:rPr>
            <w:rStyle w:val="Hyperlink"/>
            <w:lang w:val="en-GB"/>
          </w:rPr>
          <w:t>Stillbirth Centre of Research Excellence. The</w:t>
        </w:r>
        <w:r w:rsidR="00BF3100" w:rsidRPr="003955CB">
          <w:rPr>
            <w:rStyle w:val="Hyperlink"/>
            <w:rFonts w:ascii="Cambria" w:hAnsi="Cambria" w:cs="Cambria"/>
            <w:lang w:val="en-GB"/>
          </w:rPr>
          <w:t> </w:t>
        </w:r>
        <w:r w:rsidR="00BF3100" w:rsidRPr="003955CB">
          <w:rPr>
            <w:rStyle w:val="Hyperlink"/>
            <w:lang w:val="en-GB"/>
          </w:rPr>
          <w:t>Safer</w:t>
        </w:r>
        <w:r w:rsidR="00BF3100" w:rsidRPr="003955CB">
          <w:rPr>
            <w:rStyle w:val="Hyperlink"/>
            <w:rFonts w:ascii="Cambria" w:hAnsi="Cambria" w:cs="Cambria"/>
            <w:lang w:val="en-GB"/>
          </w:rPr>
          <w:t> </w:t>
        </w:r>
        <w:r w:rsidR="00BF3100" w:rsidRPr="003955CB">
          <w:rPr>
            <w:rStyle w:val="Hyperlink"/>
            <w:lang w:val="en-GB"/>
          </w:rPr>
          <w:t>Baby Bundle. Smoking Cessation.</w:t>
        </w:r>
      </w:hyperlink>
      <w:r w:rsidR="00BF3100">
        <w:rPr>
          <w:rFonts w:ascii="VIC" w:hAnsi="VIC" w:cs="VIC"/>
          <w:color w:val="000000"/>
          <w:lang w:val="en-GB"/>
        </w:rPr>
        <w:br/>
      </w:r>
      <w:r w:rsidR="008160DE">
        <w:rPr>
          <w:lang w:val="en-GB"/>
        </w:rPr>
        <w:t>&lt;</w:t>
      </w:r>
      <w:r w:rsidR="00BF3100" w:rsidRPr="00D6403A">
        <w:rPr>
          <w:lang w:val="en-GB"/>
        </w:rPr>
        <w:t>https://stillbirthcre.org.au/about-us/our-work/the-safer-baby-bundle/smoking-cessation/</w:t>
      </w:r>
      <w:r w:rsidR="008160DE">
        <w:rPr>
          <w:lang w:val="en-GB"/>
        </w:rPr>
        <w:t>&gt;</w:t>
      </w:r>
    </w:p>
    <w:p w14:paraId="5A1FBDA0" w14:textId="77777777" w:rsidR="00D6403A" w:rsidRPr="00D6403A" w:rsidRDefault="00D6403A" w:rsidP="00F24E78">
      <w:pPr>
        <w:pStyle w:val="Heading2"/>
        <w:rPr>
          <w:lang w:val="en-GB"/>
        </w:rPr>
      </w:pPr>
      <w:r w:rsidRPr="00F24E78">
        <w:t>Stillbirth</w:t>
      </w:r>
    </w:p>
    <w:p w14:paraId="000C7CF5" w14:textId="782D472D" w:rsidR="00107DD4" w:rsidRDefault="00232C24" w:rsidP="00107DD4">
      <w:pPr>
        <w:pStyle w:val="Bullet1"/>
        <w:rPr>
          <w:lang w:val="en-GB"/>
        </w:rPr>
      </w:pPr>
      <w:hyperlink r:id="rId172" w:history="1">
        <w:r w:rsidR="003955CB" w:rsidRPr="00107DD4">
          <w:rPr>
            <w:rStyle w:val="Hyperlink"/>
            <w:lang w:val="en-GB"/>
          </w:rPr>
          <w:t>Safer Care Victoria. Safer baby collaborative. 2022.</w:t>
        </w:r>
      </w:hyperlink>
    </w:p>
    <w:p w14:paraId="45EB2F91" w14:textId="5CDD6435" w:rsidR="003955CB" w:rsidRPr="00D6403A" w:rsidRDefault="00107DD4" w:rsidP="00107DD4">
      <w:pPr>
        <w:pStyle w:val="Bullet1"/>
        <w:numPr>
          <w:ilvl w:val="0"/>
          <w:numId w:val="0"/>
        </w:numPr>
        <w:ind w:left="284"/>
        <w:rPr>
          <w:lang w:val="en-GB"/>
        </w:rPr>
      </w:pPr>
      <w:r>
        <w:rPr>
          <w:lang w:val="en-GB"/>
        </w:rPr>
        <w:lastRenderedPageBreak/>
        <w:br/>
      </w:r>
      <w:r w:rsidR="008160DE">
        <w:rPr>
          <w:lang w:val="en-GB"/>
        </w:rPr>
        <w:t>&lt;</w:t>
      </w:r>
      <w:r w:rsidR="003955CB" w:rsidRPr="00D6403A">
        <w:rPr>
          <w:lang w:val="en-GB"/>
        </w:rPr>
        <w:t>https://www.safercare.vic.gov.au/best-practice-improvement/improvement-projects/mothers-babies-children/safer-baby-collaborative</w:t>
      </w:r>
      <w:r w:rsidR="008160DE">
        <w:rPr>
          <w:lang w:val="en-GB"/>
        </w:rPr>
        <w:t>&gt;</w:t>
      </w:r>
    </w:p>
    <w:p w14:paraId="6A8CB826" w14:textId="345A1BF2" w:rsidR="003955CB" w:rsidRPr="00D6403A" w:rsidRDefault="00232C24" w:rsidP="00107DD4">
      <w:pPr>
        <w:pStyle w:val="Bullet1"/>
        <w:rPr>
          <w:lang w:val="en-GB"/>
        </w:rPr>
      </w:pPr>
      <w:hyperlink r:id="rId173" w:history="1">
        <w:r w:rsidR="003955CB" w:rsidRPr="00107DD4">
          <w:rPr>
            <w:rStyle w:val="Hyperlink"/>
            <w:lang w:val="en-GB"/>
          </w:rPr>
          <w:t>Stillbirth Centre of Research Excellence. The Safer Baby Bundle. Fetal Growth Restriction (FGR) Care</w:t>
        </w:r>
        <w:r w:rsidR="003955CB" w:rsidRPr="00107DD4">
          <w:rPr>
            <w:rStyle w:val="Hyperlink"/>
            <w:rFonts w:ascii="Cambria" w:hAnsi="Cambria" w:cs="Cambria"/>
            <w:lang w:val="en-GB"/>
          </w:rPr>
          <w:t> </w:t>
        </w:r>
        <w:r w:rsidR="003955CB" w:rsidRPr="00107DD4">
          <w:rPr>
            <w:rStyle w:val="Hyperlink"/>
            <w:lang w:val="en-GB"/>
          </w:rPr>
          <w:t>Pathway for singleton pregnancies. 2023.</w:t>
        </w:r>
      </w:hyperlink>
      <w:r w:rsidR="003955CB" w:rsidRPr="00D6403A">
        <w:rPr>
          <w:lang w:val="en-GB"/>
        </w:rPr>
        <w:t xml:space="preserve"> </w:t>
      </w:r>
      <w:r w:rsidR="00107DD4">
        <w:rPr>
          <w:rFonts w:ascii="VIC" w:hAnsi="VIC" w:cs="VIC"/>
          <w:color w:val="000000"/>
          <w:lang w:val="en-GB"/>
        </w:rPr>
        <w:br/>
      </w:r>
      <w:r w:rsidR="008160DE">
        <w:rPr>
          <w:lang w:val="en-GB"/>
        </w:rPr>
        <w:t>&lt;</w:t>
      </w:r>
      <w:r w:rsidR="003955CB" w:rsidRPr="00D6403A">
        <w:rPr>
          <w:lang w:val="en-GB"/>
        </w:rPr>
        <w:t>https://learn.stillbirthcre.org.au/wp-content/uploads/2023/05/FGR-Management-Pathway_v3.0.pdf</w:t>
      </w:r>
      <w:r w:rsidR="008160DE">
        <w:rPr>
          <w:lang w:val="en-GB"/>
        </w:rPr>
        <w:t>&gt;</w:t>
      </w:r>
    </w:p>
    <w:p w14:paraId="338167EA" w14:textId="24D4C9B5" w:rsidR="003955CB" w:rsidRPr="00D6403A" w:rsidRDefault="00232C24" w:rsidP="00107DD4">
      <w:pPr>
        <w:pStyle w:val="Bullet1"/>
        <w:rPr>
          <w:lang w:val="en-GB"/>
        </w:rPr>
      </w:pPr>
      <w:hyperlink r:id="rId174" w:history="1">
        <w:r w:rsidR="003955CB" w:rsidRPr="00107DD4">
          <w:rPr>
            <w:rStyle w:val="Hyperlink"/>
            <w:lang w:val="en-GB"/>
          </w:rPr>
          <w:t>Stillbirth Centre of Research Excellence. Safer</w:t>
        </w:r>
        <w:r w:rsidR="003955CB" w:rsidRPr="00107DD4">
          <w:rPr>
            <w:rStyle w:val="Hyperlink"/>
            <w:rFonts w:ascii="Cambria" w:hAnsi="Cambria" w:cs="Cambria"/>
            <w:lang w:val="en-GB"/>
          </w:rPr>
          <w:t> </w:t>
        </w:r>
        <w:r w:rsidR="003955CB" w:rsidRPr="00107DD4">
          <w:rPr>
            <w:rStyle w:val="Hyperlink"/>
            <w:lang w:val="en-GB"/>
          </w:rPr>
          <w:t>Baby in Pregnancy. Timing of Birth.</w:t>
        </w:r>
      </w:hyperlink>
      <w:r w:rsidR="00107DD4">
        <w:rPr>
          <w:rFonts w:ascii="VIC" w:hAnsi="VIC" w:cs="VIC"/>
          <w:color w:val="000000"/>
          <w:lang w:val="en-GB"/>
        </w:rPr>
        <w:br/>
      </w:r>
      <w:r w:rsidR="008160DE">
        <w:rPr>
          <w:lang w:val="en-GB"/>
        </w:rPr>
        <w:t>&lt;</w:t>
      </w:r>
      <w:r w:rsidR="003955CB" w:rsidRPr="00D6403A">
        <w:rPr>
          <w:lang w:val="en-GB"/>
        </w:rPr>
        <w:t>https://stillbirthcre.org.au/parents/safer-baby/timing-of-birth/</w:t>
      </w:r>
      <w:r w:rsidR="008160DE">
        <w:rPr>
          <w:lang w:val="en-GB"/>
        </w:rPr>
        <w:t>&gt;</w:t>
      </w:r>
    </w:p>
    <w:p w14:paraId="067C5B3F" w14:textId="60DF6CDB" w:rsidR="003955CB" w:rsidRPr="00D6403A" w:rsidRDefault="00232C24" w:rsidP="00107DD4">
      <w:pPr>
        <w:pStyle w:val="Bullet1"/>
        <w:rPr>
          <w:lang w:val="en-GB"/>
        </w:rPr>
      </w:pPr>
      <w:hyperlink r:id="rId175" w:history="1">
        <w:r w:rsidR="003955CB" w:rsidRPr="00107DD4">
          <w:rPr>
            <w:rStyle w:val="Hyperlink"/>
            <w:lang w:val="en-GB"/>
          </w:rPr>
          <w:t>Stillbirth Centre of Research Excellence. Safer</w:t>
        </w:r>
        <w:r w:rsidR="003955CB" w:rsidRPr="00107DD4">
          <w:rPr>
            <w:rStyle w:val="Hyperlink"/>
            <w:rFonts w:ascii="Cambria" w:hAnsi="Cambria" w:cs="Cambria"/>
            <w:lang w:val="en-GB"/>
          </w:rPr>
          <w:t> </w:t>
        </w:r>
        <w:r w:rsidR="003955CB" w:rsidRPr="00107DD4">
          <w:rPr>
            <w:rStyle w:val="Hyperlink"/>
            <w:lang w:val="en-GB"/>
          </w:rPr>
          <w:t>Baby Bundle eLearning module. 2023.</w:t>
        </w:r>
      </w:hyperlink>
      <w:r w:rsidR="00107DD4">
        <w:rPr>
          <w:rFonts w:ascii="VIC" w:hAnsi="VIC" w:cs="VIC"/>
          <w:color w:val="000000"/>
          <w:lang w:val="en-GB"/>
        </w:rPr>
        <w:br/>
      </w:r>
      <w:r w:rsidR="008160DE">
        <w:rPr>
          <w:lang w:val="en-GB"/>
        </w:rPr>
        <w:t>&lt;</w:t>
      </w:r>
      <w:r w:rsidR="003955CB" w:rsidRPr="00D6403A">
        <w:rPr>
          <w:lang w:val="en-GB"/>
        </w:rPr>
        <w:t>https://learn.stillbirthcre.org.au</w:t>
      </w:r>
      <w:r w:rsidR="008160DE">
        <w:rPr>
          <w:lang w:val="en-GB"/>
        </w:rPr>
        <w:t>&gt;</w:t>
      </w:r>
    </w:p>
    <w:p w14:paraId="43CBA31A" w14:textId="77777777" w:rsidR="00D6403A" w:rsidRPr="00D6403A" w:rsidRDefault="00D6403A" w:rsidP="00F24E78">
      <w:pPr>
        <w:pStyle w:val="Heading2"/>
        <w:rPr>
          <w:lang w:val="en-GB"/>
        </w:rPr>
      </w:pPr>
      <w:r w:rsidRPr="00D6403A">
        <w:rPr>
          <w:lang w:val="en-GB"/>
        </w:rPr>
        <w:t xml:space="preserve">Newborn </w:t>
      </w:r>
      <w:r w:rsidRPr="00F24E78">
        <w:t>resuscitation</w:t>
      </w:r>
      <w:r w:rsidRPr="00D6403A">
        <w:rPr>
          <w:lang w:val="en-GB"/>
        </w:rPr>
        <w:t xml:space="preserve"> </w:t>
      </w:r>
    </w:p>
    <w:p w14:paraId="2BDD3FEE" w14:textId="5BA11EAB" w:rsidR="00107DD4" w:rsidRPr="00D6403A" w:rsidRDefault="00232C24" w:rsidP="002C4F9C">
      <w:pPr>
        <w:pStyle w:val="Bullet1"/>
        <w:rPr>
          <w:lang w:val="en-GB"/>
        </w:rPr>
      </w:pPr>
      <w:hyperlink r:id="rId176" w:history="1">
        <w:r w:rsidR="00107DD4" w:rsidRPr="002C4F9C">
          <w:rPr>
            <w:rStyle w:val="Hyperlink"/>
            <w:lang w:val="en-GB"/>
          </w:rPr>
          <w:t>Australian Resuscitation Council. Neonatal resuscitation guidelines. 2023.</w:t>
        </w:r>
      </w:hyperlink>
      <w:r w:rsidR="002C4F9C">
        <w:rPr>
          <w:lang w:val="en-GB"/>
        </w:rPr>
        <w:br/>
      </w:r>
      <w:r w:rsidR="008160DE">
        <w:rPr>
          <w:lang w:val="en-GB"/>
        </w:rPr>
        <w:t>&lt;</w:t>
      </w:r>
      <w:r w:rsidR="00107DD4" w:rsidRPr="00D6403A">
        <w:rPr>
          <w:lang w:val="en-GB"/>
        </w:rPr>
        <w:t>https://www.anzcor.org</w:t>
      </w:r>
      <w:r w:rsidR="008160DE">
        <w:rPr>
          <w:lang w:val="en-GB"/>
        </w:rPr>
        <w:t>&gt;</w:t>
      </w:r>
    </w:p>
    <w:p w14:paraId="61EA67E6" w14:textId="77ED0DD3" w:rsidR="00107DD4" w:rsidRPr="00D6403A" w:rsidRDefault="00232C24" w:rsidP="002C4F9C">
      <w:pPr>
        <w:pStyle w:val="Bullet1"/>
        <w:rPr>
          <w:lang w:val="en-GB"/>
        </w:rPr>
      </w:pPr>
      <w:hyperlink r:id="rId177" w:history="1">
        <w:r w:rsidR="00107DD4" w:rsidRPr="002C4F9C">
          <w:rPr>
            <w:rStyle w:val="Hyperlink"/>
            <w:lang w:val="en-GB"/>
          </w:rPr>
          <w:t>Victorian Newborn Resuscitation Project. 2023.</w:t>
        </w:r>
      </w:hyperlink>
      <w:r w:rsidR="002C4F9C">
        <w:rPr>
          <w:lang w:val="en-GB"/>
        </w:rPr>
        <w:br/>
      </w:r>
      <w:r w:rsidR="008160DE">
        <w:rPr>
          <w:lang w:val="en-GB"/>
        </w:rPr>
        <w:t>&lt;</w:t>
      </w:r>
      <w:r w:rsidR="00107DD4" w:rsidRPr="00D6403A">
        <w:rPr>
          <w:lang w:val="en-GB"/>
        </w:rPr>
        <w:t>https://www.neoresus.org.au</w:t>
      </w:r>
      <w:r w:rsidR="008160DE">
        <w:rPr>
          <w:lang w:val="en-GB"/>
        </w:rPr>
        <w:t>&gt;</w:t>
      </w:r>
    </w:p>
    <w:p w14:paraId="3F88FD26" w14:textId="77777777" w:rsidR="00D6403A" w:rsidRPr="00D6403A" w:rsidRDefault="00D6403A" w:rsidP="00F24E78">
      <w:pPr>
        <w:pStyle w:val="Heading2"/>
        <w:rPr>
          <w:lang w:val="en-GB"/>
        </w:rPr>
      </w:pPr>
      <w:r w:rsidRPr="00D6403A">
        <w:rPr>
          <w:lang w:val="en-GB"/>
        </w:rPr>
        <w:t xml:space="preserve">Australian Institute of Health and </w:t>
      </w:r>
      <w:r w:rsidRPr="00F24E78">
        <w:t>Welfare</w:t>
      </w:r>
      <w:r w:rsidRPr="00D6403A">
        <w:rPr>
          <w:lang w:val="en-GB"/>
        </w:rPr>
        <w:t xml:space="preserve"> </w:t>
      </w:r>
    </w:p>
    <w:p w14:paraId="2B7B8DD2" w14:textId="780B0440" w:rsidR="002C4F9C" w:rsidRPr="00D6403A" w:rsidRDefault="00232C24" w:rsidP="002C4F9C">
      <w:pPr>
        <w:pStyle w:val="Bullet1"/>
        <w:rPr>
          <w:lang w:val="en-GB"/>
        </w:rPr>
      </w:pPr>
      <w:hyperlink r:id="rId178" w:history="1">
        <w:r w:rsidR="002C4F9C" w:rsidRPr="002C4F9C">
          <w:rPr>
            <w:rStyle w:val="Hyperlink"/>
            <w:lang w:val="en-GB"/>
          </w:rPr>
          <w:t>Australian Institute of Health and Welfare. Australia’s mothers and babies. Canberra: Australian Institute of Health and Welfare. 2023.</w:t>
        </w:r>
      </w:hyperlink>
      <w:r w:rsidR="002C4F9C" w:rsidRPr="00D6403A">
        <w:rPr>
          <w:lang w:val="en-GB"/>
        </w:rPr>
        <w:t xml:space="preserve"> </w:t>
      </w:r>
      <w:r w:rsidR="002C4F9C">
        <w:rPr>
          <w:lang w:val="en-GB"/>
        </w:rPr>
        <w:br/>
      </w:r>
      <w:r w:rsidR="008160DE">
        <w:rPr>
          <w:lang w:val="en-GB"/>
        </w:rPr>
        <w:t>&lt;</w:t>
      </w:r>
      <w:r w:rsidR="002C4F9C" w:rsidRPr="00D6403A">
        <w:rPr>
          <w:lang w:val="en-GB"/>
        </w:rPr>
        <w:t>https://www.aihw.gov.au/reports/mothers-babies/australias-mothers-babies</w:t>
      </w:r>
      <w:r w:rsidR="008160DE">
        <w:rPr>
          <w:lang w:val="en-GB"/>
        </w:rPr>
        <w:t>&gt;</w:t>
      </w:r>
    </w:p>
    <w:p w14:paraId="4077E109" w14:textId="77777777" w:rsidR="00D6403A" w:rsidRPr="00D6403A" w:rsidRDefault="00D6403A" w:rsidP="00F24E78">
      <w:pPr>
        <w:pStyle w:val="Heading2"/>
        <w:rPr>
          <w:lang w:val="en-GB"/>
        </w:rPr>
      </w:pPr>
      <w:r w:rsidRPr="00D6403A">
        <w:rPr>
          <w:lang w:val="en-GB"/>
        </w:rPr>
        <w:t xml:space="preserve">Centre for Epidemiology and </w:t>
      </w:r>
      <w:r w:rsidRPr="00F24E78">
        <w:t>Evidence</w:t>
      </w:r>
      <w:r w:rsidRPr="00D6403A">
        <w:rPr>
          <w:lang w:val="en-GB"/>
        </w:rPr>
        <w:t xml:space="preserve"> </w:t>
      </w:r>
    </w:p>
    <w:p w14:paraId="1C81C906" w14:textId="6B886EC1" w:rsidR="00D6403A" w:rsidRPr="005D3B6E" w:rsidRDefault="00232C24" w:rsidP="005D3B6E">
      <w:pPr>
        <w:pStyle w:val="Bullet1"/>
        <w:rPr>
          <w:lang w:val="en-GB"/>
        </w:rPr>
      </w:pPr>
      <w:hyperlink r:id="rId179" w:history="1">
        <w:r w:rsidR="002C4F9C" w:rsidRPr="002C4F9C">
          <w:rPr>
            <w:rStyle w:val="Hyperlink"/>
            <w:lang w:val="en-GB"/>
          </w:rPr>
          <w:t>Centre for Epidemiology and Evidence. New South Wales Mothers and Babies 2021. NSW Government: Centre for Epidemiology and Evidence. 2023.</w:t>
        </w:r>
      </w:hyperlink>
      <w:r w:rsidR="002C4F9C">
        <w:rPr>
          <w:lang w:val="en-GB"/>
        </w:rPr>
        <w:br/>
      </w:r>
      <w:r w:rsidR="008160DE">
        <w:rPr>
          <w:lang w:val="en-GB"/>
        </w:rPr>
        <w:t>&lt;</w:t>
      </w:r>
      <w:r w:rsidR="002C4F9C" w:rsidRPr="00D6403A">
        <w:rPr>
          <w:lang w:val="en-GB"/>
        </w:rPr>
        <w:t>https://www.health.nsw.gov.au/hsnsw/Pages/mothers-and-babies-2021.aspx</w:t>
      </w:r>
      <w:r w:rsidR="008160DE">
        <w:rPr>
          <w:lang w:val="en-GB"/>
        </w:rPr>
        <w:t>&gt;</w:t>
      </w:r>
    </w:p>
    <w:p w14:paraId="3A09A147" w14:textId="77777777" w:rsidR="00D6403A" w:rsidRPr="00D6403A" w:rsidRDefault="00D6403A" w:rsidP="00D6403A">
      <w:pPr>
        <w:suppressAutoHyphens/>
        <w:autoSpaceDE w:val="0"/>
        <w:autoSpaceDN w:val="0"/>
        <w:adjustRightInd w:val="0"/>
        <w:spacing w:before="0" w:after="170"/>
        <w:textAlignment w:val="center"/>
        <w:rPr>
          <w:rFonts w:ascii="VIC" w:hAnsi="VIC" w:cs="VIC"/>
          <w:color w:val="000000"/>
          <w:sz w:val="24"/>
          <w:szCs w:val="24"/>
          <w:lang w:val="en-GB"/>
        </w:rPr>
      </w:pPr>
    </w:p>
    <w:p w14:paraId="7AF2D046" w14:textId="7D326B67" w:rsidR="000A37AB" w:rsidRPr="00235CF0" w:rsidRDefault="000A37AB" w:rsidP="00294A5A">
      <w:pPr>
        <w:rPr>
          <w:lang w:val="en-GB"/>
        </w:rPr>
        <w:sectPr w:rsidR="000A37AB" w:rsidRPr="00235CF0" w:rsidSect="004D6F5F">
          <w:pgSz w:w="11901" w:h="16817" w:code="9"/>
          <w:pgMar w:top="3402" w:right="851" w:bottom="1361" w:left="851" w:header="539" w:footer="624" w:gutter="0"/>
          <w:cols w:space="284"/>
          <w:docGrid w:linePitch="360" w:charSpace="46114"/>
        </w:sectPr>
      </w:pPr>
    </w:p>
    <w:p w14:paraId="26E92311" w14:textId="05EFCDE0" w:rsidR="00727C45" w:rsidRDefault="00727C45" w:rsidP="003C7395">
      <w:r>
        <w:rPr>
          <w:noProof/>
        </w:rPr>
        <w:lastRenderedPageBreak/>
        <w:drawing>
          <wp:anchor distT="0" distB="0" distL="114300" distR="114300" simplePos="0" relativeHeight="251663360" behindDoc="1" locked="0" layoutInCell="1" allowOverlap="1" wp14:anchorId="13C9AF7A" wp14:editId="5AFFBAB7">
            <wp:simplePos x="0" y="0"/>
            <wp:positionH relativeFrom="page">
              <wp:posOffset>0</wp:posOffset>
            </wp:positionH>
            <wp:positionV relativeFrom="page">
              <wp:posOffset>0</wp:posOffset>
            </wp:positionV>
            <wp:extent cx="7557487" cy="10688400"/>
            <wp:effectExtent l="0" t="0" r="0" b="5080"/>
            <wp:wrapTopAndBottom/>
            <wp:docPr id="4" name="back cover" descr="Back cover graphic with SC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ck cover.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7557487" cy="10688400"/>
                    </a:xfrm>
                    <a:prstGeom prst="rect">
                      <a:avLst/>
                    </a:prstGeom>
                  </pic:spPr>
                </pic:pic>
              </a:graphicData>
            </a:graphic>
            <wp14:sizeRelH relativeFrom="margin">
              <wp14:pctWidth>0</wp14:pctWidth>
            </wp14:sizeRelH>
            <wp14:sizeRelV relativeFrom="margin">
              <wp14:pctHeight>0</wp14:pctHeight>
            </wp14:sizeRelV>
          </wp:anchor>
        </w:drawing>
      </w:r>
    </w:p>
    <w:sectPr w:rsidR="00727C45" w:rsidSect="00E94720">
      <w:pgSz w:w="11906" w:h="16838" w:code="9"/>
      <w:pgMar w:top="3402" w:right="851" w:bottom="1361" w:left="851" w:header="539" w:footer="624" w:gutter="0"/>
      <w:cols w:num="2" w:space="284"/>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4DADD1" w14:textId="77777777" w:rsidR="007D00CF" w:rsidRDefault="007D00CF" w:rsidP="002D711A">
      <w:pPr>
        <w:spacing w:after="0" w:line="240" w:lineRule="auto"/>
      </w:pPr>
      <w:r>
        <w:separator/>
      </w:r>
    </w:p>
  </w:endnote>
  <w:endnote w:type="continuationSeparator" w:id="0">
    <w:p w14:paraId="61DB5816" w14:textId="77777777" w:rsidR="007D00CF" w:rsidRDefault="007D00CF" w:rsidP="002D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Headings CS)">
    <w:altName w:val="Times New Roman"/>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VIC">
    <w:panose1 w:val="00000500000000000000"/>
    <w:charset w:val="00"/>
    <w:family w:val="auto"/>
    <w:pitch w:val="variable"/>
    <w:sig w:usb0="00000007" w:usb1="00000000" w:usb2="00000000" w:usb3="00000000" w:csb0="00000093" w:csb1="00000000"/>
  </w:font>
  <w:font w:name="Minion Pro">
    <w:panose1 w:val="00000000000000000000"/>
    <w:charset w:val="00"/>
    <w:family w:val="roman"/>
    <w:notTrueType/>
    <w:pitch w:val="variable"/>
    <w:sig w:usb0="60000287" w:usb1="00000001" w:usb2="00000000" w:usb3="00000000" w:csb0="0000019F" w:csb1="00000000"/>
  </w:font>
  <w:font w:name="VIC SemiBold">
    <w:panose1 w:val="00000700000000000000"/>
    <w:charset w:val="00"/>
    <w:family w:val="auto"/>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5807C" w14:textId="24DFFB79" w:rsidR="009E791E" w:rsidRDefault="00232C24" w:rsidP="00265EC8">
    <w:pPr>
      <w:pStyle w:val="FooterEven"/>
      <w:framePr w:wrap="around"/>
    </w:pPr>
    <w:r>
      <mc:AlternateContent>
        <mc:Choice Requires="wps">
          <w:drawing>
            <wp:anchor distT="0" distB="0" distL="0" distR="0" simplePos="0" relativeHeight="251678720" behindDoc="0" locked="0" layoutInCell="1" allowOverlap="1" wp14:anchorId="3FBF18D0" wp14:editId="74A80B08">
              <wp:simplePos x="539750" y="9994900"/>
              <wp:positionH relativeFrom="page">
                <wp:align>center</wp:align>
              </wp:positionH>
              <wp:positionV relativeFrom="page">
                <wp:align>bottom</wp:align>
              </wp:positionV>
              <wp:extent cx="443865" cy="443865"/>
              <wp:effectExtent l="0" t="0" r="10160" b="0"/>
              <wp:wrapNone/>
              <wp:docPr id="85" name="Text Box 8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CF140EC" w14:textId="3E546AB0"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BF18D0" id="_x0000_t202" coordsize="21600,21600" o:spt="202" path="m,l,21600r21600,l21600,xe">
              <v:stroke joinstyle="miter"/>
              <v:path gradientshapeok="t" o:connecttype="rect"/>
            </v:shapetype>
            <v:shape id="Text Box 85" o:spid="_x0000_s1026" type="#_x0000_t202" alt="OFFICIAL" style="position:absolute;margin-left:0;margin-top:0;width:34.95pt;height:34.95pt;z-index:25167872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fill o:detectmouseclick="t"/>
              <v:textbox style="mso-fit-shape-to-text:t" inset="0,0,0,15pt">
                <w:txbxContent>
                  <w:p w14:paraId="2CF140EC" w14:textId="3E546AB0"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v:textbox>
              <w10:wrap anchorx="page" anchory="page"/>
            </v:shape>
          </w:pict>
        </mc:Fallback>
      </mc:AlternateContent>
    </w:r>
    <w:r w:rsidR="009E791E">
      <w:rPr>
        <w:noProof w:val="0"/>
      </w:rPr>
      <w:fldChar w:fldCharType="begin"/>
    </w:r>
    <w:r w:rsidR="009E791E">
      <w:instrText xml:space="preserve"> PAGE   \* MERGEFORMAT </w:instrText>
    </w:r>
    <w:r w:rsidR="009E791E">
      <w:rPr>
        <w:noProof w:val="0"/>
      </w:rPr>
      <w:fldChar w:fldCharType="separate"/>
    </w:r>
    <w:r w:rsidR="009E791E">
      <w:t>4</w:t>
    </w:r>
    <w:r w:rsidR="009E791E">
      <w:fldChar w:fldCharType="end"/>
    </w:r>
    <w:r w:rsidR="009E791E">
      <w:t> </w:t>
    </w:r>
    <w:r w:rsidR="009E791E">
      <w:t> </w:t>
    </w:r>
    <w:r w:rsidR="009E791E" w:rsidRPr="00724F74">
      <w:rPr>
        <w:b/>
      </w:rPr>
      <w:t>Safer Care Victoria</w:t>
    </w:r>
    <w:r w:rsidR="009E791E">
      <w:t> </w:t>
    </w:r>
    <w:r w:rsidR="009E791E">
      <w:t> </w:t>
    </w:r>
    <w:sdt>
      <w:sdtPr>
        <w:alias w:val="Title"/>
        <w:tag w:val=""/>
        <w:id w:val="-270466633"/>
        <w:dataBinding w:prefixMappings="xmlns:ns0='http://purl.org/dc/elements/1.1/' xmlns:ns1='http://schemas.openxmlformats.org/package/2006/metadata/core-properties' " w:xpath="/ns1:coreProperties[1]/ns0:title[1]" w:storeItemID="{6C3C8BC8-F283-45AE-878A-BAB7291924A1}"/>
        <w:text/>
      </w:sdtPr>
      <w:sdtEndPr/>
      <w:sdtContent>
        <w:r w:rsidR="009E791E">
          <w:t>Victorian perinatal services performance indicators 2021</w:t>
        </w:r>
      </w:sdtContent>
    </w:sdt>
    <w:r w:rsidR="009E791E">
      <w:t xml:space="preserve"> </w:t>
    </w:r>
    <w:r w:rsidR="009E791E">
      <w:drawing>
        <wp:anchor distT="0" distB="0" distL="114300" distR="114300" simplePos="0" relativeHeight="251675648" behindDoc="0" locked="0" layoutInCell="1" allowOverlap="1" wp14:anchorId="219D6FA5" wp14:editId="2FD0E3DC">
          <wp:simplePos x="0" y="0"/>
          <wp:positionH relativeFrom="column">
            <wp:posOffset>4256126</wp:posOffset>
          </wp:positionH>
          <wp:positionV relativeFrom="page">
            <wp:posOffset>9493250</wp:posOffset>
          </wp:positionV>
          <wp:extent cx="1956435" cy="582930"/>
          <wp:effectExtent l="0" t="0" r="5715" b="7620"/>
          <wp:wrapNone/>
          <wp:docPr id="18" na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 State Gov DTF right reverse 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56435" cy="582930"/>
                  </a:xfrm>
                  <a:prstGeom prst="rect">
                    <a:avLst/>
                  </a:prstGeom>
                </pic:spPr>
              </pic:pic>
            </a:graphicData>
          </a:graphic>
          <wp14:sizeRelH relativeFrom="margin">
            <wp14:pctWidth>0</wp14:pctWidth>
          </wp14:sizeRelH>
          <wp14:sizeRelV relativeFrom="margin">
            <wp14:pctHeight>0</wp14:pctHeight>
          </wp14:sizeRelV>
        </wp:anchor>
      </w:drawing>
    </w:r>
  </w:p>
  <w:p w14:paraId="088F230A" w14:textId="77777777" w:rsidR="009E791E" w:rsidRPr="002A5891" w:rsidRDefault="009E791E" w:rsidP="002A58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B77E1" w14:textId="66BE9AA5" w:rsidR="009E791E" w:rsidRDefault="00232C24" w:rsidP="004B3DBC">
    <w:pPr>
      <w:pStyle w:val="FooterOdd"/>
      <w:framePr w:wrap="around"/>
    </w:pPr>
    <w:r>
      <mc:AlternateContent>
        <mc:Choice Requires="wps">
          <w:drawing>
            <wp:anchor distT="0" distB="0" distL="0" distR="0" simplePos="0" relativeHeight="251679744" behindDoc="0" locked="0" layoutInCell="1" allowOverlap="1" wp14:anchorId="393F9DC2" wp14:editId="0A9D43D6">
              <wp:simplePos x="3992880" y="9996170"/>
              <wp:positionH relativeFrom="page">
                <wp:align>center</wp:align>
              </wp:positionH>
              <wp:positionV relativeFrom="page">
                <wp:align>bottom</wp:align>
              </wp:positionV>
              <wp:extent cx="443865" cy="443865"/>
              <wp:effectExtent l="0" t="0" r="10160" b="0"/>
              <wp:wrapNone/>
              <wp:docPr id="86" name="Text Box 8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82B5964" w14:textId="12113510"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3F9DC2" id="_x0000_t202" coordsize="21600,21600" o:spt="202" path="m,l,21600r21600,l21600,xe">
              <v:stroke joinstyle="miter"/>
              <v:path gradientshapeok="t" o:connecttype="rect"/>
            </v:shapetype>
            <v:shape id="Text Box 86" o:spid="_x0000_s1027" type="#_x0000_t202" alt="OFFICIAL" style="position:absolute;left:0;text-align:left;margin-left:0;margin-top:0;width:34.95pt;height:34.95pt;z-index:2516797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582B5964" w14:textId="12113510"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v:textbox>
              <w10:wrap anchorx="page" anchory="page"/>
            </v:shape>
          </w:pict>
        </mc:Fallback>
      </mc:AlternateContent>
    </w:r>
    <w:sdt>
      <w:sdtPr>
        <w:alias w:val="Title"/>
        <w:tag w:val=""/>
        <w:id w:val="1181776495"/>
        <w:dataBinding w:prefixMappings="xmlns:ns0='http://purl.org/dc/elements/1.1/' xmlns:ns1='http://schemas.openxmlformats.org/package/2006/metadata/core-properties' " w:xpath="/ns1:coreProperties[1]/ns0:title[1]" w:storeItemID="{6C3C8BC8-F283-45AE-878A-BAB7291924A1}"/>
        <w:text/>
      </w:sdtPr>
      <w:sdtEndPr/>
      <w:sdtContent>
        <w:r w:rsidR="009E791E">
          <w:t>Victorian perinatal services performance indicators 2021</w:t>
        </w:r>
      </w:sdtContent>
    </w:sdt>
    <w:r w:rsidR="009E791E">
      <w:t> </w:t>
    </w:r>
    <w:r w:rsidR="009E791E">
      <w:t> </w:t>
    </w:r>
    <w:r w:rsidR="009E791E" w:rsidRPr="0097403D">
      <w:rPr>
        <w:b/>
      </w:rPr>
      <w:t>Safer Care Victoria</w:t>
    </w:r>
    <w:r w:rsidR="009E791E">
      <w:t> </w:t>
    </w:r>
    <w:r w:rsidR="009E791E">
      <w:t> </w:t>
    </w:r>
    <w:r w:rsidR="009E791E">
      <w:rPr>
        <w:noProof w:val="0"/>
      </w:rPr>
      <w:fldChar w:fldCharType="begin"/>
    </w:r>
    <w:r w:rsidR="009E791E">
      <w:instrText xml:space="preserve"> PAGE   \* MERGEFORMAT </w:instrText>
    </w:r>
    <w:r w:rsidR="009E791E">
      <w:rPr>
        <w:noProof w:val="0"/>
      </w:rPr>
      <w:fldChar w:fldCharType="separate"/>
    </w:r>
    <w:r w:rsidR="009E791E">
      <w:t>5</w:t>
    </w:r>
    <w:r w:rsidR="009E791E">
      <w:fldChar w:fldCharType="end"/>
    </w:r>
  </w:p>
  <w:p w14:paraId="1A72B534" w14:textId="77777777" w:rsidR="009E791E" w:rsidRPr="002A5891" w:rsidRDefault="009E791E" w:rsidP="002A58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1966A" w14:textId="286A59F7" w:rsidR="00232C24" w:rsidRDefault="00232C24">
    <w:pPr>
      <w:pStyle w:val="Footer"/>
    </w:pPr>
    <w:r>
      <mc:AlternateContent>
        <mc:Choice Requires="wps">
          <w:drawing>
            <wp:anchor distT="0" distB="0" distL="0" distR="0" simplePos="0" relativeHeight="251677696" behindDoc="0" locked="0" layoutInCell="1" allowOverlap="1" wp14:anchorId="130A1307" wp14:editId="47113F22">
              <wp:simplePos x="541020" y="10197465"/>
              <wp:positionH relativeFrom="page">
                <wp:align>center</wp:align>
              </wp:positionH>
              <wp:positionV relativeFrom="page">
                <wp:align>bottom</wp:align>
              </wp:positionV>
              <wp:extent cx="443865" cy="443865"/>
              <wp:effectExtent l="0" t="0" r="10160" b="0"/>
              <wp:wrapNone/>
              <wp:docPr id="84" name="Text Box 8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6B86316" w14:textId="2ABE278C"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0A1307" id="_x0000_t202" coordsize="21600,21600" o:spt="202" path="m,l,21600r21600,l21600,xe">
              <v:stroke joinstyle="miter"/>
              <v:path gradientshapeok="t" o:connecttype="rect"/>
            </v:shapetype>
            <v:shape id="Text Box 84" o:spid="_x0000_s1028" type="#_x0000_t202" alt="OFFICIAL" style="position:absolute;margin-left:0;margin-top:0;width:34.95pt;height:34.95pt;z-index:251677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fill o:detectmouseclick="t"/>
              <v:textbox style="mso-fit-shape-to-text:t" inset="0,0,0,15pt">
                <w:txbxContent>
                  <w:p w14:paraId="46B86316" w14:textId="2ABE278C"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761B81" w14:textId="19D48069" w:rsidR="00232C24" w:rsidRDefault="00232C24">
    <w:pPr>
      <w:pStyle w:val="Footer"/>
    </w:pPr>
    <w:r>
      <mc:AlternateContent>
        <mc:Choice Requires="wps">
          <w:drawing>
            <wp:anchor distT="0" distB="0" distL="0" distR="0" simplePos="0" relativeHeight="251681792" behindDoc="0" locked="0" layoutInCell="1" allowOverlap="1" wp14:anchorId="084EF757" wp14:editId="70F0C484">
              <wp:simplePos x="539750" y="10185400"/>
              <wp:positionH relativeFrom="page">
                <wp:align>center</wp:align>
              </wp:positionH>
              <wp:positionV relativeFrom="page">
                <wp:align>bottom</wp:align>
              </wp:positionV>
              <wp:extent cx="443865" cy="443865"/>
              <wp:effectExtent l="0" t="0" r="10160" b="0"/>
              <wp:wrapNone/>
              <wp:docPr id="88" name="Text Box 8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AD6696" w14:textId="01458F84"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4EF757" id="_x0000_t202" coordsize="21600,21600" o:spt="202" path="m,l,21600r21600,l21600,xe">
              <v:stroke joinstyle="miter"/>
              <v:path gradientshapeok="t" o:connecttype="rect"/>
            </v:shapetype>
            <v:shape id="Text Box 88" o:spid="_x0000_s1029" type="#_x0000_t202" alt="OFFICIAL" style="position:absolute;margin-left:0;margin-top:0;width:34.95pt;height:34.95pt;z-index:25168179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72AD6696" w14:textId="01458F84"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40F2A6" w14:textId="3A7CBB85" w:rsidR="00232C24" w:rsidRDefault="00232C24">
    <w:pPr>
      <w:pStyle w:val="Footer"/>
    </w:pPr>
    <w:r>
      <mc:AlternateContent>
        <mc:Choice Requires="wps">
          <w:drawing>
            <wp:anchor distT="0" distB="0" distL="0" distR="0" simplePos="0" relativeHeight="251682816" behindDoc="0" locked="0" layoutInCell="1" allowOverlap="1" wp14:anchorId="5E32BC2D" wp14:editId="4E483377">
              <wp:simplePos x="541020" y="10184130"/>
              <wp:positionH relativeFrom="page">
                <wp:align>center</wp:align>
              </wp:positionH>
              <wp:positionV relativeFrom="page">
                <wp:align>bottom</wp:align>
              </wp:positionV>
              <wp:extent cx="443865" cy="443865"/>
              <wp:effectExtent l="0" t="0" r="10160" b="0"/>
              <wp:wrapNone/>
              <wp:docPr id="89" name="Text Box 8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F330CF7" w14:textId="64854C13"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32BC2D" id="_x0000_t202" coordsize="21600,21600" o:spt="202" path="m,l,21600r21600,l21600,xe">
              <v:stroke joinstyle="miter"/>
              <v:path gradientshapeok="t" o:connecttype="rect"/>
            </v:shapetype>
            <v:shape id="Text Box 89" o:spid="_x0000_s1030" type="#_x0000_t202" alt="OFFICIAL" style="position:absolute;margin-left:0;margin-top:0;width:34.95pt;height:34.95pt;z-index:25168281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7F330CF7" w14:textId="64854C13"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B1282" w14:textId="0E1CAFC9" w:rsidR="009E791E" w:rsidRDefault="00232C24">
    <w:pPr>
      <w:pStyle w:val="Footer"/>
    </w:pPr>
    <w:r>
      <mc:AlternateContent>
        <mc:Choice Requires="wps">
          <w:drawing>
            <wp:anchor distT="0" distB="0" distL="0" distR="0" simplePos="0" relativeHeight="251680768" behindDoc="0" locked="0" layoutInCell="1" allowOverlap="1" wp14:anchorId="7D905F6C" wp14:editId="2E06856E">
              <wp:simplePos x="635" y="635"/>
              <wp:positionH relativeFrom="page">
                <wp:align>center</wp:align>
              </wp:positionH>
              <wp:positionV relativeFrom="page">
                <wp:align>bottom</wp:align>
              </wp:positionV>
              <wp:extent cx="443865" cy="443865"/>
              <wp:effectExtent l="0" t="0" r="10160" b="0"/>
              <wp:wrapNone/>
              <wp:docPr id="87" name="Text Box 8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9D4EE87" w14:textId="68CF8962"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D905F6C" id="_x0000_t202" coordsize="21600,21600" o:spt="202" path="m,l,21600r21600,l21600,xe">
              <v:stroke joinstyle="miter"/>
              <v:path gradientshapeok="t" o:connecttype="rect"/>
            </v:shapetype>
            <v:shape id="Text Box 87" o:spid="_x0000_s1031" type="#_x0000_t202" alt="OFFICIAL" style="position:absolute;margin-left:0;margin-top:0;width:34.95pt;height:34.95pt;z-index:25168076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29D4EE87" w14:textId="68CF8962" w:rsidR="00232C24" w:rsidRPr="00232C24" w:rsidRDefault="00232C24" w:rsidP="00232C24">
                    <w:pPr>
                      <w:spacing w:after="0"/>
                      <w:rPr>
                        <w:rFonts w:ascii="Arial Black" w:eastAsia="Arial Black" w:hAnsi="Arial Black" w:cs="Arial Black"/>
                        <w:noProof/>
                        <w:color w:val="000000"/>
                      </w:rPr>
                    </w:pPr>
                    <w:r w:rsidRPr="00232C24">
                      <w:rPr>
                        <w:rFonts w:ascii="Arial Black" w:eastAsia="Arial Black" w:hAnsi="Arial Black" w:cs="Arial Black"/>
                        <w:noProof/>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4C9BB" w14:textId="77777777" w:rsidR="007D00CF" w:rsidRDefault="007D00CF" w:rsidP="00E33E08">
      <w:pPr>
        <w:spacing w:before="0" w:after="0" w:line="240" w:lineRule="auto"/>
      </w:pPr>
    </w:p>
  </w:footnote>
  <w:footnote w:type="continuationSeparator" w:id="0">
    <w:p w14:paraId="5A047E36" w14:textId="77777777" w:rsidR="007D00CF" w:rsidRDefault="007D00CF" w:rsidP="00E33E08">
      <w:pPr>
        <w:spacing w:before="0" w:after="0" w:line="240" w:lineRule="auto"/>
      </w:pPr>
    </w:p>
  </w:footnote>
  <w:footnote w:id="1">
    <w:p w14:paraId="640E1484" w14:textId="77777777" w:rsidR="009E791E" w:rsidRDefault="009E791E" w:rsidP="00064DE9">
      <w:pPr>
        <w:pStyle w:val="FootnoteText"/>
        <w:ind w:left="284" w:hanging="284"/>
      </w:pPr>
      <w:r>
        <w:rPr>
          <w:vertAlign w:val="superscript"/>
        </w:rPr>
        <w:footnoteRef/>
      </w:r>
      <w:r>
        <w:tab/>
        <w:t xml:space="preserve">Hong J, Atkinson J, Mitchell AR, et al. 2023. Comparison of maternal labor-related complications and neonatal outcomes following elective induction of labor at 39 weeks of gestation vs expectant management: a systematic review and meta-analysis. </w:t>
      </w:r>
      <w:r>
        <w:rPr>
          <w:i/>
          <w:iCs/>
        </w:rPr>
        <w:t xml:space="preserve">JAMA Network Open, </w:t>
      </w:r>
      <w:r>
        <w:t>6(5), e2313162-e2313162.</w:t>
      </w:r>
    </w:p>
  </w:footnote>
  <w:footnote w:id="2">
    <w:p w14:paraId="0B35E7D2" w14:textId="77777777" w:rsidR="009E791E" w:rsidRDefault="009E791E" w:rsidP="00064DE9">
      <w:pPr>
        <w:pStyle w:val="FootnoteText"/>
        <w:ind w:left="284" w:hanging="284"/>
      </w:pPr>
      <w:r>
        <w:rPr>
          <w:vertAlign w:val="superscript"/>
        </w:rPr>
        <w:footnoteRef/>
      </w:r>
      <w:r>
        <w:tab/>
        <w:t xml:space="preserve">Grobman WA, Rice MM, Reddy UM, et al. 2018. Labor induction versus expectant management in low-risk nulliparous women. </w:t>
      </w:r>
      <w:r>
        <w:rPr>
          <w:i/>
          <w:iCs/>
        </w:rPr>
        <w:t xml:space="preserve">New England Journal of Medicine, </w:t>
      </w:r>
      <w:r>
        <w:t>9;379(6):513–523.</w:t>
      </w:r>
    </w:p>
  </w:footnote>
  <w:footnote w:id="3">
    <w:p w14:paraId="2E0B0AED" w14:textId="33A61C08" w:rsidR="009E791E" w:rsidRDefault="009E791E" w:rsidP="00064DE9">
      <w:pPr>
        <w:pStyle w:val="FootnoteText"/>
        <w:ind w:left="284" w:hanging="284"/>
      </w:pPr>
      <w:r>
        <w:rPr>
          <w:vertAlign w:val="superscript"/>
        </w:rPr>
        <w:footnoteRef/>
      </w:r>
      <w:r>
        <w:tab/>
      </w:r>
      <w:hyperlink r:id="rId1" w:history="1">
        <w:r w:rsidRPr="006A1F63">
          <w:rPr>
            <w:rStyle w:val="Hyperlink"/>
          </w:rPr>
          <w:t>Stillbirth Centre of Research Excellence, Timing of Birth</w:t>
        </w:r>
      </w:hyperlink>
      <w:r>
        <w:t xml:space="preserve"> &lt;https://stillbirthcre.org.au/parents/safer-baby/timing-of-birth/&gt;</w:t>
      </w:r>
    </w:p>
    <w:p w14:paraId="78AF034E" w14:textId="77777777" w:rsidR="009E791E" w:rsidRDefault="009E791E" w:rsidP="00D6403A">
      <w:pPr>
        <w:pStyle w:val="Footnotes"/>
      </w:pPr>
    </w:p>
  </w:footnote>
  <w:footnote w:id="4">
    <w:p w14:paraId="13D4AD80" w14:textId="77777777" w:rsidR="009E791E" w:rsidRDefault="009E791E" w:rsidP="00D6403A">
      <w:pPr>
        <w:pStyle w:val="Footnotes"/>
      </w:pPr>
      <w:r>
        <w:rPr>
          <w:vertAlign w:val="superscript"/>
        </w:rPr>
        <w:footnoteRef/>
      </w:r>
      <w:r>
        <w:tab/>
        <w:t xml:space="preserve">Boatin A, Cullinane F, Torloni M, Betrán A. 2018. Audit and feedback using the Robson classification to reduce caesarean section rates: a systematic review. </w:t>
      </w:r>
      <w:r>
        <w:rPr>
          <w:i/>
          <w:iCs/>
        </w:rPr>
        <w:t xml:space="preserve">BJOG: An International Journal of Obstetrics &amp; Gynaecology. </w:t>
      </w:r>
      <w:r>
        <w:t>125(1):36–42.</w:t>
      </w:r>
    </w:p>
  </w:footnote>
  <w:footnote w:id="5">
    <w:p w14:paraId="54A27F8B" w14:textId="6BAD5DA0" w:rsidR="009E791E" w:rsidRDefault="009E791E" w:rsidP="00D6403A">
      <w:pPr>
        <w:pStyle w:val="Footnotes"/>
      </w:pPr>
      <w:r>
        <w:rPr>
          <w:vertAlign w:val="superscript"/>
        </w:rPr>
        <w:footnoteRef/>
      </w:r>
      <w:r>
        <w:tab/>
        <w:t xml:space="preserve">Department of Health 2022, Caesarean section [Internet]. Better Health Channel, State Government of Victoria, Melbourne. </w:t>
      </w:r>
      <w:r>
        <w:br/>
        <w:t xml:space="preserve">Available: </w:t>
      </w:r>
      <w:hyperlink r:id="rId2" w:history="1">
        <w:r w:rsidRPr="00FD141D">
          <w:rPr>
            <w:rStyle w:val="Hyperlink"/>
          </w:rPr>
          <w:t>https://www.betterhealth.vic.gov.au/health/healthyliving/caesarean-section</w:t>
        </w:r>
      </w:hyperlink>
    </w:p>
    <w:p w14:paraId="7903D5C1" w14:textId="77777777" w:rsidR="009E791E" w:rsidRDefault="009E791E" w:rsidP="00D6403A">
      <w:pPr>
        <w:pStyle w:val="Footnotes"/>
      </w:pPr>
    </w:p>
  </w:footnote>
  <w:footnote w:id="6">
    <w:p w14:paraId="73F400F4" w14:textId="3A9896C8" w:rsidR="009E791E" w:rsidRDefault="009E791E" w:rsidP="00D6403A">
      <w:pPr>
        <w:pStyle w:val="Footnotes"/>
      </w:pPr>
      <w:r>
        <w:rPr>
          <w:vertAlign w:val="superscript"/>
        </w:rPr>
        <w:footnoteRef/>
      </w:r>
      <w:r>
        <w:tab/>
        <w:t xml:space="preserve"> Royal Australian and New Zealand College of Obstetricians and Gynaecologists (RANZCOG), 2019. </w:t>
      </w:r>
      <w:hyperlink r:id="rId3" w:history="1">
        <w:r w:rsidRPr="00067343">
          <w:rPr>
            <w:rStyle w:val="Hyperlink"/>
          </w:rPr>
          <w:t>Birth after previous caesarean section – Best Practice Statement</w:t>
        </w:r>
      </w:hyperlink>
      <w:r>
        <w:t xml:space="preserve"> &lt;https://ranzcog.edu.au/wp-content/uploads/2022/05/Birth-after-previous-caesarean-section.pdf&gt;.</w:t>
      </w:r>
    </w:p>
  </w:footnote>
  <w:footnote w:id="7">
    <w:p w14:paraId="72D597BC" w14:textId="77777777" w:rsidR="009E791E" w:rsidRDefault="009E791E" w:rsidP="00D6403A">
      <w:pPr>
        <w:pStyle w:val="Footnotes"/>
      </w:pPr>
      <w:r>
        <w:rPr>
          <w:vertAlign w:val="superscript"/>
        </w:rPr>
        <w:footnoteRef/>
      </w:r>
      <w:r>
        <w:tab/>
        <w:t xml:space="preserve">Gavine A, Shinwell SC, Buchanan P, et al. 2022. Support for healthy breastfeeding mothers with healthy term babies. </w:t>
      </w:r>
      <w:r>
        <w:rPr>
          <w:i/>
          <w:iCs/>
        </w:rPr>
        <w:t>Cochrane Database of Systematic Reviews.</w:t>
      </w:r>
      <w:r>
        <w:t xml:space="preserve"> (10).</w:t>
      </w:r>
    </w:p>
  </w:footnote>
  <w:footnote w:id="8">
    <w:p w14:paraId="15EBAC5B" w14:textId="66FA2B91" w:rsidR="009E791E" w:rsidRDefault="009E791E" w:rsidP="001960E2">
      <w:pPr>
        <w:pStyle w:val="Footnotes"/>
      </w:pPr>
      <w:r>
        <w:rPr>
          <w:vertAlign w:val="superscript"/>
        </w:rPr>
        <w:footnoteRef/>
      </w:r>
      <w:r>
        <w:tab/>
        <w:t>Red Nose. National Scientific Advisory Group (Young J), 2014. Information Statement: Breastfeeding and the risk of sudden unexpected death in infancy. Melbourne: National SIDS Council of Australia.</w:t>
      </w:r>
    </w:p>
  </w:footnote>
  <w:footnote w:id="9">
    <w:p w14:paraId="3D65AA7A" w14:textId="77777777" w:rsidR="009E791E" w:rsidRDefault="009E791E" w:rsidP="00D6403A">
      <w:pPr>
        <w:pStyle w:val="Footnotes"/>
      </w:pPr>
      <w:r>
        <w:rPr>
          <w:vertAlign w:val="superscript"/>
        </w:rPr>
        <w:footnoteRef/>
      </w:r>
      <w:r>
        <w:tab/>
        <w:t>World Health Organization, 2023. Health Topics – Breastfeeding Recommendations.</w:t>
      </w:r>
    </w:p>
    <w:p w14:paraId="0049DCBF" w14:textId="77777777" w:rsidR="009E791E" w:rsidRDefault="009E791E" w:rsidP="00D6403A">
      <w:pPr>
        <w:pStyle w:val="Footnotes"/>
      </w:pPr>
    </w:p>
  </w:footnote>
  <w:footnote w:id="10">
    <w:p w14:paraId="5CEEDFF0" w14:textId="063B1BC7" w:rsidR="009E791E" w:rsidRDefault="009E791E" w:rsidP="00D6403A">
      <w:pPr>
        <w:pStyle w:val="Footnotes"/>
        <w:ind w:left="227" w:hanging="227"/>
      </w:pPr>
      <w:r>
        <w:rPr>
          <w:vertAlign w:val="superscript"/>
        </w:rPr>
        <w:footnoteRef/>
      </w:r>
      <w:r>
        <w:tab/>
      </w:r>
      <w:hyperlink r:id="rId4" w:history="1">
        <w:r w:rsidRPr="001E41A5">
          <w:rPr>
            <w:rStyle w:val="Hyperlink"/>
          </w:rPr>
          <w:t>Vaccination during pregnancy reduces the risk of pertussis in young infants by 90%</w:t>
        </w:r>
      </w:hyperlink>
      <w:r>
        <w:t xml:space="preserve"> &lt;https://immunisationhandbook.health.gov.au/vaccine-preventable-diseases/pertussis-whooping-cough&gt;</w:t>
      </w:r>
    </w:p>
  </w:footnote>
  <w:footnote w:id="11">
    <w:p w14:paraId="5311D5D3" w14:textId="2CAD04DA" w:rsidR="009E791E" w:rsidRDefault="009E791E" w:rsidP="00D6403A">
      <w:pPr>
        <w:pStyle w:val="Footnotes"/>
        <w:ind w:left="227" w:hanging="227"/>
      </w:pPr>
      <w:r>
        <w:rPr>
          <w:vertAlign w:val="superscript"/>
        </w:rPr>
        <w:footnoteRef/>
      </w:r>
      <w:r>
        <w:tab/>
        <w:t xml:space="preserve">Refer to the </w:t>
      </w:r>
      <w:hyperlink r:id="rId5" w:history="1">
        <w:r w:rsidRPr="001E41A5">
          <w:rPr>
            <w:rStyle w:val="Hyperlink"/>
          </w:rPr>
          <w:t>Department of Health and Aged Care website</w:t>
        </w:r>
      </w:hyperlink>
      <w:r>
        <w:t xml:space="preserve"> &lt;https://www.health.gov.au/news/influenza-and-pertussis-whooping-cough-vaccination-in-pregnancy&gt;.</w:t>
      </w:r>
    </w:p>
    <w:p w14:paraId="6E44DF1C" w14:textId="77777777" w:rsidR="009E791E" w:rsidRDefault="009E791E" w:rsidP="00D6403A">
      <w:pPr>
        <w:pStyle w:val="Footnotes"/>
        <w:ind w:left="227" w:hanging="227"/>
      </w:pPr>
    </w:p>
  </w:footnote>
  <w:footnote w:id="12">
    <w:p w14:paraId="63301EBE" w14:textId="5E8F2041" w:rsidR="009E791E" w:rsidRDefault="009E791E" w:rsidP="00D6403A">
      <w:pPr>
        <w:pStyle w:val="Footnotes"/>
        <w:ind w:left="227" w:hanging="227"/>
      </w:pPr>
      <w:r>
        <w:rPr>
          <w:vertAlign w:val="superscript"/>
        </w:rPr>
        <w:footnoteRef/>
      </w:r>
      <w:r>
        <w:tab/>
        <w:t xml:space="preserve">Refer to the </w:t>
      </w:r>
      <w:hyperlink r:id="rId6" w:history="1">
        <w:r w:rsidRPr="001E41A5">
          <w:rPr>
            <w:rStyle w:val="Hyperlink"/>
          </w:rPr>
          <w:t>Department of Health and Aged Care website</w:t>
        </w:r>
      </w:hyperlink>
      <w:r>
        <w:t xml:space="preserve"> &lt;https://www.health.gov.au/sites/default/files/documents/2022/10/aisr-2021-national-influenza-season-summary.pdf&gt;.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E34C8" w14:textId="77777777" w:rsidR="009E791E" w:rsidRDefault="009E791E" w:rsidP="00F25F4B">
    <w:pPr>
      <w:pStyle w:val="Header"/>
    </w:pPr>
    <w:r>
      <w:rPr>
        <w:noProof/>
      </w:rPr>
      <w:drawing>
        <wp:anchor distT="0" distB="0" distL="114300" distR="114300" simplePos="0" relativeHeight="251673600" behindDoc="1" locked="0" layoutInCell="1" allowOverlap="1" wp14:anchorId="3B1EE4B0" wp14:editId="2B38157F">
          <wp:simplePos x="0" y="0"/>
          <wp:positionH relativeFrom="column">
            <wp:posOffset>-914400</wp:posOffset>
          </wp:positionH>
          <wp:positionV relativeFrom="page">
            <wp:posOffset>0</wp:posOffset>
          </wp:positionV>
          <wp:extent cx="7562088" cy="10698480"/>
          <wp:effectExtent l="0" t="0" r="1270" b="7620"/>
          <wp:wrapNone/>
          <wp:docPr id="5" name="Alternative back cover"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 PAGE_9545 DTF Covers A4 Final_Blue3 copy.jpg"/>
                  <pic:cNvPicPr/>
                </pic:nvPicPr>
                <pic:blipFill>
                  <a:blip r:embed="rId1" cstate="print">
                    <a:extLst>
                      <a:ext uri="{28A0092B-C50C-407E-A947-70E740481C1C}">
                        <a14:useLocalDpi xmlns:a14="http://schemas.microsoft.com/office/drawing/2010/main" val="0"/>
                      </a:ext>
                    </a:extLst>
                  </a:blip>
                  <a:stretch>
                    <a:fillRect/>
                  </a:stretch>
                </pic:blipFill>
                <pic:spPr>
                  <a:xfrm flipH="1">
                    <a:off x="0" y="0"/>
                    <a:ext cx="7562088" cy="1069848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B6330" w14:textId="77777777" w:rsidR="009E791E" w:rsidRDefault="009E791E" w:rsidP="0023694D">
    <w:pPr>
      <w:pStyle w:val="NoSpacing"/>
    </w:pPr>
    <w:r>
      <w:rPr>
        <w:noProof/>
      </w:rPr>
      <w:drawing>
        <wp:anchor distT="0" distB="0" distL="114300" distR="114300" simplePos="0" relativeHeight="251676672" behindDoc="1" locked="0" layoutInCell="1" allowOverlap="1" wp14:anchorId="7BC23D5E" wp14:editId="2A48D6F2">
          <wp:simplePos x="542925" y="342900"/>
          <wp:positionH relativeFrom="page">
            <wp:align>left</wp:align>
          </wp:positionH>
          <wp:positionV relativeFrom="page">
            <wp:align>top</wp:align>
          </wp:positionV>
          <wp:extent cx="7557746" cy="10688400"/>
          <wp:effectExtent l="0" t="0" r="0" b="5080"/>
          <wp:wrapNone/>
          <wp:docPr id="2" name="Picture 2" descr="Safer Care Victoria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ront cover artwor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1587"/>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66467" w14:textId="77777777" w:rsidR="009E791E" w:rsidRDefault="009E791E" w:rsidP="0086277A">
    <w:pPr>
      <w:pStyle w:val="NoSpacing"/>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9A6D82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C66F6A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D429FB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EBC67F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94007B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796694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EE23F2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5B05E1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F44A2F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25C88E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FF5E85"/>
    <w:multiLevelType w:val="hybridMultilevel"/>
    <w:tmpl w:val="7018BD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7626253"/>
    <w:multiLevelType w:val="multilevel"/>
    <w:tmpl w:val="7AFEE804"/>
    <w:name w:val="List num3"/>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2" w15:restartNumberingAfterBreak="0">
    <w:nsid w:val="1E2E7397"/>
    <w:multiLevelType w:val="multilevel"/>
    <w:tmpl w:val="1C16F7EC"/>
    <w:name w:val="List num32222"/>
    <w:lvl w:ilvl="0">
      <w:start w:val="1"/>
      <w:numFmt w:val="lowerLetter"/>
      <w:lvlText w:val="(%1)"/>
      <w:lvlJc w:val="left"/>
      <w:pPr>
        <w:ind w:left="397" w:hanging="397"/>
      </w:pPr>
      <w:rPr>
        <w:rFonts w:hint="default"/>
      </w:rPr>
    </w:lvl>
    <w:lvl w:ilvl="1">
      <w:start w:val="1"/>
      <w:numFmt w:val="lowerRoman"/>
      <w:pStyle w:val="Listnum"/>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3" w15:restartNumberingAfterBreak="0">
    <w:nsid w:val="1F6A52C4"/>
    <w:multiLevelType w:val="multilevel"/>
    <w:tmpl w:val="2004B8EA"/>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14" w15:restartNumberingAfterBreak="0">
    <w:nsid w:val="26456FFD"/>
    <w:multiLevelType w:val="multilevel"/>
    <w:tmpl w:val="47D41E60"/>
    <w:lvl w:ilvl="0">
      <w:start w:val="1"/>
      <w:numFmt w:val="bullet"/>
      <w:pStyle w:val="Tablebullet"/>
      <w:lvlText w:val=""/>
      <w:lvlJc w:val="left"/>
      <w:pPr>
        <w:ind w:left="284" w:hanging="284"/>
      </w:pPr>
      <w:rPr>
        <w:rFonts w:ascii="Symbol" w:hAnsi="Symbol" w:hint="default"/>
        <w:color w:val="4D92C0"/>
      </w:rPr>
    </w:lvl>
    <w:lvl w:ilvl="1">
      <w:start w:val="1"/>
      <w:numFmt w:val="bullet"/>
      <w:pStyle w:val="Tablebullet"/>
      <w:lvlText w:val="–"/>
      <w:lvlJc w:val="left"/>
      <w:pPr>
        <w:ind w:left="568" w:hanging="284"/>
      </w:pPr>
      <w:rPr>
        <w:rFonts w:ascii="Calibri" w:hAnsi="Calibri" w:hint="default"/>
        <w:color w:val="auto"/>
      </w:rPr>
    </w:lvl>
    <w:lvl w:ilvl="2">
      <w:start w:val="1"/>
      <w:numFmt w:val="decimal"/>
      <w:pStyle w:val="Tablenum1"/>
      <w:lvlText w:val="%3."/>
      <w:lvlJc w:val="left"/>
      <w:pPr>
        <w:tabs>
          <w:tab w:val="num" w:pos="284"/>
        </w:tabs>
        <w:ind w:left="284" w:hanging="284"/>
      </w:pPr>
      <w:rPr>
        <w:rFonts w:hint="default"/>
      </w:rPr>
    </w:lvl>
    <w:lvl w:ilvl="3">
      <w:start w:val="1"/>
      <w:numFmt w:val="lowerLetter"/>
      <w:pStyle w:val="Tablenum1"/>
      <w:lvlText w:val="(%4)"/>
      <w:lvlJc w:val="left"/>
      <w:pPr>
        <w:tabs>
          <w:tab w:val="num" w:pos="567"/>
        </w:tabs>
        <w:ind w:left="567" w:hanging="283"/>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5" w15:restartNumberingAfterBreak="0">
    <w:nsid w:val="35425763"/>
    <w:multiLevelType w:val="hybridMultilevel"/>
    <w:tmpl w:val="803CFA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393615B0"/>
    <w:multiLevelType w:val="multilevel"/>
    <w:tmpl w:val="F27293EC"/>
    <w:name w:val="List num2"/>
    <w:lvl w:ilvl="0">
      <w:start w:val="1"/>
      <w:numFmt w:val="decimal"/>
      <w:pStyle w:val="Heading1numbered"/>
      <w:suff w:val="space"/>
      <w:lvlText w:val="Section %1.0"/>
      <w:lvlJc w:val="left"/>
      <w:pPr>
        <w:ind w:left="0" w:firstLine="0"/>
      </w:pPr>
      <w:rPr>
        <w:rFonts w:hint="default"/>
      </w:rPr>
    </w:lvl>
    <w:lvl w:ilvl="1">
      <w:start w:val="1"/>
      <w:numFmt w:val="decimal"/>
      <w:pStyle w:val="Heading2numbered"/>
      <w:suff w:val="space"/>
      <w:lvlText w:val="%1.%2"/>
      <w:lvlJc w:val="left"/>
      <w:pPr>
        <w:ind w:left="0" w:firstLine="0"/>
      </w:pPr>
      <w:rPr>
        <w:rFonts w:hint="default"/>
      </w:rPr>
    </w:lvl>
    <w:lvl w:ilvl="2">
      <w:start w:val="1"/>
      <w:numFmt w:val="decimal"/>
      <w:pStyle w:val="Heading3numbered"/>
      <w:suff w:val="space"/>
      <w:lvlText w:val="%1.%2.%3"/>
      <w:lvlJc w:val="left"/>
      <w:pPr>
        <w:ind w:left="0" w:firstLine="0"/>
      </w:pPr>
      <w:rPr>
        <w:rFonts w:hint="default"/>
      </w:rPr>
    </w:lvl>
    <w:lvl w:ilvl="3">
      <w:start w:val="1"/>
      <w:numFmt w:val="decimal"/>
      <w:pStyle w:val="Heading1numbered"/>
      <w:suff w:val="space"/>
      <w:lvlText w:val="%1.%2.%3.%4"/>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17" w15:restartNumberingAfterBreak="0">
    <w:nsid w:val="393A12AA"/>
    <w:multiLevelType w:val="multilevel"/>
    <w:tmpl w:val="1DE6843E"/>
    <w:lvl w:ilvl="0">
      <w:start w:val="1"/>
      <w:numFmt w:val="bullet"/>
      <w:pStyle w:val="Bullet1"/>
      <w:lvlText w:val=""/>
      <w:lvlJc w:val="left"/>
      <w:pPr>
        <w:ind w:left="284" w:hanging="284"/>
      </w:pPr>
      <w:rPr>
        <w:rFonts w:ascii="Wingdings 2" w:hAnsi="Wingdings 2" w:hint="default"/>
        <w:color w:val="4D92C0"/>
        <w:position w:val="2"/>
        <w:sz w:val="16"/>
      </w:rPr>
    </w:lvl>
    <w:lvl w:ilvl="1">
      <w:start w:val="1"/>
      <w:numFmt w:val="bullet"/>
      <w:pStyle w:val="Bullet2"/>
      <w:lvlText w:val="–"/>
      <w:lvlJc w:val="left"/>
      <w:pPr>
        <w:ind w:left="568" w:hanging="284"/>
      </w:pPr>
      <w:rPr>
        <w:rFonts w:ascii="Arial Black" w:hAnsi="Arial Black" w:hint="default"/>
      </w:rPr>
    </w:lvl>
    <w:lvl w:ilvl="2">
      <w:start w:val="1"/>
      <w:numFmt w:val="bullet"/>
      <w:lvlText w:val=""/>
      <w:lvlJc w:val="left"/>
      <w:pPr>
        <w:ind w:left="852" w:hanging="284"/>
      </w:pPr>
      <w:rPr>
        <w:rFonts w:ascii="Wingdings" w:hAnsi="Wingdings" w:hint="default"/>
      </w:rPr>
    </w:lvl>
    <w:lvl w:ilvl="3">
      <w:start w:val="1"/>
      <w:numFmt w:val="bullet"/>
      <w:lvlText w:val=""/>
      <w:lvlJc w:val="left"/>
      <w:pPr>
        <w:ind w:left="1136" w:hanging="284"/>
      </w:pPr>
      <w:rPr>
        <w:rFonts w:ascii="Symbol" w:hAnsi="Symbol" w:hint="default"/>
      </w:rPr>
    </w:lvl>
    <w:lvl w:ilvl="4">
      <w:start w:val="1"/>
      <w:numFmt w:val="bullet"/>
      <w:lvlText w:val="o"/>
      <w:lvlJc w:val="left"/>
      <w:pPr>
        <w:ind w:left="1420" w:hanging="284"/>
      </w:pPr>
      <w:rPr>
        <w:rFonts w:ascii="Courier New" w:hAnsi="Courier New" w:cs="Courier New" w:hint="default"/>
      </w:rPr>
    </w:lvl>
    <w:lvl w:ilvl="5">
      <w:start w:val="1"/>
      <w:numFmt w:val="bullet"/>
      <w:lvlText w:val=""/>
      <w:lvlJc w:val="left"/>
      <w:pPr>
        <w:ind w:left="1704" w:hanging="284"/>
      </w:pPr>
      <w:rPr>
        <w:rFonts w:ascii="Wingdings" w:hAnsi="Wingdings" w:hint="default"/>
      </w:rPr>
    </w:lvl>
    <w:lvl w:ilvl="6">
      <w:start w:val="1"/>
      <w:numFmt w:val="bullet"/>
      <w:lvlText w:val=""/>
      <w:lvlJc w:val="left"/>
      <w:pPr>
        <w:ind w:left="1988" w:hanging="284"/>
      </w:pPr>
      <w:rPr>
        <w:rFonts w:ascii="Symbol" w:hAnsi="Symbol" w:hint="default"/>
      </w:rPr>
    </w:lvl>
    <w:lvl w:ilvl="7">
      <w:start w:val="1"/>
      <w:numFmt w:val="bullet"/>
      <w:lvlText w:val="o"/>
      <w:lvlJc w:val="left"/>
      <w:pPr>
        <w:ind w:left="2272" w:hanging="284"/>
      </w:pPr>
      <w:rPr>
        <w:rFonts w:ascii="Courier New" w:hAnsi="Courier New" w:cs="Courier New" w:hint="default"/>
      </w:rPr>
    </w:lvl>
    <w:lvl w:ilvl="8">
      <w:start w:val="1"/>
      <w:numFmt w:val="bullet"/>
      <w:lvlText w:val=""/>
      <w:lvlJc w:val="left"/>
      <w:pPr>
        <w:ind w:left="2556" w:hanging="284"/>
      </w:pPr>
      <w:rPr>
        <w:rFonts w:ascii="Wingdings" w:hAnsi="Wingdings" w:hint="default"/>
      </w:rPr>
    </w:lvl>
  </w:abstractNum>
  <w:abstractNum w:abstractNumId="18" w15:restartNumberingAfterBreak="0">
    <w:nsid w:val="43BF2BD2"/>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446D3A6A"/>
    <w:multiLevelType w:val="multilevel"/>
    <w:tmpl w:val="F58A407A"/>
    <w:lvl w:ilvl="0">
      <w:start w:val="1"/>
      <w:numFmt w:val="bullet"/>
      <w:lvlText w:val=""/>
      <w:lvlJc w:val="left"/>
      <w:pPr>
        <w:tabs>
          <w:tab w:val="num" w:pos="360"/>
        </w:tabs>
        <w:ind w:left="360" w:hanging="360"/>
      </w:pPr>
      <w:rPr>
        <w:rFonts w:ascii="Symbol" w:hAnsi="Symbol" w:hint="default"/>
        <w:b w:val="0"/>
        <w:i w:val="0"/>
        <w:vanish w:val="0"/>
        <w:color w:val="auto"/>
        <w:sz w:val="22"/>
      </w:rPr>
    </w:lvl>
    <w:lvl w:ilvl="1">
      <w:start w:val="1"/>
      <w:numFmt w:val="bullet"/>
      <w:lvlText w:val="–"/>
      <w:lvlJc w:val="left"/>
      <w:pPr>
        <w:tabs>
          <w:tab w:val="num" w:pos="720"/>
        </w:tabs>
        <w:ind w:left="720" w:hanging="360"/>
      </w:pPr>
      <w:rPr>
        <w:rFonts w:ascii="Calibri" w:hAnsi="Calibri" w:hint="default"/>
        <w:b w:val="0"/>
        <w:i w:val="0"/>
        <w:vanish w:val="0"/>
        <w:color w:val="auto"/>
        <w:sz w:val="22"/>
      </w:rPr>
    </w:lvl>
    <w:lvl w:ilvl="2">
      <w:start w:val="1"/>
      <w:numFmt w:val="bullet"/>
      <w:lvlText w:val=""/>
      <w:lvlJc w:val="left"/>
      <w:pPr>
        <w:tabs>
          <w:tab w:val="num" w:pos="1152"/>
        </w:tabs>
        <w:ind w:left="1152" w:hanging="360"/>
      </w:pPr>
      <w:rPr>
        <w:rFonts w:ascii="Symbol" w:hAnsi="Symbol" w:hint="default"/>
        <w:b w:val="0"/>
        <w:i w:val="0"/>
        <w:vanish w:val="0"/>
        <w:color w:val="auto"/>
        <w:sz w:val="22"/>
      </w:rPr>
    </w:lvl>
    <w:lvl w:ilvl="3">
      <w:start w:val="1"/>
      <w:numFmt w:val="bullet"/>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20" w15:restartNumberingAfterBreak="0">
    <w:nsid w:val="5438409E"/>
    <w:multiLevelType w:val="multilevel"/>
    <w:tmpl w:val="1C16F7EC"/>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21" w15:restartNumberingAfterBreak="0">
    <w:nsid w:val="57FD58D3"/>
    <w:multiLevelType w:val="multilevel"/>
    <w:tmpl w:val="9C9C932E"/>
    <w:name w:val="List num322"/>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22" w15:restartNumberingAfterBreak="0">
    <w:nsid w:val="5FC676EB"/>
    <w:multiLevelType w:val="multilevel"/>
    <w:tmpl w:val="2004B8EA"/>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23" w15:restartNumberingAfterBreak="0">
    <w:nsid w:val="6053131D"/>
    <w:multiLevelType w:val="multilevel"/>
    <w:tmpl w:val="1C16F7EC"/>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24" w15:restartNumberingAfterBreak="0">
    <w:nsid w:val="622B494C"/>
    <w:multiLevelType w:val="multilevel"/>
    <w:tmpl w:val="DC1CCDC4"/>
    <w:name w:val="List num32"/>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25" w15:restartNumberingAfterBreak="0">
    <w:nsid w:val="6F986977"/>
    <w:multiLevelType w:val="multilevel"/>
    <w:tmpl w:val="5E52D3CA"/>
    <w:name w:val="List num3222"/>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26" w15:restartNumberingAfterBreak="0">
    <w:nsid w:val="74610972"/>
    <w:multiLevelType w:val="multilevel"/>
    <w:tmpl w:val="457635A8"/>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abstractNum w:abstractNumId="27" w15:restartNumberingAfterBreak="0">
    <w:nsid w:val="7A7E12E5"/>
    <w:multiLevelType w:val="multilevel"/>
    <w:tmpl w:val="F74E2CE0"/>
    <w:lvl w:ilvl="0">
      <w:start w:val="1"/>
      <w:numFmt w:val="decimal"/>
      <w:pStyle w:val="Numpara"/>
      <w:lvlText w:val="%1."/>
      <w:lvlJc w:val="left"/>
      <w:pPr>
        <w:ind w:left="397" w:hanging="397"/>
      </w:pPr>
      <w:rPr>
        <w:rFonts w:hint="default"/>
      </w:rPr>
    </w:lvl>
    <w:lvl w:ilvl="1">
      <w:start w:val="1"/>
      <w:numFmt w:val="lowerLetter"/>
      <w:lvlText w:val="%2."/>
      <w:lvlJc w:val="left"/>
      <w:pPr>
        <w:ind w:left="568" w:hanging="284"/>
      </w:pPr>
      <w:rPr>
        <w:rFonts w:hint="default"/>
      </w:rPr>
    </w:lvl>
    <w:lvl w:ilvl="2">
      <w:start w:val="1"/>
      <w:numFmt w:val="lowerRoman"/>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28" w15:restartNumberingAfterBreak="0">
    <w:nsid w:val="7FD44514"/>
    <w:multiLevelType w:val="multilevel"/>
    <w:tmpl w:val="8F9C00DA"/>
    <w:name w:val="List num"/>
    <w:lvl w:ilvl="0">
      <w:start w:val="1"/>
      <w:numFmt w:val="lowerLetter"/>
      <w:lvlText w:val="(%1)"/>
      <w:lvlJc w:val="left"/>
      <w:pPr>
        <w:ind w:left="397" w:hanging="397"/>
      </w:pPr>
      <w:rPr>
        <w:rFonts w:hint="default"/>
      </w:rPr>
    </w:lvl>
    <w:lvl w:ilvl="1">
      <w:start w:val="1"/>
      <w:numFmt w:val="lowerRoman"/>
      <w:lvlText w:val="(%2)"/>
      <w:lvlJc w:val="left"/>
      <w:pPr>
        <w:ind w:left="794" w:hanging="397"/>
      </w:pPr>
      <w:rPr>
        <w:rFonts w:hint="default"/>
      </w:rPr>
    </w:lvl>
    <w:lvl w:ilvl="2">
      <w:start w:val="1"/>
      <w:numFmt w:val="decimal"/>
      <w:lvlText w:val="(%3)"/>
      <w:lvlJc w:val="left"/>
      <w:pPr>
        <w:ind w:left="1191" w:hanging="397"/>
      </w:pPr>
      <w:rPr>
        <w:rFonts w:hint="default"/>
      </w:rPr>
    </w:lvl>
    <w:lvl w:ilvl="3">
      <w:start w:val="1"/>
      <w:numFmt w:val="upperLetter"/>
      <w:lvlText w:val="(%4)"/>
      <w:lvlJc w:val="left"/>
      <w:pPr>
        <w:ind w:left="1588" w:hanging="397"/>
      </w:pPr>
      <w:rPr>
        <w:rFonts w:hint="default"/>
      </w:rPr>
    </w:lvl>
    <w:lvl w:ilvl="4">
      <w:start w:val="1"/>
      <w:numFmt w:val="upperRoman"/>
      <w:lvlRestart w:val="1"/>
      <w:lvlText w:val="(%5)"/>
      <w:lvlJc w:val="left"/>
      <w:pPr>
        <w:ind w:left="1985" w:hanging="397"/>
      </w:pPr>
      <w:rPr>
        <w:rFonts w:hint="default"/>
      </w:rPr>
    </w:lvl>
    <w:lvl w:ilvl="5">
      <w:start w:val="1"/>
      <w:numFmt w:val="decimal"/>
      <w:lvlText w:val="%3.%4.%5.%6"/>
      <w:lvlJc w:val="left"/>
      <w:pPr>
        <w:tabs>
          <w:tab w:val="num" w:pos="2345"/>
        </w:tabs>
        <w:ind w:left="2382" w:hanging="397"/>
      </w:pPr>
      <w:rPr>
        <w:rFonts w:hint="default"/>
      </w:rPr>
    </w:lvl>
    <w:lvl w:ilvl="6">
      <w:start w:val="1"/>
      <w:numFmt w:val="lowerLetter"/>
      <w:lvlText w:val="(%7)"/>
      <w:lvlJc w:val="left"/>
      <w:pPr>
        <w:tabs>
          <w:tab w:val="num" w:pos="2742"/>
        </w:tabs>
        <w:ind w:left="2779" w:hanging="397"/>
      </w:pPr>
      <w:rPr>
        <w:rFonts w:hint="default"/>
      </w:rPr>
    </w:lvl>
    <w:lvl w:ilvl="7">
      <w:start w:val="1"/>
      <w:numFmt w:val="lowerRoman"/>
      <w:lvlText w:val="(%8)"/>
      <w:lvlJc w:val="left"/>
      <w:pPr>
        <w:tabs>
          <w:tab w:val="num" w:pos="3139"/>
        </w:tabs>
        <w:ind w:left="3176" w:hanging="397"/>
      </w:pPr>
      <w:rPr>
        <w:rFonts w:hint="default"/>
      </w:rPr>
    </w:lvl>
    <w:lvl w:ilvl="8">
      <w:start w:val="1"/>
      <w:numFmt w:val="decimal"/>
      <w:lvlText w:val="%9."/>
      <w:lvlJc w:val="left"/>
      <w:pPr>
        <w:tabs>
          <w:tab w:val="num" w:pos="3536"/>
        </w:tabs>
        <w:ind w:left="3573" w:hanging="397"/>
      </w:pPr>
      <w:rPr>
        <w:rFonts w:hint="default"/>
      </w:rPr>
    </w:lvl>
  </w:abstractNum>
  <w:num w:numId="1" w16cid:durableId="1777631051">
    <w:abstractNumId w:val="19"/>
  </w:num>
  <w:num w:numId="2" w16cid:durableId="1033576255">
    <w:abstractNumId w:val="19"/>
  </w:num>
  <w:num w:numId="3" w16cid:durableId="181632450">
    <w:abstractNumId w:val="19"/>
  </w:num>
  <w:num w:numId="4" w16cid:durableId="380714541">
    <w:abstractNumId w:val="28"/>
  </w:num>
  <w:num w:numId="5" w16cid:durableId="1286765508">
    <w:abstractNumId w:val="14"/>
  </w:num>
  <w:num w:numId="6" w16cid:durableId="1801265995">
    <w:abstractNumId w:val="18"/>
  </w:num>
  <w:num w:numId="7" w16cid:durableId="1951890829">
    <w:abstractNumId w:val="27"/>
  </w:num>
  <w:num w:numId="8" w16cid:durableId="1164319256">
    <w:abstractNumId w:val="17"/>
  </w:num>
  <w:num w:numId="9" w16cid:durableId="1792479646">
    <w:abstractNumId w:val="17"/>
  </w:num>
  <w:num w:numId="10" w16cid:durableId="353921809">
    <w:abstractNumId w:val="16"/>
  </w:num>
  <w:num w:numId="11" w16cid:durableId="1301304691">
    <w:abstractNumId w:val="10"/>
  </w:num>
  <w:num w:numId="12" w16cid:durableId="1276862828">
    <w:abstractNumId w:val="26"/>
  </w:num>
  <w:num w:numId="13" w16cid:durableId="1835877658">
    <w:abstractNumId w:val="11"/>
  </w:num>
  <w:num w:numId="14" w16cid:durableId="1230308709">
    <w:abstractNumId w:val="13"/>
  </w:num>
  <w:num w:numId="15" w16cid:durableId="1974940863">
    <w:abstractNumId w:val="24"/>
  </w:num>
  <w:num w:numId="16" w16cid:durableId="716051847">
    <w:abstractNumId w:val="22"/>
  </w:num>
  <w:num w:numId="17" w16cid:durableId="1521048176">
    <w:abstractNumId w:val="21"/>
  </w:num>
  <w:num w:numId="18" w16cid:durableId="56975595">
    <w:abstractNumId w:val="23"/>
  </w:num>
  <w:num w:numId="19" w16cid:durableId="1337683705">
    <w:abstractNumId w:val="25"/>
  </w:num>
  <w:num w:numId="20" w16cid:durableId="1874734173">
    <w:abstractNumId w:val="20"/>
  </w:num>
  <w:num w:numId="21" w16cid:durableId="349264337">
    <w:abstractNumId w:val="12"/>
  </w:num>
  <w:num w:numId="22" w16cid:durableId="19246035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5937806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3804030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676155537">
    <w:abstractNumId w:val="15"/>
  </w:num>
  <w:num w:numId="26" w16cid:durableId="1557665993">
    <w:abstractNumId w:val="17"/>
  </w:num>
  <w:num w:numId="27" w16cid:durableId="1467234340">
    <w:abstractNumId w:val="0"/>
  </w:num>
  <w:num w:numId="28" w16cid:durableId="337925133">
    <w:abstractNumId w:val="1"/>
  </w:num>
  <w:num w:numId="29" w16cid:durableId="1944875353">
    <w:abstractNumId w:val="2"/>
  </w:num>
  <w:num w:numId="30" w16cid:durableId="1282415341">
    <w:abstractNumId w:val="3"/>
  </w:num>
  <w:num w:numId="31" w16cid:durableId="303969952">
    <w:abstractNumId w:val="8"/>
  </w:num>
  <w:num w:numId="32" w16cid:durableId="1112283031">
    <w:abstractNumId w:val="4"/>
  </w:num>
  <w:num w:numId="33" w16cid:durableId="1645769036">
    <w:abstractNumId w:val="5"/>
  </w:num>
  <w:num w:numId="34" w16cid:durableId="1832330499">
    <w:abstractNumId w:val="6"/>
  </w:num>
  <w:num w:numId="35" w16cid:durableId="283732747">
    <w:abstractNumId w:val="7"/>
  </w:num>
  <w:num w:numId="36" w16cid:durableId="19057973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2BCB"/>
    <w:rsid w:val="00000045"/>
    <w:rsid w:val="00002901"/>
    <w:rsid w:val="00005134"/>
    <w:rsid w:val="00011117"/>
    <w:rsid w:val="0001294D"/>
    <w:rsid w:val="00012F6F"/>
    <w:rsid w:val="0001324C"/>
    <w:rsid w:val="00014213"/>
    <w:rsid w:val="00014B55"/>
    <w:rsid w:val="000177B2"/>
    <w:rsid w:val="00017EC3"/>
    <w:rsid w:val="00020E3E"/>
    <w:rsid w:val="00021E55"/>
    <w:rsid w:val="00023BF3"/>
    <w:rsid w:val="00024705"/>
    <w:rsid w:val="000247E9"/>
    <w:rsid w:val="000262E1"/>
    <w:rsid w:val="00026811"/>
    <w:rsid w:val="00026A8F"/>
    <w:rsid w:val="00033913"/>
    <w:rsid w:val="00036E1B"/>
    <w:rsid w:val="000377AF"/>
    <w:rsid w:val="00040A38"/>
    <w:rsid w:val="0004185E"/>
    <w:rsid w:val="0004279D"/>
    <w:rsid w:val="00042AE5"/>
    <w:rsid w:val="000436D2"/>
    <w:rsid w:val="000442F0"/>
    <w:rsid w:val="00047C26"/>
    <w:rsid w:val="000521B9"/>
    <w:rsid w:val="00052C40"/>
    <w:rsid w:val="000554E6"/>
    <w:rsid w:val="00055DF1"/>
    <w:rsid w:val="00056988"/>
    <w:rsid w:val="00062C5E"/>
    <w:rsid w:val="00064DE9"/>
    <w:rsid w:val="00065273"/>
    <w:rsid w:val="0006603E"/>
    <w:rsid w:val="0006721C"/>
    <w:rsid w:val="00067343"/>
    <w:rsid w:val="00072279"/>
    <w:rsid w:val="00073407"/>
    <w:rsid w:val="00075189"/>
    <w:rsid w:val="00075E6C"/>
    <w:rsid w:val="00076836"/>
    <w:rsid w:val="00077187"/>
    <w:rsid w:val="000807FE"/>
    <w:rsid w:val="00081C12"/>
    <w:rsid w:val="00081F32"/>
    <w:rsid w:val="00087D42"/>
    <w:rsid w:val="00093B18"/>
    <w:rsid w:val="00095BE6"/>
    <w:rsid w:val="00095C6A"/>
    <w:rsid w:val="000A016E"/>
    <w:rsid w:val="000A058D"/>
    <w:rsid w:val="000A1CC9"/>
    <w:rsid w:val="000A1DD9"/>
    <w:rsid w:val="000A331E"/>
    <w:rsid w:val="000A37AB"/>
    <w:rsid w:val="000B08AE"/>
    <w:rsid w:val="000B118E"/>
    <w:rsid w:val="000B1ED9"/>
    <w:rsid w:val="000B29AD"/>
    <w:rsid w:val="000B29E2"/>
    <w:rsid w:val="000B3CE1"/>
    <w:rsid w:val="000B4387"/>
    <w:rsid w:val="000B53B5"/>
    <w:rsid w:val="000B7FCD"/>
    <w:rsid w:val="000C08A3"/>
    <w:rsid w:val="000C415A"/>
    <w:rsid w:val="000C41C2"/>
    <w:rsid w:val="000C53A6"/>
    <w:rsid w:val="000C593B"/>
    <w:rsid w:val="000C618D"/>
    <w:rsid w:val="000C6372"/>
    <w:rsid w:val="000D2E3D"/>
    <w:rsid w:val="000D4463"/>
    <w:rsid w:val="000D6192"/>
    <w:rsid w:val="000D7586"/>
    <w:rsid w:val="000D7658"/>
    <w:rsid w:val="000D7841"/>
    <w:rsid w:val="000D7E61"/>
    <w:rsid w:val="000E15A2"/>
    <w:rsid w:val="000E24DB"/>
    <w:rsid w:val="000E392D"/>
    <w:rsid w:val="000E39B6"/>
    <w:rsid w:val="000E3D05"/>
    <w:rsid w:val="000E4B59"/>
    <w:rsid w:val="000E7846"/>
    <w:rsid w:val="000F2DD7"/>
    <w:rsid w:val="000F396C"/>
    <w:rsid w:val="000F4288"/>
    <w:rsid w:val="000F7165"/>
    <w:rsid w:val="000F7C4B"/>
    <w:rsid w:val="00100DE5"/>
    <w:rsid w:val="00102379"/>
    <w:rsid w:val="00102FAE"/>
    <w:rsid w:val="00103722"/>
    <w:rsid w:val="00103E92"/>
    <w:rsid w:val="00103F06"/>
    <w:rsid w:val="0010407B"/>
    <w:rsid w:val="001065D6"/>
    <w:rsid w:val="001068D5"/>
    <w:rsid w:val="00107DD4"/>
    <w:rsid w:val="00111343"/>
    <w:rsid w:val="00111FAA"/>
    <w:rsid w:val="00121252"/>
    <w:rsid w:val="001214FF"/>
    <w:rsid w:val="00121CAE"/>
    <w:rsid w:val="00121D32"/>
    <w:rsid w:val="00124609"/>
    <w:rsid w:val="001254CE"/>
    <w:rsid w:val="0012587A"/>
    <w:rsid w:val="00127010"/>
    <w:rsid w:val="00127D8D"/>
    <w:rsid w:val="00134ECF"/>
    <w:rsid w:val="0013531E"/>
    <w:rsid w:val="00140783"/>
    <w:rsid w:val="00141DF5"/>
    <w:rsid w:val="001422CC"/>
    <w:rsid w:val="00144E32"/>
    <w:rsid w:val="00145346"/>
    <w:rsid w:val="001468A3"/>
    <w:rsid w:val="00150ED6"/>
    <w:rsid w:val="00154C74"/>
    <w:rsid w:val="00156EE3"/>
    <w:rsid w:val="001610CF"/>
    <w:rsid w:val="001617B6"/>
    <w:rsid w:val="00165C3E"/>
    <w:rsid w:val="00165E66"/>
    <w:rsid w:val="00170648"/>
    <w:rsid w:val="0017155A"/>
    <w:rsid w:val="00171796"/>
    <w:rsid w:val="001726E8"/>
    <w:rsid w:val="001735AC"/>
    <w:rsid w:val="00174D89"/>
    <w:rsid w:val="00176836"/>
    <w:rsid w:val="00176DDE"/>
    <w:rsid w:val="00182250"/>
    <w:rsid w:val="001872AB"/>
    <w:rsid w:val="00190544"/>
    <w:rsid w:val="00192A3C"/>
    <w:rsid w:val="00192F88"/>
    <w:rsid w:val="001932C7"/>
    <w:rsid w:val="001958FF"/>
    <w:rsid w:val="001960C5"/>
    <w:rsid w:val="001960E2"/>
    <w:rsid w:val="00196143"/>
    <w:rsid w:val="001975B6"/>
    <w:rsid w:val="00197E09"/>
    <w:rsid w:val="001A07E8"/>
    <w:rsid w:val="001A1EE2"/>
    <w:rsid w:val="001A2456"/>
    <w:rsid w:val="001A24FC"/>
    <w:rsid w:val="001A268A"/>
    <w:rsid w:val="001B3E51"/>
    <w:rsid w:val="001B4A2F"/>
    <w:rsid w:val="001B54FC"/>
    <w:rsid w:val="001B7020"/>
    <w:rsid w:val="001B711F"/>
    <w:rsid w:val="001C0125"/>
    <w:rsid w:val="001C184D"/>
    <w:rsid w:val="001C1E3F"/>
    <w:rsid w:val="001C412F"/>
    <w:rsid w:val="001C53D3"/>
    <w:rsid w:val="001C7BAE"/>
    <w:rsid w:val="001D1C51"/>
    <w:rsid w:val="001D218B"/>
    <w:rsid w:val="001D2F0F"/>
    <w:rsid w:val="001D43A1"/>
    <w:rsid w:val="001D6AAD"/>
    <w:rsid w:val="001D732D"/>
    <w:rsid w:val="001E0871"/>
    <w:rsid w:val="001E2C97"/>
    <w:rsid w:val="001E31FA"/>
    <w:rsid w:val="001E411C"/>
    <w:rsid w:val="001E41A5"/>
    <w:rsid w:val="001E48F9"/>
    <w:rsid w:val="001E64F6"/>
    <w:rsid w:val="001E7AEB"/>
    <w:rsid w:val="001F365F"/>
    <w:rsid w:val="001F3E20"/>
    <w:rsid w:val="001F4813"/>
    <w:rsid w:val="001F634C"/>
    <w:rsid w:val="001F67A3"/>
    <w:rsid w:val="0020021D"/>
    <w:rsid w:val="00202301"/>
    <w:rsid w:val="00204A45"/>
    <w:rsid w:val="00204B82"/>
    <w:rsid w:val="00205002"/>
    <w:rsid w:val="00206DC7"/>
    <w:rsid w:val="002076AF"/>
    <w:rsid w:val="00210C89"/>
    <w:rsid w:val="002210B6"/>
    <w:rsid w:val="00222BCB"/>
    <w:rsid w:val="00222BEB"/>
    <w:rsid w:val="00225B7B"/>
    <w:rsid w:val="00225E60"/>
    <w:rsid w:val="002304E0"/>
    <w:rsid w:val="00230BBB"/>
    <w:rsid w:val="0023202C"/>
    <w:rsid w:val="00232400"/>
    <w:rsid w:val="00232C24"/>
    <w:rsid w:val="00234619"/>
    <w:rsid w:val="00235CF0"/>
    <w:rsid w:val="0023694D"/>
    <w:rsid w:val="002403D4"/>
    <w:rsid w:val="002410EF"/>
    <w:rsid w:val="0024184A"/>
    <w:rsid w:val="002432C8"/>
    <w:rsid w:val="00245043"/>
    <w:rsid w:val="002454CC"/>
    <w:rsid w:val="00255B8F"/>
    <w:rsid w:val="00255DD0"/>
    <w:rsid w:val="00257461"/>
    <w:rsid w:val="002578E5"/>
    <w:rsid w:val="0026028E"/>
    <w:rsid w:val="00261A79"/>
    <w:rsid w:val="00262A30"/>
    <w:rsid w:val="00263221"/>
    <w:rsid w:val="00265B1E"/>
    <w:rsid w:val="00265EC8"/>
    <w:rsid w:val="002677B6"/>
    <w:rsid w:val="00272892"/>
    <w:rsid w:val="0027533B"/>
    <w:rsid w:val="0027603D"/>
    <w:rsid w:val="002827D3"/>
    <w:rsid w:val="002835FE"/>
    <w:rsid w:val="00284FA2"/>
    <w:rsid w:val="00285081"/>
    <w:rsid w:val="00285B78"/>
    <w:rsid w:val="00286AFC"/>
    <w:rsid w:val="00290B84"/>
    <w:rsid w:val="00291A15"/>
    <w:rsid w:val="00292D36"/>
    <w:rsid w:val="0029467A"/>
    <w:rsid w:val="00294A5A"/>
    <w:rsid w:val="00296593"/>
    <w:rsid w:val="00296E2E"/>
    <w:rsid w:val="00297281"/>
    <w:rsid w:val="00297A47"/>
    <w:rsid w:val="002A0003"/>
    <w:rsid w:val="002A05F0"/>
    <w:rsid w:val="002A0FCA"/>
    <w:rsid w:val="002A32C2"/>
    <w:rsid w:val="002A3CD9"/>
    <w:rsid w:val="002A43AF"/>
    <w:rsid w:val="002A5891"/>
    <w:rsid w:val="002A5981"/>
    <w:rsid w:val="002B0059"/>
    <w:rsid w:val="002B03F1"/>
    <w:rsid w:val="002B4076"/>
    <w:rsid w:val="002B580F"/>
    <w:rsid w:val="002B5E2B"/>
    <w:rsid w:val="002B6259"/>
    <w:rsid w:val="002B6B63"/>
    <w:rsid w:val="002B6DAA"/>
    <w:rsid w:val="002B7F91"/>
    <w:rsid w:val="002B7F9D"/>
    <w:rsid w:val="002C0DD3"/>
    <w:rsid w:val="002C3740"/>
    <w:rsid w:val="002C38D4"/>
    <w:rsid w:val="002C4A2B"/>
    <w:rsid w:val="002C4E92"/>
    <w:rsid w:val="002C4F9C"/>
    <w:rsid w:val="002C5D1D"/>
    <w:rsid w:val="002C6461"/>
    <w:rsid w:val="002D1439"/>
    <w:rsid w:val="002D672F"/>
    <w:rsid w:val="002D70F7"/>
    <w:rsid w:val="002D711A"/>
    <w:rsid w:val="002D7336"/>
    <w:rsid w:val="002E0287"/>
    <w:rsid w:val="002E1976"/>
    <w:rsid w:val="002E3396"/>
    <w:rsid w:val="002E41C2"/>
    <w:rsid w:val="002E4B78"/>
    <w:rsid w:val="002E6658"/>
    <w:rsid w:val="002F0809"/>
    <w:rsid w:val="002F2918"/>
    <w:rsid w:val="002F2953"/>
    <w:rsid w:val="002F2F60"/>
    <w:rsid w:val="002F3E9D"/>
    <w:rsid w:val="002F5559"/>
    <w:rsid w:val="002F7958"/>
    <w:rsid w:val="00301FC0"/>
    <w:rsid w:val="003042DA"/>
    <w:rsid w:val="00306B5D"/>
    <w:rsid w:val="0031149C"/>
    <w:rsid w:val="00312B46"/>
    <w:rsid w:val="0031304F"/>
    <w:rsid w:val="003141E1"/>
    <w:rsid w:val="00322CCA"/>
    <w:rsid w:val="00322ED0"/>
    <w:rsid w:val="00325548"/>
    <w:rsid w:val="00330344"/>
    <w:rsid w:val="00330CB9"/>
    <w:rsid w:val="003332BC"/>
    <w:rsid w:val="0033477F"/>
    <w:rsid w:val="00335DAA"/>
    <w:rsid w:val="00340EEC"/>
    <w:rsid w:val="0034190E"/>
    <w:rsid w:val="00344528"/>
    <w:rsid w:val="00344B5C"/>
    <w:rsid w:val="00344B82"/>
    <w:rsid w:val="003478E2"/>
    <w:rsid w:val="00350201"/>
    <w:rsid w:val="0035030F"/>
    <w:rsid w:val="00352767"/>
    <w:rsid w:val="003547C0"/>
    <w:rsid w:val="00355234"/>
    <w:rsid w:val="0035632A"/>
    <w:rsid w:val="00357383"/>
    <w:rsid w:val="003621CA"/>
    <w:rsid w:val="003623DA"/>
    <w:rsid w:val="0036258C"/>
    <w:rsid w:val="0036778F"/>
    <w:rsid w:val="003700AD"/>
    <w:rsid w:val="00370780"/>
    <w:rsid w:val="00371DDE"/>
    <w:rsid w:val="003723DF"/>
    <w:rsid w:val="00376870"/>
    <w:rsid w:val="003801D7"/>
    <w:rsid w:val="00380689"/>
    <w:rsid w:val="00384A4F"/>
    <w:rsid w:val="00384CA7"/>
    <w:rsid w:val="00385CF7"/>
    <w:rsid w:val="003872BE"/>
    <w:rsid w:val="0038771C"/>
    <w:rsid w:val="00392007"/>
    <w:rsid w:val="00393ACF"/>
    <w:rsid w:val="00394F09"/>
    <w:rsid w:val="003955CB"/>
    <w:rsid w:val="00395A63"/>
    <w:rsid w:val="00396DE4"/>
    <w:rsid w:val="003971BA"/>
    <w:rsid w:val="00397AC9"/>
    <w:rsid w:val="00397DE5"/>
    <w:rsid w:val="003A11E9"/>
    <w:rsid w:val="003A1BB7"/>
    <w:rsid w:val="003A1C37"/>
    <w:rsid w:val="003A32F6"/>
    <w:rsid w:val="003A430B"/>
    <w:rsid w:val="003A50B3"/>
    <w:rsid w:val="003A541A"/>
    <w:rsid w:val="003A58D2"/>
    <w:rsid w:val="003A61DD"/>
    <w:rsid w:val="003A6923"/>
    <w:rsid w:val="003A6A2E"/>
    <w:rsid w:val="003A71C9"/>
    <w:rsid w:val="003A7A45"/>
    <w:rsid w:val="003B0D15"/>
    <w:rsid w:val="003B20CC"/>
    <w:rsid w:val="003B30A2"/>
    <w:rsid w:val="003B624F"/>
    <w:rsid w:val="003B7B6F"/>
    <w:rsid w:val="003C0890"/>
    <w:rsid w:val="003C0A18"/>
    <w:rsid w:val="003C0A7F"/>
    <w:rsid w:val="003C21BA"/>
    <w:rsid w:val="003C2C67"/>
    <w:rsid w:val="003C2D4C"/>
    <w:rsid w:val="003C3B3A"/>
    <w:rsid w:val="003C5853"/>
    <w:rsid w:val="003C5BA4"/>
    <w:rsid w:val="003C7395"/>
    <w:rsid w:val="003C7D1B"/>
    <w:rsid w:val="003D27D1"/>
    <w:rsid w:val="003D5943"/>
    <w:rsid w:val="003D631E"/>
    <w:rsid w:val="003D63EB"/>
    <w:rsid w:val="003E3E26"/>
    <w:rsid w:val="003E5DFC"/>
    <w:rsid w:val="003E608A"/>
    <w:rsid w:val="003F0E09"/>
    <w:rsid w:val="003F1295"/>
    <w:rsid w:val="003F2B40"/>
    <w:rsid w:val="003F4460"/>
    <w:rsid w:val="003F5102"/>
    <w:rsid w:val="003F7450"/>
    <w:rsid w:val="003F76FC"/>
    <w:rsid w:val="003F7C06"/>
    <w:rsid w:val="004002EB"/>
    <w:rsid w:val="00400889"/>
    <w:rsid w:val="004054FA"/>
    <w:rsid w:val="00407A79"/>
    <w:rsid w:val="00411502"/>
    <w:rsid w:val="00412D5F"/>
    <w:rsid w:val="004144F5"/>
    <w:rsid w:val="00415154"/>
    <w:rsid w:val="004226C8"/>
    <w:rsid w:val="00422DDC"/>
    <w:rsid w:val="004231B5"/>
    <w:rsid w:val="004236C8"/>
    <w:rsid w:val="00426284"/>
    <w:rsid w:val="00427681"/>
    <w:rsid w:val="004326E8"/>
    <w:rsid w:val="00432D1C"/>
    <w:rsid w:val="00433DB7"/>
    <w:rsid w:val="00434253"/>
    <w:rsid w:val="004347D9"/>
    <w:rsid w:val="00435F38"/>
    <w:rsid w:val="00437071"/>
    <w:rsid w:val="00440C5F"/>
    <w:rsid w:val="004420E0"/>
    <w:rsid w:val="00447AB4"/>
    <w:rsid w:val="00453750"/>
    <w:rsid w:val="00453EFC"/>
    <w:rsid w:val="004550D9"/>
    <w:rsid w:val="0045523A"/>
    <w:rsid w:val="00455AE6"/>
    <w:rsid w:val="0045601C"/>
    <w:rsid w:val="00456941"/>
    <w:rsid w:val="00456B26"/>
    <w:rsid w:val="004613D5"/>
    <w:rsid w:val="00464F1F"/>
    <w:rsid w:val="004656FE"/>
    <w:rsid w:val="00465BF2"/>
    <w:rsid w:val="00467EA5"/>
    <w:rsid w:val="004702EA"/>
    <w:rsid w:val="00472B24"/>
    <w:rsid w:val="00474C5E"/>
    <w:rsid w:val="00477824"/>
    <w:rsid w:val="00477856"/>
    <w:rsid w:val="004821ED"/>
    <w:rsid w:val="0048259C"/>
    <w:rsid w:val="00482D02"/>
    <w:rsid w:val="00484326"/>
    <w:rsid w:val="00484F7A"/>
    <w:rsid w:val="004863E4"/>
    <w:rsid w:val="00487B08"/>
    <w:rsid w:val="00490369"/>
    <w:rsid w:val="004905DC"/>
    <w:rsid w:val="00491510"/>
    <w:rsid w:val="0049168B"/>
    <w:rsid w:val="00492E0C"/>
    <w:rsid w:val="004A4542"/>
    <w:rsid w:val="004A52D0"/>
    <w:rsid w:val="004A52F6"/>
    <w:rsid w:val="004A6804"/>
    <w:rsid w:val="004A712F"/>
    <w:rsid w:val="004A7519"/>
    <w:rsid w:val="004B0BFC"/>
    <w:rsid w:val="004B1D32"/>
    <w:rsid w:val="004B323E"/>
    <w:rsid w:val="004B36B3"/>
    <w:rsid w:val="004B3DBC"/>
    <w:rsid w:val="004B4E9D"/>
    <w:rsid w:val="004B64B1"/>
    <w:rsid w:val="004B7BEA"/>
    <w:rsid w:val="004C2C18"/>
    <w:rsid w:val="004C3D50"/>
    <w:rsid w:val="004C4AE3"/>
    <w:rsid w:val="004C5A98"/>
    <w:rsid w:val="004C6C48"/>
    <w:rsid w:val="004C6CA0"/>
    <w:rsid w:val="004D0030"/>
    <w:rsid w:val="004D01AC"/>
    <w:rsid w:val="004D0E34"/>
    <w:rsid w:val="004D3518"/>
    <w:rsid w:val="004D55B4"/>
    <w:rsid w:val="004D62D6"/>
    <w:rsid w:val="004D6898"/>
    <w:rsid w:val="004D6F5F"/>
    <w:rsid w:val="004D7771"/>
    <w:rsid w:val="004E251D"/>
    <w:rsid w:val="004E331B"/>
    <w:rsid w:val="004E3E9A"/>
    <w:rsid w:val="004E3F5A"/>
    <w:rsid w:val="004E55D2"/>
    <w:rsid w:val="004E55E2"/>
    <w:rsid w:val="004E5FB3"/>
    <w:rsid w:val="004E63BE"/>
    <w:rsid w:val="004F09ED"/>
    <w:rsid w:val="004F27FD"/>
    <w:rsid w:val="004F2E65"/>
    <w:rsid w:val="004F3569"/>
    <w:rsid w:val="004F3F4E"/>
    <w:rsid w:val="004F408B"/>
    <w:rsid w:val="004F40CC"/>
    <w:rsid w:val="004F4216"/>
    <w:rsid w:val="004F632D"/>
    <w:rsid w:val="0050056B"/>
    <w:rsid w:val="005013C0"/>
    <w:rsid w:val="0050251B"/>
    <w:rsid w:val="0050356B"/>
    <w:rsid w:val="005036AA"/>
    <w:rsid w:val="005045FE"/>
    <w:rsid w:val="00504B91"/>
    <w:rsid w:val="00505281"/>
    <w:rsid w:val="00510167"/>
    <w:rsid w:val="00510977"/>
    <w:rsid w:val="00513386"/>
    <w:rsid w:val="00513857"/>
    <w:rsid w:val="00513E86"/>
    <w:rsid w:val="00517585"/>
    <w:rsid w:val="00517CE8"/>
    <w:rsid w:val="00517D91"/>
    <w:rsid w:val="005220E3"/>
    <w:rsid w:val="0052313E"/>
    <w:rsid w:val="00527685"/>
    <w:rsid w:val="005306A2"/>
    <w:rsid w:val="005318EA"/>
    <w:rsid w:val="0053416C"/>
    <w:rsid w:val="00535815"/>
    <w:rsid w:val="00540588"/>
    <w:rsid w:val="00540682"/>
    <w:rsid w:val="00541400"/>
    <w:rsid w:val="00541C2F"/>
    <w:rsid w:val="00544C1F"/>
    <w:rsid w:val="00544ECA"/>
    <w:rsid w:val="00547930"/>
    <w:rsid w:val="005516C0"/>
    <w:rsid w:val="00551B95"/>
    <w:rsid w:val="00552DE4"/>
    <w:rsid w:val="00553DC0"/>
    <w:rsid w:val="00554035"/>
    <w:rsid w:val="0055516B"/>
    <w:rsid w:val="005567DB"/>
    <w:rsid w:val="005604F8"/>
    <w:rsid w:val="00563527"/>
    <w:rsid w:val="00565029"/>
    <w:rsid w:val="00565E48"/>
    <w:rsid w:val="0056755B"/>
    <w:rsid w:val="0056766A"/>
    <w:rsid w:val="005714EE"/>
    <w:rsid w:val="005718AD"/>
    <w:rsid w:val="0057196D"/>
    <w:rsid w:val="00571C9A"/>
    <w:rsid w:val="005721E4"/>
    <w:rsid w:val="00573429"/>
    <w:rsid w:val="005734F6"/>
    <w:rsid w:val="00573D37"/>
    <w:rsid w:val="0057407A"/>
    <w:rsid w:val="00576385"/>
    <w:rsid w:val="00576AE4"/>
    <w:rsid w:val="00576CEA"/>
    <w:rsid w:val="00580A2E"/>
    <w:rsid w:val="00580AF4"/>
    <w:rsid w:val="0058124E"/>
    <w:rsid w:val="00581F99"/>
    <w:rsid w:val="005825E1"/>
    <w:rsid w:val="005839A6"/>
    <w:rsid w:val="00584740"/>
    <w:rsid w:val="005875A3"/>
    <w:rsid w:val="00587680"/>
    <w:rsid w:val="00587ABC"/>
    <w:rsid w:val="005918C4"/>
    <w:rsid w:val="005939CC"/>
    <w:rsid w:val="005953EA"/>
    <w:rsid w:val="005A0A87"/>
    <w:rsid w:val="005A2E0A"/>
    <w:rsid w:val="005A3416"/>
    <w:rsid w:val="005A5853"/>
    <w:rsid w:val="005A6325"/>
    <w:rsid w:val="005A636B"/>
    <w:rsid w:val="005B01D5"/>
    <w:rsid w:val="005B27FE"/>
    <w:rsid w:val="005B282E"/>
    <w:rsid w:val="005B3584"/>
    <w:rsid w:val="005B3B52"/>
    <w:rsid w:val="005B4AE1"/>
    <w:rsid w:val="005B5F24"/>
    <w:rsid w:val="005B6B62"/>
    <w:rsid w:val="005B76DF"/>
    <w:rsid w:val="005B79CB"/>
    <w:rsid w:val="005C0006"/>
    <w:rsid w:val="005C112A"/>
    <w:rsid w:val="005C596A"/>
    <w:rsid w:val="005C6650"/>
    <w:rsid w:val="005D361C"/>
    <w:rsid w:val="005D3B6E"/>
    <w:rsid w:val="005D780F"/>
    <w:rsid w:val="005E08D7"/>
    <w:rsid w:val="005E2B6E"/>
    <w:rsid w:val="005E2B87"/>
    <w:rsid w:val="005E30B4"/>
    <w:rsid w:val="005E47EC"/>
    <w:rsid w:val="005E4B84"/>
    <w:rsid w:val="005E4C16"/>
    <w:rsid w:val="005E524E"/>
    <w:rsid w:val="005E5947"/>
    <w:rsid w:val="005E784F"/>
    <w:rsid w:val="005F07FE"/>
    <w:rsid w:val="005F15F1"/>
    <w:rsid w:val="005F5367"/>
    <w:rsid w:val="005F61DF"/>
    <w:rsid w:val="005F6F4B"/>
    <w:rsid w:val="005F737B"/>
    <w:rsid w:val="005F7827"/>
    <w:rsid w:val="0060163A"/>
    <w:rsid w:val="006023F9"/>
    <w:rsid w:val="0060350B"/>
    <w:rsid w:val="006038F9"/>
    <w:rsid w:val="00610559"/>
    <w:rsid w:val="00614076"/>
    <w:rsid w:val="00615119"/>
    <w:rsid w:val="0062047A"/>
    <w:rsid w:val="00620661"/>
    <w:rsid w:val="0062651F"/>
    <w:rsid w:val="006300B8"/>
    <w:rsid w:val="00630904"/>
    <w:rsid w:val="00632F2E"/>
    <w:rsid w:val="006332F6"/>
    <w:rsid w:val="006346A5"/>
    <w:rsid w:val="00635141"/>
    <w:rsid w:val="00635537"/>
    <w:rsid w:val="00636E9D"/>
    <w:rsid w:val="006377EB"/>
    <w:rsid w:val="00637E5C"/>
    <w:rsid w:val="0064113A"/>
    <w:rsid w:val="006413F2"/>
    <w:rsid w:val="00641AA0"/>
    <w:rsid w:val="0064360F"/>
    <w:rsid w:val="00643F54"/>
    <w:rsid w:val="0064798F"/>
    <w:rsid w:val="00650DD0"/>
    <w:rsid w:val="0065279A"/>
    <w:rsid w:val="00653392"/>
    <w:rsid w:val="006534B2"/>
    <w:rsid w:val="0065615D"/>
    <w:rsid w:val="00656777"/>
    <w:rsid w:val="00657011"/>
    <w:rsid w:val="006638EF"/>
    <w:rsid w:val="00663FEE"/>
    <w:rsid w:val="006646D5"/>
    <w:rsid w:val="006650B5"/>
    <w:rsid w:val="006651B1"/>
    <w:rsid w:val="00665778"/>
    <w:rsid w:val="00666F1B"/>
    <w:rsid w:val="006671A9"/>
    <w:rsid w:val="0066768B"/>
    <w:rsid w:val="00670C94"/>
    <w:rsid w:val="006723D2"/>
    <w:rsid w:val="00672A47"/>
    <w:rsid w:val="006754C3"/>
    <w:rsid w:val="00676E5F"/>
    <w:rsid w:val="006820BD"/>
    <w:rsid w:val="0068460A"/>
    <w:rsid w:val="00687888"/>
    <w:rsid w:val="00687AED"/>
    <w:rsid w:val="00687CF6"/>
    <w:rsid w:val="0069041D"/>
    <w:rsid w:val="006919A5"/>
    <w:rsid w:val="0069276D"/>
    <w:rsid w:val="00692B92"/>
    <w:rsid w:val="00693A44"/>
    <w:rsid w:val="006945CA"/>
    <w:rsid w:val="00697730"/>
    <w:rsid w:val="006A1F63"/>
    <w:rsid w:val="006A3309"/>
    <w:rsid w:val="006A3A5A"/>
    <w:rsid w:val="006A4A90"/>
    <w:rsid w:val="006A4DAF"/>
    <w:rsid w:val="006A5B34"/>
    <w:rsid w:val="006B05F6"/>
    <w:rsid w:val="006B0E9F"/>
    <w:rsid w:val="006B1779"/>
    <w:rsid w:val="006B21EC"/>
    <w:rsid w:val="006B4793"/>
    <w:rsid w:val="006B5365"/>
    <w:rsid w:val="006B5A1B"/>
    <w:rsid w:val="006C38C6"/>
    <w:rsid w:val="006C6DAC"/>
    <w:rsid w:val="006C77A9"/>
    <w:rsid w:val="006D03A0"/>
    <w:rsid w:val="006D2ECE"/>
    <w:rsid w:val="006D2FAD"/>
    <w:rsid w:val="006D4720"/>
    <w:rsid w:val="006D4F42"/>
    <w:rsid w:val="006D5D3D"/>
    <w:rsid w:val="006D65C6"/>
    <w:rsid w:val="006D76C1"/>
    <w:rsid w:val="006D7736"/>
    <w:rsid w:val="006D79F2"/>
    <w:rsid w:val="006D7AF0"/>
    <w:rsid w:val="006E4821"/>
    <w:rsid w:val="006E4CBB"/>
    <w:rsid w:val="006E5DB9"/>
    <w:rsid w:val="006E6CDF"/>
    <w:rsid w:val="006E7EB7"/>
    <w:rsid w:val="006F0604"/>
    <w:rsid w:val="006F0942"/>
    <w:rsid w:val="006F1E5B"/>
    <w:rsid w:val="006F37F2"/>
    <w:rsid w:val="006F4397"/>
    <w:rsid w:val="006F6591"/>
    <w:rsid w:val="006F6693"/>
    <w:rsid w:val="00705313"/>
    <w:rsid w:val="0070641D"/>
    <w:rsid w:val="00706537"/>
    <w:rsid w:val="00707FE8"/>
    <w:rsid w:val="00710E9C"/>
    <w:rsid w:val="007112BC"/>
    <w:rsid w:val="00713F6D"/>
    <w:rsid w:val="00714AAE"/>
    <w:rsid w:val="00715D8D"/>
    <w:rsid w:val="007162DD"/>
    <w:rsid w:val="007201F8"/>
    <w:rsid w:val="00722136"/>
    <w:rsid w:val="00723353"/>
    <w:rsid w:val="00724962"/>
    <w:rsid w:val="00724A0F"/>
    <w:rsid w:val="00725C6F"/>
    <w:rsid w:val="00726D2F"/>
    <w:rsid w:val="007275FD"/>
    <w:rsid w:val="00727C45"/>
    <w:rsid w:val="00730FDC"/>
    <w:rsid w:val="007324C9"/>
    <w:rsid w:val="00732F83"/>
    <w:rsid w:val="00736732"/>
    <w:rsid w:val="00736B33"/>
    <w:rsid w:val="00737395"/>
    <w:rsid w:val="00740019"/>
    <w:rsid w:val="00741134"/>
    <w:rsid w:val="00741152"/>
    <w:rsid w:val="00741C8D"/>
    <w:rsid w:val="00742197"/>
    <w:rsid w:val="007426D9"/>
    <w:rsid w:val="007448AC"/>
    <w:rsid w:val="00746426"/>
    <w:rsid w:val="00750BF9"/>
    <w:rsid w:val="00750CBE"/>
    <w:rsid w:val="00751ECE"/>
    <w:rsid w:val="007534C2"/>
    <w:rsid w:val="00753F31"/>
    <w:rsid w:val="0075682F"/>
    <w:rsid w:val="00761AFF"/>
    <w:rsid w:val="00764521"/>
    <w:rsid w:val="00764AFF"/>
    <w:rsid w:val="007650D2"/>
    <w:rsid w:val="007654AA"/>
    <w:rsid w:val="00765E43"/>
    <w:rsid w:val="00766212"/>
    <w:rsid w:val="00766B5A"/>
    <w:rsid w:val="0076775B"/>
    <w:rsid w:val="00771213"/>
    <w:rsid w:val="00771F3D"/>
    <w:rsid w:val="00772209"/>
    <w:rsid w:val="00772F23"/>
    <w:rsid w:val="00772F5E"/>
    <w:rsid w:val="00774621"/>
    <w:rsid w:val="007760F9"/>
    <w:rsid w:val="00776F3E"/>
    <w:rsid w:val="007770A5"/>
    <w:rsid w:val="007816E0"/>
    <w:rsid w:val="00781CA1"/>
    <w:rsid w:val="007834F2"/>
    <w:rsid w:val="00783A02"/>
    <w:rsid w:val="00791020"/>
    <w:rsid w:val="0079467F"/>
    <w:rsid w:val="00794FF6"/>
    <w:rsid w:val="00796EC4"/>
    <w:rsid w:val="007A04D2"/>
    <w:rsid w:val="007A5F82"/>
    <w:rsid w:val="007A618F"/>
    <w:rsid w:val="007A6399"/>
    <w:rsid w:val="007A6DCE"/>
    <w:rsid w:val="007A73A1"/>
    <w:rsid w:val="007B55CC"/>
    <w:rsid w:val="007B5C7A"/>
    <w:rsid w:val="007B623C"/>
    <w:rsid w:val="007B66C1"/>
    <w:rsid w:val="007B7B0D"/>
    <w:rsid w:val="007C144C"/>
    <w:rsid w:val="007C37DB"/>
    <w:rsid w:val="007C38AD"/>
    <w:rsid w:val="007C4073"/>
    <w:rsid w:val="007C4580"/>
    <w:rsid w:val="007D00CF"/>
    <w:rsid w:val="007D5F9E"/>
    <w:rsid w:val="007D60ED"/>
    <w:rsid w:val="007D774D"/>
    <w:rsid w:val="007E098F"/>
    <w:rsid w:val="007E1FC6"/>
    <w:rsid w:val="007E2B42"/>
    <w:rsid w:val="007E2D06"/>
    <w:rsid w:val="007E3BA2"/>
    <w:rsid w:val="007E5645"/>
    <w:rsid w:val="007E7899"/>
    <w:rsid w:val="007F05A8"/>
    <w:rsid w:val="007F1A4C"/>
    <w:rsid w:val="007F2A60"/>
    <w:rsid w:val="007F723F"/>
    <w:rsid w:val="007F77CA"/>
    <w:rsid w:val="007F7A63"/>
    <w:rsid w:val="0080114A"/>
    <w:rsid w:val="008022C3"/>
    <w:rsid w:val="008041E6"/>
    <w:rsid w:val="008065D2"/>
    <w:rsid w:val="00806E0E"/>
    <w:rsid w:val="00807D9C"/>
    <w:rsid w:val="0081112D"/>
    <w:rsid w:val="008116D8"/>
    <w:rsid w:val="00811BEE"/>
    <w:rsid w:val="00812833"/>
    <w:rsid w:val="008129D8"/>
    <w:rsid w:val="008136B4"/>
    <w:rsid w:val="008151FC"/>
    <w:rsid w:val="00815A8A"/>
    <w:rsid w:val="008160DE"/>
    <w:rsid w:val="0081695F"/>
    <w:rsid w:val="00816EE1"/>
    <w:rsid w:val="0082194C"/>
    <w:rsid w:val="008222FF"/>
    <w:rsid w:val="00822AC4"/>
    <w:rsid w:val="00823114"/>
    <w:rsid w:val="008236BF"/>
    <w:rsid w:val="008241FF"/>
    <w:rsid w:val="008246F9"/>
    <w:rsid w:val="008258FE"/>
    <w:rsid w:val="00826425"/>
    <w:rsid w:val="008333C6"/>
    <w:rsid w:val="008340E5"/>
    <w:rsid w:val="0083544F"/>
    <w:rsid w:val="008411E9"/>
    <w:rsid w:val="00841375"/>
    <w:rsid w:val="00841617"/>
    <w:rsid w:val="008417BB"/>
    <w:rsid w:val="0084200F"/>
    <w:rsid w:val="00843B2C"/>
    <w:rsid w:val="0084443E"/>
    <w:rsid w:val="00844F16"/>
    <w:rsid w:val="00845881"/>
    <w:rsid w:val="008458E9"/>
    <w:rsid w:val="008458F0"/>
    <w:rsid w:val="00852446"/>
    <w:rsid w:val="00855FF9"/>
    <w:rsid w:val="0086277A"/>
    <w:rsid w:val="00862888"/>
    <w:rsid w:val="00862996"/>
    <w:rsid w:val="008668A8"/>
    <w:rsid w:val="008707D5"/>
    <w:rsid w:val="00870C38"/>
    <w:rsid w:val="008768AD"/>
    <w:rsid w:val="00877FF0"/>
    <w:rsid w:val="00880AC4"/>
    <w:rsid w:val="00882A45"/>
    <w:rsid w:val="00884C0F"/>
    <w:rsid w:val="00887B5A"/>
    <w:rsid w:val="008912D8"/>
    <w:rsid w:val="00892055"/>
    <w:rsid w:val="0089354C"/>
    <w:rsid w:val="00897447"/>
    <w:rsid w:val="008A16D4"/>
    <w:rsid w:val="008A20F8"/>
    <w:rsid w:val="008A39CF"/>
    <w:rsid w:val="008A4685"/>
    <w:rsid w:val="008A4900"/>
    <w:rsid w:val="008A51EE"/>
    <w:rsid w:val="008A55FE"/>
    <w:rsid w:val="008A705E"/>
    <w:rsid w:val="008A7818"/>
    <w:rsid w:val="008B146D"/>
    <w:rsid w:val="008B42AD"/>
    <w:rsid w:val="008B4997"/>
    <w:rsid w:val="008B52B2"/>
    <w:rsid w:val="008B5666"/>
    <w:rsid w:val="008C56FF"/>
    <w:rsid w:val="008C6686"/>
    <w:rsid w:val="008C6C70"/>
    <w:rsid w:val="008D0281"/>
    <w:rsid w:val="008D08C7"/>
    <w:rsid w:val="008D18D4"/>
    <w:rsid w:val="008D49E0"/>
    <w:rsid w:val="008D5266"/>
    <w:rsid w:val="008D5874"/>
    <w:rsid w:val="008D5BA3"/>
    <w:rsid w:val="008E0BCE"/>
    <w:rsid w:val="008E2348"/>
    <w:rsid w:val="008E68D3"/>
    <w:rsid w:val="008F11DA"/>
    <w:rsid w:val="008F1C92"/>
    <w:rsid w:val="008F3661"/>
    <w:rsid w:val="008F4D66"/>
    <w:rsid w:val="008F6D45"/>
    <w:rsid w:val="008F7388"/>
    <w:rsid w:val="00903072"/>
    <w:rsid w:val="0090383E"/>
    <w:rsid w:val="00904A45"/>
    <w:rsid w:val="009102F6"/>
    <w:rsid w:val="009110E5"/>
    <w:rsid w:val="009118EC"/>
    <w:rsid w:val="00913AE6"/>
    <w:rsid w:val="00914E53"/>
    <w:rsid w:val="00914ECA"/>
    <w:rsid w:val="009207F7"/>
    <w:rsid w:val="00921395"/>
    <w:rsid w:val="009216A4"/>
    <w:rsid w:val="00922944"/>
    <w:rsid w:val="009233EA"/>
    <w:rsid w:val="009273A2"/>
    <w:rsid w:val="00931A65"/>
    <w:rsid w:val="00933CF9"/>
    <w:rsid w:val="00936479"/>
    <w:rsid w:val="009368D6"/>
    <w:rsid w:val="00937A10"/>
    <w:rsid w:val="00937C54"/>
    <w:rsid w:val="00942309"/>
    <w:rsid w:val="0094368A"/>
    <w:rsid w:val="00943E49"/>
    <w:rsid w:val="00943FCB"/>
    <w:rsid w:val="00950B84"/>
    <w:rsid w:val="0095182E"/>
    <w:rsid w:val="00952032"/>
    <w:rsid w:val="00953085"/>
    <w:rsid w:val="0095636B"/>
    <w:rsid w:val="00960457"/>
    <w:rsid w:val="009614DB"/>
    <w:rsid w:val="009640E2"/>
    <w:rsid w:val="009649B5"/>
    <w:rsid w:val="00966115"/>
    <w:rsid w:val="009661FF"/>
    <w:rsid w:val="00970EB4"/>
    <w:rsid w:val="009714F4"/>
    <w:rsid w:val="00975EED"/>
    <w:rsid w:val="00977E63"/>
    <w:rsid w:val="00980F8C"/>
    <w:rsid w:val="009834C0"/>
    <w:rsid w:val="009850A7"/>
    <w:rsid w:val="009860A0"/>
    <w:rsid w:val="00986AAC"/>
    <w:rsid w:val="00986FDA"/>
    <w:rsid w:val="00987132"/>
    <w:rsid w:val="009915DD"/>
    <w:rsid w:val="0099305C"/>
    <w:rsid w:val="009945B6"/>
    <w:rsid w:val="00994C5C"/>
    <w:rsid w:val="00995526"/>
    <w:rsid w:val="00996FCC"/>
    <w:rsid w:val="0099763F"/>
    <w:rsid w:val="009A0B35"/>
    <w:rsid w:val="009A1A0F"/>
    <w:rsid w:val="009A1DA2"/>
    <w:rsid w:val="009A2201"/>
    <w:rsid w:val="009A2345"/>
    <w:rsid w:val="009A3704"/>
    <w:rsid w:val="009A3922"/>
    <w:rsid w:val="009A3A0B"/>
    <w:rsid w:val="009A3FB6"/>
    <w:rsid w:val="009A4739"/>
    <w:rsid w:val="009A5784"/>
    <w:rsid w:val="009A674F"/>
    <w:rsid w:val="009A6D22"/>
    <w:rsid w:val="009A788D"/>
    <w:rsid w:val="009B0CA5"/>
    <w:rsid w:val="009B199C"/>
    <w:rsid w:val="009B4766"/>
    <w:rsid w:val="009B4871"/>
    <w:rsid w:val="009B4A0F"/>
    <w:rsid w:val="009B4AC2"/>
    <w:rsid w:val="009B61F1"/>
    <w:rsid w:val="009B62E0"/>
    <w:rsid w:val="009C0BD7"/>
    <w:rsid w:val="009C3D88"/>
    <w:rsid w:val="009C5285"/>
    <w:rsid w:val="009C58E7"/>
    <w:rsid w:val="009D159B"/>
    <w:rsid w:val="009D32BC"/>
    <w:rsid w:val="009D6392"/>
    <w:rsid w:val="009D64B2"/>
    <w:rsid w:val="009E0007"/>
    <w:rsid w:val="009E1651"/>
    <w:rsid w:val="009E19BD"/>
    <w:rsid w:val="009E34CB"/>
    <w:rsid w:val="009E3858"/>
    <w:rsid w:val="009E3904"/>
    <w:rsid w:val="009E467D"/>
    <w:rsid w:val="009E4A5F"/>
    <w:rsid w:val="009E4B0D"/>
    <w:rsid w:val="009E70DD"/>
    <w:rsid w:val="009E791E"/>
    <w:rsid w:val="009F02A9"/>
    <w:rsid w:val="009F25FB"/>
    <w:rsid w:val="009F2ED9"/>
    <w:rsid w:val="009F3231"/>
    <w:rsid w:val="009F5C58"/>
    <w:rsid w:val="009F7316"/>
    <w:rsid w:val="009F771A"/>
    <w:rsid w:val="00A00B78"/>
    <w:rsid w:val="00A01F9A"/>
    <w:rsid w:val="00A0202F"/>
    <w:rsid w:val="00A023A0"/>
    <w:rsid w:val="00A05EBC"/>
    <w:rsid w:val="00A062CA"/>
    <w:rsid w:val="00A11060"/>
    <w:rsid w:val="00A12676"/>
    <w:rsid w:val="00A1291B"/>
    <w:rsid w:val="00A140CE"/>
    <w:rsid w:val="00A1562B"/>
    <w:rsid w:val="00A170F4"/>
    <w:rsid w:val="00A17ECC"/>
    <w:rsid w:val="00A21408"/>
    <w:rsid w:val="00A21CFD"/>
    <w:rsid w:val="00A22CED"/>
    <w:rsid w:val="00A23B14"/>
    <w:rsid w:val="00A24A37"/>
    <w:rsid w:val="00A25B78"/>
    <w:rsid w:val="00A26E30"/>
    <w:rsid w:val="00A323A9"/>
    <w:rsid w:val="00A43C9D"/>
    <w:rsid w:val="00A4568B"/>
    <w:rsid w:val="00A46288"/>
    <w:rsid w:val="00A4637A"/>
    <w:rsid w:val="00A46BA8"/>
    <w:rsid w:val="00A46E41"/>
    <w:rsid w:val="00A473F8"/>
    <w:rsid w:val="00A47634"/>
    <w:rsid w:val="00A4771C"/>
    <w:rsid w:val="00A50560"/>
    <w:rsid w:val="00A52C64"/>
    <w:rsid w:val="00A5360A"/>
    <w:rsid w:val="00A5492B"/>
    <w:rsid w:val="00A55AE0"/>
    <w:rsid w:val="00A56A6F"/>
    <w:rsid w:val="00A60A94"/>
    <w:rsid w:val="00A612FE"/>
    <w:rsid w:val="00A63512"/>
    <w:rsid w:val="00A64649"/>
    <w:rsid w:val="00A6611E"/>
    <w:rsid w:val="00A70B49"/>
    <w:rsid w:val="00A7338B"/>
    <w:rsid w:val="00A733BC"/>
    <w:rsid w:val="00A73711"/>
    <w:rsid w:val="00A81047"/>
    <w:rsid w:val="00A818EC"/>
    <w:rsid w:val="00A83106"/>
    <w:rsid w:val="00A84024"/>
    <w:rsid w:val="00A84892"/>
    <w:rsid w:val="00A86916"/>
    <w:rsid w:val="00A90C38"/>
    <w:rsid w:val="00A92D94"/>
    <w:rsid w:val="00A962AF"/>
    <w:rsid w:val="00A9650D"/>
    <w:rsid w:val="00A97879"/>
    <w:rsid w:val="00A9789E"/>
    <w:rsid w:val="00AA188C"/>
    <w:rsid w:val="00AA194C"/>
    <w:rsid w:val="00AA228A"/>
    <w:rsid w:val="00AA26B8"/>
    <w:rsid w:val="00AA310F"/>
    <w:rsid w:val="00AA4A85"/>
    <w:rsid w:val="00AA691C"/>
    <w:rsid w:val="00AA7A73"/>
    <w:rsid w:val="00AB0436"/>
    <w:rsid w:val="00AB140F"/>
    <w:rsid w:val="00AB4A81"/>
    <w:rsid w:val="00AB6783"/>
    <w:rsid w:val="00AB75E1"/>
    <w:rsid w:val="00AC06AC"/>
    <w:rsid w:val="00AC0B87"/>
    <w:rsid w:val="00AC1052"/>
    <w:rsid w:val="00AC19C4"/>
    <w:rsid w:val="00AC2624"/>
    <w:rsid w:val="00AC32A8"/>
    <w:rsid w:val="00AC36B0"/>
    <w:rsid w:val="00AD0A1A"/>
    <w:rsid w:val="00AD3DDA"/>
    <w:rsid w:val="00AD4176"/>
    <w:rsid w:val="00AD49A5"/>
    <w:rsid w:val="00AD4A38"/>
    <w:rsid w:val="00AD63A2"/>
    <w:rsid w:val="00AD6BB3"/>
    <w:rsid w:val="00AD760E"/>
    <w:rsid w:val="00AD7D18"/>
    <w:rsid w:val="00AD7E4E"/>
    <w:rsid w:val="00AE0BE9"/>
    <w:rsid w:val="00AE0C24"/>
    <w:rsid w:val="00AE0D7D"/>
    <w:rsid w:val="00AE4C75"/>
    <w:rsid w:val="00AE785A"/>
    <w:rsid w:val="00AF17A7"/>
    <w:rsid w:val="00AF3D1D"/>
    <w:rsid w:val="00AF4D58"/>
    <w:rsid w:val="00AF6666"/>
    <w:rsid w:val="00AF6672"/>
    <w:rsid w:val="00AF7BC5"/>
    <w:rsid w:val="00B024E4"/>
    <w:rsid w:val="00B053BE"/>
    <w:rsid w:val="00B12670"/>
    <w:rsid w:val="00B12878"/>
    <w:rsid w:val="00B14EAF"/>
    <w:rsid w:val="00B14EC7"/>
    <w:rsid w:val="00B1716C"/>
    <w:rsid w:val="00B172E8"/>
    <w:rsid w:val="00B1775A"/>
    <w:rsid w:val="00B21DB5"/>
    <w:rsid w:val="00B27A22"/>
    <w:rsid w:val="00B32CA5"/>
    <w:rsid w:val="00B40E9A"/>
    <w:rsid w:val="00B41DAF"/>
    <w:rsid w:val="00B44618"/>
    <w:rsid w:val="00B4485C"/>
    <w:rsid w:val="00B44D28"/>
    <w:rsid w:val="00B4561C"/>
    <w:rsid w:val="00B476FF"/>
    <w:rsid w:val="00B527D4"/>
    <w:rsid w:val="00B53EE1"/>
    <w:rsid w:val="00B5561D"/>
    <w:rsid w:val="00B67317"/>
    <w:rsid w:val="00B703D2"/>
    <w:rsid w:val="00B70736"/>
    <w:rsid w:val="00B70EE0"/>
    <w:rsid w:val="00B74655"/>
    <w:rsid w:val="00B74748"/>
    <w:rsid w:val="00B75161"/>
    <w:rsid w:val="00B8100D"/>
    <w:rsid w:val="00B81B44"/>
    <w:rsid w:val="00B828B0"/>
    <w:rsid w:val="00B85478"/>
    <w:rsid w:val="00B85775"/>
    <w:rsid w:val="00B857D2"/>
    <w:rsid w:val="00B86CF8"/>
    <w:rsid w:val="00B870E9"/>
    <w:rsid w:val="00B9053B"/>
    <w:rsid w:val="00B974CD"/>
    <w:rsid w:val="00BA0C37"/>
    <w:rsid w:val="00BA3782"/>
    <w:rsid w:val="00BA6411"/>
    <w:rsid w:val="00BA736B"/>
    <w:rsid w:val="00BB2302"/>
    <w:rsid w:val="00BB4D98"/>
    <w:rsid w:val="00BB4EBF"/>
    <w:rsid w:val="00BB59E0"/>
    <w:rsid w:val="00BB6CBF"/>
    <w:rsid w:val="00BC085B"/>
    <w:rsid w:val="00BC316A"/>
    <w:rsid w:val="00BC3422"/>
    <w:rsid w:val="00BC5CB6"/>
    <w:rsid w:val="00BC6E19"/>
    <w:rsid w:val="00BD11C2"/>
    <w:rsid w:val="00BD25FB"/>
    <w:rsid w:val="00BD3409"/>
    <w:rsid w:val="00BD5018"/>
    <w:rsid w:val="00BD57A8"/>
    <w:rsid w:val="00BD6935"/>
    <w:rsid w:val="00BE383D"/>
    <w:rsid w:val="00BE3A85"/>
    <w:rsid w:val="00BE40B9"/>
    <w:rsid w:val="00BE58C4"/>
    <w:rsid w:val="00BE5ADC"/>
    <w:rsid w:val="00BE60F6"/>
    <w:rsid w:val="00BE7158"/>
    <w:rsid w:val="00BE747B"/>
    <w:rsid w:val="00BF3100"/>
    <w:rsid w:val="00BF3854"/>
    <w:rsid w:val="00BF4902"/>
    <w:rsid w:val="00BF4F96"/>
    <w:rsid w:val="00BF5555"/>
    <w:rsid w:val="00BF71AE"/>
    <w:rsid w:val="00BF7E37"/>
    <w:rsid w:val="00BF7FED"/>
    <w:rsid w:val="00C015B9"/>
    <w:rsid w:val="00C0219F"/>
    <w:rsid w:val="00C022F9"/>
    <w:rsid w:val="00C032EA"/>
    <w:rsid w:val="00C04739"/>
    <w:rsid w:val="00C06D50"/>
    <w:rsid w:val="00C06EB5"/>
    <w:rsid w:val="00C1145F"/>
    <w:rsid w:val="00C11CD1"/>
    <w:rsid w:val="00C15411"/>
    <w:rsid w:val="00C17FC3"/>
    <w:rsid w:val="00C20BB1"/>
    <w:rsid w:val="00C25852"/>
    <w:rsid w:val="00C2702C"/>
    <w:rsid w:val="00C326A6"/>
    <w:rsid w:val="00C3292F"/>
    <w:rsid w:val="00C32C33"/>
    <w:rsid w:val="00C32D49"/>
    <w:rsid w:val="00C32EE4"/>
    <w:rsid w:val="00C33AD3"/>
    <w:rsid w:val="00C362E2"/>
    <w:rsid w:val="00C40CCF"/>
    <w:rsid w:val="00C41B3C"/>
    <w:rsid w:val="00C43F06"/>
    <w:rsid w:val="00C43FF0"/>
    <w:rsid w:val="00C441D5"/>
    <w:rsid w:val="00C4572E"/>
    <w:rsid w:val="00C45A16"/>
    <w:rsid w:val="00C51925"/>
    <w:rsid w:val="00C51C01"/>
    <w:rsid w:val="00C52978"/>
    <w:rsid w:val="00C52A41"/>
    <w:rsid w:val="00C53AC0"/>
    <w:rsid w:val="00C56C90"/>
    <w:rsid w:val="00C57A35"/>
    <w:rsid w:val="00C620F4"/>
    <w:rsid w:val="00C6336B"/>
    <w:rsid w:val="00C637E1"/>
    <w:rsid w:val="00C63B96"/>
    <w:rsid w:val="00C67EAC"/>
    <w:rsid w:val="00C70593"/>
    <w:rsid w:val="00C70D50"/>
    <w:rsid w:val="00C72252"/>
    <w:rsid w:val="00C73836"/>
    <w:rsid w:val="00C7462F"/>
    <w:rsid w:val="00C74C42"/>
    <w:rsid w:val="00C75848"/>
    <w:rsid w:val="00C804A5"/>
    <w:rsid w:val="00C80890"/>
    <w:rsid w:val="00C8322D"/>
    <w:rsid w:val="00C8518D"/>
    <w:rsid w:val="00C859A0"/>
    <w:rsid w:val="00C85FE5"/>
    <w:rsid w:val="00C8606D"/>
    <w:rsid w:val="00C864AD"/>
    <w:rsid w:val="00C87EF5"/>
    <w:rsid w:val="00C90008"/>
    <w:rsid w:val="00C907D7"/>
    <w:rsid w:val="00C92338"/>
    <w:rsid w:val="00C954FA"/>
    <w:rsid w:val="00C96AFB"/>
    <w:rsid w:val="00CA05DC"/>
    <w:rsid w:val="00CA1D25"/>
    <w:rsid w:val="00CA3D9A"/>
    <w:rsid w:val="00CA4B30"/>
    <w:rsid w:val="00CA7B47"/>
    <w:rsid w:val="00CA7DCF"/>
    <w:rsid w:val="00CB3976"/>
    <w:rsid w:val="00CB5275"/>
    <w:rsid w:val="00CB5817"/>
    <w:rsid w:val="00CC155B"/>
    <w:rsid w:val="00CC4173"/>
    <w:rsid w:val="00CD0307"/>
    <w:rsid w:val="00CD189D"/>
    <w:rsid w:val="00CD373E"/>
    <w:rsid w:val="00CD3D1B"/>
    <w:rsid w:val="00CD5368"/>
    <w:rsid w:val="00CE0D61"/>
    <w:rsid w:val="00CE1FFE"/>
    <w:rsid w:val="00CE3331"/>
    <w:rsid w:val="00CE4926"/>
    <w:rsid w:val="00CE4986"/>
    <w:rsid w:val="00CE4C32"/>
    <w:rsid w:val="00CE5183"/>
    <w:rsid w:val="00CF4EC5"/>
    <w:rsid w:val="00CF5032"/>
    <w:rsid w:val="00CF5A99"/>
    <w:rsid w:val="00CF60B8"/>
    <w:rsid w:val="00CF7935"/>
    <w:rsid w:val="00D00302"/>
    <w:rsid w:val="00D02663"/>
    <w:rsid w:val="00D02D95"/>
    <w:rsid w:val="00D03012"/>
    <w:rsid w:val="00D0351A"/>
    <w:rsid w:val="00D03B7D"/>
    <w:rsid w:val="00D04D6F"/>
    <w:rsid w:val="00D0633E"/>
    <w:rsid w:val="00D0724E"/>
    <w:rsid w:val="00D12E74"/>
    <w:rsid w:val="00D13A71"/>
    <w:rsid w:val="00D143C5"/>
    <w:rsid w:val="00D14DD8"/>
    <w:rsid w:val="00D1708B"/>
    <w:rsid w:val="00D22CA4"/>
    <w:rsid w:val="00D2312F"/>
    <w:rsid w:val="00D23203"/>
    <w:rsid w:val="00D23B04"/>
    <w:rsid w:val="00D241B6"/>
    <w:rsid w:val="00D262F1"/>
    <w:rsid w:val="00D269C1"/>
    <w:rsid w:val="00D3780E"/>
    <w:rsid w:val="00D37E8F"/>
    <w:rsid w:val="00D41B2F"/>
    <w:rsid w:val="00D42F42"/>
    <w:rsid w:val="00D43EA1"/>
    <w:rsid w:val="00D43F04"/>
    <w:rsid w:val="00D44953"/>
    <w:rsid w:val="00D469C6"/>
    <w:rsid w:val="00D5094D"/>
    <w:rsid w:val="00D51306"/>
    <w:rsid w:val="00D52115"/>
    <w:rsid w:val="00D542F3"/>
    <w:rsid w:val="00D54513"/>
    <w:rsid w:val="00D54AAE"/>
    <w:rsid w:val="00D556D3"/>
    <w:rsid w:val="00D55EB1"/>
    <w:rsid w:val="00D562AC"/>
    <w:rsid w:val="00D5644B"/>
    <w:rsid w:val="00D56E25"/>
    <w:rsid w:val="00D57E89"/>
    <w:rsid w:val="00D60064"/>
    <w:rsid w:val="00D63874"/>
    <w:rsid w:val="00D6403A"/>
    <w:rsid w:val="00D6422A"/>
    <w:rsid w:val="00D64F24"/>
    <w:rsid w:val="00D6560D"/>
    <w:rsid w:val="00D65D77"/>
    <w:rsid w:val="00D668DF"/>
    <w:rsid w:val="00D67C54"/>
    <w:rsid w:val="00D718D7"/>
    <w:rsid w:val="00D719E8"/>
    <w:rsid w:val="00D75EB4"/>
    <w:rsid w:val="00D762D3"/>
    <w:rsid w:val="00D775D4"/>
    <w:rsid w:val="00D77769"/>
    <w:rsid w:val="00D814B7"/>
    <w:rsid w:val="00D8173B"/>
    <w:rsid w:val="00D82AC2"/>
    <w:rsid w:val="00D82B4C"/>
    <w:rsid w:val="00D8583D"/>
    <w:rsid w:val="00D86E96"/>
    <w:rsid w:val="00D90688"/>
    <w:rsid w:val="00D92090"/>
    <w:rsid w:val="00D93EEE"/>
    <w:rsid w:val="00D944D7"/>
    <w:rsid w:val="00D95655"/>
    <w:rsid w:val="00D9579C"/>
    <w:rsid w:val="00DA1063"/>
    <w:rsid w:val="00DA1C4C"/>
    <w:rsid w:val="00DA3AAD"/>
    <w:rsid w:val="00DA57B6"/>
    <w:rsid w:val="00DA7E30"/>
    <w:rsid w:val="00DB1478"/>
    <w:rsid w:val="00DB26C0"/>
    <w:rsid w:val="00DB28A4"/>
    <w:rsid w:val="00DB312B"/>
    <w:rsid w:val="00DC0369"/>
    <w:rsid w:val="00DC1744"/>
    <w:rsid w:val="00DC3E0A"/>
    <w:rsid w:val="00DC44E6"/>
    <w:rsid w:val="00DC5654"/>
    <w:rsid w:val="00DC5A4D"/>
    <w:rsid w:val="00DC5A80"/>
    <w:rsid w:val="00DC658F"/>
    <w:rsid w:val="00DC674A"/>
    <w:rsid w:val="00DC6ACC"/>
    <w:rsid w:val="00DC771D"/>
    <w:rsid w:val="00DC7785"/>
    <w:rsid w:val="00DD0C7A"/>
    <w:rsid w:val="00DD23D6"/>
    <w:rsid w:val="00DD4472"/>
    <w:rsid w:val="00DD4A8B"/>
    <w:rsid w:val="00DD631B"/>
    <w:rsid w:val="00DD6924"/>
    <w:rsid w:val="00DE2EF8"/>
    <w:rsid w:val="00DE429E"/>
    <w:rsid w:val="00DE4A65"/>
    <w:rsid w:val="00DE60CC"/>
    <w:rsid w:val="00DE612E"/>
    <w:rsid w:val="00DE6A27"/>
    <w:rsid w:val="00DE6DA2"/>
    <w:rsid w:val="00DF0E4F"/>
    <w:rsid w:val="00DF28BC"/>
    <w:rsid w:val="00DF4A80"/>
    <w:rsid w:val="00DF7849"/>
    <w:rsid w:val="00E04942"/>
    <w:rsid w:val="00E1059B"/>
    <w:rsid w:val="00E114A9"/>
    <w:rsid w:val="00E12385"/>
    <w:rsid w:val="00E177CD"/>
    <w:rsid w:val="00E17992"/>
    <w:rsid w:val="00E213A3"/>
    <w:rsid w:val="00E214D1"/>
    <w:rsid w:val="00E2363E"/>
    <w:rsid w:val="00E23EA7"/>
    <w:rsid w:val="00E25A1A"/>
    <w:rsid w:val="00E26443"/>
    <w:rsid w:val="00E26B32"/>
    <w:rsid w:val="00E26D5B"/>
    <w:rsid w:val="00E26E14"/>
    <w:rsid w:val="00E274E8"/>
    <w:rsid w:val="00E31CD4"/>
    <w:rsid w:val="00E31E60"/>
    <w:rsid w:val="00E33E08"/>
    <w:rsid w:val="00E341D8"/>
    <w:rsid w:val="00E35FBA"/>
    <w:rsid w:val="00E36194"/>
    <w:rsid w:val="00E36FBB"/>
    <w:rsid w:val="00E407B6"/>
    <w:rsid w:val="00E40CCE"/>
    <w:rsid w:val="00E41EF1"/>
    <w:rsid w:val="00E42942"/>
    <w:rsid w:val="00E43BD7"/>
    <w:rsid w:val="00E4508C"/>
    <w:rsid w:val="00E50DE6"/>
    <w:rsid w:val="00E51003"/>
    <w:rsid w:val="00E52145"/>
    <w:rsid w:val="00E53003"/>
    <w:rsid w:val="00E554C9"/>
    <w:rsid w:val="00E558CE"/>
    <w:rsid w:val="00E57A89"/>
    <w:rsid w:val="00E63564"/>
    <w:rsid w:val="00E63E61"/>
    <w:rsid w:val="00E6458F"/>
    <w:rsid w:val="00E65A0A"/>
    <w:rsid w:val="00E7170C"/>
    <w:rsid w:val="00E71BDF"/>
    <w:rsid w:val="00E72E5D"/>
    <w:rsid w:val="00E7454D"/>
    <w:rsid w:val="00E75CCB"/>
    <w:rsid w:val="00E772E4"/>
    <w:rsid w:val="00E77E60"/>
    <w:rsid w:val="00E8245B"/>
    <w:rsid w:val="00E8290E"/>
    <w:rsid w:val="00E82C21"/>
    <w:rsid w:val="00E82F59"/>
    <w:rsid w:val="00E83CA7"/>
    <w:rsid w:val="00E85642"/>
    <w:rsid w:val="00E86E88"/>
    <w:rsid w:val="00E87C44"/>
    <w:rsid w:val="00E90138"/>
    <w:rsid w:val="00E90955"/>
    <w:rsid w:val="00E92192"/>
    <w:rsid w:val="00E94720"/>
    <w:rsid w:val="00E95A71"/>
    <w:rsid w:val="00E95CCD"/>
    <w:rsid w:val="00EA0A75"/>
    <w:rsid w:val="00EA4668"/>
    <w:rsid w:val="00EA4D11"/>
    <w:rsid w:val="00EA53C9"/>
    <w:rsid w:val="00EA5DBD"/>
    <w:rsid w:val="00EA6ECD"/>
    <w:rsid w:val="00EB0119"/>
    <w:rsid w:val="00EB4DCD"/>
    <w:rsid w:val="00EB64A7"/>
    <w:rsid w:val="00EB7014"/>
    <w:rsid w:val="00EC5675"/>
    <w:rsid w:val="00EC5CDE"/>
    <w:rsid w:val="00ED2050"/>
    <w:rsid w:val="00ED3077"/>
    <w:rsid w:val="00ED487E"/>
    <w:rsid w:val="00ED4E58"/>
    <w:rsid w:val="00ED5ED0"/>
    <w:rsid w:val="00ED64F1"/>
    <w:rsid w:val="00ED64F2"/>
    <w:rsid w:val="00EE11C3"/>
    <w:rsid w:val="00EE1E30"/>
    <w:rsid w:val="00EE280C"/>
    <w:rsid w:val="00EE33A1"/>
    <w:rsid w:val="00EE3F66"/>
    <w:rsid w:val="00EE4542"/>
    <w:rsid w:val="00EE7A0D"/>
    <w:rsid w:val="00EF2B2A"/>
    <w:rsid w:val="00EF44A7"/>
    <w:rsid w:val="00EF4AF5"/>
    <w:rsid w:val="00EF5219"/>
    <w:rsid w:val="00EF59FE"/>
    <w:rsid w:val="00EF5CC0"/>
    <w:rsid w:val="00EF7B57"/>
    <w:rsid w:val="00F012A2"/>
    <w:rsid w:val="00F013CA"/>
    <w:rsid w:val="00F0222C"/>
    <w:rsid w:val="00F02744"/>
    <w:rsid w:val="00F07609"/>
    <w:rsid w:val="00F10BF1"/>
    <w:rsid w:val="00F10C86"/>
    <w:rsid w:val="00F12312"/>
    <w:rsid w:val="00F1239D"/>
    <w:rsid w:val="00F1259E"/>
    <w:rsid w:val="00F12F3B"/>
    <w:rsid w:val="00F17CE1"/>
    <w:rsid w:val="00F2115C"/>
    <w:rsid w:val="00F22ABA"/>
    <w:rsid w:val="00F24E78"/>
    <w:rsid w:val="00F25F4B"/>
    <w:rsid w:val="00F264D3"/>
    <w:rsid w:val="00F27E72"/>
    <w:rsid w:val="00F30882"/>
    <w:rsid w:val="00F32EA1"/>
    <w:rsid w:val="00F343F5"/>
    <w:rsid w:val="00F3483B"/>
    <w:rsid w:val="00F3525D"/>
    <w:rsid w:val="00F36B12"/>
    <w:rsid w:val="00F3709C"/>
    <w:rsid w:val="00F41427"/>
    <w:rsid w:val="00F436E6"/>
    <w:rsid w:val="00F43A85"/>
    <w:rsid w:val="00F43FB0"/>
    <w:rsid w:val="00F44888"/>
    <w:rsid w:val="00F44D26"/>
    <w:rsid w:val="00F45522"/>
    <w:rsid w:val="00F4740F"/>
    <w:rsid w:val="00F47E39"/>
    <w:rsid w:val="00F5222B"/>
    <w:rsid w:val="00F52B97"/>
    <w:rsid w:val="00F564F0"/>
    <w:rsid w:val="00F56DBA"/>
    <w:rsid w:val="00F56F30"/>
    <w:rsid w:val="00F60695"/>
    <w:rsid w:val="00F60F9F"/>
    <w:rsid w:val="00F62B59"/>
    <w:rsid w:val="00F63488"/>
    <w:rsid w:val="00F637A4"/>
    <w:rsid w:val="00F63ACC"/>
    <w:rsid w:val="00F64F08"/>
    <w:rsid w:val="00F652AA"/>
    <w:rsid w:val="00F65F7E"/>
    <w:rsid w:val="00F70055"/>
    <w:rsid w:val="00F71FAA"/>
    <w:rsid w:val="00F732A7"/>
    <w:rsid w:val="00F734F5"/>
    <w:rsid w:val="00F73AC1"/>
    <w:rsid w:val="00F73B5B"/>
    <w:rsid w:val="00F73E0D"/>
    <w:rsid w:val="00F75072"/>
    <w:rsid w:val="00F81465"/>
    <w:rsid w:val="00F83B14"/>
    <w:rsid w:val="00F860C0"/>
    <w:rsid w:val="00F90EA5"/>
    <w:rsid w:val="00F91F5A"/>
    <w:rsid w:val="00F93461"/>
    <w:rsid w:val="00F941BF"/>
    <w:rsid w:val="00F954EA"/>
    <w:rsid w:val="00F966B1"/>
    <w:rsid w:val="00F97D48"/>
    <w:rsid w:val="00FA0311"/>
    <w:rsid w:val="00FA0E42"/>
    <w:rsid w:val="00FA1489"/>
    <w:rsid w:val="00FA36FF"/>
    <w:rsid w:val="00FA39F1"/>
    <w:rsid w:val="00FA4F2D"/>
    <w:rsid w:val="00FA4FCB"/>
    <w:rsid w:val="00FA56CC"/>
    <w:rsid w:val="00FA5A35"/>
    <w:rsid w:val="00FB4447"/>
    <w:rsid w:val="00FB51BB"/>
    <w:rsid w:val="00FB7947"/>
    <w:rsid w:val="00FC13A8"/>
    <w:rsid w:val="00FC2534"/>
    <w:rsid w:val="00FC2536"/>
    <w:rsid w:val="00FC4BA4"/>
    <w:rsid w:val="00FC5F8C"/>
    <w:rsid w:val="00FC6480"/>
    <w:rsid w:val="00FC64BB"/>
    <w:rsid w:val="00FC73DE"/>
    <w:rsid w:val="00FD141D"/>
    <w:rsid w:val="00FD50F0"/>
    <w:rsid w:val="00FD640F"/>
    <w:rsid w:val="00FD6B4C"/>
    <w:rsid w:val="00FD7CDD"/>
    <w:rsid w:val="00FE0553"/>
    <w:rsid w:val="00FE09C8"/>
    <w:rsid w:val="00FE25D0"/>
    <w:rsid w:val="00FE2E95"/>
    <w:rsid w:val="00FE3F25"/>
    <w:rsid w:val="00FE424B"/>
    <w:rsid w:val="00FE46EA"/>
    <w:rsid w:val="00FE4E27"/>
    <w:rsid w:val="00FE58F3"/>
    <w:rsid w:val="00FE6CB3"/>
    <w:rsid w:val="00FF01B5"/>
    <w:rsid w:val="00FF2BE1"/>
    <w:rsid w:val="00FF347C"/>
    <w:rsid w:val="00FF4E99"/>
    <w:rsid w:val="00FF5D8C"/>
    <w:rsid w:val="00FF614E"/>
    <w:rsid w:val="00FF7D3A"/>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51C57CA"/>
  <w15:docId w15:val="{0DE7DF65-61B9-C14F-9A40-B721A0D449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AU" w:eastAsia="en-AU" w:bidi="ar-SA"/>
      </w:rPr>
    </w:rPrDefault>
    <w:pPrDefault>
      <w:pPr>
        <w:spacing w:before="160" w:after="160" w:line="280" w:lineRule="atLeast"/>
      </w:pPr>
    </w:pPrDefault>
  </w:docDefaults>
  <w:latentStyles w:defLockedState="0" w:defUIPriority="1" w:defSemiHidden="0" w:defUnhideWhenUsed="0" w:defQFormat="0" w:count="376">
    <w:lsdException w:name="Normal"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qFormat="1"/>
    <w:lsdException w:name="heading 6" w:semiHidden="1" w:qFormat="1"/>
    <w:lsdException w:name="heading 7" w:semiHidden="1" w:unhideWhenUsed="1" w:qFormat="1"/>
    <w:lsdException w:name="heading 8" w:semiHidden="1" w:unhideWhenUsed="1" w:qFormat="1"/>
    <w:lsdException w:name="heading 9" w:semiHidden="1" w:unhideWhenUsed="1" w:qFormat="1"/>
    <w:lsdException w:name="index 1" w:uiPriority="99" w:unhideWhenUsed="1"/>
    <w:lsdException w:name="index 2" w:uiPriority="99"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lsdException w:name="toc 5" w:semiHidden="1" w:uiPriority="39"/>
    <w:lsdException w:name="toc 6" w:semiHidden="1" w:uiPriority="39"/>
    <w:lsdException w:name="toc 7" w:semiHidden="1" w:uiPriority="39" w:unhideWhenUsed="1"/>
    <w:lsdException w:name="toc 8" w:semiHidden="1" w:uiPriority="39" w:unhideWhenUsed="1"/>
    <w:lsdException w:name="toc 9" w:semiHidden="1" w:uiPriority="39" w:unhideWhenUsed="1"/>
    <w:lsdException w:name="Normal Indent" w:uiPriority="0" w:unhideWhenUsed="1" w:qFormat="1"/>
    <w:lsdException w:name="footnote text" w:semiHidden="1" w:uiPriority="99" w:unhideWhenUsed="1"/>
    <w:lsdException w:name="annotation text" w:semiHidden="1" w:unhideWhenUsed="1"/>
    <w:lsdException w:name="header" w:uiPriority="99" w:unhideWhenUsed="1"/>
    <w:lsdException w:name="footer" w:uiPriority="99" w:unhideWhenUsed="1"/>
    <w:lsdException w:name="index heading" w:uiPriority="99" w:unhideWhenUsed="1"/>
    <w:lsdException w:name="caption" w:uiPriority="35" w:unhideWhenUsed="1"/>
    <w:lsdException w:name="table of figures" w:semiHidden="1" w:uiPriority="2"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uiPriority="2" w:unhideWhenUsed="1"/>
    <w:lsdException w:name="macro" w:semiHidden="1" w:unhideWhenUsed="1"/>
    <w:lsdException w:name="toa heading" w:semiHidden="1" w:uiPriority="99"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lsdException w:name="Closing" w:semiHidden="1" w:unhideWhenUsed="1"/>
    <w:lsdException w:name="Signature" w:semiHidden="1" w:unhideWhenUsed="1"/>
    <w:lsdException w:name="Default Paragraph Font" w:semiHidden="1" w:unhideWhenUsed="1"/>
    <w:lsdException w:name="Body Text" w:semiHidden="1" w:uiPriority="4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lsdException w:name="Salutation"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lsdException w:name="FollowedHyperlink" w:semiHidden="1" w:uiPriority="99" w:unhideWhenUsed="1"/>
    <w:lsdException w:name="Strong" w:semiHidden="1" w:qFormat="1"/>
    <w:lsdException w:name="Emphasis" w:semiHidden="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uiPriority="59"/>
    <w:lsdException w:name="Table Theme" w:semiHidden="1" w:uiPriority="99" w:unhideWhenUsed="1"/>
    <w:lsdException w:name="Placeholder Text" w:semiHidden="1"/>
    <w:lsdException w:name="No Spacing" w:semiHidden="1"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lsdException w:name="Subtle Reference" w:semiHidden="1" w:qFormat="1"/>
    <w:lsdException w:name="Intense Reference" w:semiHidden="1"/>
    <w:lsdException w:name="Book Title" w:semiHidden="1" w:qFormat="1"/>
    <w:lsdException w:name="Bibliography" w:semiHidden="1"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uiPriority w:val="1"/>
    <w:qFormat/>
    <w:rsid w:val="003F4460"/>
  </w:style>
  <w:style w:type="paragraph" w:styleId="Heading1">
    <w:name w:val="heading 1"/>
    <w:basedOn w:val="Normal"/>
    <w:next w:val="Normalfollowingheading"/>
    <w:link w:val="Heading1Char"/>
    <w:qFormat/>
    <w:rsid w:val="0026028E"/>
    <w:pPr>
      <w:keepNext/>
      <w:keepLines/>
      <w:framePr w:wrap="around" w:vAnchor="page" w:hAnchor="margin" w:y="1022"/>
      <w:spacing w:before="0" w:after="120" w:line="240" w:lineRule="auto"/>
      <w:outlineLvl w:val="0"/>
    </w:pPr>
    <w:rPr>
      <w:rFonts w:asciiTheme="majorHAnsi" w:eastAsiaTheme="majorEastAsia" w:hAnsiTheme="majorHAnsi" w:cstheme="majorBidi"/>
      <w:b/>
      <w:bCs/>
      <w:color w:val="007586" w:themeColor="text2"/>
      <w:spacing w:val="-1"/>
      <w:sz w:val="48"/>
      <w:szCs w:val="28"/>
    </w:rPr>
  </w:style>
  <w:style w:type="paragraph" w:styleId="Heading2">
    <w:name w:val="heading 2"/>
    <w:basedOn w:val="Normal"/>
    <w:next w:val="Normalfollowingheading"/>
    <w:link w:val="Heading2Char"/>
    <w:qFormat/>
    <w:rsid w:val="009273A2"/>
    <w:pPr>
      <w:keepNext/>
      <w:keepLines/>
      <w:spacing w:before="280" w:after="60" w:line="240" w:lineRule="auto"/>
      <w:outlineLvl w:val="1"/>
    </w:pPr>
    <w:rPr>
      <w:rFonts w:asciiTheme="majorHAnsi" w:eastAsiaTheme="majorEastAsia" w:hAnsiTheme="majorHAnsi" w:cs="Times New Roman (Headings CS)"/>
      <w:b/>
      <w:bCs/>
      <w:color w:val="007586" w:themeColor="text2"/>
      <w:sz w:val="28"/>
      <w:szCs w:val="26"/>
    </w:rPr>
  </w:style>
  <w:style w:type="paragraph" w:styleId="Heading3">
    <w:name w:val="heading 3"/>
    <w:basedOn w:val="Normal"/>
    <w:next w:val="Normalfollowingheading"/>
    <w:link w:val="Heading3Char"/>
    <w:qFormat/>
    <w:rsid w:val="0026028E"/>
    <w:pPr>
      <w:keepNext/>
      <w:keepLines/>
      <w:spacing w:before="240" w:after="50" w:line="240" w:lineRule="auto"/>
      <w:outlineLvl w:val="2"/>
    </w:pPr>
    <w:rPr>
      <w:rFonts w:asciiTheme="majorHAnsi" w:eastAsiaTheme="majorEastAsia" w:hAnsiTheme="majorHAnsi" w:cstheme="majorBidi"/>
      <w:b/>
      <w:bCs/>
      <w:color w:val="000000" w:themeColor="text1"/>
      <w:sz w:val="24"/>
      <w:szCs w:val="22"/>
    </w:rPr>
  </w:style>
  <w:style w:type="paragraph" w:styleId="Heading4">
    <w:name w:val="heading 4"/>
    <w:basedOn w:val="Normal"/>
    <w:next w:val="Normalfollowingheading"/>
    <w:link w:val="Heading4Char"/>
    <w:qFormat/>
    <w:rsid w:val="0026028E"/>
    <w:pPr>
      <w:keepNext/>
      <w:keepLines/>
      <w:spacing w:before="320" w:after="70" w:line="240" w:lineRule="auto"/>
      <w:outlineLvl w:val="3"/>
    </w:pPr>
    <w:rPr>
      <w:rFonts w:asciiTheme="majorHAnsi" w:eastAsiaTheme="majorEastAsia" w:hAnsiTheme="majorHAnsi" w:cstheme="majorBidi"/>
      <w:b/>
      <w:bCs/>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followingheading">
    <w:name w:val="Normal following heading"/>
    <w:basedOn w:val="Normal"/>
    <w:next w:val="Normal"/>
    <w:uiPriority w:val="1"/>
    <w:qFormat/>
    <w:rsid w:val="00294A5A"/>
    <w:pPr>
      <w:spacing w:before="0"/>
    </w:pPr>
  </w:style>
  <w:style w:type="character" w:customStyle="1" w:styleId="Heading1Char">
    <w:name w:val="Heading 1 Char"/>
    <w:basedOn w:val="DefaultParagraphFont"/>
    <w:link w:val="Heading1"/>
    <w:rsid w:val="00A05EBC"/>
    <w:rPr>
      <w:rFonts w:asciiTheme="majorHAnsi" w:eastAsiaTheme="majorEastAsia" w:hAnsiTheme="majorHAnsi" w:cstheme="majorBidi"/>
      <w:b/>
      <w:bCs/>
      <w:color w:val="007586" w:themeColor="text2"/>
      <w:spacing w:val="-1"/>
      <w:sz w:val="48"/>
      <w:szCs w:val="28"/>
    </w:rPr>
  </w:style>
  <w:style w:type="character" w:customStyle="1" w:styleId="Heading2Char">
    <w:name w:val="Heading 2 Char"/>
    <w:basedOn w:val="DefaultParagraphFont"/>
    <w:link w:val="Heading2"/>
    <w:rsid w:val="009273A2"/>
    <w:rPr>
      <w:rFonts w:asciiTheme="majorHAnsi" w:eastAsiaTheme="majorEastAsia" w:hAnsiTheme="majorHAnsi" w:cs="Times New Roman (Headings CS)"/>
      <w:b/>
      <w:bCs/>
      <w:color w:val="007586" w:themeColor="text2"/>
      <w:sz w:val="28"/>
      <w:szCs w:val="26"/>
    </w:rPr>
  </w:style>
  <w:style w:type="character" w:customStyle="1" w:styleId="Heading3Char">
    <w:name w:val="Heading 3 Char"/>
    <w:basedOn w:val="DefaultParagraphFont"/>
    <w:link w:val="Heading3"/>
    <w:rsid w:val="00A05EBC"/>
    <w:rPr>
      <w:rFonts w:asciiTheme="majorHAnsi" w:eastAsiaTheme="majorEastAsia" w:hAnsiTheme="majorHAnsi" w:cstheme="majorBidi"/>
      <w:b/>
      <w:bCs/>
      <w:color w:val="000000" w:themeColor="text1"/>
      <w:sz w:val="24"/>
      <w:szCs w:val="22"/>
    </w:rPr>
  </w:style>
  <w:style w:type="character" w:customStyle="1" w:styleId="Heading4Char">
    <w:name w:val="Heading 4 Char"/>
    <w:basedOn w:val="DefaultParagraphFont"/>
    <w:link w:val="Heading4"/>
    <w:rsid w:val="00A05EBC"/>
    <w:rPr>
      <w:rFonts w:asciiTheme="majorHAnsi" w:eastAsiaTheme="majorEastAsia" w:hAnsiTheme="majorHAnsi" w:cstheme="majorBidi"/>
      <w:b/>
      <w:bCs/>
      <w:iCs/>
      <w:color w:val="000000" w:themeColor="text1"/>
    </w:rPr>
  </w:style>
  <w:style w:type="table" w:styleId="LightShading">
    <w:name w:val="Light Shading"/>
    <w:basedOn w:val="TableNormal"/>
    <w:uiPriority w:val="60"/>
    <w:semiHidden/>
    <w:rsid w:val="0082194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
    <w:name w:val="Table Grid"/>
    <w:basedOn w:val="TableNormal"/>
    <w:uiPriority w:val="59"/>
    <w:rsid w:val="00751ECE"/>
    <w:pPr>
      <w:spacing w:before="60" w:after="60" w:line="192" w:lineRule="atLeast"/>
    </w:pPr>
    <w:rPr>
      <w:rFonts w:eastAsiaTheme="minorHAnsi"/>
      <w:sz w:val="16"/>
      <w:szCs w:val="21"/>
      <w:lang w:eastAsia="en-US"/>
    </w:rPr>
    <w:tblPr>
      <w:tblStyleColBandSize w:val="1"/>
      <w:tblBorders>
        <w:top w:val="single" w:sz="2" w:space="0" w:color="80808B" w:themeColor="accent5"/>
        <w:bottom w:val="single" w:sz="2" w:space="0" w:color="80808B" w:themeColor="accent5"/>
        <w:insideH w:val="single" w:sz="2" w:space="0" w:color="80808B" w:themeColor="accent5"/>
      </w:tblBorders>
      <w:tblCellMar>
        <w:left w:w="113" w:type="dxa"/>
        <w:right w:w="113" w:type="dxa"/>
      </w:tblCellMar>
    </w:tblPr>
    <w:tblStylePr w:type="firstRow">
      <w:pPr>
        <w:keepNext/>
        <w:keepLines/>
        <w:widowControl/>
        <w:wordWrap/>
        <w:spacing w:beforeLines="0" w:before="0" w:beforeAutospacing="0" w:afterLines="0" w:after="0" w:afterAutospacing="0" w:line="200" w:lineRule="exact"/>
        <w:ind w:leftChars="0" w:left="0"/>
        <w:jc w:val="left"/>
      </w:pPr>
      <w:rPr>
        <w:b/>
        <w:i w:val="0"/>
        <w:color w:val="007586" w:themeColor="text2"/>
        <w:sz w:val="16"/>
      </w:rPr>
      <w:tblPr/>
      <w:tcPr>
        <w:tcBorders>
          <w:top w:val="single" w:sz="2" w:space="0" w:color="EDF5F7" w:themeColor="background2"/>
          <w:left w:val="nil"/>
          <w:bottom w:val="single" w:sz="24" w:space="0" w:color="CCCCD0" w:themeColor="accent6"/>
          <w:right w:val="nil"/>
          <w:insideH w:val="nil"/>
          <w:insideV w:val="nil"/>
          <w:tl2br w:val="nil"/>
          <w:tr2bl w:val="nil"/>
        </w:tcBorders>
        <w:shd w:val="clear" w:color="auto" w:fill="EDF5F7"/>
        <w:tcMar>
          <w:top w:w="80" w:type="dxa"/>
          <w:left w:w="113" w:type="dxa"/>
          <w:bottom w:w="80" w:type="dxa"/>
          <w:right w:w="113" w:type="dxa"/>
        </w:tcMar>
        <w:vAlign w:val="bottom"/>
      </w:tcPr>
    </w:tblStylePr>
    <w:tblStylePr w:type="lastRow">
      <w:rPr>
        <w:b w:val="0"/>
      </w:rPr>
      <w:tblPr/>
      <w:tcPr>
        <w:tcBorders>
          <w:top w:val="nil"/>
          <w:left w:val="nil"/>
          <w:bottom w:val="nil"/>
          <w:right w:val="nil"/>
          <w:insideH w:val="nil"/>
          <w:insideV w:val="nil"/>
          <w:tl2br w:val="nil"/>
          <w:tr2bl w:val="nil"/>
        </w:tcBorders>
      </w:tcPr>
    </w:tblStylePr>
    <w:tblStylePr w:type="firstCol">
      <w:pPr>
        <w:wordWrap/>
        <w:spacing w:beforeLines="0" w:before="50" w:beforeAutospacing="0" w:line="260" w:lineRule="atLeast"/>
        <w:ind w:leftChars="0" w:left="0"/>
        <w:jc w:val="left"/>
      </w:pPr>
      <w:rPr>
        <w:b/>
        <w:color w:val="007586" w:themeColor="text2"/>
        <w:sz w:val="16"/>
      </w:rPr>
    </w:tblStylePr>
    <w:tblStylePr w:type="band1Vert">
      <w:pPr>
        <w:jc w:val="right"/>
      </w:pPr>
    </w:tblStylePr>
    <w:tblStylePr w:type="band2Vert">
      <w:pPr>
        <w:jc w:val="right"/>
      </w:pPr>
    </w:tblStylePr>
  </w:style>
  <w:style w:type="table" w:styleId="LightList-Accent4">
    <w:name w:val="Light List Accent 4"/>
    <w:basedOn w:val="TableNormal"/>
    <w:uiPriority w:val="61"/>
    <w:semiHidden/>
    <w:rsid w:val="009A674F"/>
    <w:pPr>
      <w:spacing w:after="0" w:line="240" w:lineRule="auto"/>
    </w:pPr>
    <w:tblPr>
      <w:tblStyleRowBandSize w:val="1"/>
      <w:tblStyleColBandSize w:val="1"/>
      <w:tblBorders>
        <w:top w:val="single" w:sz="8" w:space="0" w:color="404050" w:themeColor="accent4"/>
        <w:left w:val="single" w:sz="8" w:space="0" w:color="404050" w:themeColor="accent4"/>
        <w:bottom w:val="single" w:sz="8" w:space="0" w:color="404050" w:themeColor="accent4"/>
        <w:right w:val="single" w:sz="8" w:space="0" w:color="404050" w:themeColor="accent4"/>
      </w:tblBorders>
    </w:tblPr>
    <w:tblStylePr w:type="firstRow">
      <w:pPr>
        <w:spacing w:before="0" w:after="0" w:line="240" w:lineRule="auto"/>
      </w:pPr>
      <w:rPr>
        <w:b/>
        <w:bCs/>
        <w:color w:val="FFFFFF" w:themeColor="background1"/>
      </w:rPr>
      <w:tblPr/>
      <w:tcPr>
        <w:shd w:val="clear" w:color="auto" w:fill="404050" w:themeFill="accent4"/>
      </w:tcPr>
    </w:tblStylePr>
    <w:tblStylePr w:type="lastRow">
      <w:pPr>
        <w:spacing w:before="0" w:after="0" w:line="240" w:lineRule="auto"/>
      </w:pPr>
      <w:rPr>
        <w:b/>
        <w:bCs/>
      </w:rPr>
      <w:tblPr/>
      <w:tcPr>
        <w:tcBorders>
          <w:top w:val="double" w:sz="6" w:space="0" w:color="404050" w:themeColor="accent4"/>
          <w:left w:val="single" w:sz="8" w:space="0" w:color="404050" w:themeColor="accent4"/>
          <w:bottom w:val="single" w:sz="8" w:space="0" w:color="404050" w:themeColor="accent4"/>
          <w:right w:val="single" w:sz="8" w:space="0" w:color="404050" w:themeColor="accent4"/>
        </w:tcBorders>
      </w:tcPr>
    </w:tblStylePr>
    <w:tblStylePr w:type="firstCol">
      <w:rPr>
        <w:b/>
        <w:bCs/>
      </w:rPr>
    </w:tblStylePr>
    <w:tblStylePr w:type="lastCol">
      <w:rPr>
        <w:b/>
        <w:bCs/>
      </w:rPr>
    </w:tblStylePr>
    <w:tblStylePr w:type="band1Vert">
      <w:tblPr/>
      <w:tcPr>
        <w:tcBorders>
          <w:top w:val="single" w:sz="8" w:space="0" w:color="404050" w:themeColor="accent4"/>
          <w:left w:val="single" w:sz="8" w:space="0" w:color="404050" w:themeColor="accent4"/>
          <w:bottom w:val="single" w:sz="8" w:space="0" w:color="404050" w:themeColor="accent4"/>
          <w:right w:val="single" w:sz="8" w:space="0" w:color="404050" w:themeColor="accent4"/>
        </w:tcBorders>
      </w:tcPr>
    </w:tblStylePr>
    <w:tblStylePr w:type="band1Horz">
      <w:tblPr/>
      <w:tcPr>
        <w:tcBorders>
          <w:top w:val="single" w:sz="8" w:space="0" w:color="404050" w:themeColor="accent4"/>
          <w:left w:val="single" w:sz="8" w:space="0" w:color="404050" w:themeColor="accent4"/>
          <w:bottom w:val="single" w:sz="8" w:space="0" w:color="404050" w:themeColor="accent4"/>
          <w:right w:val="single" w:sz="8" w:space="0" w:color="404050" w:themeColor="accent4"/>
        </w:tcBorders>
      </w:tcPr>
    </w:tblStylePr>
  </w:style>
  <w:style w:type="table" w:styleId="LightList-Accent1">
    <w:name w:val="Light List Accent 1"/>
    <w:basedOn w:val="TableNormal"/>
    <w:uiPriority w:val="61"/>
    <w:semiHidden/>
    <w:rsid w:val="009A674F"/>
    <w:pPr>
      <w:spacing w:after="0" w:line="240" w:lineRule="auto"/>
    </w:pPr>
    <w:tblPr>
      <w:tblStyleRowBandSize w:val="1"/>
      <w:tblStyleColBandSize w:val="1"/>
      <w:tblBorders>
        <w:top w:val="single" w:sz="8" w:space="0" w:color="4098A4" w:themeColor="accent1"/>
        <w:left w:val="single" w:sz="8" w:space="0" w:color="4098A4" w:themeColor="accent1"/>
        <w:bottom w:val="single" w:sz="8" w:space="0" w:color="4098A4" w:themeColor="accent1"/>
        <w:right w:val="single" w:sz="8" w:space="0" w:color="4098A4" w:themeColor="accent1"/>
      </w:tblBorders>
    </w:tblPr>
    <w:tblStylePr w:type="firstRow">
      <w:pPr>
        <w:spacing w:before="0" w:after="0" w:line="240" w:lineRule="auto"/>
      </w:pPr>
      <w:rPr>
        <w:b/>
        <w:bCs/>
        <w:color w:val="FFFFFF" w:themeColor="background1"/>
      </w:rPr>
      <w:tblPr/>
      <w:tcPr>
        <w:shd w:val="clear" w:color="auto" w:fill="4098A4" w:themeFill="accent1"/>
      </w:tcPr>
    </w:tblStylePr>
    <w:tblStylePr w:type="lastRow">
      <w:pPr>
        <w:spacing w:before="0" w:after="0" w:line="240" w:lineRule="auto"/>
      </w:pPr>
      <w:rPr>
        <w:b/>
        <w:bCs/>
      </w:rPr>
      <w:tblPr/>
      <w:tcPr>
        <w:tcBorders>
          <w:top w:val="double" w:sz="6" w:space="0" w:color="4098A4" w:themeColor="accent1"/>
          <w:left w:val="single" w:sz="8" w:space="0" w:color="4098A4" w:themeColor="accent1"/>
          <w:bottom w:val="single" w:sz="8" w:space="0" w:color="4098A4" w:themeColor="accent1"/>
          <w:right w:val="single" w:sz="8" w:space="0" w:color="4098A4" w:themeColor="accent1"/>
        </w:tcBorders>
      </w:tcPr>
    </w:tblStylePr>
    <w:tblStylePr w:type="firstCol">
      <w:rPr>
        <w:b/>
        <w:bCs/>
      </w:rPr>
    </w:tblStylePr>
    <w:tblStylePr w:type="lastCol">
      <w:rPr>
        <w:b/>
        <w:bCs/>
      </w:rPr>
    </w:tblStylePr>
    <w:tblStylePr w:type="band1Vert">
      <w:tblPr/>
      <w:tcPr>
        <w:tcBorders>
          <w:top w:val="single" w:sz="8" w:space="0" w:color="4098A4" w:themeColor="accent1"/>
          <w:left w:val="single" w:sz="8" w:space="0" w:color="4098A4" w:themeColor="accent1"/>
          <w:bottom w:val="single" w:sz="8" w:space="0" w:color="4098A4" w:themeColor="accent1"/>
          <w:right w:val="single" w:sz="8" w:space="0" w:color="4098A4" w:themeColor="accent1"/>
        </w:tcBorders>
      </w:tcPr>
    </w:tblStylePr>
    <w:tblStylePr w:type="band1Horz">
      <w:tblPr/>
      <w:tcPr>
        <w:tcBorders>
          <w:top w:val="single" w:sz="8" w:space="0" w:color="4098A4" w:themeColor="accent1"/>
          <w:left w:val="single" w:sz="8" w:space="0" w:color="4098A4" w:themeColor="accent1"/>
          <w:bottom w:val="single" w:sz="8" w:space="0" w:color="4098A4" w:themeColor="accent1"/>
          <w:right w:val="single" w:sz="8" w:space="0" w:color="4098A4" w:themeColor="accent1"/>
        </w:tcBorders>
      </w:tcPr>
    </w:tblStylePr>
  </w:style>
  <w:style w:type="paragraph" w:styleId="TOC1">
    <w:name w:val="toc 1"/>
    <w:basedOn w:val="Normal"/>
    <w:next w:val="Normal"/>
    <w:uiPriority w:val="39"/>
    <w:rsid w:val="00DC5A4D"/>
    <w:pPr>
      <w:pBdr>
        <w:bottom w:val="single" w:sz="2" w:space="4" w:color="000016"/>
        <w:between w:val="single" w:sz="2" w:space="1" w:color="000000" w:themeColor="text1"/>
      </w:pBdr>
      <w:tabs>
        <w:tab w:val="right" w:pos="10206"/>
      </w:tabs>
      <w:spacing w:before="0" w:after="60"/>
      <w:ind w:right="57"/>
    </w:pPr>
    <w:rPr>
      <w:b/>
      <w:noProof/>
      <w:lang w:eastAsia="en-US"/>
    </w:rPr>
  </w:style>
  <w:style w:type="paragraph" w:styleId="TOC2">
    <w:name w:val="toc 2"/>
    <w:basedOn w:val="Normal"/>
    <w:next w:val="Normal"/>
    <w:uiPriority w:val="39"/>
    <w:rsid w:val="009E1651"/>
    <w:pPr>
      <w:pBdr>
        <w:bottom w:val="single" w:sz="2" w:space="4" w:color="000000" w:themeColor="text1"/>
        <w:between w:val="single" w:sz="2" w:space="0" w:color="000000" w:themeColor="text1"/>
      </w:pBdr>
      <w:tabs>
        <w:tab w:val="left" w:pos="340"/>
        <w:tab w:val="right" w:pos="10206"/>
      </w:tabs>
      <w:spacing w:after="60" w:line="240" w:lineRule="auto"/>
      <w:ind w:right="57"/>
    </w:pPr>
    <w:rPr>
      <w:b/>
      <w:noProof/>
      <w:color w:val="007586" w:themeColor="text2"/>
    </w:rPr>
  </w:style>
  <w:style w:type="paragraph" w:styleId="TOC3">
    <w:name w:val="toc 3"/>
    <w:basedOn w:val="TOC2"/>
    <w:next w:val="Normal"/>
    <w:uiPriority w:val="39"/>
    <w:rsid w:val="009E1651"/>
  </w:style>
  <w:style w:type="paragraph" w:styleId="Index1">
    <w:name w:val="index 1"/>
    <w:basedOn w:val="Normal"/>
    <w:next w:val="Normal"/>
    <w:uiPriority w:val="1"/>
    <w:semiHidden/>
    <w:rsid w:val="00DA3AAD"/>
    <w:pPr>
      <w:spacing w:after="60" w:line="240" w:lineRule="auto"/>
    </w:pPr>
    <w:rPr>
      <w:sz w:val="16"/>
    </w:rPr>
  </w:style>
  <w:style w:type="paragraph" w:styleId="Index2">
    <w:name w:val="index 2"/>
    <w:basedOn w:val="Normal"/>
    <w:next w:val="Normal"/>
    <w:uiPriority w:val="1"/>
    <w:semiHidden/>
    <w:rsid w:val="00014B55"/>
    <w:pPr>
      <w:spacing w:after="0" w:line="240" w:lineRule="auto"/>
      <w:ind w:left="216"/>
    </w:pPr>
    <w:rPr>
      <w:sz w:val="16"/>
      <w:szCs w:val="16"/>
    </w:rPr>
  </w:style>
  <w:style w:type="character" w:styleId="Hyperlink">
    <w:name w:val="Hyperlink"/>
    <w:basedOn w:val="DefaultParagraphFont"/>
    <w:uiPriority w:val="99"/>
    <w:rsid w:val="00A12676"/>
    <w:rPr>
      <w:color w:val="007586" w:themeColor="text2"/>
      <w:u w:val="single"/>
    </w:rPr>
  </w:style>
  <w:style w:type="paragraph" w:customStyle="1" w:styleId="Bullet1">
    <w:name w:val="Bullet 1"/>
    <w:uiPriority w:val="1"/>
    <w:qFormat/>
    <w:rsid w:val="00294A5A"/>
    <w:pPr>
      <w:numPr>
        <w:numId w:val="9"/>
      </w:numPr>
      <w:spacing w:before="60" w:after="60"/>
    </w:pPr>
    <w:rPr>
      <w:rFonts w:eastAsia="Times New Roman" w:cs="Calibri"/>
      <w:spacing w:val="2"/>
    </w:rPr>
  </w:style>
  <w:style w:type="paragraph" w:customStyle="1" w:styleId="Bullet2">
    <w:name w:val="Bullet 2"/>
    <w:basedOn w:val="Bullet1"/>
    <w:uiPriority w:val="1"/>
    <w:qFormat/>
    <w:rsid w:val="00294A5A"/>
    <w:pPr>
      <w:numPr>
        <w:ilvl w:val="1"/>
      </w:numPr>
    </w:pPr>
  </w:style>
  <w:style w:type="paragraph" w:styleId="Quote">
    <w:name w:val="Quote"/>
    <w:basedOn w:val="Normal"/>
    <w:next w:val="Normal"/>
    <w:link w:val="QuoteChar"/>
    <w:uiPriority w:val="1"/>
    <w:qFormat/>
    <w:rsid w:val="00A05EBC"/>
    <w:pPr>
      <w:ind w:left="567" w:right="567"/>
      <w:jc w:val="center"/>
    </w:pPr>
    <w:rPr>
      <w:i/>
      <w:iCs/>
      <w:color w:val="000000" w:themeColor="text1"/>
    </w:rPr>
  </w:style>
  <w:style w:type="character" w:customStyle="1" w:styleId="QuoteChar">
    <w:name w:val="Quote Char"/>
    <w:basedOn w:val="DefaultParagraphFont"/>
    <w:link w:val="Quote"/>
    <w:uiPriority w:val="1"/>
    <w:rsid w:val="00A05EBC"/>
    <w:rPr>
      <w:i/>
      <w:iCs/>
      <w:color w:val="000000" w:themeColor="text1"/>
    </w:rPr>
  </w:style>
  <w:style w:type="paragraph" w:customStyle="1" w:styleId="Heading1numbered">
    <w:name w:val="Heading 1 numbered"/>
    <w:basedOn w:val="Heading1"/>
    <w:next w:val="NormalIndent"/>
    <w:qFormat/>
    <w:rsid w:val="00BD5018"/>
    <w:pPr>
      <w:framePr w:wrap="around"/>
      <w:numPr>
        <w:numId w:val="10"/>
      </w:numPr>
    </w:pPr>
  </w:style>
  <w:style w:type="paragraph" w:styleId="NormalIndent">
    <w:name w:val="Normal Indent"/>
    <w:basedOn w:val="Normal"/>
    <w:uiPriority w:val="1"/>
    <w:qFormat/>
    <w:rsid w:val="009B62E0"/>
    <w:pPr>
      <w:spacing w:line="252" w:lineRule="auto"/>
      <w:ind w:left="792"/>
    </w:pPr>
  </w:style>
  <w:style w:type="paragraph" w:customStyle="1" w:styleId="Heading2numbered">
    <w:name w:val="Heading 2 numbered"/>
    <w:basedOn w:val="Heading2"/>
    <w:next w:val="NormalIndent"/>
    <w:qFormat/>
    <w:rsid w:val="00BD5018"/>
    <w:pPr>
      <w:numPr>
        <w:ilvl w:val="1"/>
        <w:numId w:val="10"/>
      </w:numPr>
    </w:pPr>
  </w:style>
  <w:style w:type="paragraph" w:customStyle="1" w:styleId="Heading3numbered">
    <w:name w:val="Heading 3 numbered"/>
    <w:basedOn w:val="Heading3"/>
    <w:next w:val="NormalIndent"/>
    <w:qFormat/>
    <w:rsid w:val="00BD5018"/>
    <w:pPr>
      <w:numPr>
        <w:ilvl w:val="2"/>
        <w:numId w:val="10"/>
      </w:numPr>
    </w:pPr>
  </w:style>
  <w:style w:type="paragraph" w:customStyle="1" w:styleId="Heading4numbered">
    <w:name w:val="Heading 4 numbered"/>
    <w:basedOn w:val="Heading4"/>
    <w:next w:val="NormalIndent"/>
    <w:qFormat/>
    <w:rsid w:val="00BD5018"/>
  </w:style>
  <w:style w:type="paragraph" w:customStyle="1" w:styleId="NoteNormal">
    <w:name w:val="Note Normal"/>
    <w:basedOn w:val="Normal"/>
    <w:next w:val="Normal"/>
    <w:uiPriority w:val="1"/>
    <w:rsid w:val="00297A47"/>
    <w:pPr>
      <w:spacing w:line="240" w:lineRule="atLeast"/>
      <w:contextualSpacing/>
    </w:pPr>
    <w:rPr>
      <w:sz w:val="16"/>
    </w:rPr>
  </w:style>
  <w:style w:type="paragraph" w:customStyle="1" w:styleId="Spacer">
    <w:name w:val="Spacer"/>
    <w:basedOn w:val="Normal"/>
    <w:uiPriority w:val="1"/>
    <w:semiHidden/>
    <w:qFormat/>
    <w:rsid w:val="00165E66"/>
    <w:pPr>
      <w:spacing w:before="0" w:after="0" w:line="120" w:lineRule="atLeast"/>
    </w:pPr>
    <w:rPr>
      <w:rFonts w:eastAsia="Times New Roman" w:cs="Calibri"/>
      <w:sz w:val="10"/>
      <w:szCs w:val="22"/>
    </w:rPr>
  </w:style>
  <w:style w:type="paragraph" w:styleId="Subtitle">
    <w:name w:val="Subtitle"/>
    <w:next w:val="Normal"/>
    <w:link w:val="SubtitleChar"/>
    <w:uiPriority w:val="99"/>
    <w:rsid w:val="0050356B"/>
    <w:pPr>
      <w:framePr w:hSpace="5670" w:wrap="around" w:vAnchor="page" w:hAnchor="page" w:x="852" w:y="4254"/>
      <w:spacing w:before="0" w:after="0" w:line="240" w:lineRule="auto"/>
      <w:suppressOverlap/>
    </w:pPr>
    <w:rPr>
      <w:rFonts w:asciiTheme="majorHAnsi" w:eastAsia="Times New Roman" w:hAnsiTheme="majorHAnsi" w:cstheme="majorHAnsi"/>
      <w:color w:val="000000" w:themeColor="text1"/>
      <w:sz w:val="40"/>
      <w:szCs w:val="24"/>
    </w:rPr>
  </w:style>
  <w:style w:type="character" w:customStyle="1" w:styleId="SubtitleChar">
    <w:name w:val="Subtitle Char"/>
    <w:basedOn w:val="DefaultParagraphFont"/>
    <w:link w:val="Subtitle"/>
    <w:uiPriority w:val="99"/>
    <w:rsid w:val="0050356B"/>
    <w:rPr>
      <w:rFonts w:asciiTheme="majorHAnsi" w:eastAsia="Times New Roman" w:hAnsiTheme="majorHAnsi" w:cstheme="majorHAnsi"/>
      <w:color w:val="000000" w:themeColor="text1"/>
      <w:sz w:val="40"/>
      <w:szCs w:val="24"/>
    </w:rPr>
  </w:style>
  <w:style w:type="paragraph" w:styleId="TOC4">
    <w:name w:val="toc 4"/>
    <w:basedOn w:val="Normal"/>
    <w:next w:val="Normal"/>
    <w:autoRedefine/>
    <w:uiPriority w:val="39"/>
    <w:rsid w:val="00ED64F1"/>
    <w:pPr>
      <w:spacing w:after="100"/>
      <w:ind w:left="600"/>
    </w:pPr>
  </w:style>
  <w:style w:type="paragraph" w:styleId="Title">
    <w:name w:val="Title"/>
    <w:next w:val="Subtitle"/>
    <w:link w:val="TitleChar"/>
    <w:uiPriority w:val="99"/>
    <w:rsid w:val="0050356B"/>
    <w:pPr>
      <w:framePr w:hSpace="5670" w:wrap="around" w:vAnchor="page" w:hAnchor="page" w:x="852" w:y="4310"/>
      <w:spacing w:before="0" w:after="200" w:line="192" w:lineRule="auto"/>
      <w:ind w:right="284"/>
      <w:contextualSpacing/>
      <w:suppressOverlap/>
    </w:pPr>
    <w:rPr>
      <w:rFonts w:asciiTheme="majorHAnsi" w:eastAsia="Times New Roman" w:hAnsiTheme="majorHAnsi" w:cstheme="majorHAnsi"/>
      <w:b/>
      <w:color w:val="007586" w:themeColor="text2"/>
      <w:spacing w:val="-4"/>
      <w:sz w:val="76"/>
      <w:szCs w:val="22"/>
    </w:rPr>
  </w:style>
  <w:style w:type="character" w:customStyle="1" w:styleId="TitleChar">
    <w:name w:val="Title Char"/>
    <w:basedOn w:val="DefaultParagraphFont"/>
    <w:link w:val="Title"/>
    <w:uiPriority w:val="99"/>
    <w:rsid w:val="0050356B"/>
    <w:rPr>
      <w:rFonts w:asciiTheme="majorHAnsi" w:eastAsia="Times New Roman" w:hAnsiTheme="majorHAnsi" w:cstheme="majorHAnsi"/>
      <w:b/>
      <w:color w:val="007586" w:themeColor="text2"/>
      <w:spacing w:val="-4"/>
      <w:sz w:val="76"/>
      <w:szCs w:val="22"/>
    </w:rPr>
  </w:style>
  <w:style w:type="paragraph" w:styleId="BalloonText">
    <w:name w:val="Balloon Text"/>
    <w:basedOn w:val="Normal"/>
    <w:link w:val="BalloonTextChar"/>
    <w:uiPriority w:val="1"/>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1"/>
    <w:semiHidden/>
    <w:rsid w:val="00A05EBC"/>
    <w:rPr>
      <w:rFonts w:ascii="Tahoma" w:hAnsi="Tahoma" w:cs="Tahoma"/>
      <w:sz w:val="16"/>
      <w:szCs w:val="16"/>
    </w:rPr>
  </w:style>
  <w:style w:type="paragraph" w:styleId="IndexHeading">
    <w:name w:val="index heading"/>
    <w:basedOn w:val="Normal"/>
    <w:next w:val="Index1"/>
    <w:uiPriority w:val="1"/>
    <w:semiHidden/>
    <w:rsid w:val="00014B55"/>
    <w:rPr>
      <w:rFonts w:asciiTheme="majorHAnsi" w:eastAsiaTheme="majorEastAsia" w:hAnsiTheme="majorHAnsi" w:cstheme="majorBidi"/>
      <w:b/>
      <w:bCs/>
    </w:rPr>
  </w:style>
  <w:style w:type="paragraph" w:styleId="Header">
    <w:name w:val="header"/>
    <w:basedOn w:val="Normal"/>
    <w:link w:val="HeaderChar"/>
    <w:uiPriority w:val="99"/>
    <w:rsid w:val="00F25F4B"/>
    <w:pPr>
      <w:pBdr>
        <w:bottom w:val="single" w:sz="24" w:space="1" w:color="CCCCD0" w:themeColor="accent6"/>
      </w:pBdr>
      <w:tabs>
        <w:tab w:val="center" w:pos="4513"/>
        <w:tab w:val="right" w:pos="9026"/>
      </w:tabs>
      <w:spacing w:before="0" w:line="240" w:lineRule="auto"/>
    </w:pPr>
  </w:style>
  <w:style w:type="character" w:customStyle="1" w:styleId="HeaderChar">
    <w:name w:val="Header Char"/>
    <w:basedOn w:val="DefaultParagraphFont"/>
    <w:link w:val="Header"/>
    <w:uiPriority w:val="99"/>
    <w:rsid w:val="00F25F4B"/>
  </w:style>
  <w:style w:type="paragraph" w:styleId="Footer">
    <w:name w:val="footer"/>
    <w:basedOn w:val="Normal"/>
    <w:link w:val="FooterChar"/>
    <w:uiPriority w:val="99"/>
    <w:rsid w:val="0026028E"/>
    <w:pPr>
      <w:tabs>
        <w:tab w:val="left" w:pos="1304"/>
      </w:tabs>
      <w:spacing w:before="0" w:after="0" w:line="156" w:lineRule="exact"/>
    </w:pPr>
    <w:rPr>
      <w:noProof/>
      <w:sz w:val="13"/>
      <w:szCs w:val="18"/>
    </w:rPr>
  </w:style>
  <w:style w:type="character" w:customStyle="1" w:styleId="FooterChar">
    <w:name w:val="Footer Char"/>
    <w:basedOn w:val="DefaultParagraphFont"/>
    <w:link w:val="Footer"/>
    <w:uiPriority w:val="99"/>
    <w:rsid w:val="00A05EBC"/>
    <w:rPr>
      <w:noProof/>
      <w:sz w:val="13"/>
      <w:szCs w:val="18"/>
    </w:rPr>
  </w:style>
  <w:style w:type="character" w:styleId="PageNumber">
    <w:name w:val="page number"/>
    <w:uiPriority w:val="1"/>
    <w:semiHidden/>
    <w:rsid w:val="00BB59E0"/>
    <w:rPr>
      <w:rFonts w:asciiTheme="minorHAnsi" w:hAnsiTheme="minorHAnsi"/>
      <w:b w:val="0"/>
      <w:color w:val="000000" w:themeColor="text1"/>
    </w:rPr>
  </w:style>
  <w:style w:type="paragraph" w:styleId="TOCHeading">
    <w:name w:val="TOC Heading"/>
    <w:basedOn w:val="Heading1"/>
    <w:next w:val="Normal"/>
    <w:uiPriority w:val="99"/>
    <w:rsid w:val="0026028E"/>
    <w:pPr>
      <w:framePr w:vSpace="1418" w:wrap="around"/>
      <w:outlineLvl w:val="9"/>
    </w:pPr>
    <w:rPr>
      <w:spacing w:val="2"/>
    </w:rPr>
  </w:style>
  <w:style w:type="paragraph" w:customStyle="1" w:styleId="NormalTight">
    <w:name w:val="Normal Tight"/>
    <w:uiPriority w:val="1"/>
    <w:semiHidden/>
    <w:rsid w:val="008D0281"/>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1"/>
    <w:semiHidden/>
    <w:rsid w:val="00750CBE"/>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1"/>
    <w:semiHidden/>
    <w:rsid w:val="00A05EBC"/>
    <w:rPr>
      <w:rFonts w:ascii="Calibri" w:eastAsia="Times New Roman" w:hAnsi="Calibri" w:cs="Calibri"/>
      <w:sz w:val="22"/>
      <w:szCs w:val="22"/>
    </w:rPr>
  </w:style>
  <w:style w:type="paragraph" w:customStyle="1" w:styleId="Insidecoverspacer">
    <w:name w:val="Inside cover spacer"/>
    <w:basedOn w:val="NormalTight"/>
    <w:uiPriority w:val="1"/>
    <w:semiHidden/>
    <w:qFormat/>
    <w:rsid w:val="00E26B32"/>
    <w:pPr>
      <w:spacing w:before="5800"/>
      <w:ind w:right="1382"/>
    </w:pPr>
  </w:style>
  <w:style w:type="table" w:styleId="ColorfulGrid">
    <w:name w:val="Colorful Grid"/>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6ECEF" w:themeFill="accent1" w:themeFillTint="33"/>
    </w:tcPr>
    <w:tblStylePr w:type="firstRow">
      <w:rPr>
        <w:b/>
        <w:bCs/>
      </w:rPr>
      <w:tblPr/>
      <w:tcPr>
        <w:shd w:val="clear" w:color="auto" w:fill="ADD9DF" w:themeFill="accent1" w:themeFillTint="66"/>
      </w:tcPr>
    </w:tblStylePr>
    <w:tblStylePr w:type="lastRow">
      <w:rPr>
        <w:b/>
        <w:bCs/>
        <w:color w:val="000000" w:themeColor="text1"/>
      </w:rPr>
      <w:tblPr/>
      <w:tcPr>
        <w:shd w:val="clear" w:color="auto" w:fill="ADD9DF" w:themeFill="accent1" w:themeFillTint="66"/>
      </w:tcPr>
    </w:tblStylePr>
    <w:tblStylePr w:type="firstCol">
      <w:rPr>
        <w:color w:val="FFFFFF" w:themeColor="background1"/>
      </w:rPr>
      <w:tblPr/>
      <w:tcPr>
        <w:shd w:val="clear" w:color="auto" w:fill="30717A" w:themeFill="accent1" w:themeFillShade="BF"/>
      </w:tcPr>
    </w:tblStylePr>
    <w:tblStylePr w:type="lastCol">
      <w:rPr>
        <w:color w:val="FFFFFF" w:themeColor="background1"/>
      </w:rPr>
      <w:tblPr/>
      <w:tcPr>
        <w:shd w:val="clear" w:color="auto" w:fill="30717A" w:themeFill="accent1" w:themeFillShade="BF"/>
      </w:tcPr>
    </w:tblStylePr>
    <w:tblStylePr w:type="band1Vert">
      <w:tblPr/>
      <w:tcPr>
        <w:shd w:val="clear" w:color="auto" w:fill="99D0D7" w:themeFill="accent1" w:themeFillTint="7F"/>
      </w:tcPr>
    </w:tblStylePr>
    <w:tblStylePr w:type="band1Horz">
      <w:tblPr/>
      <w:tcPr>
        <w:shd w:val="clear" w:color="auto" w:fill="99D0D7" w:themeFill="accent1" w:themeFillTint="7F"/>
      </w:tcPr>
    </w:tblStylePr>
  </w:style>
  <w:style w:type="paragraph" w:customStyle="1" w:styleId="Tabletext">
    <w:name w:val="Table text"/>
    <w:basedOn w:val="Normal"/>
    <w:uiPriority w:val="2"/>
    <w:qFormat/>
    <w:rsid w:val="009E1651"/>
    <w:pPr>
      <w:spacing w:before="60" w:after="60" w:line="192" w:lineRule="atLeast"/>
    </w:pPr>
    <w:rPr>
      <w:rFonts w:eastAsiaTheme="minorHAnsi"/>
      <w:sz w:val="16"/>
      <w:szCs w:val="21"/>
      <w:lang w:eastAsia="en-US"/>
    </w:rPr>
  </w:style>
  <w:style w:type="paragraph" w:customStyle="1" w:styleId="Tabletextright">
    <w:name w:val="Table text right"/>
    <w:basedOn w:val="Tabletext"/>
    <w:uiPriority w:val="2"/>
    <w:qFormat/>
    <w:rsid w:val="00B9053B"/>
    <w:pPr>
      <w:jc w:val="right"/>
    </w:pPr>
  </w:style>
  <w:style w:type="paragraph" w:customStyle="1" w:styleId="Listnum">
    <w:name w:val="List num"/>
    <w:basedOn w:val="Normal"/>
    <w:uiPriority w:val="1"/>
    <w:qFormat/>
    <w:rsid w:val="004A7519"/>
    <w:pPr>
      <w:numPr>
        <w:ilvl w:val="1"/>
        <w:numId w:val="21"/>
      </w:numPr>
    </w:pPr>
  </w:style>
  <w:style w:type="paragraph" w:customStyle="1" w:styleId="Listnum2">
    <w:name w:val="List num 2"/>
    <w:basedOn w:val="Normal"/>
    <w:uiPriority w:val="1"/>
    <w:qFormat/>
    <w:rsid w:val="004A7519"/>
    <w:pPr>
      <w:ind w:left="794" w:hanging="397"/>
    </w:pPr>
  </w:style>
  <w:style w:type="paragraph" w:customStyle="1" w:styleId="Tabletextcentred">
    <w:name w:val="Table text centred"/>
    <w:basedOn w:val="Tabletext"/>
    <w:uiPriority w:val="2"/>
    <w:qFormat/>
    <w:rsid w:val="00B9053B"/>
    <w:pPr>
      <w:jc w:val="center"/>
    </w:pPr>
  </w:style>
  <w:style w:type="paragraph" w:customStyle="1" w:styleId="Tableheader">
    <w:name w:val="Table header"/>
    <w:basedOn w:val="Normal"/>
    <w:uiPriority w:val="2"/>
    <w:qFormat/>
    <w:rsid w:val="00751ECE"/>
    <w:pPr>
      <w:keepNext/>
      <w:keepLines/>
      <w:spacing w:before="0" w:after="0" w:line="200" w:lineRule="exact"/>
    </w:pPr>
    <w:rPr>
      <w:rFonts w:eastAsiaTheme="minorHAnsi"/>
      <w:b/>
      <w:color w:val="007586" w:themeColor="text2"/>
      <w:sz w:val="16"/>
      <w:szCs w:val="21"/>
      <w:lang w:eastAsia="en-US"/>
    </w:rPr>
  </w:style>
  <w:style w:type="paragraph" w:customStyle="1" w:styleId="Tablebullet">
    <w:name w:val="Table bullet"/>
    <w:basedOn w:val="Tabletext"/>
    <w:uiPriority w:val="2"/>
    <w:rsid w:val="00937A10"/>
    <w:pPr>
      <w:numPr>
        <w:numId w:val="5"/>
      </w:numPr>
    </w:pPr>
  </w:style>
  <w:style w:type="paragraph" w:customStyle="1" w:styleId="Tabledash">
    <w:name w:val="Table dash"/>
    <w:basedOn w:val="Tablebullet"/>
    <w:uiPriority w:val="2"/>
    <w:rsid w:val="00937A10"/>
    <w:pPr>
      <w:numPr>
        <w:ilvl w:val="1"/>
      </w:numPr>
    </w:pPr>
  </w:style>
  <w:style w:type="paragraph" w:customStyle="1" w:styleId="Tabletextindent">
    <w:name w:val="Table text indent"/>
    <w:basedOn w:val="Tabletext"/>
    <w:uiPriority w:val="2"/>
    <w:qFormat/>
    <w:rsid w:val="00C11CD1"/>
    <w:pPr>
      <w:ind w:left="288"/>
    </w:pPr>
  </w:style>
  <w:style w:type="paragraph" w:styleId="ListParagraph">
    <w:name w:val="List Paragraph"/>
    <w:basedOn w:val="Normal"/>
    <w:uiPriority w:val="34"/>
    <w:qFormat/>
    <w:rsid w:val="004231B5"/>
    <w:pPr>
      <w:ind w:left="720"/>
      <w:contextualSpacing/>
    </w:pPr>
  </w:style>
  <w:style w:type="paragraph" w:customStyle="1" w:styleId="Numpara">
    <w:name w:val="Num para"/>
    <w:basedOn w:val="ListParagraph"/>
    <w:uiPriority w:val="1"/>
    <w:qFormat/>
    <w:rsid w:val="00C72252"/>
    <w:pPr>
      <w:numPr>
        <w:numId w:val="7"/>
      </w:numPr>
      <w:tabs>
        <w:tab w:val="left" w:pos="540"/>
      </w:tabs>
    </w:pPr>
  </w:style>
  <w:style w:type="paragraph" w:styleId="FootnoteText">
    <w:name w:val="footnote text"/>
    <w:basedOn w:val="Normal"/>
    <w:link w:val="FootnoteTextChar"/>
    <w:uiPriority w:val="99"/>
    <w:rsid w:val="00870C38"/>
    <w:pPr>
      <w:spacing w:before="57" w:after="0" w:line="160" w:lineRule="atLeast"/>
    </w:pPr>
    <w:rPr>
      <w:sz w:val="16"/>
    </w:rPr>
  </w:style>
  <w:style w:type="character" w:customStyle="1" w:styleId="FootnoteTextChar">
    <w:name w:val="Footnote Text Char"/>
    <w:basedOn w:val="DefaultParagraphFont"/>
    <w:link w:val="FootnoteText"/>
    <w:uiPriority w:val="99"/>
    <w:rsid w:val="00870C38"/>
    <w:rPr>
      <w:sz w:val="16"/>
    </w:rPr>
  </w:style>
  <w:style w:type="character" w:styleId="FootnoteReference">
    <w:name w:val="footnote reference"/>
    <w:basedOn w:val="DefaultParagraphFont"/>
    <w:uiPriority w:val="99"/>
    <w:rsid w:val="00726D2F"/>
    <w:rPr>
      <w:vertAlign w:val="superscript"/>
    </w:rPr>
  </w:style>
  <w:style w:type="table" w:styleId="ColorfulGrid-Accent2">
    <w:name w:val="Colorful Grid Accent 2"/>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F1F3" w:themeFill="accent2" w:themeFillTint="33"/>
    </w:tcPr>
    <w:tblStylePr w:type="firstRow">
      <w:rPr>
        <w:b/>
        <w:bCs/>
      </w:rPr>
      <w:tblPr/>
      <w:tcPr>
        <w:shd w:val="clear" w:color="auto" w:fill="CCE3E7" w:themeFill="accent2" w:themeFillTint="66"/>
      </w:tcPr>
    </w:tblStylePr>
    <w:tblStylePr w:type="lastRow">
      <w:rPr>
        <w:b/>
        <w:bCs/>
        <w:color w:val="000000" w:themeColor="text1"/>
      </w:rPr>
      <w:tblPr/>
      <w:tcPr>
        <w:shd w:val="clear" w:color="auto" w:fill="CCE3E7" w:themeFill="accent2" w:themeFillTint="66"/>
      </w:tcPr>
    </w:tblStylePr>
    <w:tblStylePr w:type="firstCol">
      <w:rPr>
        <w:color w:val="FFFFFF" w:themeColor="background1"/>
      </w:rPr>
      <w:tblPr/>
      <w:tcPr>
        <w:shd w:val="clear" w:color="auto" w:fill="4D98A4" w:themeFill="accent2" w:themeFillShade="BF"/>
      </w:tcPr>
    </w:tblStylePr>
    <w:tblStylePr w:type="lastCol">
      <w:rPr>
        <w:color w:val="FFFFFF" w:themeColor="background1"/>
      </w:rPr>
      <w:tblPr/>
      <w:tcPr>
        <w:shd w:val="clear" w:color="auto" w:fill="4D98A4" w:themeFill="accent2" w:themeFillShade="BF"/>
      </w:tcPr>
    </w:tblStylePr>
    <w:tblStylePr w:type="band1Vert">
      <w:tblPr/>
      <w:tcPr>
        <w:shd w:val="clear" w:color="auto" w:fill="BFDCE1" w:themeFill="accent2" w:themeFillTint="7F"/>
      </w:tcPr>
    </w:tblStylePr>
    <w:tblStylePr w:type="band1Horz">
      <w:tblPr/>
      <w:tcPr>
        <w:shd w:val="clear" w:color="auto" w:fill="BFDCE1" w:themeFill="accent2" w:themeFillTint="7F"/>
      </w:tcPr>
    </w:tblStylePr>
  </w:style>
  <w:style w:type="table" w:styleId="ColorfulGrid-Accent3">
    <w:name w:val="Colorful Grid Accent 3"/>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F8F9" w:themeFill="accent3" w:themeFillTint="33"/>
    </w:tcPr>
    <w:tblStylePr w:type="firstRow">
      <w:rPr>
        <w:b/>
        <w:bCs/>
      </w:rPr>
      <w:tblPr/>
      <w:tcPr>
        <w:shd w:val="clear" w:color="auto" w:fill="E5F1F3" w:themeFill="accent3" w:themeFillTint="66"/>
      </w:tcPr>
    </w:tblStylePr>
    <w:tblStylePr w:type="lastRow">
      <w:rPr>
        <w:b/>
        <w:bCs/>
        <w:color w:val="000000" w:themeColor="text1"/>
      </w:rPr>
      <w:tblPr/>
      <w:tcPr>
        <w:shd w:val="clear" w:color="auto" w:fill="E5F1F3" w:themeFill="accent3" w:themeFillTint="66"/>
      </w:tcPr>
    </w:tblStylePr>
    <w:tblStylePr w:type="firstCol">
      <w:rPr>
        <w:color w:val="FFFFFF" w:themeColor="background1"/>
      </w:rPr>
      <w:tblPr/>
      <w:tcPr>
        <w:shd w:val="clear" w:color="auto" w:fill="77B7BF" w:themeFill="accent3" w:themeFillShade="BF"/>
      </w:tcPr>
    </w:tblStylePr>
    <w:tblStylePr w:type="lastCol">
      <w:rPr>
        <w:color w:val="FFFFFF" w:themeColor="background1"/>
      </w:rPr>
      <w:tblPr/>
      <w:tcPr>
        <w:shd w:val="clear" w:color="auto" w:fill="77B7BF" w:themeFill="accent3" w:themeFillShade="BF"/>
      </w:tcPr>
    </w:tblStylePr>
    <w:tblStylePr w:type="band1Vert">
      <w:tblPr/>
      <w:tcPr>
        <w:shd w:val="clear" w:color="auto" w:fill="DFEEF0" w:themeFill="accent3" w:themeFillTint="7F"/>
      </w:tcPr>
    </w:tblStylePr>
    <w:tblStylePr w:type="band1Horz">
      <w:tblPr/>
      <w:tcPr>
        <w:shd w:val="clear" w:color="auto" w:fill="DFEEF0" w:themeFill="accent3" w:themeFillTint="7F"/>
      </w:tcPr>
    </w:tblStylePr>
  </w:style>
  <w:style w:type="paragraph" w:customStyle="1" w:styleId="Tablenum1">
    <w:name w:val="Table num 1"/>
    <w:basedOn w:val="Normal"/>
    <w:uiPriority w:val="2"/>
    <w:rsid w:val="007F723F"/>
    <w:pPr>
      <w:numPr>
        <w:ilvl w:val="2"/>
        <w:numId w:val="5"/>
      </w:numPr>
      <w:spacing w:before="60" w:after="60"/>
    </w:pPr>
    <w:rPr>
      <w:sz w:val="17"/>
    </w:rPr>
  </w:style>
  <w:style w:type="paragraph" w:customStyle="1" w:styleId="Tablenum2">
    <w:name w:val="Table num 2"/>
    <w:basedOn w:val="Normal"/>
    <w:uiPriority w:val="2"/>
    <w:rsid w:val="007F723F"/>
    <w:pPr>
      <w:tabs>
        <w:tab w:val="num" w:pos="567"/>
      </w:tabs>
      <w:spacing w:before="60" w:after="60"/>
      <w:ind w:left="567" w:hanging="283"/>
    </w:pPr>
    <w:rPr>
      <w:sz w:val="17"/>
    </w:rPr>
  </w:style>
  <w:style w:type="paragraph" w:styleId="Caption">
    <w:name w:val="caption"/>
    <w:basedOn w:val="Normal"/>
    <w:next w:val="Normal"/>
    <w:uiPriority w:val="1"/>
    <w:rsid w:val="00A92D94"/>
    <w:pPr>
      <w:spacing w:before="280" w:after="210" w:line="260" w:lineRule="atLeast"/>
    </w:pPr>
    <w:rPr>
      <w:b/>
      <w:bCs/>
      <w:color w:val="007586" w:themeColor="text2"/>
      <w:szCs w:val="18"/>
    </w:rPr>
  </w:style>
  <w:style w:type="paragraph" w:customStyle="1" w:styleId="Tablechartdiagramheading">
    <w:name w:val="Table/chart/diagram heading"/>
    <w:next w:val="Normal"/>
    <w:uiPriority w:val="2"/>
    <w:qFormat/>
    <w:rsid w:val="002B7F9D"/>
    <w:pPr>
      <w:keepNext/>
      <w:tabs>
        <w:tab w:val="left" w:pos="1080"/>
      </w:tabs>
      <w:spacing w:before="280" w:after="210" w:line="260" w:lineRule="atLeast"/>
    </w:pPr>
    <w:rPr>
      <w:b/>
      <w:bCs/>
      <w:color w:val="007586" w:themeColor="text2"/>
      <w:spacing w:val="2"/>
      <w:szCs w:val="18"/>
    </w:rPr>
  </w:style>
  <w:style w:type="character" w:styleId="PlaceholderText">
    <w:name w:val="Placeholder Text"/>
    <w:basedOn w:val="DefaultParagraphFont"/>
    <w:uiPriority w:val="1"/>
    <w:semiHidden/>
    <w:rsid w:val="00966115"/>
    <w:rPr>
      <w:color w:val="808080"/>
    </w:rPr>
  </w:style>
  <w:style w:type="paragraph" w:customStyle="1" w:styleId="FooterOdd">
    <w:name w:val="Footer Odd"/>
    <w:basedOn w:val="Footer"/>
    <w:uiPriority w:val="99"/>
    <w:qFormat/>
    <w:rsid w:val="002A5891"/>
    <w:pPr>
      <w:framePr w:hSpace="17010" w:wrap="around" w:vAnchor="text" w:hAnchor="margin" w:xAlign="right" w:y="1"/>
      <w:pBdr>
        <w:top w:val="single" w:sz="8" w:space="6" w:color="CCCCD0" w:themeColor="accent6"/>
      </w:pBdr>
      <w:jc w:val="right"/>
    </w:pPr>
  </w:style>
  <w:style w:type="paragraph" w:customStyle="1" w:styleId="FooterEven">
    <w:name w:val="Footer Even"/>
    <w:basedOn w:val="Footer"/>
    <w:uiPriority w:val="99"/>
    <w:qFormat/>
    <w:rsid w:val="002A5891"/>
    <w:pPr>
      <w:framePr w:hSpace="17010" w:wrap="around" w:vAnchor="text" w:hAnchor="margin" w:y="1"/>
      <w:pBdr>
        <w:top w:val="single" w:sz="8" w:space="6" w:color="CCCCD0" w:themeColor="accent6"/>
      </w:pBdr>
    </w:pPr>
  </w:style>
  <w:style w:type="paragraph" w:customStyle="1" w:styleId="IntroductoryText">
    <w:name w:val="Introductory Text"/>
    <w:basedOn w:val="Normal"/>
    <w:uiPriority w:val="1"/>
    <w:qFormat/>
    <w:rsid w:val="009E1651"/>
    <w:pPr>
      <w:spacing w:before="280" w:after="60"/>
    </w:pPr>
    <w:rPr>
      <w:b/>
      <w:color w:val="007586" w:themeColor="text2"/>
    </w:rPr>
  </w:style>
  <w:style w:type="paragraph" w:styleId="NoSpacing">
    <w:name w:val="No Spacing"/>
    <w:uiPriority w:val="1"/>
    <w:qFormat/>
    <w:rsid w:val="00294A5A"/>
    <w:pPr>
      <w:spacing w:before="0" w:after="0" w:line="240" w:lineRule="auto"/>
    </w:pPr>
  </w:style>
  <w:style w:type="table" w:styleId="ColorfulGrid-Accent4">
    <w:name w:val="Colorful Grid Accent 4"/>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6D6DE" w:themeFill="accent4" w:themeFillTint="33"/>
    </w:tcPr>
    <w:tblStylePr w:type="firstRow">
      <w:rPr>
        <w:b/>
        <w:bCs/>
      </w:rPr>
      <w:tblPr/>
      <w:tcPr>
        <w:shd w:val="clear" w:color="auto" w:fill="ADADBD" w:themeFill="accent4" w:themeFillTint="66"/>
      </w:tcPr>
    </w:tblStylePr>
    <w:tblStylePr w:type="lastRow">
      <w:rPr>
        <w:b/>
        <w:bCs/>
        <w:color w:val="000000" w:themeColor="text1"/>
      </w:rPr>
      <w:tblPr/>
      <w:tcPr>
        <w:shd w:val="clear" w:color="auto" w:fill="ADADBD" w:themeFill="accent4" w:themeFillTint="66"/>
      </w:tcPr>
    </w:tblStylePr>
    <w:tblStylePr w:type="firstCol">
      <w:rPr>
        <w:color w:val="FFFFFF" w:themeColor="background1"/>
      </w:rPr>
      <w:tblPr/>
      <w:tcPr>
        <w:shd w:val="clear" w:color="auto" w:fill="30303B" w:themeFill="accent4" w:themeFillShade="BF"/>
      </w:tcPr>
    </w:tblStylePr>
    <w:tblStylePr w:type="lastCol">
      <w:rPr>
        <w:color w:val="FFFFFF" w:themeColor="background1"/>
      </w:rPr>
      <w:tblPr/>
      <w:tcPr>
        <w:shd w:val="clear" w:color="auto" w:fill="30303B" w:themeFill="accent4" w:themeFillShade="BF"/>
      </w:tcPr>
    </w:tblStylePr>
    <w:tblStylePr w:type="band1Vert">
      <w:tblPr/>
      <w:tcPr>
        <w:shd w:val="clear" w:color="auto" w:fill="9999AE" w:themeFill="accent4" w:themeFillTint="7F"/>
      </w:tcPr>
    </w:tblStylePr>
    <w:tblStylePr w:type="band1Horz">
      <w:tblPr/>
      <w:tcPr>
        <w:shd w:val="clear" w:color="auto" w:fill="9999AE" w:themeFill="accent4" w:themeFillTint="7F"/>
      </w:tcPr>
    </w:tblStylePr>
  </w:style>
  <w:style w:type="table" w:styleId="ColorfulGrid-Accent5">
    <w:name w:val="Colorful Grid Accent 5"/>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E5E7" w:themeFill="accent5" w:themeFillTint="33"/>
    </w:tcPr>
    <w:tblStylePr w:type="firstRow">
      <w:rPr>
        <w:b/>
        <w:bCs/>
      </w:rPr>
      <w:tblPr/>
      <w:tcPr>
        <w:shd w:val="clear" w:color="auto" w:fill="CCCCD0" w:themeFill="accent5" w:themeFillTint="66"/>
      </w:tcPr>
    </w:tblStylePr>
    <w:tblStylePr w:type="lastRow">
      <w:rPr>
        <w:b/>
        <w:bCs/>
        <w:color w:val="000000" w:themeColor="text1"/>
      </w:rPr>
      <w:tblPr/>
      <w:tcPr>
        <w:shd w:val="clear" w:color="auto" w:fill="CCCCD0" w:themeFill="accent5" w:themeFillTint="66"/>
      </w:tcPr>
    </w:tblStylePr>
    <w:tblStylePr w:type="firstCol">
      <w:rPr>
        <w:color w:val="FFFFFF" w:themeColor="background1"/>
      </w:rPr>
      <w:tblPr/>
      <w:tcPr>
        <w:shd w:val="clear" w:color="auto" w:fill="5F5F68" w:themeFill="accent5" w:themeFillShade="BF"/>
      </w:tcPr>
    </w:tblStylePr>
    <w:tblStylePr w:type="lastCol">
      <w:rPr>
        <w:color w:val="FFFFFF" w:themeColor="background1"/>
      </w:rPr>
      <w:tblPr/>
      <w:tcPr>
        <w:shd w:val="clear" w:color="auto" w:fill="5F5F68" w:themeFill="accent5" w:themeFillShade="BF"/>
      </w:tcPr>
    </w:tblStylePr>
    <w:tblStylePr w:type="band1Vert">
      <w:tblPr/>
      <w:tcPr>
        <w:shd w:val="clear" w:color="auto" w:fill="BFBFC5" w:themeFill="accent5" w:themeFillTint="7F"/>
      </w:tcPr>
    </w:tblStylePr>
    <w:tblStylePr w:type="band1Horz">
      <w:tblPr/>
      <w:tcPr>
        <w:shd w:val="clear" w:color="auto" w:fill="BFBFC5" w:themeFill="accent5" w:themeFillTint="7F"/>
      </w:tcPr>
    </w:tblStylePr>
  </w:style>
  <w:style w:type="table" w:styleId="ColorfulGrid-Accent6">
    <w:name w:val="Colorful Grid Accent 6"/>
    <w:basedOn w:val="TableNormal"/>
    <w:uiPriority w:val="73"/>
    <w:semiHidden/>
    <w:rsid w:val="00294A5A"/>
    <w:pPr>
      <w:spacing w:before="0"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4F4F5" w:themeFill="accent6" w:themeFillTint="33"/>
    </w:tcPr>
    <w:tblStylePr w:type="firstRow">
      <w:rPr>
        <w:b/>
        <w:bCs/>
      </w:rPr>
      <w:tblPr/>
      <w:tcPr>
        <w:shd w:val="clear" w:color="auto" w:fill="EAEAEC" w:themeFill="accent6" w:themeFillTint="66"/>
      </w:tcPr>
    </w:tblStylePr>
    <w:tblStylePr w:type="lastRow">
      <w:rPr>
        <w:b/>
        <w:bCs/>
        <w:color w:val="000000" w:themeColor="text1"/>
      </w:rPr>
      <w:tblPr/>
      <w:tcPr>
        <w:shd w:val="clear" w:color="auto" w:fill="EAEAEC" w:themeFill="accent6" w:themeFillTint="66"/>
      </w:tcPr>
    </w:tblStylePr>
    <w:tblStylePr w:type="firstCol">
      <w:rPr>
        <w:color w:val="FFFFFF" w:themeColor="background1"/>
      </w:rPr>
      <w:tblPr/>
      <w:tcPr>
        <w:shd w:val="clear" w:color="auto" w:fill="96969E" w:themeFill="accent6" w:themeFillShade="BF"/>
      </w:tcPr>
    </w:tblStylePr>
    <w:tblStylePr w:type="lastCol">
      <w:rPr>
        <w:color w:val="FFFFFF" w:themeColor="background1"/>
      </w:rPr>
      <w:tblPr/>
      <w:tcPr>
        <w:shd w:val="clear" w:color="auto" w:fill="96969E" w:themeFill="accent6" w:themeFillShade="BF"/>
      </w:tcPr>
    </w:tblStylePr>
    <w:tblStylePr w:type="band1Vert">
      <w:tblPr/>
      <w:tcPr>
        <w:shd w:val="clear" w:color="auto" w:fill="E5E5E7" w:themeFill="accent6" w:themeFillTint="7F"/>
      </w:tcPr>
    </w:tblStylePr>
    <w:tblStylePr w:type="band1Horz">
      <w:tblPr/>
      <w:tcPr>
        <w:shd w:val="clear" w:color="auto" w:fill="E5E5E7" w:themeFill="accent6" w:themeFillTint="7F"/>
      </w:tcPr>
    </w:tblStylePr>
  </w:style>
  <w:style w:type="table" w:styleId="ColorfulList">
    <w:name w:val="Colorful List"/>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4A1AE" w:themeFill="accent2" w:themeFillShade="CC"/>
      </w:tcPr>
    </w:tblStylePr>
    <w:tblStylePr w:type="lastRow">
      <w:rPr>
        <w:b/>
        <w:bCs/>
        <w:color w:val="54A1A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BF5F7" w:themeFill="accent1" w:themeFillTint="19"/>
    </w:tcPr>
    <w:tblStylePr w:type="firstRow">
      <w:rPr>
        <w:b/>
        <w:bCs/>
        <w:color w:val="FFFFFF" w:themeColor="background1"/>
      </w:rPr>
      <w:tblPr/>
      <w:tcPr>
        <w:tcBorders>
          <w:bottom w:val="single" w:sz="12" w:space="0" w:color="FFFFFF" w:themeColor="background1"/>
        </w:tcBorders>
        <w:shd w:val="clear" w:color="auto" w:fill="54A1AE" w:themeFill="accent2" w:themeFillShade="CC"/>
      </w:tcPr>
    </w:tblStylePr>
    <w:tblStylePr w:type="lastRow">
      <w:rPr>
        <w:b/>
        <w:bCs/>
        <w:color w:val="54A1A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E7EB" w:themeFill="accent1" w:themeFillTint="3F"/>
      </w:tcPr>
    </w:tblStylePr>
    <w:tblStylePr w:type="band1Horz">
      <w:tblPr/>
      <w:tcPr>
        <w:shd w:val="clear" w:color="auto" w:fill="D6ECEF" w:themeFill="accent1" w:themeFillTint="33"/>
      </w:tcPr>
    </w:tblStylePr>
  </w:style>
  <w:style w:type="table" w:styleId="ColorfulList-Accent2">
    <w:name w:val="Colorful List Accent 2"/>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2F8F9" w:themeFill="accent2" w:themeFillTint="19"/>
    </w:tcPr>
    <w:tblStylePr w:type="firstRow">
      <w:rPr>
        <w:b/>
        <w:bCs/>
        <w:color w:val="FFFFFF" w:themeColor="background1"/>
      </w:rPr>
      <w:tblPr/>
      <w:tcPr>
        <w:tcBorders>
          <w:bottom w:val="single" w:sz="12" w:space="0" w:color="FFFFFF" w:themeColor="background1"/>
        </w:tcBorders>
        <w:shd w:val="clear" w:color="auto" w:fill="54A1AE" w:themeFill="accent2" w:themeFillShade="CC"/>
      </w:tcPr>
    </w:tblStylePr>
    <w:tblStylePr w:type="lastRow">
      <w:rPr>
        <w:b/>
        <w:bCs/>
        <w:color w:val="54A1A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DF0" w:themeFill="accent2" w:themeFillTint="3F"/>
      </w:tcPr>
    </w:tblStylePr>
    <w:tblStylePr w:type="band1Horz">
      <w:tblPr/>
      <w:tcPr>
        <w:shd w:val="clear" w:color="auto" w:fill="E5F1F3" w:themeFill="accent2" w:themeFillTint="33"/>
      </w:tcPr>
    </w:tblStylePr>
  </w:style>
  <w:style w:type="table" w:styleId="ColorfulList-Accent3">
    <w:name w:val="Colorful List Accent 3"/>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8FBFC" w:themeFill="accent3" w:themeFillTint="19"/>
    </w:tcPr>
    <w:tblStylePr w:type="firstRow">
      <w:rPr>
        <w:b/>
        <w:bCs/>
        <w:color w:val="FFFFFF" w:themeColor="background1"/>
      </w:rPr>
      <w:tblPr/>
      <w:tcPr>
        <w:tcBorders>
          <w:bottom w:val="single" w:sz="12" w:space="0" w:color="FFFFFF" w:themeColor="background1"/>
        </w:tcBorders>
        <w:shd w:val="clear" w:color="auto" w:fill="33333F" w:themeFill="accent4" w:themeFillShade="CC"/>
      </w:tcPr>
    </w:tblStylePr>
    <w:tblStylePr w:type="lastRow">
      <w:rPr>
        <w:b/>
        <w:bCs/>
        <w:color w:val="33333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6F7" w:themeFill="accent3" w:themeFillTint="3F"/>
      </w:tcPr>
    </w:tblStylePr>
    <w:tblStylePr w:type="band1Horz">
      <w:tblPr/>
      <w:tcPr>
        <w:shd w:val="clear" w:color="auto" w:fill="F2F8F9" w:themeFill="accent3" w:themeFillTint="33"/>
      </w:tcPr>
    </w:tblStylePr>
  </w:style>
  <w:style w:type="table" w:styleId="ColorfulList-Accent4">
    <w:name w:val="Colorful List Accent 4"/>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EBEBEF" w:themeFill="accent4" w:themeFillTint="19"/>
    </w:tcPr>
    <w:tblStylePr w:type="firstRow">
      <w:rPr>
        <w:b/>
        <w:bCs/>
        <w:color w:val="FFFFFF" w:themeColor="background1"/>
      </w:rPr>
      <w:tblPr/>
      <w:tcPr>
        <w:tcBorders>
          <w:bottom w:val="single" w:sz="12" w:space="0" w:color="FFFFFF" w:themeColor="background1"/>
        </w:tcBorders>
        <w:shd w:val="clear" w:color="auto" w:fill="86BEC6" w:themeFill="accent3" w:themeFillShade="CC"/>
      </w:tcPr>
    </w:tblStylePr>
    <w:tblStylePr w:type="lastRow">
      <w:rPr>
        <w:b/>
        <w:bCs/>
        <w:color w:val="86BEC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CCCD6" w:themeFill="accent4" w:themeFillTint="3F"/>
      </w:tcPr>
    </w:tblStylePr>
    <w:tblStylePr w:type="band1Horz">
      <w:tblPr/>
      <w:tcPr>
        <w:shd w:val="clear" w:color="auto" w:fill="D6D6DE" w:themeFill="accent4" w:themeFillTint="33"/>
      </w:tcPr>
    </w:tblStylePr>
  </w:style>
  <w:style w:type="table" w:styleId="ColorfulList-Accent5">
    <w:name w:val="Colorful List Accent 5"/>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2F2F3" w:themeFill="accent5" w:themeFillTint="19"/>
    </w:tcPr>
    <w:tblStylePr w:type="firstRow">
      <w:rPr>
        <w:b/>
        <w:bCs/>
        <w:color w:val="FFFFFF" w:themeColor="background1"/>
      </w:rPr>
      <w:tblPr/>
      <w:tcPr>
        <w:tcBorders>
          <w:bottom w:val="single" w:sz="12" w:space="0" w:color="FFFFFF" w:themeColor="background1"/>
        </w:tcBorders>
        <w:shd w:val="clear" w:color="auto" w:fill="A1A1A8" w:themeFill="accent6" w:themeFillShade="CC"/>
      </w:tcPr>
    </w:tblStylePr>
    <w:tblStylePr w:type="lastRow">
      <w:rPr>
        <w:b/>
        <w:bCs/>
        <w:color w:val="A1A1A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FE2" w:themeFill="accent5" w:themeFillTint="3F"/>
      </w:tcPr>
    </w:tblStylePr>
    <w:tblStylePr w:type="band1Horz">
      <w:tblPr/>
      <w:tcPr>
        <w:shd w:val="clear" w:color="auto" w:fill="E5E5E7" w:themeFill="accent5" w:themeFillTint="33"/>
      </w:tcPr>
    </w:tblStylePr>
  </w:style>
  <w:style w:type="table" w:styleId="ColorfulList-Accent6">
    <w:name w:val="Colorful List Accent 6"/>
    <w:basedOn w:val="TableNormal"/>
    <w:uiPriority w:val="72"/>
    <w:semiHidden/>
    <w:rsid w:val="00294A5A"/>
    <w:pPr>
      <w:spacing w:before="0" w:after="0" w:line="240" w:lineRule="auto"/>
    </w:pPr>
    <w:rPr>
      <w:color w:val="000000" w:themeColor="text1"/>
    </w:rPr>
    <w:tblPr>
      <w:tblStyleRowBandSize w:val="1"/>
      <w:tblStyleColBandSize w:val="1"/>
    </w:tblPr>
    <w:tcPr>
      <w:shd w:val="clear" w:color="auto" w:fill="F9F9FA" w:themeFill="accent6" w:themeFillTint="19"/>
    </w:tcPr>
    <w:tblStylePr w:type="firstRow">
      <w:rPr>
        <w:b/>
        <w:bCs/>
        <w:color w:val="FFFFFF" w:themeColor="background1"/>
      </w:rPr>
      <w:tblPr/>
      <w:tcPr>
        <w:tcBorders>
          <w:bottom w:val="single" w:sz="12" w:space="0" w:color="FFFFFF" w:themeColor="background1"/>
        </w:tcBorders>
        <w:shd w:val="clear" w:color="auto" w:fill="66666F" w:themeFill="accent5" w:themeFillShade="CC"/>
      </w:tcPr>
    </w:tblStylePr>
    <w:tblStylePr w:type="lastRow">
      <w:rPr>
        <w:b/>
        <w:bCs/>
        <w:color w:val="66666F"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2F2F3" w:themeFill="accent6" w:themeFillTint="3F"/>
      </w:tcPr>
    </w:tblStylePr>
    <w:tblStylePr w:type="band1Horz">
      <w:tblPr/>
      <w:tcPr>
        <w:shd w:val="clear" w:color="auto" w:fill="F4F4F5" w:themeFill="accent6" w:themeFillTint="33"/>
      </w:tcPr>
    </w:tblStylePr>
  </w:style>
  <w:style w:type="table" w:styleId="ColorfulShading">
    <w:name w:val="Colorful Shading"/>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80BAC3"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80BAC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80BAC3" w:themeColor="accent2"/>
        <w:left w:val="single" w:sz="4" w:space="0" w:color="4098A4" w:themeColor="accent1"/>
        <w:bottom w:val="single" w:sz="4" w:space="0" w:color="4098A4" w:themeColor="accent1"/>
        <w:right w:val="single" w:sz="4" w:space="0" w:color="4098A4" w:themeColor="accent1"/>
        <w:insideH w:val="single" w:sz="4" w:space="0" w:color="FFFFFF" w:themeColor="background1"/>
        <w:insideV w:val="single" w:sz="4" w:space="0" w:color="FFFFFF" w:themeColor="background1"/>
      </w:tblBorders>
    </w:tblPr>
    <w:tcPr>
      <w:shd w:val="clear" w:color="auto" w:fill="EBF5F7" w:themeFill="accent1" w:themeFillTint="19"/>
    </w:tcPr>
    <w:tblStylePr w:type="firstRow">
      <w:rPr>
        <w:b/>
        <w:bCs/>
      </w:rPr>
      <w:tblPr/>
      <w:tcPr>
        <w:tcBorders>
          <w:top w:val="nil"/>
          <w:left w:val="nil"/>
          <w:bottom w:val="single" w:sz="24" w:space="0" w:color="80BAC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5A62" w:themeFill="accent1" w:themeFillShade="99"/>
      </w:tcPr>
    </w:tblStylePr>
    <w:tblStylePr w:type="firstCol">
      <w:rPr>
        <w:color w:val="FFFFFF" w:themeColor="background1"/>
      </w:rPr>
      <w:tblPr/>
      <w:tcPr>
        <w:tcBorders>
          <w:top w:val="nil"/>
          <w:left w:val="nil"/>
          <w:bottom w:val="nil"/>
          <w:right w:val="nil"/>
          <w:insideH w:val="single" w:sz="4" w:space="0" w:color="265A62" w:themeColor="accent1" w:themeShade="99"/>
          <w:insideV w:val="nil"/>
        </w:tcBorders>
        <w:shd w:val="clear" w:color="auto" w:fill="265A62"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5A62" w:themeFill="accent1" w:themeFillShade="99"/>
      </w:tcPr>
    </w:tblStylePr>
    <w:tblStylePr w:type="band1Vert">
      <w:tblPr/>
      <w:tcPr>
        <w:shd w:val="clear" w:color="auto" w:fill="ADD9DF" w:themeFill="accent1" w:themeFillTint="66"/>
      </w:tcPr>
    </w:tblStylePr>
    <w:tblStylePr w:type="band1Horz">
      <w:tblPr/>
      <w:tcPr>
        <w:shd w:val="clear" w:color="auto" w:fill="99D0D7"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80BAC3" w:themeColor="accent2"/>
        <w:left w:val="single" w:sz="4" w:space="0" w:color="80BAC3" w:themeColor="accent2"/>
        <w:bottom w:val="single" w:sz="4" w:space="0" w:color="80BAC3" w:themeColor="accent2"/>
        <w:right w:val="single" w:sz="4" w:space="0" w:color="80BAC3" w:themeColor="accent2"/>
        <w:insideH w:val="single" w:sz="4" w:space="0" w:color="FFFFFF" w:themeColor="background1"/>
        <w:insideV w:val="single" w:sz="4" w:space="0" w:color="FFFFFF" w:themeColor="background1"/>
      </w:tblBorders>
    </w:tblPr>
    <w:tcPr>
      <w:shd w:val="clear" w:color="auto" w:fill="F2F8F9" w:themeFill="accent2" w:themeFillTint="19"/>
    </w:tcPr>
    <w:tblStylePr w:type="firstRow">
      <w:rPr>
        <w:b/>
        <w:bCs/>
      </w:rPr>
      <w:tblPr/>
      <w:tcPr>
        <w:tcBorders>
          <w:top w:val="nil"/>
          <w:left w:val="nil"/>
          <w:bottom w:val="single" w:sz="24" w:space="0" w:color="80BAC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E7983" w:themeFill="accent2" w:themeFillShade="99"/>
      </w:tcPr>
    </w:tblStylePr>
    <w:tblStylePr w:type="firstCol">
      <w:rPr>
        <w:color w:val="FFFFFF" w:themeColor="background1"/>
      </w:rPr>
      <w:tblPr/>
      <w:tcPr>
        <w:tcBorders>
          <w:top w:val="nil"/>
          <w:left w:val="nil"/>
          <w:bottom w:val="nil"/>
          <w:right w:val="nil"/>
          <w:insideH w:val="single" w:sz="4" w:space="0" w:color="3E7983" w:themeColor="accent2" w:themeShade="99"/>
          <w:insideV w:val="nil"/>
        </w:tcBorders>
        <w:shd w:val="clear" w:color="auto" w:fill="3E798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3E7983" w:themeFill="accent2" w:themeFillShade="99"/>
      </w:tcPr>
    </w:tblStylePr>
    <w:tblStylePr w:type="band1Vert">
      <w:tblPr/>
      <w:tcPr>
        <w:shd w:val="clear" w:color="auto" w:fill="CCE3E7" w:themeFill="accent2" w:themeFillTint="66"/>
      </w:tcPr>
    </w:tblStylePr>
    <w:tblStylePr w:type="band1Horz">
      <w:tblPr/>
      <w:tcPr>
        <w:shd w:val="clear" w:color="auto" w:fill="BFDCE1"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404050" w:themeColor="accent4"/>
        <w:left w:val="single" w:sz="4" w:space="0" w:color="BFDDE1" w:themeColor="accent3"/>
        <w:bottom w:val="single" w:sz="4" w:space="0" w:color="BFDDE1" w:themeColor="accent3"/>
        <w:right w:val="single" w:sz="4" w:space="0" w:color="BFDDE1" w:themeColor="accent3"/>
        <w:insideH w:val="single" w:sz="4" w:space="0" w:color="FFFFFF" w:themeColor="background1"/>
        <w:insideV w:val="single" w:sz="4" w:space="0" w:color="FFFFFF" w:themeColor="background1"/>
      </w:tblBorders>
    </w:tblPr>
    <w:tcPr>
      <w:shd w:val="clear" w:color="auto" w:fill="F8FBFC" w:themeFill="accent3" w:themeFillTint="19"/>
    </w:tcPr>
    <w:tblStylePr w:type="firstRow">
      <w:rPr>
        <w:b/>
        <w:bCs/>
      </w:rPr>
      <w:tblPr/>
      <w:tcPr>
        <w:tcBorders>
          <w:top w:val="nil"/>
          <w:left w:val="nil"/>
          <w:bottom w:val="single" w:sz="24" w:space="0" w:color="40405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9FA9" w:themeFill="accent3" w:themeFillShade="99"/>
      </w:tcPr>
    </w:tblStylePr>
    <w:tblStylePr w:type="firstCol">
      <w:rPr>
        <w:color w:val="FFFFFF" w:themeColor="background1"/>
      </w:rPr>
      <w:tblPr/>
      <w:tcPr>
        <w:tcBorders>
          <w:top w:val="nil"/>
          <w:left w:val="nil"/>
          <w:bottom w:val="nil"/>
          <w:right w:val="nil"/>
          <w:insideH w:val="single" w:sz="4" w:space="0" w:color="4F9FA9" w:themeColor="accent3" w:themeShade="99"/>
          <w:insideV w:val="nil"/>
        </w:tcBorders>
        <w:shd w:val="clear" w:color="auto" w:fill="4F9FA9"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F9FA9" w:themeFill="accent3" w:themeFillShade="99"/>
      </w:tcPr>
    </w:tblStylePr>
    <w:tblStylePr w:type="band1Vert">
      <w:tblPr/>
      <w:tcPr>
        <w:shd w:val="clear" w:color="auto" w:fill="E5F1F3" w:themeFill="accent3" w:themeFillTint="66"/>
      </w:tcPr>
    </w:tblStylePr>
    <w:tblStylePr w:type="band1Horz">
      <w:tblPr/>
      <w:tcPr>
        <w:shd w:val="clear" w:color="auto" w:fill="DFEEF0" w:themeFill="accent3" w:themeFillTint="7F"/>
      </w:tcPr>
    </w:tblStylePr>
  </w:style>
  <w:style w:type="table" w:styleId="ColorfulShading-Accent4">
    <w:name w:val="Colorful Shading Accent 4"/>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BFDDE1" w:themeColor="accent3"/>
        <w:left w:val="single" w:sz="4" w:space="0" w:color="404050" w:themeColor="accent4"/>
        <w:bottom w:val="single" w:sz="4" w:space="0" w:color="404050" w:themeColor="accent4"/>
        <w:right w:val="single" w:sz="4" w:space="0" w:color="404050" w:themeColor="accent4"/>
        <w:insideH w:val="single" w:sz="4" w:space="0" w:color="FFFFFF" w:themeColor="background1"/>
        <w:insideV w:val="single" w:sz="4" w:space="0" w:color="FFFFFF" w:themeColor="background1"/>
      </w:tblBorders>
    </w:tblPr>
    <w:tcPr>
      <w:shd w:val="clear" w:color="auto" w:fill="EBEBEF" w:themeFill="accent4" w:themeFillTint="19"/>
    </w:tcPr>
    <w:tblStylePr w:type="firstRow">
      <w:rPr>
        <w:b/>
        <w:bCs/>
      </w:rPr>
      <w:tblPr/>
      <w:tcPr>
        <w:tcBorders>
          <w:top w:val="nil"/>
          <w:left w:val="nil"/>
          <w:bottom w:val="single" w:sz="24" w:space="0" w:color="BFDDE1"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262F" w:themeFill="accent4" w:themeFillShade="99"/>
      </w:tcPr>
    </w:tblStylePr>
    <w:tblStylePr w:type="firstCol">
      <w:rPr>
        <w:color w:val="FFFFFF" w:themeColor="background1"/>
      </w:rPr>
      <w:tblPr/>
      <w:tcPr>
        <w:tcBorders>
          <w:top w:val="nil"/>
          <w:left w:val="nil"/>
          <w:bottom w:val="nil"/>
          <w:right w:val="nil"/>
          <w:insideH w:val="single" w:sz="4" w:space="0" w:color="26262F" w:themeColor="accent4" w:themeShade="99"/>
          <w:insideV w:val="nil"/>
        </w:tcBorders>
        <w:shd w:val="clear" w:color="auto" w:fill="26262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6262F" w:themeFill="accent4" w:themeFillShade="99"/>
      </w:tcPr>
    </w:tblStylePr>
    <w:tblStylePr w:type="band1Vert">
      <w:tblPr/>
      <w:tcPr>
        <w:shd w:val="clear" w:color="auto" w:fill="ADADBD" w:themeFill="accent4" w:themeFillTint="66"/>
      </w:tcPr>
    </w:tblStylePr>
    <w:tblStylePr w:type="band1Horz">
      <w:tblPr/>
      <w:tcPr>
        <w:shd w:val="clear" w:color="auto" w:fill="9999AE"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CCCCD0" w:themeColor="accent6"/>
        <w:left w:val="single" w:sz="4" w:space="0" w:color="80808B" w:themeColor="accent5"/>
        <w:bottom w:val="single" w:sz="4" w:space="0" w:color="80808B" w:themeColor="accent5"/>
        <w:right w:val="single" w:sz="4" w:space="0" w:color="80808B" w:themeColor="accent5"/>
        <w:insideH w:val="single" w:sz="4" w:space="0" w:color="FFFFFF" w:themeColor="background1"/>
        <w:insideV w:val="single" w:sz="4" w:space="0" w:color="FFFFFF" w:themeColor="background1"/>
      </w:tblBorders>
    </w:tblPr>
    <w:tcPr>
      <w:shd w:val="clear" w:color="auto" w:fill="F2F2F3" w:themeFill="accent5" w:themeFillTint="19"/>
    </w:tcPr>
    <w:tblStylePr w:type="firstRow">
      <w:rPr>
        <w:b/>
        <w:bCs/>
      </w:rPr>
      <w:tblPr/>
      <w:tcPr>
        <w:tcBorders>
          <w:top w:val="nil"/>
          <w:left w:val="nil"/>
          <w:bottom w:val="single" w:sz="24" w:space="0" w:color="CCCCD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4C53" w:themeFill="accent5" w:themeFillShade="99"/>
      </w:tcPr>
    </w:tblStylePr>
    <w:tblStylePr w:type="firstCol">
      <w:rPr>
        <w:color w:val="FFFFFF" w:themeColor="background1"/>
      </w:rPr>
      <w:tblPr/>
      <w:tcPr>
        <w:tcBorders>
          <w:top w:val="nil"/>
          <w:left w:val="nil"/>
          <w:bottom w:val="nil"/>
          <w:right w:val="nil"/>
          <w:insideH w:val="single" w:sz="4" w:space="0" w:color="4C4C53" w:themeColor="accent5" w:themeShade="99"/>
          <w:insideV w:val="nil"/>
        </w:tcBorders>
        <w:shd w:val="clear" w:color="auto" w:fill="4C4C5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C4C53" w:themeFill="accent5" w:themeFillShade="99"/>
      </w:tcPr>
    </w:tblStylePr>
    <w:tblStylePr w:type="band1Vert">
      <w:tblPr/>
      <w:tcPr>
        <w:shd w:val="clear" w:color="auto" w:fill="CCCCD0" w:themeFill="accent5" w:themeFillTint="66"/>
      </w:tcPr>
    </w:tblStylePr>
    <w:tblStylePr w:type="band1Horz">
      <w:tblPr/>
      <w:tcPr>
        <w:shd w:val="clear" w:color="auto" w:fill="BFBFC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294A5A"/>
    <w:pPr>
      <w:spacing w:before="0" w:after="0" w:line="240" w:lineRule="auto"/>
    </w:pPr>
    <w:rPr>
      <w:color w:val="000000" w:themeColor="text1"/>
    </w:rPr>
    <w:tblPr>
      <w:tblStyleRowBandSize w:val="1"/>
      <w:tblStyleColBandSize w:val="1"/>
      <w:tblBorders>
        <w:top w:val="single" w:sz="24" w:space="0" w:color="80808B" w:themeColor="accent5"/>
        <w:left w:val="single" w:sz="4" w:space="0" w:color="CCCCD0" w:themeColor="accent6"/>
        <w:bottom w:val="single" w:sz="4" w:space="0" w:color="CCCCD0" w:themeColor="accent6"/>
        <w:right w:val="single" w:sz="4" w:space="0" w:color="CCCCD0" w:themeColor="accent6"/>
        <w:insideH w:val="single" w:sz="4" w:space="0" w:color="FFFFFF" w:themeColor="background1"/>
        <w:insideV w:val="single" w:sz="4" w:space="0" w:color="FFFFFF" w:themeColor="background1"/>
      </w:tblBorders>
    </w:tblPr>
    <w:tcPr>
      <w:shd w:val="clear" w:color="auto" w:fill="F9F9FA" w:themeFill="accent6" w:themeFillTint="19"/>
    </w:tcPr>
    <w:tblStylePr w:type="firstRow">
      <w:rPr>
        <w:b/>
        <w:bCs/>
      </w:rPr>
      <w:tblPr/>
      <w:tcPr>
        <w:tcBorders>
          <w:top w:val="nil"/>
          <w:left w:val="nil"/>
          <w:bottom w:val="single" w:sz="24" w:space="0" w:color="80808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67680" w:themeFill="accent6" w:themeFillShade="99"/>
      </w:tcPr>
    </w:tblStylePr>
    <w:tblStylePr w:type="firstCol">
      <w:rPr>
        <w:color w:val="FFFFFF" w:themeColor="background1"/>
      </w:rPr>
      <w:tblPr/>
      <w:tcPr>
        <w:tcBorders>
          <w:top w:val="nil"/>
          <w:left w:val="nil"/>
          <w:bottom w:val="nil"/>
          <w:right w:val="nil"/>
          <w:insideH w:val="single" w:sz="4" w:space="0" w:color="767680" w:themeColor="accent6" w:themeShade="99"/>
          <w:insideV w:val="nil"/>
        </w:tcBorders>
        <w:shd w:val="clear" w:color="auto" w:fill="76768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67680" w:themeFill="accent6" w:themeFillShade="99"/>
      </w:tcPr>
    </w:tblStylePr>
    <w:tblStylePr w:type="band1Vert">
      <w:tblPr/>
      <w:tcPr>
        <w:shd w:val="clear" w:color="auto" w:fill="EAEAEC" w:themeFill="accent6" w:themeFillTint="66"/>
      </w:tcPr>
    </w:tblStylePr>
    <w:tblStylePr w:type="band1Horz">
      <w:tblPr/>
      <w:tcPr>
        <w:shd w:val="clear" w:color="auto" w:fill="E5E5E7"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4098A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B51"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0717A"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0717A" w:themeFill="accent1" w:themeFillShade="BF"/>
      </w:tcPr>
    </w:tblStylePr>
    <w:tblStylePr w:type="band1Vert">
      <w:tblPr/>
      <w:tcPr>
        <w:tcBorders>
          <w:top w:val="nil"/>
          <w:left w:val="nil"/>
          <w:bottom w:val="nil"/>
          <w:right w:val="nil"/>
          <w:insideH w:val="nil"/>
          <w:insideV w:val="nil"/>
        </w:tcBorders>
        <w:shd w:val="clear" w:color="auto" w:fill="30717A" w:themeFill="accent1" w:themeFillShade="BF"/>
      </w:tcPr>
    </w:tblStylePr>
    <w:tblStylePr w:type="band1Horz">
      <w:tblPr/>
      <w:tcPr>
        <w:tcBorders>
          <w:top w:val="nil"/>
          <w:left w:val="nil"/>
          <w:bottom w:val="nil"/>
          <w:right w:val="nil"/>
          <w:insideH w:val="nil"/>
          <w:insideV w:val="nil"/>
        </w:tcBorders>
        <w:shd w:val="clear" w:color="auto" w:fill="30717A" w:themeFill="accent1" w:themeFillShade="BF"/>
      </w:tcPr>
    </w:tblStylePr>
  </w:style>
  <w:style w:type="table" w:styleId="DarkList-Accent2">
    <w:name w:val="Dark List Accent 2"/>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80BAC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3656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D98A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D98A4" w:themeFill="accent2" w:themeFillShade="BF"/>
      </w:tcPr>
    </w:tblStylePr>
    <w:tblStylePr w:type="band1Vert">
      <w:tblPr/>
      <w:tcPr>
        <w:tcBorders>
          <w:top w:val="nil"/>
          <w:left w:val="nil"/>
          <w:bottom w:val="nil"/>
          <w:right w:val="nil"/>
          <w:insideH w:val="nil"/>
          <w:insideV w:val="nil"/>
        </w:tcBorders>
        <w:shd w:val="clear" w:color="auto" w:fill="4D98A4" w:themeFill="accent2" w:themeFillShade="BF"/>
      </w:tcPr>
    </w:tblStylePr>
    <w:tblStylePr w:type="band1Horz">
      <w:tblPr/>
      <w:tcPr>
        <w:tcBorders>
          <w:top w:val="nil"/>
          <w:left w:val="nil"/>
          <w:bottom w:val="nil"/>
          <w:right w:val="nil"/>
          <w:insideH w:val="nil"/>
          <w:insideV w:val="nil"/>
        </w:tcBorders>
        <w:shd w:val="clear" w:color="auto" w:fill="4D98A4" w:themeFill="accent2" w:themeFillShade="BF"/>
      </w:tcPr>
    </w:tblStylePr>
  </w:style>
  <w:style w:type="table" w:styleId="DarkList-Accent3">
    <w:name w:val="Dark List Accent 3"/>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BFDDE1"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2848C"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7B7BF"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7B7BF" w:themeFill="accent3" w:themeFillShade="BF"/>
      </w:tcPr>
    </w:tblStylePr>
    <w:tblStylePr w:type="band1Vert">
      <w:tblPr/>
      <w:tcPr>
        <w:tcBorders>
          <w:top w:val="nil"/>
          <w:left w:val="nil"/>
          <w:bottom w:val="nil"/>
          <w:right w:val="nil"/>
          <w:insideH w:val="nil"/>
          <w:insideV w:val="nil"/>
        </w:tcBorders>
        <w:shd w:val="clear" w:color="auto" w:fill="77B7BF" w:themeFill="accent3" w:themeFillShade="BF"/>
      </w:tcPr>
    </w:tblStylePr>
    <w:tblStylePr w:type="band1Horz">
      <w:tblPr/>
      <w:tcPr>
        <w:tcBorders>
          <w:top w:val="nil"/>
          <w:left w:val="nil"/>
          <w:bottom w:val="nil"/>
          <w:right w:val="nil"/>
          <w:insideH w:val="nil"/>
          <w:insideV w:val="nil"/>
        </w:tcBorders>
        <w:shd w:val="clear" w:color="auto" w:fill="77B7BF" w:themeFill="accent3" w:themeFillShade="BF"/>
      </w:tcPr>
    </w:tblStylePr>
  </w:style>
  <w:style w:type="table" w:styleId="DarkList-Accent4">
    <w:name w:val="Dark List Accent 4"/>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40405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2027"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0303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0303B" w:themeFill="accent4" w:themeFillShade="BF"/>
      </w:tcPr>
    </w:tblStylePr>
    <w:tblStylePr w:type="band1Vert">
      <w:tblPr/>
      <w:tcPr>
        <w:tcBorders>
          <w:top w:val="nil"/>
          <w:left w:val="nil"/>
          <w:bottom w:val="nil"/>
          <w:right w:val="nil"/>
          <w:insideH w:val="nil"/>
          <w:insideV w:val="nil"/>
        </w:tcBorders>
        <w:shd w:val="clear" w:color="auto" w:fill="30303B" w:themeFill="accent4" w:themeFillShade="BF"/>
      </w:tcPr>
    </w:tblStylePr>
    <w:tblStylePr w:type="band1Horz">
      <w:tblPr/>
      <w:tcPr>
        <w:tcBorders>
          <w:top w:val="nil"/>
          <w:left w:val="nil"/>
          <w:bottom w:val="nil"/>
          <w:right w:val="nil"/>
          <w:insideH w:val="nil"/>
          <w:insideV w:val="nil"/>
        </w:tcBorders>
        <w:shd w:val="clear" w:color="auto" w:fill="30303B" w:themeFill="accent4" w:themeFillShade="BF"/>
      </w:tcPr>
    </w:tblStylePr>
  </w:style>
  <w:style w:type="table" w:styleId="DarkList-Accent5">
    <w:name w:val="Dark List Accent 5"/>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80808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F4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F5F6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F5F68" w:themeFill="accent5" w:themeFillShade="BF"/>
      </w:tcPr>
    </w:tblStylePr>
    <w:tblStylePr w:type="band1Vert">
      <w:tblPr/>
      <w:tcPr>
        <w:tcBorders>
          <w:top w:val="nil"/>
          <w:left w:val="nil"/>
          <w:bottom w:val="nil"/>
          <w:right w:val="nil"/>
          <w:insideH w:val="nil"/>
          <w:insideV w:val="nil"/>
        </w:tcBorders>
        <w:shd w:val="clear" w:color="auto" w:fill="5F5F68" w:themeFill="accent5" w:themeFillShade="BF"/>
      </w:tcPr>
    </w:tblStylePr>
    <w:tblStylePr w:type="band1Horz">
      <w:tblPr/>
      <w:tcPr>
        <w:tcBorders>
          <w:top w:val="nil"/>
          <w:left w:val="nil"/>
          <w:bottom w:val="nil"/>
          <w:right w:val="nil"/>
          <w:insideH w:val="nil"/>
          <w:insideV w:val="nil"/>
        </w:tcBorders>
        <w:shd w:val="clear" w:color="auto" w:fill="5F5F68" w:themeFill="accent5" w:themeFillShade="BF"/>
      </w:tcPr>
    </w:tblStylePr>
  </w:style>
  <w:style w:type="table" w:styleId="DarkList-Accent6">
    <w:name w:val="Dark List Accent 6"/>
    <w:basedOn w:val="TableNormal"/>
    <w:uiPriority w:val="70"/>
    <w:semiHidden/>
    <w:rsid w:val="00294A5A"/>
    <w:pPr>
      <w:spacing w:before="0" w:after="0" w:line="240" w:lineRule="auto"/>
    </w:pPr>
    <w:rPr>
      <w:color w:val="FFFFFF" w:themeColor="background1"/>
    </w:rPr>
    <w:tblPr>
      <w:tblStyleRowBandSize w:val="1"/>
      <w:tblStyleColBandSize w:val="1"/>
    </w:tblPr>
    <w:tcPr>
      <w:shd w:val="clear" w:color="auto" w:fill="CCCCD0"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626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6969E"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6969E" w:themeFill="accent6" w:themeFillShade="BF"/>
      </w:tcPr>
    </w:tblStylePr>
    <w:tblStylePr w:type="band1Vert">
      <w:tblPr/>
      <w:tcPr>
        <w:tcBorders>
          <w:top w:val="nil"/>
          <w:left w:val="nil"/>
          <w:bottom w:val="nil"/>
          <w:right w:val="nil"/>
          <w:insideH w:val="nil"/>
          <w:insideV w:val="nil"/>
        </w:tcBorders>
        <w:shd w:val="clear" w:color="auto" w:fill="96969E" w:themeFill="accent6" w:themeFillShade="BF"/>
      </w:tcPr>
    </w:tblStylePr>
    <w:tblStylePr w:type="band1Horz">
      <w:tblPr/>
      <w:tcPr>
        <w:tcBorders>
          <w:top w:val="nil"/>
          <w:left w:val="nil"/>
          <w:bottom w:val="nil"/>
          <w:right w:val="nil"/>
          <w:insideH w:val="nil"/>
          <w:insideV w:val="nil"/>
        </w:tcBorders>
        <w:shd w:val="clear" w:color="auto" w:fill="96969E" w:themeFill="accent6" w:themeFillShade="BF"/>
      </w:tcPr>
    </w:tblStylePr>
  </w:style>
  <w:style w:type="table" w:styleId="GridTable1Light">
    <w:name w:val="Grid Table 1 Light"/>
    <w:basedOn w:val="TableNormal"/>
    <w:uiPriority w:val="46"/>
    <w:semiHidden/>
    <w:rsid w:val="00294A5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294A5A"/>
    <w:pPr>
      <w:spacing w:after="0" w:line="240" w:lineRule="auto"/>
    </w:pPr>
    <w:tblPr>
      <w:tblStyleRowBandSize w:val="1"/>
      <w:tblStyleColBandSize w:val="1"/>
      <w:tblBorders>
        <w:top w:val="single" w:sz="4" w:space="0" w:color="ADD9DF" w:themeColor="accent1" w:themeTint="66"/>
        <w:left w:val="single" w:sz="4" w:space="0" w:color="ADD9DF" w:themeColor="accent1" w:themeTint="66"/>
        <w:bottom w:val="single" w:sz="4" w:space="0" w:color="ADD9DF" w:themeColor="accent1" w:themeTint="66"/>
        <w:right w:val="single" w:sz="4" w:space="0" w:color="ADD9DF" w:themeColor="accent1" w:themeTint="66"/>
        <w:insideH w:val="single" w:sz="4" w:space="0" w:color="ADD9DF" w:themeColor="accent1" w:themeTint="66"/>
        <w:insideV w:val="single" w:sz="4" w:space="0" w:color="ADD9DF" w:themeColor="accent1" w:themeTint="66"/>
      </w:tblBorders>
    </w:tblPr>
    <w:tblStylePr w:type="firstRow">
      <w:rPr>
        <w:b/>
        <w:bCs/>
      </w:rPr>
      <w:tblPr/>
      <w:tcPr>
        <w:tcBorders>
          <w:bottom w:val="single" w:sz="12" w:space="0" w:color="85C6CF" w:themeColor="accent1" w:themeTint="99"/>
        </w:tcBorders>
      </w:tcPr>
    </w:tblStylePr>
    <w:tblStylePr w:type="lastRow">
      <w:rPr>
        <w:b/>
        <w:bCs/>
      </w:rPr>
      <w:tblPr/>
      <w:tcPr>
        <w:tcBorders>
          <w:top w:val="double" w:sz="2" w:space="0" w:color="85C6C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294A5A"/>
    <w:pPr>
      <w:spacing w:after="0" w:line="240" w:lineRule="auto"/>
    </w:pPr>
    <w:tblPr>
      <w:tblStyleRowBandSize w:val="1"/>
      <w:tblStyleColBandSize w:val="1"/>
      <w:tblBorders>
        <w:top w:val="single" w:sz="4" w:space="0" w:color="CCE3E7" w:themeColor="accent2" w:themeTint="66"/>
        <w:left w:val="single" w:sz="4" w:space="0" w:color="CCE3E7" w:themeColor="accent2" w:themeTint="66"/>
        <w:bottom w:val="single" w:sz="4" w:space="0" w:color="CCE3E7" w:themeColor="accent2" w:themeTint="66"/>
        <w:right w:val="single" w:sz="4" w:space="0" w:color="CCE3E7" w:themeColor="accent2" w:themeTint="66"/>
        <w:insideH w:val="single" w:sz="4" w:space="0" w:color="CCE3E7" w:themeColor="accent2" w:themeTint="66"/>
        <w:insideV w:val="single" w:sz="4" w:space="0" w:color="CCE3E7" w:themeColor="accent2" w:themeTint="66"/>
      </w:tblBorders>
    </w:tblPr>
    <w:tblStylePr w:type="firstRow">
      <w:rPr>
        <w:b/>
        <w:bCs/>
      </w:rPr>
      <w:tblPr/>
      <w:tcPr>
        <w:tcBorders>
          <w:bottom w:val="single" w:sz="12" w:space="0" w:color="B2D5DB" w:themeColor="accent2" w:themeTint="99"/>
        </w:tcBorders>
      </w:tcPr>
    </w:tblStylePr>
    <w:tblStylePr w:type="lastRow">
      <w:rPr>
        <w:b/>
        <w:bCs/>
      </w:rPr>
      <w:tblPr/>
      <w:tcPr>
        <w:tcBorders>
          <w:top w:val="double" w:sz="2" w:space="0" w:color="B2D5D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294A5A"/>
    <w:pPr>
      <w:spacing w:after="0" w:line="240" w:lineRule="auto"/>
    </w:pPr>
    <w:tblPr>
      <w:tblStyleRowBandSize w:val="1"/>
      <w:tblStyleColBandSize w:val="1"/>
      <w:tblBorders>
        <w:top w:val="single" w:sz="4" w:space="0" w:color="E5F1F3" w:themeColor="accent3" w:themeTint="66"/>
        <w:left w:val="single" w:sz="4" w:space="0" w:color="E5F1F3" w:themeColor="accent3" w:themeTint="66"/>
        <w:bottom w:val="single" w:sz="4" w:space="0" w:color="E5F1F3" w:themeColor="accent3" w:themeTint="66"/>
        <w:right w:val="single" w:sz="4" w:space="0" w:color="E5F1F3" w:themeColor="accent3" w:themeTint="66"/>
        <w:insideH w:val="single" w:sz="4" w:space="0" w:color="E5F1F3" w:themeColor="accent3" w:themeTint="66"/>
        <w:insideV w:val="single" w:sz="4" w:space="0" w:color="E5F1F3" w:themeColor="accent3" w:themeTint="66"/>
      </w:tblBorders>
    </w:tblPr>
    <w:tblStylePr w:type="firstRow">
      <w:rPr>
        <w:b/>
        <w:bCs/>
      </w:rPr>
      <w:tblPr/>
      <w:tcPr>
        <w:tcBorders>
          <w:bottom w:val="single" w:sz="12" w:space="0" w:color="D8EAED" w:themeColor="accent3" w:themeTint="99"/>
        </w:tcBorders>
      </w:tcPr>
    </w:tblStylePr>
    <w:tblStylePr w:type="lastRow">
      <w:rPr>
        <w:b/>
        <w:bCs/>
      </w:rPr>
      <w:tblPr/>
      <w:tcPr>
        <w:tcBorders>
          <w:top w:val="double" w:sz="2" w:space="0" w:color="D8EAED"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294A5A"/>
    <w:pPr>
      <w:spacing w:after="0" w:line="240" w:lineRule="auto"/>
    </w:pPr>
    <w:tblPr>
      <w:tblStyleRowBandSize w:val="1"/>
      <w:tblStyleColBandSize w:val="1"/>
      <w:tblBorders>
        <w:top w:val="single" w:sz="4" w:space="0" w:color="ADADBD" w:themeColor="accent4" w:themeTint="66"/>
        <w:left w:val="single" w:sz="4" w:space="0" w:color="ADADBD" w:themeColor="accent4" w:themeTint="66"/>
        <w:bottom w:val="single" w:sz="4" w:space="0" w:color="ADADBD" w:themeColor="accent4" w:themeTint="66"/>
        <w:right w:val="single" w:sz="4" w:space="0" w:color="ADADBD" w:themeColor="accent4" w:themeTint="66"/>
        <w:insideH w:val="single" w:sz="4" w:space="0" w:color="ADADBD" w:themeColor="accent4" w:themeTint="66"/>
        <w:insideV w:val="single" w:sz="4" w:space="0" w:color="ADADBD" w:themeColor="accent4" w:themeTint="66"/>
      </w:tblBorders>
    </w:tblPr>
    <w:tblStylePr w:type="firstRow">
      <w:rPr>
        <w:b/>
        <w:bCs/>
      </w:rPr>
      <w:tblPr/>
      <w:tcPr>
        <w:tcBorders>
          <w:bottom w:val="single" w:sz="12" w:space="0" w:color="84849D" w:themeColor="accent4" w:themeTint="99"/>
        </w:tcBorders>
      </w:tcPr>
    </w:tblStylePr>
    <w:tblStylePr w:type="lastRow">
      <w:rPr>
        <w:b/>
        <w:bCs/>
      </w:rPr>
      <w:tblPr/>
      <w:tcPr>
        <w:tcBorders>
          <w:top w:val="double" w:sz="2" w:space="0" w:color="84849D"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294A5A"/>
    <w:pPr>
      <w:spacing w:after="0" w:line="240" w:lineRule="auto"/>
    </w:pPr>
    <w:tblPr>
      <w:tblStyleRowBandSize w:val="1"/>
      <w:tblStyleColBandSize w:val="1"/>
      <w:tblBorders>
        <w:top w:val="single" w:sz="4" w:space="0" w:color="CCCCD0" w:themeColor="accent5" w:themeTint="66"/>
        <w:left w:val="single" w:sz="4" w:space="0" w:color="CCCCD0" w:themeColor="accent5" w:themeTint="66"/>
        <w:bottom w:val="single" w:sz="4" w:space="0" w:color="CCCCD0" w:themeColor="accent5" w:themeTint="66"/>
        <w:right w:val="single" w:sz="4" w:space="0" w:color="CCCCD0" w:themeColor="accent5" w:themeTint="66"/>
        <w:insideH w:val="single" w:sz="4" w:space="0" w:color="CCCCD0" w:themeColor="accent5" w:themeTint="66"/>
        <w:insideV w:val="single" w:sz="4" w:space="0" w:color="CCCCD0" w:themeColor="accent5" w:themeTint="66"/>
      </w:tblBorders>
    </w:tblPr>
    <w:tblStylePr w:type="firstRow">
      <w:rPr>
        <w:b/>
        <w:bCs/>
      </w:rPr>
      <w:tblPr/>
      <w:tcPr>
        <w:tcBorders>
          <w:bottom w:val="single" w:sz="12" w:space="0" w:color="B2B2B9" w:themeColor="accent5" w:themeTint="99"/>
        </w:tcBorders>
      </w:tcPr>
    </w:tblStylePr>
    <w:tblStylePr w:type="lastRow">
      <w:rPr>
        <w:b/>
        <w:bCs/>
      </w:rPr>
      <w:tblPr/>
      <w:tcPr>
        <w:tcBorders>
          <w:top w:val="double" w:sz="2" w:space="0" w:color="B2B2B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294A5A"/>
    <w:pPr>
      <w:spacing w:after="0" w:line="240" w:lineRule="auto"/>
    </w:pPr>
    <w:tblPr>
      <w:tblStyleRowBandSize w:val="1"/>
      <w:tblStyleColBandSize w:val="1"/>
      <w:tblBorders>
        <w:top w:val="single" w:sz="4" w:space="0" w:color="EAEAEC" w:themeColor="accent6" w:themeTint="66"/>
        <w:left w:val="single" w:sz="4" w:space="0" w:color="EAEAEC" w:themeColor="accent6" w:themeTint="66"/>
        <w:bottom w:val="single" w:sz="4" w:space="0" w:color="EAEAEC" w:themeColor="accent6" w:themeTint="66"/>
        <w:right w:val="single" w:sz="4" w:space="0" w:color="EAEAEC" w:themeColor="accent6" w:themeTint="66"/>
        <w:insideH w:val="single" w:sz="4" w:space="0" w:color="EAEAEC" w:themeColor="accent6" w:themeTint="66"/>
        <w:insideV w:val="single" w:sz="4" w:space="0" w:color="EAEAEC" w:themeColor="accent6" w:themeTint="66"/>
      </w:tblBorders>
    </w:tblPr>
    <w:tblStylePr w:type="firstRow">
      <w:rPr>
        <w:b/>
        <w:bCs/>
      </w:rPr>
      <w:tblPr/>
      <w:tcPr>
        <w:tcBorders>
          <w:bottom w:val="single" w:sz="12" w:space="0" w:color="E0E0E2" w:themeColor="accent6" w:themeTint="99"/>
        </w:tcBorders>
      </w:tcPr>
    </w:tblStylePr>
    <w:tblStylePr w:type="lastRow">
      <w:rPr>
        <w:b/>
        <w:bCs/>
      </w:rPr>
      <w:tblPr/>
      <w:tcPr>
        <w:tcBorders>
          <w:top w:val="double" w:sz="2" w:space="0" w:color="E0E0E2"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294A5A"/>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semiHidden/>
    <w:rsid w:val="00294A5A"/>
    <w:pPr>
      <w:spacing w:after="0" w:line="240" w:lineRule="auto"/>
    </w:pPr>
    <w:tblPr>
      <w:tblStyleRowBandSize w:val="1"/>
      <w:tblStyleColBandSize w:val="1"/>
      <w:tblBorders>
        <w:top w:val="single" w:sz="2" w:space="0" w:color="85C6CF" w:themeColor="accent1" w:themeTint="99"/>
        <w:bottom w:val="single" w:sz="2" w:space="0" w:color="85C6CF" w:themeColor="accent1" w:themeTint="99"/>
        <w:insideH w:val="single" w:sz="2" w:space="0" w:color="85C6CF" w:themeColor="accent1" w:themeTint="99"/>
        <w:insideV w:val="single" w:sz="2" w:space="0" w:color="85C6CF" w:themeColor="accent1" w:themeTint="99"/>
      </w:tblBorders>
    </w:tblPr>
    <w:tblStylePr w:type="firstRow">
      <w:rPr>
        <w:b/>
        <w:bCs/>
      </w:rPr>
      <w:tblPr/>
      <w:tcPr>
        <w:tcBorders>
          <w:top w:val="nil"/>
          <w:bottom w:val="single" w:sz="12" w:space="0" w:color="85C6CF" w:themeColor="accent1" w:themeTint="99"/>
          <w:insideH w:val="nil"/>
          <w:insideV w:val="nil"/>
        </w:tcBorders>
        <w:shd w:val="clear" w:color="auto" w:fill="FFFFFF" w:themeFill="background1"/>
      </w:tcPr>
    </w:tblStylePr>
    <w:tblStylePr w:type="lastRow">
      <w:rPr>
        <w:b/>
        <w:bCs/>
      </w:rPr>
      <w:tblPr/>
      <w:tcPr>
        <w:tcBorders>
          <w:top w:val="double" w:sz="2" w:space="0" w:color="85C6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GridTable2-Accent2">
    <w:name w:val="Grid Table 2 Accent 2"/>
    <w:basedOn w:val="TableNormal"/>
    <w:uiPriority w:val="47"/>
    <w:semiHidden/>
    <w:rsid w:val="00294A5A"/>
    <w:pPr>
      <w:spacing w:after="0" w:line="240" w:lineRule="auto"/>
    </w:pPr>
    <w:tblPr>
      <w:tblStyleRowBandSize w:val="1"/>
      <w:tblStyleColBandSize w:val="1"/>
      <w:tblBorders>
        <w:top w:val="single" w:sz="2" w:space="0" w:color="B2D5DB" w:themeColor="accent2" w:themeTint="99"/>
        <w:bottom w:val="single" w:sz="2" w:space="0" w:color="B2D5DB" w:themeColor="accent2" w:themeTint="99"/>
        <w:insideH w:val="single" w:sz="2" w:space="0" w:color="B2D5DB" w:themeColor="accent2" w:themeTint="99"/>
        <w:insideV w:val="single" w:sz="2" w:space="0" w:color="B2D5DB" w:themeColor="accent2" w:themeTint="99"/>
      </w:tblBorders>
    </w:tblPr>
    <w:tblStylePr w:type="firstRow">
      <w:rPr>
        <w:b/>
        <w:bCs/>
      </w:rPr>
      <w:tblPr/>
      <w:tcPr>
        <w:tcBorders>
          <w:top w:val="nil"/>
          <w:bottom w:val="single" w:sz="12" w:space="0" w:color="B2D5DB" w:themeColor="accent2" w:themeTint="99"/>
          <w:insideH w:val="nil"/>
          <w:insideV w:val="nil"/>
        </w:tcBorders>
        <w:shd w:val="clear" w:color="auto" w:fill="FFFFFF" w:themeFill="background1"/>
      </w:tcPr>
    </w:tblStylePr>
    <w:tblStylePr w:type="lastRow">
      <w:rPr>
        <w:b/>
        <w:bCs/>
      </w:rPr>
      <w:tblPr/>
      <w:tcPr>
        <w:tcBorders>
          <w:top w:val="double" w:sz="2" w:space="0" w:color="B2D5D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GridTable2-Accent3">
    <w:name w:val="Grid Table 2 Accent 3"/>
    <w:basedOn w:val="TableNormal"/>
    <w:uiPriority w:val="47"/>
    <w:semiHidden/>
    <w:rsid w:val="00294A5A"/>
    <w:pPr>
      <w:spacing w:after="0" w:line="240" w:lineRule="auto"/>
    </w:pPr>
    <w:tblPr>
      <w:tblStyleRowBandSize w:val="1"/>
      <w:tblStyleColBandSize w:val="1"/>
      <w:tblBorders>
        <w:top w:val="single" w:sz="2" w:space="0" w:color="D8EAED" w:themeColor="accent3" w:themeTint="99"/>
        <w:bottom w:val="single" w:sz="2" w:space="0" w:color="D8EAED" w:themeColor="accent3" w:themeTint="99"/>
        <w:insideH w:val="single" w:sz="2" w:space="0" w:color="D8EAED" w:themeColor="accent3" w:themeTint="99"/>
        <w:insideV w:val="single" w:sz="2" w:space="0" w:color="D8EAED" w:themeColor="accent3" w:themeTint="99"/>
      </w:tblBorders>
    </w:tblPr>
    <w:tblStylePr w:type="firstRow">
      <w:rPr>
        <w:b/>
        <w:bCs/>
      </w:rPr>
      <w:tblPr/>
      <w:tcPr>
        <w:tcBorders>
          <w:top w:val="nil"/>
          <w:bottom w:val="single" w:sz="12" w:space="0" w:color="D8EAED" w:themeColor="accent3" w:themeTint="99"/>
          <w:insideH w:val="nil"/>
          <w:insideV w:val="nil"/>
        </w:tcBorders>
        <w:shd w:val="clear" w:color="auto" w:fill="FFFFFF" w:themeFill="background1"/>
      </w:tcPr>
    </w:tblStylePr>
    <w:tblStylePr w:type="lastRow">
      <w:rPr>
        <w:b/>
        <w:bCs/>
      </w:rPr>
      <w:tblPr/>
      <w:tcPr>
        <w:tcBorders>
          <w:top w:val="double" w:sz="2" w:space="0" w:color="D8EAED"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GridTable2-Accent4">
    <w:name w:val="Grid Table 2 Accent 4"/>
    <w:basedOn w:val="TableNormal"/>
    <w:uiPriority w:val="47"/>
    <w:semiHidden/>
    <w:rsid w:val="00294A5A"/>
    <w:pPr>
      <w:spacing w:after="0" w:line="240" w:lineRule="auto"/>
    </w:pPr>
    <w:tblPr>
      <w:tblStyleRowBandSize w:val="1"/>
      <w:tblStyleColBandSize w:val="1"/>
      <w:tblBorders>
        <w:top w:val="single" w:sz="2" w:space="0" w:color="84849D" w:themeColor="accent4" w:themeTint="99"/>
        <w:bottom w:val="single" w:sz="2" w:space="0" w:color="84849D" w:themeColor="accent4" w:themeTint="99"/>
        <w:insideH w:val="single" w:sz="2" w:space="0" w:color="84849D" w:themeColor="accent4" w:themeTint="99"/>
        <w:insideV w:val="single" w:sz="2" w:space="0" w:color="84849D" w:themeColor="accent4" w:themeTint="99"/>
      </w:tblBorders>
    </w:tblPr>
    <w:tblStylePr w:type="firstRow">
      <w:rPr>
        <w:b/>
        <w:bCs/>
      </w:rPr>
      <w:tblPr/>
      <w:tcPr>
        <w:tcBorders>
          <w:top w:val="nil"/>
          <w:bottom w:val="single" w:sz="12" w:space="0" w:color="84849D" w:themeColor="accent4" w:themeTint="99"/>
          <w:insideH w:val="nil"/>
          <w:insideV w:val="nil"/>
        </w:tcBorders>
        <w:shd w:val="clear" w:color="auto" w:fill="FFFFFF" w:themeFill="background1"/>
      </w:tcPr>
    </w:tblStylePr>
    <w:tblStylePr w:type="lastRow">
      <w:rPr>
        <w:b/>
        <w:bCs/>
      </w:rPr>
      <w:tblPr/>
      <w:tcPr>
        <w:tcBorders>
          <w:top w:val="double" w:sz="2" w:space="0" w:color="84849D"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GridTable2-Accent5">
    <w:name w:val="Grid Table 2 Accent 5"/>
    <w:basedOn w:val="TableNormal"/>
    <w:uiPriority w:val="47"/>
    <w:semiHidden/>
    <w:rsid w:val="00294A5A"/>
    <w:pPr>
      <w:spacing w:after="0" w:line="240" w:lineRule="auto"/>
    </w:pPr>
    <w:tblPr>
      <w:tblStyleRowBandSize w:val="1"/>
      <w:tblStyleColBandSize w:val="1"/>
      <w:tblBorders>
        <w:top w:val="single" w:sz="2" w:space="0" w:color="B2B2B9" w:themeColor="accent5" w:themeTint="99"/>
        <w:bottom w:val="single" w:sz="2" w:space="0" w:color="B2B2B9" w:themeColor="accent5" w:themeTint="99"/>
        <w:insideH w:val="single" w:sz="2" w:space="0" w:color="B2B2B9" w:themeColor="accent5" w:themeTint="99"/>
        <w:insideV w:val="single" w:sz="2" w:space="0" w:color="B2B2B9" w:themeColor="accent5" w:themeTint="99"/>
      </w:tblBorders>
    </w:tblPr>
    <w:tblStylePr w:type="firstRow">
      <w:rPr>
        <w:b/>
        <w:bCs/>
      </w:rPr>
      <w:tblPr/>
      <w:tcPr>
        <w:tcBorders>
          <w:top w:val="nil"/>
          <w:bottom w:val="single" w:sz="12" w:space="0" w:color="B2B2B9" w:themeColor="accent5" w:themeTint="99"/>
          <w:insideH w:val="nil"/>
          <w:insideV w:val="nil"/>
        </w:tcBorders>
        <w:shd w:val="clear" w:color="auto" w:fill="FFFFFF" w:themeFill="background1"/>
      </w:tcPr>
    </w:tblStylePr>
    <w:tblStylePr w:type="lastRow">
      <w:rPr>
        <w:b/>
        <w:bCs/>
      </w:rPr>
      <w:tblPr/>
      <w:tcPr>
        <w:tcBorders>
          <w:top w:val="double" w:sz="2" w:space="0" w:color="B2B2B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GridTable2-Accent6">
    <w:name w:val="Grid Table 2 Accent 6"/>
    <w:basedOn w:val="TableNormal"/>
    <w:uiPriority w:val="47"/>
    <w:semiHidden/>
    <w:rsid w:val="00294A5A"/>
    <w:pPr>
      <w:spacing w:after="0" w:line="240" w:lineRule="auto"/>
    </w:pPr>
    <w:tblPr>
      <w:tblStyleRowBandSize w:val="1"/>
      <w:tblStyleColBandSize w:val="1"/>
      <w:tblBorders>
        <w:top w:val="single" w:sz="2" w:space="0" w:color="E0E0E2" w:themeColor="accent6" w:themeTint="99"/>
        <w:bottom w:val="single" w:sz="2" w:space="0" w:color="E0E0E2" w:themeColor="accent6" w:themeTint="99"/>
        <w:insideH w:val="single" w:sz="2" w:space="0" w:color="E0E0E2" w:themeColor="accent6" w:themeTint="99"/>
        <w:insideV w:val="single" w:sz="2" w:space="0" w:color="E0E0E2" w:themeColor="accent6" w:themeTint="99"/>
      </w:tblBorders>
    </w:tblPr>
    <w:tblStylePr w:type="firstRow">
      <w:rPr>
        <w:b/>
        <w:bCs/>
      </w:rPr>
      <w:tblPr/>
      <w:tcPr>
        <w:tcBorders>
          <w:top w:val="nil"/>
          <w:bottom w:val="single" w:sz="12" w:space="0" w:color="E0E0E2" w:themeColor="accent6" w:themeTint="99"/>
          <w:insideH w:val="nil"/>
          <w:insideV w:val="nil"/>
        </w:tcBorders>
        <w:shd w:val="clear" w:color="auto" w:fill="FFFFFF" w:themeFill="background1"/>
      </w:tcPr>
    </w:tblStylePr>
    <w:tblStylePr w:type="lastRow">
      <w:rPr>
        <w:b/>
        <w:bCs/>
      </w:rPr>
      <w:tblPr/>
      <w:tcPr>
        <w:tcBorders>
          <w:top w:val="double" w:sz="2" w:space="0" w:color="E0E0E2"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GridTable3">
    <w:name w:val="Grid Table 3"/>
    <w:basedOn w:val="TableNormal"/>
    <w:uiPriority w:val="48"/>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semiHidden/>
    <w:rsid w:val="00294A5A"/>
    <w:pPr>
      <w:spacing w:after="0" w:line="240" w:lineRule="auto"/>
    </w:p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insideV w:val="single" w:sz="4" w:space="0" w:color="85C6C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ECEF" w:themeFill="accent1" w:themeFillTint="33"/>
      </w:tcPr>
    </w:tblStylePr>
    <w:tblStylePr w:type="band1Horz">
      <w:tblPr/>
      <w:tcPr>
        <w:shd w:val="clear" w:color="auto" w:fill="D6ECEF" w:themeFill="accent1" w:themeFillTint="33"/>
      </w:tcPr>
    </w:tblStylePr>
    <w:tblStylePr w:type="neCell">
      <w:tblPr/>
      <w:tcPr>
        <w:tcBorders>
          <w:bottom w:val="single" w:sz="4" w:space="0" w:color="85C6CF" w:themeColor="accent1" w:themeTint="99"/>
        </w:tcBorders>
      </w:tcPr>
    </w:tblStylePr>
    <w:tblStylePr w:type="nwCell">
      <w:tblPr/>
      <w:tcPr>
        <w:tcBorders>
          <w:bottom w:val="single" w:sz="4" w:space="0" w:color="85C6CF" w:themeColor="accent1" w:themeTint="99"/>
        </w:tcBorders>
      </w:tcPr>
    </w:tblStylePr>
    <w:tblStylePr w:type="seCell">
      <w:tblPr/>
      <w:tcPr>
        <w:tcBorders>
          <w:top w:val="single" w:sz="4" w:space="0" w:color="85C6CF" w:themeColor="accent1" w:themeTint="99"/>
        </w:tcBorders>
      </w:tcPr>
    </w:tblStylePr>
    <w:tblStylePr w:type="swCell">
      <w:tblPr/>
      <w:tcPr>
        <w:tcBorders>
          <w:top w:val="single" w:sz="4" w:space="0" w:color="85C6CF" w:themeColor="accent1" w:themeTint="99"/>
        </w:tcBorders>
      </w:tcPr>
    </w:tblStylePr>
  </w:style>
  <w:style w:type="table" w:styleId="GridTable3-Accent2">
    <w:name w:val="Grid Table 3 Accent 2"/>
    <w:basedOn w:val="TableNormal"/>
    <w:uiPriority w:val="48"/>
    <w:semiHidden/>
    <w:rsid w:val="00294A5A"/>
    <w:pPr>
      <w:spacing w:after="0" w:line="240" w:lineRule="auto"/>
    </w:p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insideV w:val="single" w:sz="4" w:space="0" w:color="B2D5D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1F3" w:themeFill="accent2" w:themeFillTint="33"/>
      </w:tcPr>
    </w:tblStylePr>
    <w:tblStylePr w:type="band1Horz">
      <w:tblPr/>
      <w:tcPr>
        <w:shd w:val="clear" w:color="auto" w:fill="E5F1F3" w:themeFill="accent2" w:themeFillTint="33"/>
      </w:tcPr>
    </w:tblStylePr>
    <w:tblStylePr w:type="neCell">
      <w:tblPr/>
      <w:tcPr>
        <w:tcBorders>
          <w:bottom w:val="single" w:sz="4" w:space="0" w:color="B2D5DB" w:themeColor="accent2" w:themeTint="99"/>
        </w:tcBorders>
      </w:tcPr>
    </w:tblStylePr>
    <w:tblStylePr w:type="nwCell">
      <w:tblPr/>
      <w:tcPr>
        <w:tcBorders>
          <w:bottom w:val="single" w:sz="4" w:space="0" w:color="B2D5DB" w:themeColor="accent2" w:themeTint="99"/>
        </w:tcBorders>
      </w:tcPr>
    </w:tblStylePr>
    <w:tblStylePr w:type="seCell">
      <w:tblPr/>
      <w:tcPr>
        <w:tcBorders>
          <w:top w:val="single" w:sz="4" w:space="0" w:color="B2D5DB" w:themeColor="accent2" w:themeTint="99"/>
        </w:tcBorders>
      </w:tcPr>
    </w:tblStylePr>
    <w:tblStylePr w:type="swCell">
      <w:tblPr/>
      <w:tcPr>
        <w:tcBorders>
          <w:top w:val="single" w:sz="4" w:space="0" w:color="B2D5DB" w:themeColor="accent2" w:themeTint="99"/>
        </w:tcBorders>
      </w:tcPr>
    </w:tblStylePr>
  </w:style>
  <w:style w:type="table" w:styleId="GridTable3-Accent3">
    <w:name w:val="Grid Table 3 Accent 3"/>
    <w:basedOn w:val="TableNormal"/>
    <w:uiPriority w:val="48"/>
    <w:semiHidden/>
    <w:rsid w:val="00294A5A"/>
    <w:pPr>
      <w:spacing w:after="0" w:line="240" w:lineRule="auto"/>
    </w:p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insideV w:val="single" w:sz="4" w:space="0" w:color="D8EAED"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8F9" w:themeFill="accent3" w:themeFillTint="33"/>
      </w:tcPr>
    </w:tblStylePr>
    <w:tblStylePr w:type="band1Horz">
      <w:tblPr/>
      <w:tcPr>
        <w:shd w:val="clear" w:color="auto" w:fill="F2F8F9" w:themeFill="accent3" w:themeFillTint="33"/>
      </w:tcPr>
    </w:tblStylePr>
    <w:tblStylePr w:type="neCell">
      <w:tblPr/>
      <w:tcPr>
        <w:tcBorders>
          <w:bottom w:val="single" w:sz="4" w:space="0" w:color="D8EAED" w:themeColor="accent3" w:themeTint="99"/>
        </w:tcBorders>
      </w:tcPr>
    </w:tblStylePr>
    <w:tblStylePr w:type="nwCell">
      <w:tblPr/>
      <w:tcPr>
        <w:tcBorders>
          <w:bottom w:val="single" w:sz="4" w:space="0" w:color="D8EAED" w:themeColor="accent3" w:themeTint="99"/>
        </w:tcBorders>
      </w:tcPr>
    </w:tblStylePr>
    <w:tblStylePr w:type="seCell">
      <w:tblPr/>
      <w:tcPr>
        <w:tcBorders>
          <w:top w:val="single" w:sz="4" w:space="0" w:color="D8EAED" w:themeColor="accent3" w:themeTint="99"/>
        </w:tcBorders>
      </w:tcPr>
    </w:tblStylePr>
    <w:tblStylePr w:type="swCell">
      <w:tblPr/>
      <w:tcPr>
        <w:tcBorders>
          <w:top w:val="single" w:sz="4" w:space="0" w:color="D8EAED" w:themeColor="accent3" w:themeTint="99"/>
        </w:tcBorders>
      </w:tcPr>
    </w:tblStylePr>
  </w:style>
  <w:style w:type="table" w:styleId="GridTable3-Accent4">
    <w:name w:val="Grid Table 3 Accent 4"/>
    <w:basedOn w:val="TableNormal"/>
    <w:uiPriority w:val="48"/>
    <w:semiHidden/>
    <w:rsid w:val="00294A5A"/>
    <w:pPr>
      <w:spacing w:after="0" w:line="240" w:lineRule="auto"/>
    </w:p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insideV w:val="single" w:sz="4" w:space="0" w:color="84849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E" w:themeFill="accent4" w:themeFillTint="33"/>
      </w:tcPr>
    </w:tblStylePr>
    <w:tblStylePr w:type="band1Horz">
      <w:tblPr/>
      <w:tcPr>
        <w:shd w:val="clear" w:color="auto" w:fill="D6D6DE" w:themeFill="accent4" w:themeFillTint="33"/>
      </w:tcPr>
    </w:tblStylePr>
    <w:tblStylePr w:type="neCell">
      <w:tblPr/>
      <w:tcPr>
        <w:tcBorders>
          <w:bottom w:val="single" w:sz="4" w:space="0" w:color="84849D" w:themeColor="accent4" w:themeTint="99"/>
        </w:tcBorders>
      </w:tcPr>
    </w:tblStylePr>
    <w:tblStylePr w:type="nwCell">
      <w:tblPr/>
      <w:tcPr>
        <w:tcBorders>
          <w:bottom w:val="single" w:sz="4" w:space="0" w:color="84849D" w:themeColor="accent4" w:themeTint="99"/>
        </w:tcBorders>
      </w:tcPr>
    </w:tblStylePr>
    <w:tblStylePr w:type="seCell">
      <w:tblPr/>
      <w:tcPr>
        <w:tcBorders>
          <w:top w:val="single" w:sz="4" w:space="0" w:color="84849D" w:themeColor="accent4" w:themeTint="99"/>
        </w:tcBorders>
      </w:tcPr>
    </w:tblStylePr>
    <w:tblStylePr w:type="swCell">
      <w:tblPr/>
      <w:tcPr>
        <w:tcBorders>
          <w:top w:val="single" w:sz="4" w:space="0" w:color="84849D" w:themeColor="accent4" w:themeTint="99"/>
        </w:tcBorders>
      </w:tcPr>
    </w:tblStylePr>
  </w:style>
  <w:style w:type="table" w:styleId="GridTable3-Accent5">
    <w:name w:val="Grid Table 3 Accent 5"/>
    <w:basedOn w:val="TableNormal"/>
    <w:uiPriority w:val="48"/>
    <w:semiHidden/>
    <w:rsid w:val="00294A5A"/>
    <w:pPr>
      <w:spacing w:after="0" w:line="240" w:lineRule="auto"/>
    </w:p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insideV w:val="single" w:sz="4" w:space="0" w:color="B2B2B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7" w:themeFill="accent5" w:themeFillTint="33"/>
      </w:tcPr>
    </w:tblStylePr>
    <w:tblStylePr w:type="band1Horz">
      <w:tblPr/>
      <w:tcPr>
        <w:shd w:val="clear" w:color="auto" w:fill="E5E5E7" w:themeFill="accent5" w:themeFillTint="33"/>
      </w:tcPr>
    </w:tblStylePr>
    <w:tblStylePr w:type="neCell">
      <w:tblPr/>
      <w:tcPr>
        <w:tcBorders>
          <w:bottom w:val="single" w:sz="4" w:space="0" w:color="B2B2B9" w:themeColor="accent5" w:themeTint="99"/>
        </w:tcBorders>
      </w:tcPr>
    </w:tblStylePr>
    <w:tblStylePr w:type="nwCell">
      <w:tblPr/>
      <w:tcPr>
        <w:tcBorders>
          <w:bottom w:val="single" w:sz="4" w:space="0" w:color="B2B2B9" w:themeColor="accent5" w:themeTint="99"/>
        </w:tcBorders>
      </w:tcPr>
    </w:tblStylePr>
    <w:tblStylePr w:type="seCell">
      <w:tblPr/>
      <w:tcPr>
        <w:tcBorders>
          <w:top w:val="single" w:sz="4" w:space="0" w:color="B2B2B9" w:themeColor="accent5" w:themeTint="99"/>
        </w:tcBorders>
      </w:tcPr>
    </w:tblStylePr>
    <w:tblStylePr w:type="swCell">
      <w:tblPr/>
      <w:tcPr>
        <w:tcBorders>
          <w:top w:val="single" w:sz="4" w:space="0" w:color="B2B2B9" w:themeColor="accent5" w:themeTint="99"/>
        </w:tcBorders>
      </w:tcPr>
    </w:tblStylePr>
  </w:style>
  <w:style w:type="table" w:styleId="GridTable3-Accent6">
    <w:name w:val="Grid Table 3 Accent 6"/>
    <w:basedOn w:val="TableNormal"/>
    <w:uiPriority w:val="48"/>
    <w:semiHidden/>
    <w:rsid w:val="00294A5A"/>
    <w:pPr>
      <w:spacing w:after="0" w:line="240" w:lineRule="auto"/>
    </w:p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insideV w:val="single" w:sz="4" w:space="0" w:color="E0E0E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5" w:themeFill="accent6" w:themeFillTint="33"/>
      </w:tcPr>
    </w:tblStylePr>
    <w:tblStylePr w:type="band1Horz">
      <w:tblPr/>
      <w:tcPr>
        <w:shd w:val="clear" w:color="auto" w:fill="F4F4F5" w:themeFill="accent6" w:themeFillTint="33"/>
      </w:tcPr>
    </w:tblStylePr>
    <w:tblStylePr w:type="neCell">
      <w:tblPr/>
      <w:tcPr>
        <w:tcBorders>
          <w:bottom w:val="single" w:sz="4" w:space="0" w:color="E0E0E2" w:themeColor="accent6" w:themeTint="99"/>
        </w:tcBorders>
      </w:tcPr>
    </w:tblStylePr>
    <w:tblStylePr w:type="nwCell">
      <w:tblPr/>
      <w:tcPr>
        <w:tcBorders>
          <w:bottom w:val="single" w:sz="4" w:space="0" w:color="E0E0E2" w:themeColor="accent6" w:themeTint="99"/>
        </w:tcBorders>
      </w:tcPr>
    </w:tblStylePr>
    <w:tblStylePr w:type="seCell">
      <w:tblPr/>
      <w:tcPr>
        <w:tcBorders>
          <w:top w:val="single" w:sz="4" w:space="0" w:color="E0E0E2" w:themeColor="accent6" w:themeTint="99"/>
        </w:tcBorders>
      </w:tcPr>
    </w:tblStylePr>
    <w:tblStylePr w:type="swCell">
      <w:tblPr/>
      <w:tcPr>
        <w:tcBorders>
          <w:top w:val="single" w:sz="4" w:space="0" w:color="E0E0E2" w:themeColor="accent6" w:themeTint="99"/>
        </w:tcBorders>
      </w:tcPr>
    </w:tblStylePr>
  </w:style>
  <w:style w:type="table" w:styleId="GridTable4">
    <w:name w:val="Grid Table 4"/>
    <w:basedOn w:val="TableNormal"/>
    <w:uiPriority w:val="49"/>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semiHidden/>
    <w:rsid w:val="00294A5A"/>
    <w:pPr>
      <w:spacing w:after="0" w:line="240" w:lineRule="auto"/>
    </w:p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insideV w:val="single" w:sz="4" w:space="0" w:color="85C6CF" w:themeColor="accent1" w:themeTint="99"/>
      </w:tblBorders>
    </w:tblPr>
    <w:tblStylePr w:type="firstRow">
      <w:rPr>
        <w:b/>
        <w:bCs/>
        <w:color w:val="FFFFFF" w:themeColor="background1"/>
      </w:rPr>
      <w:tblPr/>
      <w:tcPr>
        <w:tcBorders>
          <w:top w:val="single" w:sz="4" w:space="0" w:color="4098A4" w:themeColor="accent1"/>
          <w:left w:val="single" w:sz="4" w:space="0" w:color="4098A4" w:themeColor="accent1"/>
          <w:bottom w:val="single" w:sz="4" w:space="0" w:color="4098A4" w:themeColor="accent1"/>
          <w:right w:val="single" w:sz="4" w:space="0" w:color="4098A4" w:themeColor="accent1"/>
          <w:insideH w:val="nil"/>
          <w:insideV w:val="nil"/>
        </w:tcBorders>
        <w:shd w:val="clear" w:color="auto" w:fill="4098A4" w:themeFill="accent1"/>
      </w:tcPr>
    </w:tblStylePr>
    <w:tblStylePr w:type="lastRow">
      <w:rPr>
        <w:b/>
        <w:bCs/>
      </w:rPr>
      <w:tblPr/>
      <w:tcPr>
        <w:tcBorders>
          <w:top w:val="double" w:sz="4" w:space="0" w:color="4098A4" w:themeColor="accent1"/>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GridTable4-Accent2">
    <w:name w:val="Grid Table 4 Accent 2"/>
    <w:basedOn w:val="TableNormal"/>
    <w:uiPriority w:val="49"/>
    <w:semiHidden/>
    <w:rsid w:val="00294A5A"/>
    <w:pPr>
      <w:spacing w:after="0" w:line="240" w:lineRule="auto"/>
    </w:p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insideV w:val="single" w:sz="4" w:space="0" w:color="B2D5DB" w:themeColor="accent2" w:themeTint="99"/>
      </w:tblBorders>
    </w:tblPr>
    <w:tblStylePr w:type="firstRow">
      <w:rPr>
        <w:b/>
        <w:bCs/>
        <w:color w:val="FFFFFF" w:themeColor="background1"/>
      </w:rPr>
      <w:tblPr/>
      <w:tcPr>
        <w:tcBorders>
          <w:top w:val="single" w:sz="4" w:space="0" w:color="80BAC3" w:themeColor="accent2"/>
          <w:left w:val="single" w:sz="4" w:space="0" w:color="80BAC3" w:themeColor="accent2"/>
          <w:bottom w:val="single" w:sz="4" w:space="0" w:color="80BAC3" w:themeColor="accent2"/>
          <w:right w:val="single" w:sz="4" w:space="0" w:color="80BAC3" w:themeColor="accent2"/>
          <w:insideH w:val="nil"/>
          <w:insideV w:val="nil"/>
        </w:tcBorders>
        <w:shd w:val="clear" w:color="auto" w:fill="80BAC3" w:themeFill="accent2"/>
      </w:tcPr>
    </w:tblStylePr>
    <w:tblStylePr w:type="lastRow">
      <w:rPr>
        <w:b/>
        <w:bCs/>
      </w:rPr>
      <w:tblPr/>
      <w:tcPr>
        <w:tcBorders>
          <w:top w:val="double" w:sz="4" w:space="0" w:color="80BAC3" w:themeColor="accent2"/>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GridTable4-Accent3">
    <w:name w:val="Grid Table 4 Accent 3"/>
    <w:basedOn w:val="TableNormal"/>
    <w:uiPriority w:val="49"/>
    <w:semiHidden/>
    <w:rsid w:val="00294A5A"/>
    <w:pPr>
      <w:spacing w:after="0" w:line="240" w:lineRule="auto"/>
    </w:p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insideV w:val="single" w:sz="4" w:space="0" w:color="D8EAED" w:themeColor="accent3" w:themeTint="99"/>
      </w:tblBorders>
    </w:tblPr>
    <w:tblStylePr w:type="firstRow">
      <w:rPr>
        <w:b/>
        <w:bCs/>
        <w:color w:val="FFFFFF" w:themeColor="background1"/>
      </w:rPr>
      <w:tblPr/>
      <w:tcPr>
        <w:tcBorders>
          <w:top w:val="single" w:sz="4" w:space="0" w:color="BFDDE1" w:themeColor="accent3"/>
          <w:left w:val="single" w:sz="4" w:space="0" w:color="BFDDE1" w:themeColor="accent3"/>
          <w:bottom w:val="single" w:sz="4" w:space="0" w:color="BFDDE1" w:themeColor="accent3"/>
          <w:right w:val="single" w:sz="4" w:space="0" w:color="BFDDE1" w:themeColor="accent3"/>
          <w:insideH w:val="nil"/>
          <w:insideV w:val="nil"/>
        </w:tcBorders>
        <w:shd w:val="clear" w:color="auto" w:fill="BFDDE1" w:themeFill="accent3"/>
      </w:tcPr>
    </w:tblStylePr>
    <w:tblStylePr w:type="lastRow">
      <w:rPr>
        <w:b/>
        <w:bCs/>
      </w:rPr>
      <w:tblPr/>
      <w:tcPr>
        <w:tcBorders>
          <w:top w:val="double" w:sz="4" w:space="0" w:color="BFDDE1" w:themeColor="accent3"/>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GridTable4-Accent4">
    <w:name w:val="Grid Table 4 Accent 4"/>
    <w:basedOn w:val="TableNormal"/>
    <w:uiPriority w:val="49"/>
    <w:semiHidden/>
    <w:rsid w:val="00294A5A"/>
    <w:pPr>
      <w:spacing w:after="0" w:line="240" w:lineRule="auto"/>
    </w:p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insideV w:val="single" w:sz="4" w:space="0" w:color="84849D" w:themeColor="accent4" w:themeTint="99"/>
      </w:tblBorders>
    </w:tblPr>
    <w:tblStylePr w:type="firstRow">
      <w:rPr>
        <w:b/>
        <w:bCs/>
        <w:color w:val="FFFFFF" w:themeColor="background1"/>
      </w:rPr>
      <w:tblPr/>
      <w:tcPr>
        <w:tcBorders>
          <w:top w:val="single" w:sz="4" w:space="0" w:color="404050" w:themeColor="accent4"/>
          <w:left w:val="single" w:sz="4" w:space="0" w:color="404050" w:themeColor="accent4"/>
          <w:bottom w:val="single" w:sz="4" w:space="0" w:color="404050" w:themeColor="accent4"/>
          <w:right w:val="single" w:sz="4" w:space="0" w:color="404050" w:themeColor="accent4"/>
          <w:insideH w:val="nil"/>
          <w:insideV w:val="nil"/>
        </w:tcBorders>
        <w:shd w:val="clear" w:color="auto" w:fill="404050" w:themeFill="accent4"/>
      </w:tcPr>
    </w:tblStylePr>
    <w:tblStylePr w:type="lastRow">
      <w:rPr>
        <w:b/>
        <w:bCs/>
      </w:rPr>
      <w:tblPr/>
      <w:tcPr>
        <w:tcBorders>
          <w:top w:val="double" w:sz="4" w:space="0" w:color="404050" w:themeColor="accent4"/>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GridTable4-Accent5">
    <w:name w:val="Grid Table 4 Accent 5"/>
    <w:basedOn w:val="TableNormal"/>
    <w:uiPriority w:val="49"/>
    <w:semiHidden/>
    <w:rsid w:val="00294A5A"/>
    <w:pPr>
      <w:spacing w:after="0" w:line="240" w:lineRule="auto"/>
    </w:p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insideV w:val="single" w:sz="4" w:space="0" w:color="B2B2B9" w:themeColor="accent5" w:themeTint="99"/>
      </w:tblBorders>
    </w:tblPr>
    <w:tblStylePr w:type="firstRow">
      <w:rPr>
        <w:b/>
        <w:bCs/>
        <w:color w:val="FFFFFF" w:themeColor="background1"/>
      </w:rPr>
      <w:tblPr/>
      <w:tcPr>
        <w:tcBorders>
          <w:top w:val="single" w:sz="4" w:space="0" w:color="80808B" w:themeColor="accent5"/>
          <w:left w:val="single" w:sz="4" w:space="0" w:color="80808B" w:themeColor="accent5"/>
          <w:bottom w:val="single" w:sz="4" w:space="0" w:color="80808B" w:themeColor="accent5"/>
          <w:right w:val="single" w:sz="4" w:space="0" w:color="80808B" w:themeColor="accent5"/>
          <w:insideH w:val="nil"/>
          <w:insideV w:val="nil"/>
        </w:tcBorders>
        <w:shd w:val="clear" w:color="auto" w:fill="80808B" w:themeFill="accent5"/>
      </w:tcPr>
    </w:tblStylePr>
    <w:tblStylePr w:type="lastRow">
      <w:rPr>
        <w:b/>
        <w:bCs/>
      </w:rPr>
      <w:tblPr/>
      <w:tcPr>
        <w:tcBorders>
          <w:top w:val="double" w:sz="4" w:space="0" w:color="80808B" w:themeColor="accent5"/>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GridTable4-Accent6">
    <w:name w:val="Grid Table 4 Accent 6"/>
    <w:basedOn w:val="TableNormal"/>
    <w:uiPriority w:val="49"/>
    <w:semiHidden/>
    <w:rsid w:val="00294A5A"/>
    <w:pPr>
      <w:spacing w:after="0" w:line="240" w:lineRule="auto"/>
    </w:p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insideV w:val="single" w:sz="4" w:space="0" w:color="E0E0E2" w:themeColor="accent6" w:themeTint="99"/>
      </w:tblBorders>
    </w:tblPr>
    <w:tblStylePr w:type="firstRow">
      <w:rPr>
        <w:b/>
        <w:bCs/>
        <w:color w:val="FFFFFF" w:themeColor="background1"/>
      </w:rPr>
      <w:tblPr/>
      <w:tcPr>
        <w:tcBorders>
          <w:top w:val="single" w:sz="4" w:space="0" w:color="CCCCD0" w:themeColor="accent6"/>
          <w:left w:val="single" w:sz="4" w:space="0" w:color="CCCCD0" w:themeColor="accent6"/>
          <w:bottom w:val="single" w:sz="4" w:space="0" w:color="CCCCD0" w:themeColor="accent6"/>
          <w:right w:val="single" w:sz="4" w:space="0" w:color="CCCCD0" w:themeColor="accent6"/>
          <w:insideH w:val="nil"/>
          <w:insideV w:val="nil"/>
        </w:tcBorders>
        <w:shd w:val="clear" w:color="auto" w:fill="CCCCD0" w:themeFill="accent6"/>
      </w:tcPr>
    </w:tblStylePr>
    <w:tblStylePr w:type="lastRow">
      <w:rPr>
        <w:b/>
        <w:bCs/>
      </w:rPr>
      <w:tblPr/>
      <w:tcPr>
        <w:tcBorders>
          <w:top w:val="double" w:sz="4" w:space="0" w:color="CCCCD0" w:themeColor="accent6"/>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GridTable5Dark">
    <w:name w:val="Grid Table 5 Dark"/>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EC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098A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098A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098A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098A4" w:themeFill="accent1"/>
      </w:tcPr>
    </w:tblStylePr>
    <w:tblStylePr w:type="band1Vert">
      <w:tblPr/>
      <w:tcPr>
        <w:shd w:val="clear" w:color="auto" w:fill="ADD9DF" w:themeFill="accent1" w:themeFillTint="66"/>
      </w:tcPr>
    </w:tblStylePr>
    <w:tblStylePr w:type="band1Horz">
      <w:tblPr/>
      <w:tcPr>
        <w:shd w:val="clear" w:color="auto" w:fill="ADD9DF" w:themeFill="accent1" w:themeFillTint="66"/>
      </w:tcPr>
    </w:tblStylePr>
  </w:style>
  <w:style w:type="table" w:styleId="GridTable5Dark-Accent2">
    <w:name w:val="Grid Table 5 Dark Accent 2"/>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F1F3"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BAC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BAC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BAC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BAC3" w:themeFill="accent2"/>
      </w:tcPr>
    </w:tblStylePr>
    <w:tblStylePr w:type="band1Vert">
      <w:tblPr/>
      <w:tcPr>
        <w:shd w:val="clear" w:color="auto" w:fill="CCE3E7" w:themeFill="accent2" w:themeFillTint="66"/>
      </w:tcPr>
    </w:tblStylePr>
    <w:tblStylePr w:type="band1Horz">
      <w:tblPr/>
      <w:tcPr>
        <w:shd w:val="clear" w:color="auto" w:fill="CCE3E7" w:themeFill="accent2" w:themeFillTint="66"/>
      </w:tcPr>
    </w:tblStylePr>
  </w:style>
  <w:style w:type="table" w:styleId="GridTable5Dark-Accent3">
    <w:name w:val="Grid Table 5 Dark Accent 3"/>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8F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DDE1"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DDE1"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DDE1"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DDE1" w:themeFill="accent3"/>
      </w:tcPr>
    </w:tblStylePr>
    <w:tblStylePr w:type="band1Vert">
      <w:tblPr/>
      <w:tcPr>
        <w:shd w:val="clear" w:color="auto" w:fill="E5F1F3" w:themeFill="accent3" w:themeFillTint="66"/>
      </w:tcPr>
    </w:tblStylePr>
    <w:tblStylePr w:type="band1Horz">
      <w:tblPr/>
      <w:tcPr>
        <w:shd w:val="clear" w:color="auto" w:fill="E5F1F3" w:themeFill="accent3" w:themeFillTint="66"/>
      </w:tcPr>
    </w:tblStylePr>
  </w:style>
  <w:style w:type="table" w:styleId="GridTable5Dark-Accent4">
    <w:name w:val="Grid Table 5 Dark Accent 4"/>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6D6DE"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0405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0405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0405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04050" w:themeFill="accent4"/>
      </w:tcPr>
    </w:tblStylePr>
    <w:tblStylePr w:type="band1Vert">
      <w:tblPr/>
      <w:tcPr>
        <w:shd w:val="clear" w:color="auto" w:fill="ADADBD" w:themeFill="accent4" w:themeFillTint="66"/>
      </w:tcPr>
    </w:tblStylePr>
    <w:tblStylePr w:type="band1Horz">
      <w:tblPr/>
      <w:tcPr>
        <w:shd w:val="clear" w:color="auto" w:fill="ADADBD" w:themeFill="accent4" w:themeFillTint="66"/>
      </w:tcPr>
    </w:tblStylePr>
  </w:style>
  <w:style w:type="table" w:styleId="GridTable5Dark-Accent5">
    <w:name w:val="Grid Table 5 Dark Accent 5"/>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E5E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808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808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808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808B" w:themeFill="accent5"/>
      </w:tcPr>
    </w:tblStylePr>
    <w:tblStylePr w:type="band1Vert">
      <w:tblPr/>
      <w:tcPr>
        <w:shd w:val="clear" w:color="auto" w:fill="CCCCD0" w:themeFill="accent5" w:themeFillTint="66"/>
      </w:tcPr>
    </w:tblStylePr>
    <w:tblStylePr w:type="band1Horz">
      <w:tblPr/>
      <w:tcPr>
        <w:shd w:val="clear" w:color="auto" w:fill="CCCCD0" w:themeFill="accent5" w:themeFillTint="66"/>
      </w:tcPr>
    </w:tblStylePr>
  </w:style>
  <w:style w:type="table" w:styleId="GridTable5Dark-Accent6">
    <w:name w:val="Grid Table 5 Dark Accent 6"/>
    <w:basedOn w:val="TableNormal"/>
    <w:uiPriority w:val="50"/>
    <w:semiHidden/>
    <w:rsid w:val="00294A5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5"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CCCD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CCCD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CCCD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CCCD0" w:themeFill="accent6"/>
      </w:tcPr>
    </w:tblStylePr>
    <w:tblStylePr w:type="band1Vert">
      <w:tblPr/>
      <w:tcPr>
        <w:shd w:val="clear" w:color="auto" w:fill="EAEAEC" w:themeFill="accent6" w:themeFillTint="66"/>
      </w:tcPr>
    </w:tblStylePr>
    <w:tblStylePr w:type="band1Horz">
      <w:tblPr/>
      <w:tcPr>
        <w:shd w:val="clear" w:color="auto" w:fill="EAEAEC" w:themeFill="accent6" w:themeFillTint="66"/>
      </w:tcPr>
    </w:tblStylePr>
  </w:style>
  <w:style w:type="table" w:styleId="GridTable6Colorful">
    <w:name w:val="Grid Table 6 Colorful"/>
    <w:basedOn w:val="TableNormal"/>
    <w:uiPriority w:val="51"/>
    <w:semiHidden/>
    <w:rsid w:val="00294A5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semiHidden/>
    <w:rsid w:val="00294A5A"/>
    <w:pPr>
      <w:spacing w:after="0" w:line="240" w:lineRule="auto"/>
    </w:pPr>
    <w:rPr>
      <w:color w:val="30717A" w:themeColor="accent1" w:themeShade="BF"/>
    </w:r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insideV w:val="single" w:sz="4" w:space="0" w:color="85C6CF" w:themeColor="accent1" w:themeTint="99"/>
      </w:tblBorders>
    </w:tblPr>
    <w:tblStylePr w:type="firstRow">
      <w:rPr>
        <w:b/>
        <w:bCs/>
      </w:rPr>
      <w:tblPr/>
      <w:tcPr>
        <w:tcBorders>
          <w:bottom w:val="single" w:sz="12" w:space="0" w:color="85C6CF" w:themeColor="accent1" w:themeTint="99"/>
        </w:tcBorders>
      </w:tcPr>
    </w:tblStylePr>
    <w:tblStylePr w:type="lastRow">
      <w:rPr>
        <w:b/>
        <w:bCs/>
      </w:rPr>
      <w:tblPr/>
      <w:tcPr>
        <w:tcBorders>
          <w:top w:val="double" w:sz="4" w:space="0" w:color="85C6CF" w:themeColor="accent1" w:themeTint="99"/>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GridTable6Colorful-Accent2">
    <w:name w:val="Grid Table 6 Colorful Accent 2"/>
    <w:basedOn w:val="TableNormal"/>
    <w:uiPriority w:val="51"/>
    <w:semiHidden/>
    <w:rsid w:val="00294A5A"/>
    <w:pPr>
      <w:spacing w:after="0" w:line="240" w:lineRule="auto"/>
    </w:pPr>
    <w:rPr>
      <w:color w:val="4D98A4" w:themeColor="accent2" w:themeShade="BF"/>
    </w:r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insideV w:val="single" w:sz="4" w:space="0" w:color="B2D5DB" w:themeColor="accent2" w:themeTint="99"/>
      </w:tblBorders>
    </w:tblPr>
    <w:tblStylePr w:type="firstRow">
      <w:rPr>
        <w:b/>
        <w:bCs/>
      </w:rPr>
      <w:tblPr/>
      <w:tcPr>
        <w:tcBorders>
          <w:bottom w:val="single" w:sz="12" w:space="0" w:color="B2D5DB" w:themeColor="accent2" w:themeTint="99"/>
        </w:tcBorders>
      </w:tcPr>
    </w:tblStylePr>
    <w:tblStylePr w:type="lastRow">
      <w:rPr>
        <w:b/>
        <w:bCs/>
      </w:rPr>
      <w:tblPr/>
      <w:tcPr>
        <w:tcBorders>
          <w:top w:val="double" w:sz="4" w:space="0" w:color="B2D5DB" w:themeColor="accent2" w:themeTint="99"/>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GridTable6Colorful-Accent3">
    <w:name w:val="Grid Table 6 Colorful Accent 3"/>
    <w:basedOn w:val="TableNormal"/>
    <w:uiPriority w:val="51"/>
    <w:semiHidden/>
    <w:rsid w:val="00294A5A"/>
    <w:pPr>
      <w:spacing w:after="0" w:line="240" w:lineRule="auto"/>
    </w:pPr>
    <w:rPr>
      <w:color w:val="77B7BF" w:themeColor="accent3" w:themeShade="BF"/>
    </w:r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insideV w:val="single" w:sz="4" w:space="0" w:color="D8EAED" w:themeColor="accent3" w:themeTint="99"/>
      </w:tblBorders>
    </w:tblPr>
    <w:tblStylePr w:type="firstRow">
      <w:rPr>
        <w:b/>
        <w:bCs/>
      </w:rPr>
      <w:tblPr/>
      <w:tcPr>
        <w:tcBorders>
          <w:bottom w:val="single" w:sz="12" w:space="0" w:color="D8EAED" w:themeColor="accent3" w:themeTint="99"/>
        </w:tcBorders>
      </w:tcPr>
    </w:tblStylePr>
    <w:tblStylePr w:type="lastRow">
      <w:rPr>
        <w:b/>
        <w:bCs/>
      </w:rPr>
      <w:tblPr/>
      <w:tcPr>
        <w:tcBorders>
          <w:top w:val="double" w:sz="4" w:space="0" w:color="D8EAED" w:themeColor="accent3" w:themeTint="99"/>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GridTable6Colorful-Accent4">
    <w:name w:val="Grid Table 6 Colorful Accent 4"/>
    <w:basedOn w:val="TableNormal"/>
    <w:uiPriority w:val="51"/>
    <w:semiHidden/>
    <w:rsid w:val="00294A5A"/>
    <w:pPr>
      <w:spacing w:after="0" w:line="240" w:lineRule="auto"/>
    </w:pPr>
    <w:rPr>
      <w:color w:val="30303B" w:themeColor="accent4" w:themeShade="BF"/>
    </w:r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insideV w:val="single" w:sz="4" w:space="0" w:color="84849D" w:themeColor="accent4" w:themeTint="99"/>
      </w:tblBorders>
    </w:tblPr>
    <w:tblStylePr w:type="firstRow">
      <w:rPr>
        <w:b/>
        <w:bCs/>
      </w:rPr>
      <w:tblPr/>
      <w:tcPr>
        <w:tcBorders>
          <w:bottom w:val="single" w:sz="12" w:space="0" w:color="84849D" w:themeColor="accent4" w:themeTint="99"/>
        </w:tcBorders>
      </w:tcPr>
    </w:tblStylePr>
    <w:tblStylePr w:type="lastRow">
      <w:rPr>
        <w:b/>
        <w:bCs/>
      </w:rPr>
      <w:tblPr/>
      <w:tcPr>
        <w:tcBorders>
          <w:top w:val="double" w:sz="4" w:space="0" w:color="84849D" w:themeColor="accent4" w:themeTint="99"/>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GridTable6Colorful-Accent5">
    <w:name w:val="Grid Table 6 Colorful Accent 5"/>
    <w:basedOn w:val="TableNormal"/>
    <w:uiPriority w:val="51"/>
    <w:semiHidden/>
    <w:rsid w:val="00294A5A"/>
    <w:pPr>
      <w:spacing w:after="0" w:line="240" w:lineRule="auto"/>
    </w:pPr>
    <w:rPr>
      <w:color w:val="5F5F68" w:themeColor="accent5" w:themeShade="BF"/>
    </w:r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insideV w:val="single" w:sz="4" w:space="0" w:color="B2B2B9" w:themeColor="accent5" w:themeTint="99"/>
      </w:tblBorders>
    </w:tblPr>
    <w:tblStylePr w:type="firstRow">
      <w:rPr>
        <w:b/>
        <w:bCs/>
      </w:rPr>
      <w:tblPr/>
      <w:tcPr>
        <w:tcBorders>
          <w:bottom w:val="single" w:sz="12" w:space="0" w:color="B2B2B9" w:themeColor="accent5" w:themeTint="99"/>
        </w:tcBorders>
      </w:tcPr>
    </w:tblStylePr>
    <w:tblStylePr w:type="lastRow">
      <w:rPr>
        <w:b/>
        <w:bCs/>
      </w:rPr>
      <w:tblPr/>
      <w:tcPr>
        <w:tcBorders>
          <w:top w:val="double" w:sz="4" w:space="0" w:color="B2B2B9" w:themeColor="accent5" w:themeTint="99"/>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GridTable6Colorful-Accent6">
    <w:name w:val="Grid Table 6 Colorful Accent 6"/>
    <w:basedOn w:val="TableNormal"/>
    <w:uiPriority w:val="51"/>
    <w:semiHidden/>
    <w:rsid w:val="00294A5A"/>
    <w:pPr>
      <w:spacing w:after="0" w:line="240" w:lineRule="auto"/>
    </w:pPr>
    <w:rPr>
      <w:color w:val="96969E" w:themeColor="accent6" w:themeShade="BF"/>
    </w:r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insideV w:val="single" w:sz="4" w:space="0" w:color="E0E0E2" w:themeColor="accent6" w:themeTint="99"/>
      </w:tblBorders>
    </w:tblPr>
    <w:tblStylePr w:type="firstRow">
      <w:rPr>
        <w:b/>
        <w:bCs/>
      </w:rPr>
      <w:tblPr/>
      <w:tcPr>
        <w:tcBorders>
          <w:bottom w:val="single" w:sz="12" w:space="0" w:color="E0E0E2" w:themeColor="accent6" w:themeTint="99"/>
        </w:tcBorders>
      </w:tcPr>
    </w:tblStylePr>
    <w:tblStylePr w:type="lastRow">
      <w:rPr>
        <w:b/>
        <w:bCs/>
      </w:rPr>
      <w:tblPr/>
      <w:tcPr>
        <w:tcBorders>
          <w:top w:val="double" w:sz="4" w:space="0" w:color="E0E0E2" w:themeColor="accent6" w:themeTint="99"/>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GridTable7Colorful">
    <w:name w:val="Grid Table 7 Colorful"/>
    <w:basedOn w:val="TableNormal"/>
    <w:uiPriority w:val="52"/>
    <w:semiHidden/>
    <w:rsid w:val="00294A5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semiHidden/>
    <w:rsid w:val="00294A5A"/>
    <w:pPr>
      <w:spacing w:after="0" w:line="240" w:lineRule="auto"/>
    </w:pPr>
    <w:rPr>
      <w:color w:val="30717A" w:themeColor="accent1" w:themeShade="BF"/>
    </w:r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insideV w:val="single" w:sz="4" w:space="0" w:color="85C6C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ECEF" w:themeFill="accent1" w:themeFillTint="33"/>
      </w:tcPr>
    </w:tblStylePr>
    <w:tblStylePr w:type="band1Horz">
      <w:tblPr/>
      <w:tcPr>
        <w:shd w:val="clear" w:color="auto" w:fill="D6ECEF" w:themeFill="accent1" w:themeFillTint="33"/>
      </w:tcPr>
    </w:tblStylePr>
    <w:tblStylePr w:type="neCell">
      <w:tblPr/>
      <w:tcPr>
        <w:tcBorders>
          <w:bottom w:val="single" w:sz="4" w:space="0" w:color="85C6CF" w:themeColor="accent1" w:themeTint="99"/>
        </w:tcBorders>
      </w:tcPr>
    </w:tblStylePr>
    <w:tblStylePr w:type="nwCell">
      <w:tblPr/>
      <w:tcPr>
        <w:tcBorders>
          <w:bottom w:val="single" w:sz="4" w:space="0" w:color="85C6CF" w:themeColor="accent1" w:themeTint="99"/>
        </w:tcBorders>
      </w:tcPr>
    </w:tblStylePr>
    <w:tblStylePr w:type="seCell">
      <w:tblPr/>
      <w:tcPr>
        <w:tcBorders>
          <w:top w:val="single" w:sz="4" w:space="0" w:color="85C6CF" w:themeColor="accent1" w:themeTint="99"/>
        </w:tcBorders>
      </w:tcPr>
    </w:tblStylePr>
    <w:tblStylePr w:type="swCell">
      <w:tblPr/>
      <w:tcPr>
        <w:tcBorders>
          <w:top w:val="single" w:sz="4" w:space="0" w:color="85C6CF" w:themeColor="accent1" w:themeTint="99"/>
        </w:tcBorders>
      </w:tcPr>
    </w:tblStylePr>
  </w:style>
  <w:style w:type="table" w:styleId="GridTable7Colorful-Accent2">
    <w:name w:val="Grid Table 7 Colorful Accent 2"/>
    <w:basedOn w:val="TableNormal"/>
    <w:uiPriority w:val="52"/>
    <w:semiHidden/>
    <w:rsid w:val="00294A5A"/>
    <w:pPr>
      <w:spacing w:after="0" w:line="240" w:lineRule="auto"/>
    </w:pPr>
    <w:rPr>
      <w:color w:val="4D98A4" w:themeColor="accent2" w:themeShade="BF"/>
    </w:r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insideV w:val="single" w:sz="4" w:space="0" w:color="B2D5D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F1F3" w:themeFill="accent2" w:themeFillTint="33"/>
      </w:tcPr>
    </w:tblStylePr>
    <w:tblStylePr w:type="band1Horz">
      <w:tblPr/>
      <w:tcPr>
        <w:shd w:val="clear" w:color="auto" w:fill="E5F1F3" w:themeFill="accent2" w:themeFillTint="33"/>
      </w:tcPr>
    </w:tblStylePr>
    <w:tblStylePr w:type="neCell">
      <w:tblPr/>
      <w:tcPr>
        <w:tcBorders>
          <w:bottom w:val="single" w:sz="4" w:space="0" w:color="B2D5DB" w:themeColor="accent2" w:themeTint="99"/>
        </w:tcBorders>
      </w:tcPr>
    </w:tblStylePr>
    <w:tblStylePr w:type="nwCell">
      <w:tblPr/>
      <w:tcPr>
        <w:tcBorders>
          <w:bottom w:val="single" w:sz="4" w:space="0" w:color="B2D5DB" w:themeColor="accent2" w:themeTint="99"/>
        </w:tcBorders>
      </w:tcPr>
    </w:tblStylePr>
    <w:tblStylePr w:type="seCell">
      <w:tblPr/>
      <w:tcPr>
        <w:tcBorders>
          <w:top w:val="single" w:sz="4" w:space="0" w:color="B2D5DB" w:themeColor="accent2" w:themeTint="99"/>
        </w:tcBorders>
      </w:tcPr>
    </w:tblStylePr>
    <w:tblStylePr w:type="swCell">
      <w:tblPr/>
      <w:tcPr>
        <w:tcBorders>
          <w:top w:val="single" w:sz="4" w:space="0" w:color="B2D5DB" w:themeColor="accent2" w:themeTint="99"/>
        </w:tcBorders>
      </w:tcPr>
    </w:tblStylePr>
  </w:style>
  <w:style w:type="table" w:styleId="GridTable7Colorful-Accent3">
    <w:name w:val="Grid Table 7 Colorful Accent 3"/>
    <w:basedOn w:val="TableNormal"/>
    <w:uiPriority w:val="52"/>
    <w:semiHidden/>
    <w:rsid w:val="00294A5A"/>
    <w:pPr>
      <w:spacing w:after="0" w:line="240" w:lineRule="auto"/>
    </w:pPr>
    <w:rPr>
      <w:color w:val="77B7BF" w:themeColor="accent3" w:themeShade="BF"/>
    </w:r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insideV w:val="single" w:sz="4" w:space="0" w:color="D8EAED"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8F9" w:themeFill="accent3" w:themeFillTint="33"/>
      </w:tcPr>
    </w:tblStylePr>
    <w:tblStylePr w:type="band1Horz">
      <w:tblPr/>
      <w:tcPr>
        <w:shd w:val="clear" w:color="auto" w:fill="F2F8F9" w:themeFill="accent3" w:themeFillTint="33"/>
      </w:tcPr>
    </w:tblStylePr>
    <w:tblStylePr w:type="neCell">
      <w:tblPr/>
      <w:tcPr>
        <w:tcBorders>
          <w:bottom w:val="single" w:sz="4" w:space="0" w:color="D8EAED" w:themeColor="accent3" w:themeTint="99"/>
        </w:tcBorders>
      </w:tcPr>
    </w:tblStylePr>
    <w:tblStylePr w:type="nwCell">
      <w:tblPr/>
      <w:tcPr>
        <w:tcBorders>
          <w:bottom w:val="single" w:sz="4" w:space="0" w:color="D8EAED" w:themeColor="accent3" w:themeTint="99"/>
        </w:tcBorders>
      </w:tcPr>
    </w:tblStylePr>
    <w:tblStylePr w:type="seCell">
      <w:tblPr/>
      <w:tcPr>
        <w:tcBorders>
          <w:top w:val="single" w:sz="4" w:space="0" w:color="D8EAED" w:themeColor="accent3" w:themeTint="99"/>
        </w:tcBorders>
      </w:tcPr>
    </w:tblStylePr>
    <w:tblStylePr w:type="swCell">
      <w:tblPr/>
      <w:tcPr>
        <w:tcBorders>
          <w:top w:val="single" w:sz="4" w:space="0" w:color="D8EAED" w:themeColor="accent3" w:themeTint="99"/>
        </w:tcBorders>
      </w:tcPr>
    </w:tblStylePr>
  </w:style>
  <w:style w:type="table" w:styleId="GridTable7Colorful-Accent4">
    <w:name w:val="Grid Table 7 Colorful Accent 4"/>
    <w:basedOn w:val="TableNormal"/>
    <w:uiPriority w:val="52"/>
    <w:semiHidden/>
    <w:rsid w:val="00294A5A"/>
    <w:pPr>
      <w:spacing w:after="0" w:line="240" w:lineRule="auto"/>
    </w:pPr>
    <w:rPr>
      <w:color w:val="30303B" w:themeColor="accent4" w:themeShade="BF"/>
    </w:r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insideV w:val="single" w:sz="4" w:space="0" w:color="84849D"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6D6DE" w:themeFill="accent4" w:themeFillTint="33"/>
      </w:tcPr>
    </w:tblStylePr>
    <w:tblStylePr w:type="band1Horz">
      <w:tblPr/>
      <w:tcPr>
        <w:shd w:val="clear" w:color="auto" w:fill="D6D6DE" w:themeFill="accent4" w:themeFillTint="33"/>
      </w:tcPr>
    </w:tblStylePr>
    <w:tblStylePr w:type="neCell">
      <w:tblPr/>
      <w:tcPr>
        <w:tcBorders>
          <w:bottom w:val="single" w:sz="4" w:space="0" w:color="84849D" w:themeColor="accent4" w:themeTint="99"/>
        </w:tcBorders>
      </w:tcPr>
    </w:tblStylePr>
    <w:tblStylePr w:type="nwCell">
      <w:tblPr/>
      <w:tcPr>
        <w:tcBorders>
          <w:bottom w:val="single" w:sz="4" w:space="0" w:color="84849D" w:themeColor="accent4" w:themeTint="99"/>
        </w:tcBorders>
      </w:tcPr>
    </w:tblStylePr>
    <w:tblStylePr w:type="seCell">
      <w:tblPr/>
      <w:tcPr>
        <w:tcBorders>
          <w:top w:val="single" w:sz="4" w:space="0" w:color="84849D" w:themeColor="accent4" w:themeTint="99"/>
        </w:tcBorders>
      </w:tcPr>
    </w:tblStylePr>
    <w:tblStylePr w:type="swCell">
      <w:tblPr/>
      <w:tcPr>
        <w:tcBorders>
          <w:top w:val="single" w:sz="4" w:space="0" w:color="84849D" w:themeColor="accent4" w:themeTint="99"/>
        </w:tcBorders>
      </w:tcPr>
    </w:tblStylePr>
  </w:style>
  <w:style w:type="table" w:styleId="GridTable7Colorful-Accent5">
    <w:name w:val="Grid Table 7 Colorful Accent 5"/>
    <w:basedOn w:val="TableNormal"/>
    <w:uiPriority w:val="52"/>
    <w:semiHidden/>
    <w:rsid w:val="00294A5A"/>
    <w:pPr>
      <w:spacing w:after="0" w:line="240" w:lineRule="auto"/>
    </w:pPr>
    <w:rPr>
      <w:color w:val="5F5F68" w:themeColor="accent5" w:themeShade="BF"/>
    </w:r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insideV w:val="single" w:sz="4" w:space="0" w:color="B2B2B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E5E7" w:themeFill="accent5" w:themeFillTint="33"/>
      </w:tcPr>
    </w:tblStylePr>
    <w:tblStylePr w:type="band1Horz">
      <w:tblPr/>
      <w:tcPr>
        <w:shd w:val="clear" w:color="auto" w:fill="E5E5E7" w:themeFill="accent5" w:themeFillTint="33"/>
      </w:tcPr>
    </w:tblStylePr>
    <w:tblStylePr w:type="neCell">
      <w:tblPr/>
      <w:tcPr>
        <w:tcBorders>
          <w:bottom w:val="single" w:sz="4" w:space="0" w:color="B2B2B9" w:themeColor="accent5" w:themeTint="99"/>
        </w:tcBorders>
      </w:tcPr>
    </w:tblStylePr>
    <w:tblStylePr w:type="nwCell">
      <w:tblPr/>
      <w:tcPr>
        <w:tcBorders>
          <w:bottom w:val="single" w:sz="4" w:space="0" w:color="B2B2B9" w:themeColor="accent5" w:themeTint="99"/>
        </w:tcBorders>
      </w:tcPr>
    </w:tblStylePr>
    <w:tblStylePr w:type="seCell">
      <w:tblPr/>
      <w:tcPr>
        <w:tcBorders>
          <w:top w:val="single" w:sz="4" w:space="0" w:color="B2B2B9" w:themeColor="accent5" w:themeTint="99"/>
        </w:tcBorders>
      </w:tcPr>
    </w:tblStylePr>
    <w:tblStylePr w:type="swCell">
      <w:tblPr/>
      <w:tcPr>
        <w:tcBorders>
          <w:top w:val="single" w:sz="4" w:space="0" w:color="B2B2B9" w:themeColor="accent5" w:themeTint="99"/>
        </w:tcBorders>
      </w:tcPr>
    </w:tblStylePr>
  </w:style>
  <w:style w:type="table" w:styleId="GridTable7Colorful-Accent6">
    <w:name w:val="Grid Table 7 Colorful Accent 6"/>
    <w:basedOn w:val="TableNormal"/>
    <w:uiPriority w:val="52"/>
    <w:semiHidden/>
    <w:rsid w:val="00294A5A"/>
    <w:pPr>
      <w:spacing w:after="0" w:line="240" w:lineRule="auto"/>
    </w:pPr>
    <w:rPr>
      <w:color w:val="96969E" w:themeColor="accent6" w:themeShade="BF"/>
    </w:r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insideV w:val="single" w:sz="4" w:space="0" w:color="E0E0E2"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5" w:themeFill="accent6" w:themeFillTint="33"/>
      </w:tcPr>
    </w:tblStylePr>
    <w:tblStylePr w:type="band1Horz">
      <w:tblPr/>
      <w:tcPr>
        <w:shd w:val="clear" w:color="auto" w:fill="F4F4F5" w:themeFill="accent6" w:themeFillTint="33"/>
      </w:tcPr>
    </w:tblStylePr>
    <w:tblStylePr w:type="neCell">
      <w:tblPr/>
      <w:tcPr>
        <w:tcBorders>
          <w:bottom w:val="single" w:sz="4" w:space="0" w:color="E0E0E2" w:themeColor="accent6" w:themeTint="99"/>
        </w:tcBorders>
      </w:tcPr>
    </w:tblStylePr>
    <w:tblStylePr w:type="nwCell">
      <w:tblPr/>
      <w:tcPr>
        <w:tcBorders>
          <w:bottom w:val="single" w:sz="4" w:space="0" w:color="E0E0E2" w:themeColor="accent6" w:themeTint="99"/>
        </w:tcBorders>
      </w:tcPr>
    </w:tblStylePr>
    <w:tblStylePr w:type="seCell">
      <w:tblPr/>
      <w:tcPr>
        <w:tcBorders>
          <w:top w:val="single" w:sz="4" w:space="0" w:color="E0E0E2" w:themeColor="accent6" w:themeTint="99"/>
        </w:tcBorders>
      </w:tcPr>
    </w:tblStylePr>
    <w:tblStylePr w:type="swCell">
      <w:tblPr/>
      <w:tcPr>
        <w:tcBorders>
          <w:top w:val="single" w:sz="4" w:space="0" w:color="E0E0E2" w:themeColor="accent6" w:themeTint="99"/>
        </w:tcBorders>
      </w:tcPr>
    </w:tblStylePr>
  </w:style>
  <w:style w:type="table" w:styleId="LightGrid">
    <w:name w:val="Light Grid"/>
    <w:basedOn w:val="TableNormal"/>
    <w:uiPriority w:val="62"/>
    <w:semiHidden/>
    <w:rsid w:val="00294A5A"/>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294A5A"/>
    <w:pPr>
      <w:spacing w:before="0" w:after="0" w:line="240" w:lineRule="auto"/>
    </w:pPr>
    <w:tblPr>
      <w:tblStyleRowBandSize w:val="1"/>
      <w:tblStyleColBandSize w:val="1"/>
      <w:tblBorders>
        <w:top w:val="single" w:sz="8" w:space="0" w:color="4098A4" w:themeColor="accent1"/>
        <w:left w:val="single" w:sz="8" w:space="0" w:color="4098A4" w:themeColor="accent1"/>
        <w:bottom w:val="single" w:sz="8" w:space="0" w:color="4098A4" w:themeColor="accent1"/>
        <w:right w:val="single" w:sz="8" w:space="0" w:color="4098A4" w:themeColor="accent1"/>
        <w:insideH w:val="single" w:sz="8" w:space="0" w:color="4098A4" w:themeColor="accent1"/>
        <w:insideV w:val="single" w:sz="8" w:space="0" w:color="4098A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098A4" w:themeColor="accent1"/>
          <w:left w:val="single" w:sz="8" w:space="0" w:color="4098A4" w:themeColor="accent1"/>
          <w:bottom w:val="single" w:sz="18" w:space="0" w:color="4098A4" w:themeColor="accent1"/>
          <w:right w:val="single" w:sz="8" w:space="0" w:color="4098A4" w:themeColor="accent1"/>
          <w:insideH w:val="nil"/>
          <w:insideV w:val="single" w:sz="8" w:space="0" w:color="4098A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098A4" w:themeColor="accent1"/>
          <w:left w:val="single" w:sz="8" w:space="0" w:color="4098A4" w:themeColor="accent1"/>
          <w:bottom w:val="single" w:sz="8" w:space="0" w:color="4098A4" w:themeColor="accent1"/>
          <w:right w:val="single" w:sz="8" w:space="0" w:color="4098A4" w:themeColor="accent1"/>
          <w:insideH w:val="nil"/>
          <w:insideV w:val="single" w:sz="8" w:space="0" w:color="4098A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098A4" w:themeColor="accent1"/>
          <w:left w:val="single" w:sz="8" w:space="0" w:color="4098A4" w:themeColor="accent1"/>
          <w:bottom w:val="single" w:sz="8" w:space="0" w:color="4098A4" w:themeColor="accent1"/>
          <w:right w:val="single" w:sz="8" w:space="0" w:color="4098A4" w:themeColor="accent1"/>
        </w:tcBorders>
      </w:tcPr>
    </w:tblStylePr>
    <w:tblStylePr w:type="band1Vert">
      <w:tblPr/>
      <w:tcPr>
        <w:tcBorders>
          <w:top w:val="single" w:sz="8" w:space="0" w:color="4098A4" w:themeColor="accent1"/>
          <w:left w:val="single" w:sz="8" w:space="0" w:color="4098A4" w:themeColor="accent1"/>
          <w:bottom w:val="single" w:sz="8" w:space="0" w:color="4098A4" w:themeColor="accent1"/>
          <w:right w:val="single" w:sz="8" w:space="0" w:color="4098A4" w:themeColor="accent1"/>
        </w:tcBorders>
        <w:shd w:val="clear" w:color="auto" w:fill="CCE7EB" w:themeFill="accent1" w:themeFillTint="3F"/>
      </w:tcPr>
    </w:tblStylePr>
    <w:tblStylePr w:type="band1Horz">
      <w:tblPr/>
      <w:tcPr>
        <w:tcBorders>
          <w:top w:val="single" w:sz="8" w:space="0" w:color="4098A4" w:themeColor="accent1"/>
          <w:left w:val="single" w:sz="8" w:space="0" w:color="4098A4" w:themeColor="accent1"/>
          <w:bottom w:val="single" w:sz="8" w:space="0" w:color="4098A4" w:themeColor="accent1"/>
          <w:right w:val="single" w:sz="8" w:space="0" w:color="4098A4" w:themeColor="accent1"/>
          <w:insideV w:val="single" w:sz="8" w:space="0" w:color="4098A4" w:themeColor="accent1"/>
        </w:tcBorders>
        <w:shd w:val="clear" w:color="auto" w:fill="CCE7EB" w:themeFill="accent1" w:themeFillTint="3F"/>
      </w:tcPr>
    </w:tblStylePr>
    <w:tblStylePr w:type="band2Horz">
      <w:tblPr/>
      <w:tcPr>
        <w:tcBorders>
          <w:top w:val="single" w:sz="8" w:space="0" w:color="4098A4" w:themeColor="accent1"/>
          <w:left w:val="single" w:sz="8" w:space="0" w:color="4098A4" w:themeColor="accent1"/>
          <w:bottom w:val="single" w:sz="8" w:space="0" w:color="4098A4" w:themeColor="accent1"/>
          <w:right w:val="single" w:sz="8" w:space="0" w:color="4098A4" w:themeColor="accent1"/>
          <w:insideV w:val="single" w:sz="8" w:space="0" w:color="4098A4" w:themeColor="accent1"/>
        </w:tcBorders>
      </w:tcPr>
    </w:tblStylePr>
  </w:style>
  <w:style w:type="table" w:styleId="LightGrid-Accent2">
    <w:name w:val="Light Grid Accent 2"/>
    <w:basedOn w:val="TableNormal"/>
    <w:uiPriority w:val="62"/>
    <w:semiHidden/>
    <w:rsid w:val="00294A5A"/>
    <w:pPr>
      <w:spacing w:before="0" w:after="0" w:line="240" w:lineRule="auto"/>
    </w:pPr>
    <w:tblPr>
      <w:tblStyleRowBandSize w:val="1"/>
      <w:tblStyleColBandSize w:val="1"/>
      <w:tblBorders>
        <w:top w:val="single" w:sz="8" w:space="0" w:color="80BAC3" w:themeColor="accent2"/>
        <w:left w:val="single" w:sz="8" w:space="0" w:color="80BAC3" w:themeColor="accent2"/>
        <w:bottom w:val="single" w:sz="8" w:space="0" w:color="80BAC3" w:themeColor="accent2"/>
        <w:right w:val="single" w:sz="8" w:space="0" w:color="80BAC3" w:themeColor="accent2"/>
        <w:insideH w:val="single" w:sz="8" w:space="0" w:color="80BAC3" w:themeColor="accent2"/>
        <w:insideV w:val="single" w:sz="8" w:space="0" w:color="80BAC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BAC3" w:themeColor="accent2"/>
          <w:left w:val="single" w:sz="8" w:space="0" w:color="80BAC3" w:themeColor="accent2"/>
          <w:bottom w:val="single" w:sz="18" w:space="0" w:color="80BAC3" w:themeColor="accent2"/>
          <w:right w:val="single" w:sz="8" w:space="0" w:color="80BAC3" w:themeColor="accent2"/>
          <w:insideH w:val="nil"/>
          <w:insideV w:val="single" w:sz="8" w:space="0" w:color="80BAC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BAC3" w:themeColor="accent2"/>
          <w:left w:val="single" w:sz="8" w:space="0" w:color="80BAC3" w:themeColor="accent2"/>
          <w:bottom w:val="single" w:sz="8" w:space="0" w:color="80BAC3" w:themeColor="accent2"/>
          <w:right w:val="single" w:sz="8" w:space="0" w:color="80BAC3" w:themeColor="accent2"/>
          <w:insideH w:val="nil"/>
          <w:insideV w:val="single" w:sz="8" w:space="0" w:color="80BAC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BAC3" w:themeColor="accent2"/>
          <w:left w:val="single" w:sz="8" w:space="0" w:color="80BAC3" w:themeColor="accent2"/>
          <w:bottom w:val="single" w:sz="8" w:space="0" w:color="80BAC3" w:themeColor="accent2"/>
          <w:right w:val="single" w:sz="8" w:space="0" w:color="80BAC3" w:themeColor="accent2"/>
        </w:tcBorders>
      </w:tcPr>
    </w:tblStylePr>
    <w:tblStylePr w:type="band1Vert">
      <w:tblPr/>
      <w:tcPr>
        <w:tcBorders>
          <w:top w:val="single" w:sz="8" w:space="0" w:color="80BAC3" w:themeColor="accent2"/>
          <w:left w:val="single" w:sz="8" w:space="0" w:color="80BAC3" w:themeColor="accent2"/>
          <w:bottom w:val="single" w:sz="8" w:space="0" w:color="80BAC3" w:themeColor="accent2"/>
          <w:right w:val="single" w:sz="8" w:space="0" w:color="80BAC3" w:themeColor="accent2"/>
        </w:tcBorders>
        <w:shd w:val="clear" w:color="auto" w:fill="DFEDF0" w:themeFill="accent2" w:themeFillTint="3F"/>
      </w:tcPr>
    </w:tblStylePr>
    <w:tblStylePr w:type="band1Horz">
      <w:tblPr/>
      <w:tcPr>
        <w:tcBorders>
          <w:top w:val="single" w:sz="8" w:space="0" w:color="80BAC3" w:themeColor="accent2"/>
          <w:left w:val="single" w:sz="8" w:space="0" w:color="80BAC3" w:themeColor="accent2"/>
          <w:bottom w:val="single" w:sz="8" w:space="0" w:color="80BAC3" w:themeColor="accent2"/>
          <w:right w:val="single" w:sz="8" w:space="0" w:color="80BAC3" w:themeColor="accent2"/>
          <w:insideV w:val="single" w:sz="8" w:space="0" w:color="80BAC3" w:themeColor="accent2"/>
        </w:tcBorders>
        <w:shd w:val="clear" w:color="auto" w:fill="DFEDF0" w:themeFill="accent2" w:themeFillTint="3F"/>
      </w:tcPr>
    </w:tblStylePr>
    <w:tblStylePr w:type="band2Horz">
      <w:tblPr/>
      <w:tcPr>
        <w:tcBorders>
          <w:top w:val="single" w:sz="8" w:space="0" w:color="80BAC3" w:themeColor="accent2"/>
          <w:left w:val="single" w:sz="8" w:space="0" w:color="80BAC3" w:themeColor="accent2"/>
          <w:bottom w:val="single" w:sz="8" w:space="0" w:color="80BAC3" w:themeColor="accent2"/>
          <w:right w:val="single" w:sz="8" w:space="0" w:color="80BAC3" w:themeColor="accent2"/>
          <w:insideV w:val="single" w:sz="8" w:space="0" w:color="80BAC3" w:themeColor="accent2"/>
        </w:tcBorders>
      </w:tcPr>
    </w:tblStylePr>
  </w:style>
  <w:style w:type="table" w:styleId="LightGrid-Accent3">
    <w:name w:val="Light Grid Accent 3"/>
    <w:basedOn w:val="TableNormal"/>
    <w:uiPriority w:val="62"/>
    <w:semiHidden/>
    <w:rsid w:val="00294A5A"/>
    <w:pPr>
      <w:spacing w:before="0" w:after="0" w:line="240" w:lineRule="auto"/>
    </w:pPr>
    <w:tblPr>
      <w:tblStyleRowBandSize w:val="1"/>
      <w:tblStyleColBandSize w:val="1"/>
      <w:tblBorders>
        <w:top w:val="single" w:sz="8" w:space="0" w:color="BFDDE1" w:themeColor="accent3"/>
        <w:left w:val="single" w:sz="8" w:space="0" w:color="BFDDE1" w:themeColor="accent3"/>
        <w:bottom w:val="single" w:sz="8" w:space="0" w:color="BFDDE1" w:themeColor="accent3"/>
        <w:right w:val="single" w:sz="8" w:space="0" w:color="BFDDE1" w:themeColor="accent3"/>
        <w:insideH w:val="single" w:sz="8" w:space="0" w:color="BFDDE1" w:themeColor="accent3"/>
        <w:insideV w:val="single" w:sz="8" w:space="0" w:color="BFDDE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FDDE1" w:themeColor="accent3"/>
          <w:left w:val="single" w:sz="8" w:space="0" w:color="BFDDE1" w:themeColor="accent3"/>
          <w:bottom w:val="single" w:sz="18" w:space="0" w:color="BFDDE1" w:themeColor="accent3"/>
          <w:right w:val="single" w:sz="8" w:space="0" w:color="BFDDE1" w:themeColor="accent3"/>
          <w:insideH w:val="nil"/>
          <w:insideV w:val="single" w:sz="8" w:space="0" w:color="BFDDE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FDDE1" w:themeColor="accent3"/>
          <w:left w:val="single" w:sz="8" w:space="0" w:color="BFDDE1" w:themeColor="accent3"/>
          <w:bottom w:val="single" w:sz="8" w:space="0" w:color="BFDDE1" w:themeColor="accent3"/>
          <w:right w:val="single" w:sz="8" w:space="0" w:color="BFDDE1" w:themeColor="accent3"/>
          <w:insideH w:val="nil"/>
          <w:insideV w:val="single" w:sz="8" w:space="0" w:color="BFDDE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FDDE1" w:themeColor="accent3"/>
          <w:left w:val="single" w:sz="8" w:space="0" w:color="BFDDE1" w:themeColor="accent3"/>
          <w:bottom w:val="single" w:sz="8" w:space="0" w:color="BFDDE1" w:themeColor="accent3"/>
          <w:right w:val="single" w:sz="8" w:space="0" w:color="BFDDE1" w:themeColor="accent3"/>
        </w:tcBorders>
      </w:tcPr>
    </w:tblStylePr>
    <w:tblStylePr w:type="band1Vert">
      <w:tblPr/>
      <w:tcPr>
        <w:tcBorders>
          <w:top w:val="single" w:sz="8" w:space="0" w:color="BFDDE1" w:themeColor="accent3"/>
          <w:left w:val="single" w:sz="8" w:space="0" w:color="BFDDE1" w:themeColor="accent3"/>
          <w:bottom w:val="single" w:sz="8" w:space="0" w:color="BFDDE1" w:themeColor="accent3"/>
          <w:right w:val="single" w:sz="8" w:space="0" w:color="BFDDE1" w:themeColor="accent3"/>
        </w:tcBorders>
        <w:shd w:val="clear" w:color="auto" w:fill="EFF6F7" w:themeFill="accent3" w:themeFillTint="3F"/>
      </w:tcPr>
    </w:tblStylePr>
    <w:tblStylePr w:type="band1Horz">
      <w:tblPr/>
      <w:tcPr>
        <w:tcBorders>
          <w:top w:val="single" w:sz="8" w:space="0" w:color="BFDDE1" w:themeColor="accent3"/>
          <w:left w:val="single" w:sz="8" w:space="0" w:color="BFDDE1" w:themeColor="accent3"/>
          <w:bottom w:val="single" w:sz="8" w:space="0" w:color="BFDDE1" w:themeColor="accent3"/>
          <w:right w:val="single" w:sz="8" w:space="0" w:color="BFDDE1" w:themeColor="accent3"/>
          <w:insideV w:val="single" w:sz="8" w:space="0" w:color="BFDDE1" w:themeColor="accent3"/>
        </w:tcBorders>
        <w:shd w:val="clear" w:color="auto" w:fill="EFF6F7" w:themeFill="accent3" w:themeFillTint="3F"/>
      </w:tcPr>
    </w:tblStylePr>
    <w:tblStylePr w:type="band2Horz">
      <w:tblPr/>
      <w:tcPr>
        <w:tcBorders>
          <w:top w:val="single" w:sz="8" w:space="0" w:color="BFDDE1" w:themeColor="accent3"/>
          <w:left w:val="single" w:sz="8" w:space="0" w:color="BFDDE1" w:themeColor="accent3"/>
          <w:bottom w:val="single" w:sz="8" w:space="0" w:color="BFDDE1" w:themeColor="accent3"/>
          <w:right w:val="single" w:sz="8" w:space="0" w:color="BFDDE1" w:themeColor="accent3"/>
          <w:insideV w:val="single" w:sz="8" w:space="0" w:color="BFDDE1" w:themeColor="accent3"/>
        </w:tcBorders>
      </w:tcPr>
    </w:tblStylePr>
  </w:style>
  <w:style w:type="table" w:styleId="LightGrid-Accent4">
    <w:name w:val="Light Grid Accent 4"/>
    <w:basedOn w:val="TableNormal"/>
    <w:uiPriority w:val="62"/>
    <w:semiHidden/>
    <w:rsid w:val="00294A5A"/>
    <w:pPr>
      <w:spacing w:before="0" w:after="0" w:line="240" w:lineRule="auto"/>
    </w:pPr>
    <w:tblPr>
      <w:tblStyleRowBandSize w:val="1"/>
      <w:tblStyleColBandSize w:val="1"/>
      <w:tblBorders>
        <w:top w:val="single" w:sz="8" w:space="0" w:color="404050" w:themeColor="accent4"/>
        <w:left w:val="single" w:sz="8" w:space="0" w:color="404050" w:themeColor="accent4"/>
        <w:bottom w:val="single" w:sz="8" w:space="0" w:color="404050" w:themeColor="accent4"/>
        <w:right w:val="single" w:sz="8" w:space="0" w:color="404050" w:themeColor="accent4"/>
        <w:insideH w:val="single" w:sz="8" w:space="0" w:color="404050" w:themeColor="accent4"/>
        <w:insideV w:val="single" w:sz="8" w:space="0" w:color="40405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04050" w:themeColor="accent4"/>
          <w:left w:val="single" w:sz="8" w:space="0" w:color="404050" w:themeColor="accent4"/>
          <w:bottom w:val="single" w:sz="18" w:space="0" w:color="404050" w:themeColor="accent4"/>
          <w:right w:val="single" w:sz="8" w:space="0" w:color="404050" w:themeColor="accent4"/>
          <w:insideH w:val="nil"/>
          <w:insideV w:val="single" w:sz="8" w:space="0" w:color="40405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04050" w:themeColor="accent4"/>
          <w:left w:val="single" w:sz="8" w:space="0" w:color="404050" w:themeColor="accent4"/>
          <w:bottom w:val="single" w:sz="8" w:space="0" w:color="404050" w:themeColor="accent4"/>
          <w:right w:val="single" w:sz="8" w:space="0" w:color="404050" w:themeColor="accent4"/>
          <w:insideH w:val="nil"/>
          <w:insideV w:val="single" w:sz="8" w:space="0" w:color="40405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04050" w:themeColor="accent4"/>
          <w:left w:val="single" w:sz="8" w:space="0" w:color="404050" w:themeColor="accent4"/>
          <w:bottom w:val="single" w:sz="8" w:space="0" w:color="404050" w:themeColor="accent4"/>
          <w:right w:val="single" w:sz="8" w:space="0" w:color="404050" w:themeColor="accent4"/>
        </w:tcBorders>
      </w:tcPr>
    </w:tblStylePr>
    <w:tblStylePr w:type="band1Vert">
      <w:tblPr/>
      <w:tcPr>
        <w:tcBorders>
          <w:top w:val="single" w:sz="8" w:space="0" w:color="404050" w:themeColor="accent4"/>
          <w:left w:val="single" w:sz="8" w:space="0" w:color="404050" w:themeColor="accent4"/>
          <w:bottom w:val="single" w:sz="8" w:space="0" w:color="404050" w:themeColor="accent4"/>
          <w:right w:val="single" w:sz="8" w:space="0" w:color="404050" w:themeColor="accent4"/>
        </w:tcBorders>
        <w:shd w:val="clear" w:color="auto" w:fill="CCCCD6" w:themeFill="accent4" w:themeFillTint="3F"/>
      </w:tcPr>
    </w:tblStylePr>
    <w:tblStylePr w:type="band1Horz">
      <w:tblPr/>
      <w:tcPr>
        <w:tcBorders>
          <w:top w:val="single" w:sz="8" w:space="0" w:color="404050" w:themeColor="accent4"/>
          <w:left w:val="single" w:sz="8" w:space="0" w:color="404050" w:themeColor="accent4"/>
          <w:bottom w:val="single" w:sz="8" w:space="0" w:color="404050" w:themeColor="accent4"/>
          <w:right w:val="single" w:sz="8" w:space="0" w:color="404050" w:themeColor="accent4"/>
          <w:insideV w:val="single" w:sz="8" w:space="0" w:color="404050" w:themeColor="accent4"/>
        </w:tcBorders>
        <w:shd w:val="clear" w:color="auto" w:fill="CCCCD6" w:themeFill="accent4" w:themeFillTint="3F"/>
      </w:tcPr>
    </w:tblStylePr>
    <w:tblStylePr w:type="band2Horz">
      <w:tblPr/>
      <w:tcPr>
        <w:tcBorders>
          <w:top w:val="single" w:sz="8" w:space="0" w:color="404050" w:themeColor="accent4"/>
          <w:left w:val="single" w:sz="8" w:space="0" w:color="404050" w:themeColor="accent4"/>
          <w:bottom w:val="single" w:sz="8" w:space="0" w:color="404050" w:themeColor="accent4"/>
          <w:right w:val="single" w:sz="8" w:space="0" w:color="404050" w:themeColor="accent4"/>
          <w:insideV w:val="single" w:sz="8" w:space="0" w:color="404050" w:themeColor="accent4"/>
        </w:tcBorders>
      </w:tcPr>
    </w:tblStylePr>
  </w:style>
  <w:style w:type="table" w:styleId="LightGrid-Accent5">
    <w:name w:val="Light Grid Accent 5"/>
    <w:basedOn w:val="TableNormal"/>
    <w:uiPriority w:val="62"/>
    <w:semiHidden/>
    <w:rsid w:val="00294A5A"/>
    <w:pPr>
      <w:spacing w:before="0" w:after="0" w:line="240" w:lineRule="auto"/>
    </w:pPr>
    <w:tblPr>
      <w:tblStyleRowBandSize w:val="1"/>
      <w:tblStyleColBandSize w:val="1"/>
      <w:tblBorders>
        <w:top w:val="single" w:sz="8" w:space="0" w:color="80808B" w:themeColor="accent5"/>
        <w:left w:val="single" w:sz="8" w:space="0" w:color="80808B" w:themeColor="accent5"/>
        <w:bottom w:val="single" w:sz="8" w:space="0" w:color="80808B" w:themeColor="accent5"/>
        <w:right w:val="single" w:sz="8" w:space="0" w:color="80808B" w:themeColor="accent5"/>
        <w:insideH w:val="single" w:sz="8" w:space="0" w:color="80808B" w:themeColor="accent5"/>
        <w:insideV w:val="single" w:sz="8" w:space="0" w:color="80808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808B" w:themeColor="accent5"/>
          <w:left w:val="single" w:sz="8" w:space="0" w:color="80808B" w:themeColor="accent5"/>
          <w:bottom w:val="single" w:sz="18" w:space="0" w:color="80808B" w:themeColor="accent5"/>
          <w:right w:val="single" w:sz="8" w:space="0" w:color="80808B" w:themeColor="accent5"/>
          <w:insideH w:val="nil"/>
          <w:insideV w:val="single" w:sz="8" w:space="0" w:color="80808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808B" w:themeColor="accent5"/>
          <w:left w:val="single" w:sz="8" w:space="0" w:color="80808B" w:themeColor="accent5"/>
          <w:bottom w:val="single" w:sz="8" w:space="0" w:color="80808B" w:themeColor="accent5"/>
          <w:right w:val="single" w:sz="8" w:space="0" w:color="80808B" w:themeColor="accent5"/>
          <w:insideH w:val="nil"/>
          <w:insideV w:val="single" w:sz="8" w:space="0" w:color="80808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808B" w:themeColor="accent5"/>
          <w:left w:val="single" w:sz="8" w:space="0" w:color="80808B" w:themeColor="accent5"/>
          <w:bottom w:val="single" w:sz="8" w:space="0" w:color="80808B" w:themeColor="accent5"/>
          <w:right w:val="single" w:sz="8" w:space="0" w:color="80808B" w:themeColor="accent5"/>
        </w:tcBorders>
      </w:tcPr>
    </w:tblStylePr>
    <w:tblStylePr w:type="band1Vert">
      <w:tblPr/>
      <w:tcPr>
        <w:tcBorders>
          <w:top w:val="single" w:sz="8" w:space="0" w:color="80808B" w:themeColor="accent5"/>
          <w:left w:val="single" w:sz="8" w:space="0" w:color="80808B" w:themeColor="accent5"/>
          <w:bottom w:val="single" w:sz="8" w:space="0" w:color="80808B" w:themeColor="accent5"/>
          <w:right w:val="single" w:sz="8" w:space="0" w:color="80808B" w:themeColor="accent5"/>
        </w:tcBorders>
        <w:shd w:val="clear" w:color="auto" w:fill="DFDFE2" w:themeFill="accent5" w:themeFillTint="3F"/>
      </w:tcPr>
    </w:tblStylePr>
    <w:tblStylePr w:type="band1Horz">
      <w:tblPr/>
      <w:tcPr>
        <w:tcBorders>
          <w:top w:val="single" w:sz="8" w:space="0" w:color="80808B" w:themeColor="accent5"/>
          <w:left w:val="single" w:sz="8" w:space="0" w:color="80808B" w:themeColor="accent5"/>
          <w:bottom w:val="single" w:sz="8" w:space="0" w:color="80808B" w:themeColor="accent5"/>
          <w:right w:val="single" w:sz="8" w:space="0" w:color="80808B" w:themeColor="accent5"/>
          <w:insideV w:val="single" w:sz="8" w:space="0" w:color="80808B" w:themeColor="accent5"/>
        </w:tcBorders>
        <w:shd w:val="clear" w:color="auto" w:fill="DFDFE2" w:themeFill="accent5" w:themeFillTint="3F"/>
      </w:tcPr>
    </w:tblStylePr>
    <w:tblStylePr w:type="band2Horz">
      <w:tblPr/>
      <w:tcPr>
        <w:tcBorders>
          <w:top w:val="single" w:sz="8" w:space="0" w:color="80808B" w:themeColor="accent5"/>
          <w:left w:val="single" w:sz="8" w:space="0" w:color="80808B" w:themeColor="accent5"/>
          <w:bottom w:val="single" w:sz="8" w:space="0" w:color="80808B" w:themeColor="accent5"/>
          <w:right w:val="single" w:sz="8" w:space="0" w:color="80808B" w:themeColor="accent5"/>
          <w:insideV w:val="single" w:sz="8" w:space="0" w:color="80808B" w:themeColor="accent5"/>
        </w:tcBorders>
      </w:tcPr>
    </w:tblStylePr>
  </w:style>
  <w:style w:type="table" w:styleId="LightGrid-Accent6">
    <w:name w:val="Light Grid Accent 6"/>
    <w:basedOn w:val="TableNormal"/>
    <w:uiPriority w:val="62"/>
    <w:semiHidden/>
    <w:rsid w:val="00294A5A"/>
    <w:pPr>
      <w:spacing w:before="0" w:after="0" w:line="240" w:lineRule="auto"/>
    </w:pPr>
    <w:tblPr>
      <w:tblStyleRowBandSize w:val="1"/>
      <w:tblStyleColBandSize w:val="1"/>
      <w:tblBorders>
        <w:top w:val="single" w:sz="8" w:space="0" w:color="CCCCD0" w:themeColor="accent6"/>
        <w:left w:val="single" w:sz="8" w:space="0" w:color="CCCCD0" w:themeColor="accent6"/>
        <w:bottom w:val="single" w:sz="8" w:space="0" w:color="CCCCD0" w:themeColor="accent6"/>
        <w:right w:val="single" w:sz="8" w:space="0" w:color="CCCCD0" w:themeColor="accent6"/>
        <w:insideH w:val="single" w:sz="8" w:space="0" w:color="CCCCD0" w:themeColor="accent6"/>
        <w:insideV w:val="single" w:sz="8" w:space="0" w:color="CCCCD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CCCD0" w:themeColor="accent6"/>
          <w:left w:val="single" w:sz="8" w:space="0" w:color="CCCCD0" w:themeColor="accent6"/>
          <w:bottom w:val="single" w:sz="18" w:space="0" w:color="CCCCD0" w:themeColor="accent6"/>
          <w:right w:val="single" w:sz="8" w:space="0" w:color="CCCCD0" w:themeColor="accent6"/>
          <w:insideH w:val="nil"/>
          <w:insideV w:val="single" w:sz="8" w:space="0" w:color="CCCCD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CCCD0" w:themeColor="accent6"/>
          <w:left w:val="single" w:sz="8" w:space="0" w:color="CCCCD0" w:themeColor="accent6"/>
          <w:bottom w:val="single" w:sz="8" w:space="0" w:color="CCCCD0" w:themeColor="accent6"/>
          <w:right w:val="single" w:sz="8" w:space="0" w:color="CCCCD0" w:themeColor="accent6"/>
          <w:insideH w:val="nil"/>
          <w:insideV w:val="single" w:sz="8" w:space="0" w:color="CCCCD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CCCD0" w:themeColor="accent6"/>
          <w:left w:val="single" w:sz="8" w:space="0" w:color="CCCCD0" w:themeColor="accent6"/>
          <w:bottom w:val="single" w:sz="8" w:space="0" w:color="CCCCD0" w:themeColor="accent6"/>
          <w:right w:val="single" w:sz="8" w:space="0" w:color="CCCCD0" w:themeColor="accent6"/>
        </w:tcBorders>
      </w:tcPr>
    </w:tblStylePr>
    <w:tblStylePr w:type="band1Vert">
      <w:tblPr/>
      <w:tcPr>
        <w:tcBorders>
          <w:top w:val="single" w:sz="8" w:space="0" w:color="CCCCD0" w:themeColor="accent6"/>
          <w:left w:val="single" w:sz="8" w:space="0" w:color="CCCCD0" w:themeColor="accent6"/>
          <w:bottom w:val="single" w:sz="8" w:space="0" w:color="CCCCD0" w:themeColor="accent6"/>
          <w:right w:val="single" w:sz="8" w:space="0" w:color="CCCCD0" w:themeColor="accent6"/>
        </w:tcBorders>
        <w:shd w:val="clear" w:color="auto" w:fill="F2F2F3" w:themeFill="accent6" w:themeFillTint="3F"/>
      </w:tcPr>
    </w:tblStylePr>
    <w:tblStylePr w:type="band1Horz">
      <w:tblPr/>
      <w:tcPr>
        <w:tcBorders>
          <w:top w:val="single" w:sz="8" w:space="0" w:color="CCCCD0" w:themeColor="accent6"/>
          <w:left w:val="single" w:sz="8" w:space="0" w:color="CCCCD0" w:themeColor="accent6"/>
          <w:bottom w:val="single" w:sz="8" w:space="0" w:color="CCCCD0" w:themeColor="accent6"/>
          <w:right w:val="single" w:sz="8" w:space="0" w:color="CCCCD0" w:themeColor="accent6"/>
          <w:insideV w:val="single" w:sz="8" w:space="0" w:color="CCCCD0" w:themeColor="accent6"/>
        </w:tcBorders>
        <w:shd w:val="clear" w:color="auto" w:fill="F2F2F3" w:themeFill="accent6" w:themeFillTint="3F"/>
      </w:tcPr>
    </w:tblStylePr>
    <w:tblStylePr w:type="band2Horz">
      <w:tblPr/>
      <w:tcPr>
        <w:tcBorders>
          <w:top w:val="single" w:sz="8" w:space="0" w:color="CCCCD0" w:themeColor="accent6"/>
          <w:left w:val="single" w:sz="8" w:space="0" w:color="CCCCD0" w:themeColor="accent6"/>
          <w:bottom w:val="single" w:sz="8" w:space="0" w:color="CCCCD0" w:themeColor="accent6"/>
          <w:right w:val="single" w:sz="8" w:space="0" w:color="CCCCD0" w:themeColor="accent6"/>
          <w:insideV w:val="single" w:sz="8" w:space="0" w:color="CCCCD0" w:themeColor="accent6"/>
        </w:tcBorders>
      </w:tcPr>
    </w:tblStylePr>
  </w:style>
  <w:style w:type="table" w:styleId="LightList">
    <w:name w:val="Light List"/>
    <w:basedOn w:val="TableNormal"/>
    <w:uiPriority w:val="61"/>
    <w:semiHidden/>
    <w:rsid w:val="00294A5A"/>
    <w:pPr>
      <w:spacing w:before="0"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2">
    <w:name w:val="Light List Accent 2"/>
    <w:basedOn w:val="TableNormal"/>
    <w:uiPriority w:val="61"/>
    <w:semiHidden/>
    <w:rsid w:val="00294A5A"/>
    <w:pPr>
      <w:spacing w:before="0" w:after="0" w:line="240" w:lineRule="auto"/>
    </w:pPr>
    <w:tblPr>
      <w:tblStyleRowBandSize w:val="1"/>
      <w:tblStyleColBandSize w:val="1"/>
      <w:tblBorders>
        <w:top w:val="single" w:sz="8" w:space="0" w:color="80BAC3" w:themeColor="accent2"/>
        <w:left w:val="single" w:sz="8" w:space="0" w:color="80BAC3" w:themeColor="accent2"/>
        <w:bottom w:val="single" w:sz="8" w:space="0" w:color="80BAC3" w:themeColor="accent2"/>
        <w:right w:val="single" w:sz="8" w:space="0" w:color="80BAC3" w:themeColor="accent2"/>
      </w:tblBorders>
    </w:tblPr>
    <w:tblStylePr w:type="firstRow">
      <w:pPr>
        <w:spacing w:before="0" w:after="0" w:line="240" w:lineRule="auto"/>
      </w:pPr>
      <w:rPr>
        <w:b/>
        <w:bCs/>
        <w:color w:val="FFFFFF" w:themeColor="background1"/>
      </w:rPr>
      <w:tblPr/>
      <w:tcPr>
        <w:shd w:val="clear" w:color="auto" w:fill="80BAC3" w:themeFill="accent2"/>
      </w:tcPr>
    </w:tblStylePr>
    <w:tblStylePr w:type="lastRow">
      <w:pPr>
        <w:spacing w:before="0" w:after="0" w:line="240" w:lineRule="auto"/>
      </w:pPr>
      <w:rPr>
        <w:b/>
        <w:bCs/>
      </w:rPr>
      <w:tblPr/>
      <w:tcPr>
        <w:tcBorders>
          <w:top w:val="double" w:sz="6" w:space="0" w:color="80BAC3" w:themeColor="accent2"/>
          <w:left w:val="single" w:sz="8" w:space="0" w:color="80BAC3" w:themeColor="accent2"/>
          <w:bottom w:val="single" w:sz="8" w:space="0" w:color="80BAC3" w:themeColor="accent2"/>
          <w:right w:val="single" w:sz="8" w:space="0" w:color="80BAC3" w:themeColor="accent2"/>
        </w:tcBorders>
      </w:tcPr>
    </w:tblStylePr>
    <w:tblStylePr w:type="firstCol">
      <w:rPr>
        <w:b/>
        <w:bCs/>
      </w:rPr>
    </w:tblStylePr>
    <w:tblStylePr w:type="lastCol">
      <w:rPr>
        <w:b/>
        <w:bCs/>
      </w:rPr>
    </w:tblStylePr>
    <w:tblStylePr w:type="band1Vert">
      <w:tblPr/>
      <w:tcPr>
        <w:tcBorders>
          <w:top w:val="single" w:sz="8" w:space="0" w:color="80BAC3" w:themeColor="accent2"/>
          <w:left w:val="single" w:sz="8" w:space="0" w:color="80BAC3" w:themeColor="accent2"/>
          <w:bottom w:val="single" w:sz="8" w:space="0" w:color="80BAC3" w:themeColor="accent2"/>
          <w:right w:val="single" w:sz="8" w:space="0" w:color="80BAC3" w:themeColor="accent2"/>
        </w:tcBorders>
      </w:tcPr>
    </w:tblStylePr>
    <w:tblStylePr w:type="band1Horz">
      <w:tblPr/>
      <w:tcPr>
        <w:tcBorders>
          <w:top w:val="single" w:sz="8" w:space="0" w:color="80BAC3" w:themeColor="accent2"/>
          <w:left w:val="single" w:sz="8" w:space="0" w:color="80BAC3" w:themeColor="accent2"/>
          <w:bottom w:val="single" w:sz="8" w:space="0" w:color="80BAC3" w:themeColor="accent2"/>
          <w:right w:val="single" w:sz="8" w:space="0" w:color="80BAC3" w:themeColor="accent2"/>
        </w:tcBorders>
      </w:tcPr>
    </w:tblStylePr>
  </w:style>
  <w:style w:type="table" w:styleId="LightList-Accent3">
    <w:name w:val="Light List Accent 3"/>
    <w:basedOn w:val="TableNormal"/>
    <w:uiPriority w:val="61"/>
    <w:semiHidden/>
    <w:rsid w:val="00294A5A"/>
    <w:pPr>
      <w:spacing w:before="0" w:after="0" w:line="240" w:lineRule="auto"/>
    </w:pPr>
    <w:tblPr>
      <w:tblStyleRowBandSize w:val="1"/>
      <w:tblStyleColBandSize w:val="1"/>
      <w:tblBorders>
        <w:top w:val="single" w:sz="8" w:space="0" w:color="BFDDE1" w:themeColor="accent3"/>
        <w:left w:val="single" w:sz="8" w:space="0" w:color="BFDDE1" w:themeColor="accent3"/>
        <w:bottom w:val="single" w:sz="8" w:space="0" w:color="BFDDE1" w:themeColor="accent3"/>
        <w:right w:val="single" w:sz="8" w:space="0" w:color="BFDDE1" w:themeColor="accent3"/>
      </w:tblBorders>
    </w:tblPr>
    <w:tblStylePr w:type="firstRow">
      <w:pPr>
        <w:spacing w:before="0" w:after="0" w:line="240" w:lineRule="auto"/>
      </w:pPr>
      <w:rPr>
        <w:b/>
        <w:bCs/>
        <w:color w:val="FFFFFF" w:themeColor="background1"/>
      </w:rPr>
      <w:tblPr/>
      <w:tcPr>
        <w:shd w:val="clear" w:color="auto" w:fill="BFDDE1" w:themeFill="accent3"/>
      </w:tcPr>
    </w:tblStylePr>
    <w:tblStylePr w:type="lastRow">
      <w:pPr>
        <w:spacing w:before="0" w:after="0" w:line="240" w:lineRule="auto"/>
      </w:pPr>
      <w:rPr>
        <w:b/>
        <w:bCs/>
      </w:rPr>
      <w:tblPr/>
      <w:tcPr>
        <w:tcBorders>
          <w:top w:val="double" w:sz="6" w:space="0" w:color="BFDDE1" w:themeColor="accent3"/>
          <w:left w:val="single" w:sz="8" w:space="0" w:color="BFDDE1" w:themeColor="accent3"/>
          <w:bottom w:val="single" w:sz="8" w:space="0" w:color="BFDDE1" w:themeColor="accent3"/>
          <w:right w:val="single" w:sz="8" w:space="0" w:color="BFDDE1" w:themeColor="accent3"/>
        </w:tcBorders>
      </w:tcPr>
    </w:tblStylePr>
    <w:tblStylePr w:type="firstCol">
      <w:rPr>
        <w:b/>
        <w:bCs/>
      </w:rPr>
    </w:tblStylePr>
    <w:tblStylePr w:type="lastCol">
      <w:rPr>
        <w:b/>
        <w:bCs/>
      </w:rPr>
    </w:tblStylePr>
    <w:tblStylePr w:type="band1Vert">
      <w:tblPr/>
      <w:tcPr>
        <w:tcBorders>
          <w:top w:val="single" w:sz="8" w:space="0" w:color="BFDDE1" w:themeColor="accent3"/>
          <w:left w:val="single" w:sz="8" w:space="0" w:color="BFDDE1" w:themeColor="accent3"/>
          <w:bottom w:val="single" w:sz="8" w:space="0" w:color="BFDDE1" w:themeColor="accent3"/>
          <w:right w:val="single" w:sz="8" w:space="0" w:color="BFDDE1" w:themeColor="accent3"/>
        </w:tcBorders>
      </w:tcPr>
    </w:tblStylePr>
    <w:tblStylePr w:type="band1Horz">
      <w:tblPr/>
      <w:tcPr>
        <w:tcBorders>
          <w:top w:val="single" w:sz="8" w:space="0" w:color="BFDDE1" w:themeColor="accent3"/>
          <w:left w:val="single" w:sz="8" w:space="0" w:color="BFDDE1" w:themeColor="accent3"/>
          <w:bottom w:val="single" w:sz="8" w:space="0" w:color="BFDDE1" w:themeColor="accent3"/>
          <w:right w:val="single" w:sz="8" w:space="0" w:color="BFDDE1" w:themeColor="accent3"/>
        </w:tcBorders>
      </w:tcPr>
    </w:tblStylePr>
  </w:style>
  <w:style w:type="table" w:styleId="LightList-Accent5">
    <w:name w:val="Light List Accent 5"/>
    <w:basedOn w:val="TableNormal"/>
    <w:uiPriority w:val="61"/>
    <w:semiHidden/>
    <w:rsid w:val="00294A5A"/>
    <w:pPr>
      <w:spacing w:before="0" w:after="0" w:line="240" w:lineRule="auto"/>
    </w:pPr>
    <w:tblPr>
      <w:tblStyleRowBandSize w:val="1"/>
      <w:tblStyleColBandSize w:val="1"/>
      <w:tblBorders>
        <w:top w:val="single" w:sz="8" w:space="0" w:color="80808B" w:themeColor="accent5"/>
        <w:left w:val="single" w:sz="8" w:space="0" w:color="80808B" w:themeColor="accent5"/>
        <w:bottom w:val="single" w:sz="8" w:space="0" w:color="80808B" w:themeColor="accent5"/>
        <w:right w:val="single" w:sz="8" w:space="0" w:color="80808B" w:themeColor="accent5"/>
      </w:tblBorders>
    </w:tblPr>
    <w:tblStylePr w:type="firstRow">
      <w:pPr>
        <w:spacing w:before="0" w:after="0" w:line="240" w:lineRule="auto"/>
      </w:pPr>
      <w:rPr>
        <w:b/>
        <w:bCs/>
        <w:color w:val="FFFFFF" w:themeColor="background1"/>
      </w:rPr>
      <w:tblPr/>
      <w:tcPr>
        <w:shd w:val="clear" w:color="auto" w:fill="80808B" w:themeFill="accent5"/>
      </w:tcPr>
    </w:tblStylePr>
    <w:tblStylePr w:type="lastRow">
      <w:pPr>
        <w:spacing w:before="0" w:after="0" w:line="240" w:lineRule="auto"/>
      </w:pPr>
      <w:rPr>
        <w:b/>
        <w:bCs/>
      </w:rPr>
      <w:tblPr/>
      <w:tcPr>
        <w:tcBorders>
          <w:top w:val="double" w:sz="6" w:space="0" w:color="80808B" w:themeColor="accent5"/>
          <w:left w:val="single" w:sz="8" w:space="0" w:color="80808B" w:themeColor="accent5"/>
          <w:bottom w:val="single" w:sz="8" w:space="0" w:color="80808B" w:themeColor="accent5"/>
          <w:right w:val="single" w:sz="8" w:space="0" w:color="80808B" w:themeColor="accent5"/>
        </w:tcBorders>
      </w:tcPr>
    </w:tblStylePr>
    <w:tblStylePr w:type="firstCol">
      <w:rPr>
        <w:b/>
        <w:bCs/>
      </w:rPr>
    </w:tblStylePr>
    <w:tblStylePr w:type="lastCol">
      <w:rPr>
        <w:b/>
        <w:bCs/>
      </w:rPr>
    </w:tblStylePr>
    <w:tblStylePr w:type="band1Vert">
      <w:tblPr/>
      <w:tcPr>
        <w:tcBorders>
          <w:top w:val="single" w:sz="8" w:space="0" w:color="80808B" w:themeColor="accent5"/>
          <w:left w:val="single" w:sz="8" w:space="0" w:color="80808B" w:themeColor="accent5"/>
          <w:bottom w:val="single" w:sz="8" w:space="0" w:color="80808B" w:themeColor="accent5"/>
          <w:right w:val="single" w:sz="8" w:space="0" w:color="80808B" w:themeColor="accent5"/>
        </w:tcBorders>
      </w:tcPr>
    </w:tblStylePr>
    <w:tblStylePr w:type="band1Horz">
      <w:tblPr/>
      <w:tcPr>
        <w:tcBorders>
          <w:top w:val="single" w:sz="8" w:space="0" w:color="80808B" w:themeColor="accent5"/>
          <w:left w:val="single" w:sz="8" w:space="0" w:color="80808B" w:themeColor="accent5"/>
          <w:bottom w:val="single" w:sz="8" w:space="0" w:color="80808B" w:themeColor="accent5"/>
          <w:right w:val="single" w:sz="8" w:space="0" w:color="80808B" w:themeColor="accent5"/>
        </w:tcBorders>
      </w:tcPr>
    </w:tblStylePr>
  </w:style>
  <w:style w:type="table" w:styleId="LightList-Accent6">
    <w:name w:val="Light List Accent 6"/>
    <w:basedOn w:val="TableNormal"/>
    <w:uiPriority w:val="61"/>
    <w:semiHidden/>
    <w:rsid w:val="00294A5A"/>
    <w:pPr>
      <w:spacing w:before="0" w:after="0" w:line="240" w:lineRule="auto"/>
    </w:pPr>
    <w:tblPr>
      <w:tblStyleRowBandSize w:val="1"/>
      <w:tblStyleColBandSize w:val="1"/>
      <w:tblBorders>
        <w:top w:val="single" w:sz="8" w:space="0" w:color="CCCCD0" w:themeColor="accent6"/>
        <w:left w:val="single" w:sz="8" w:space="0" w:color="CCCCD0" w:themeColor="accent6"/>
        <w:bottom w:val="single" w:sz="8" w:space="0" w:color="CCCCD0" w:themeColor="accent6"/>
        <w:right w:val="single" w:sz="8" w:space="0" w:color="CCCCD0" w:themeColor="accent6"/>
      </w:tblBorders>
    </w:tblPr>
    <w:tblStylePr w:type="firstRow">
      <w:pPr>
        <w:spacing w:before="0" w:after="0" w:line="240" w:lineRule="auto"/>
      </w:pPr>
      <w:rPr>
        <w:b/>
        <w:bCs/>
        <w:color w:val="FFFFFF" w:themeColor="background1"/>
      </w:rPr>
      <w:tblPr/>
      <w:tcPr>
        <w:shd w:val="clear" w:color="auto" w:fill="CCCCD0" w:themeFill="accent6"/>
      </w:tcPr>
    </w:tblStylePr>
    <w:tblStylePr w:type="lastRow">
      <w:pPr>
        <w:spacing w:before="0" w:after="0" w:line="240" w:lineRule="auto"/>
      </w:pPr>
      <w:rPr>
        <w:b/>
        <w:bCs/>
      </w:rPr>
      <w:tblPr/>
      <w:tcPr>
        <w:tcBorders>
          <w:top w:val="double" w:sz="6" w:space="0" w:color="CCCCD0" w:themeColor="accent6"/>
          <w:left w:val="single" w:sz="8" w:space="0" w:color="CCCCD0" w:themeColor="accent6"/>
          <w:bottom w:val="single" w:sz="8" w:space="0" w:color="CCCCD0" w:themeColor="accent6"/>
          <w:right w:val="single" w:sz="8" w:space="0" w:color="CCCCD0" w:themeColor="accent6"/>
        </w:tcBorders>
      </w:tcPr>
    </w:tblStylePr>
    <w:tblStylePr w:type="firstCol">
      <w:rPr>
        <w:b/>
        <w:bCs/>
      </w:rPr>
    </w:tblStylePr>
    <w:tblStylePr w:type="lastCol">
      <w:rPr>
        <w:b/>
        <w:bCs/>
      </w:rPr>
    </w:tblStylePr>
    <w:tblStylePr w:type="band1Vert">
      <w:tblPr/>
      <w:tcPr>
        <w:tcBorders>
          <w:top w:val="single" w:sz="8" w:space="0" w:color="CCCCD0" w:themeColor="accent6"/>
          <w:left w:val="single" w:sz="8" w:space="0" w:color="CCCCD0" w:themeColor="accent6"/>
          <w:bottom w:val="single" w:sz="8" w:space="0" w:color="CCCCD0" w:themeColor="accent6"/>
          <w:right w:val="single" w:sz="8" w:space="0" w:color="CCCCD0" w:themeColor="accent6"/>
        </w:tcBorders>
      </w:tcPr>
    </w:tblStylePr>
    <w:tblStylePr w:type="band1Horz">
      <w:tblPr/>
      <w:tcPr>
        <w:tcBorders>
          <w:top w:val="single" w:sz="8" w:space="0" w:color="CCCCD0" w:themeColor="accent6"/>
          <w:left w:val="single" w:sz="8" w:space="0" w:color="CCCCD0" w:themeColor="accent6"/>
          <w:bottom w:val="single" w:sz="8" w:space="0" w:color="CCCCD0" w:themeColor="accent6"/>
          <w:right w:val="single" w:sz="8" w:space="0" w:color="CCCCD0" w:themeColor="accent6"/>
        </w:tcBorders>
      </w:tcPr>
    </w:tblStylePr>
  </w:style>
  <w:style w:type="table" w:styleId="LightShading-Accent1">
    <w:name w:val="Light Shading Accent 1"/>
    <w:basedOn w:val="TableNormal"/>
    <w:uiPriority w:val="60"/>
    <w:semiHidden/>
    <w:rsid w:val="00294A5A"/>
    <w:pPr>
      <w:spacing w:before="0" w:after="0" w:line="240" w:lineRule="auto"/>
    </w:pPr>
    <w:rPr>
      <w:color w:val="30717A" w:themeColor="accent1" w:themeShade="BF"/>
    </w:rPr>
    <w:tblPr>
      <w:tblStyleRowBandSize w:val="1"/>
      <w:tblStyleColBandSize w:val="1"/>
      <w:tblBorders>
        <w:top w:val="single" w:sz="8" w:space="0" w:color="4098A4" w:themeColor="accent1"/>
        <w:bottom w:val="single" w:sz="8" w:space="0" w:color="4098A4" w:themeColor="accent1"/>
      </w:tblBorders>
    </w:tblPr>
    <w:tblStylePr w:type="firstRow">
      <w:pPr>
        <w:spacing w:before="0" w:after="0" w:line="240" w:lineRule="auto"/>
      </w:pPr>
      <w:rPr>
        <w:b/>
        <w:bCs/>
      </w:rPr>
      <w:tblPr/>
      <w:tcPr>
        <w:tcBorders>
          <w:top w:val="single" w:sz="8" w:space="0" w:color="4098A4" w:themeColor="accent1"/>
          <w:left w:val="nil"/>
          <w:bottom w:val="single" w:sz="8" w:space="0" w:color="4098A4" w:themeColor="accent1"/>
          <w:right w:val="nil"/>
          <w:insideH w:val="nil"/>
          <w:insideV w:val="nil"/>
        </w:tcBorders>
      </w:tcPr>
    </w:tblStylePr>
    <w:tblStylePr w:type="lastRow">
      <w:pPr>
        <w:spacing w:before="0" w:after="0" w:line="240" w:lineRule="auto"/>
      </w:pPr>
      <w:rPr>
        <w:b/>
        <w:bCs/>
      </w:rPr>
      <w:tblPr/>
      <w:tcPr>
        <w:tcBorders>
          <w:top w:val="single" w:sz="8" w:space="0" w:color="4098A4" w:themeColor="accent1"/>
          <w:left w:val="nil"/>
          <w:bottom w:val="single" w:sz="8" w:space="0" w:color="4098A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E7EB" w:themeFill="accent1" w:themeFillTint="3F"/>
      </w:tcPr>
    </w:tblStylePr>
    <w:tblStylePr w:type="band1Horz">
      <w:tblPr/>
      <w:tcPr>
        <w:tcBorders>
          <w:left w:val="nil"/>
          <w:right w:val="nil"/>
          <w:insideH w:val="nil"/>
          <w:insideV w:val="nil"/>
        </w:tcBorders>
        <w:shd w:val="clear" w:color="auto" w:fill="CCE7EB" w:themeFill="accent1" w:themeFillTint="3F"/>
      </w:tcPr>
    </w:tblStylePr>
  </w:style>
  <w:style w:type="table" w:styleId="LightShading-Accent2">
    <w:name w:val="Light Shading Accent 2"/>
    <w:basedOn w:val="TableNormal"/>
    <w:uiPriority w:val="60"/>
    <w:semiHidden/>
    <w:rsid w:val="00294A5A"/>
    <w:pPr>
      <w:spacing w:before="0" w:after="0" w:line="240" w:lineRule="auto"/>
    </w:pPr>
    <w:rPr>
      <w:color w:val="4D98A4" w:themeColor="accent2" w:themeShade="BF"/>
    </w:rPr>
    <w:tblPr>
      <w:tblStyleRowBandSize w:val="1"/>
      <w:tblStyleColBandSize w:val="1"/>
      <w:tblBorders>
        <w:top w:val="single" w:sz="8" w:space="0" w:color="80BAC3" w:themeColor="accent2"/>
        <w:bottom w:val="single" w:sz="8" w:space="0" w:color="80BAC3" w:themeColor="accent2"/>
      </w:tblBorders>
    </w:tblPr>
    <w:tblStylePr w:type="firstRow">
      <w:pPr>
        <w:spacing w:before="0" w:after="0" w:line="240" w:lineRule="auto"/>
      </w:pPr>
      <w:rPr>
        <w:b/>
        <w:bCs/>
      </w:rPr>
      <w:tblPr/>
      <w:tcPr>
        <w:tcBorders>
          <w:top w:val="single" w:sz="8" w:space="0" w:color="80BAC3" w:themeColor="accent2"/>
          <w:left w:val="nil"/>
          <w:bottom w:val="single" w:sz="8" w:space="0" w:color="80BAC3" w:themeColor="accent2"/>
          <w:right w:val="nil"/>
          <w:insideH w:val="nil"/>
          <w:insideV w:val="nil"/>
        </w:tcBorders>
      </w:tcPr>
    </w:tblStylePr>
    <w:tblStylePr w:type="lastRow">
      <w:pPr>
        <w:spacing w:before="0" w:after="0" w:line="240" w:lineRule="auto"/>
      </w:pPr>
      <w:rPr>
        <w:b/>
        <w:bCs/>
      </w:rPr>
      <w:tblPr/>
      <w:tcPr>
        <w:tcBorders>
          <w:top w:val="single" w:sz="8" w:space="0" w:color="80BAC3" w:themeColor="accent2"/>
          <w:left w:val="nil"/>
          <w:bottom w:val="single" w:sz="8" w:space="0" w:color="80BAC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DF0" w:themeFill="accent2" w:themeFillTint="3F"/>
      </w:tcPr>
    </w:tblStylePr>
    <w:tblStylePr w:type="band1Horz">
      <w:tblPr/>
      <w:tcPr>
        <w:tcBorders>
          <w:left w:val="nil"/>
          <w:right w:val="nil"/>
          <w:insideH w:val="nil"/>
          <w:insideV w:val="nil"/>
        </w:tcBorders>
        <w:shd w:val="clear" w:color="auto" w:fill="DFEDF0" w:themeFill="accent2" w:themeFillTint="3F"/>
      </w:tcPr>
    </w:tblStylePr>
  </w:style>
  <w:style w:type="table" w:styleId="LightShading-Accent3">
    <w:name w:val="Light Shading Accent 3"/>
    <w:basedOn w:val="TableNormal"/>
    <w:uiPriority w:val="60"/>
    <w:semiHidden/>
    <w:rsid w:val="00294A5A"/>
    <w:pPr>
      <w:spacing w:before="0" w:after="0" w:line="240" w:lineRule="auto"/>
    </w:pPr>
    <w:rPr>
      <w:color w:val="77B7BF" w:themeColor="accent3" w:themeShade="BF"/>
    </w:rPr>
    <w:tblPr>
      <w:tblStyleRowBandSize w:val="1"/>
      <w:tblStyleColBandSize w:val="1"/>
      <w:tblBorders>
        <w:top w:val="single" w:sz="8" w:space="0" w:color="BFDDE1" w:themeColor="accent3"/>
        <w:bottom w:val="single" w:sz="8" w:space="0" w:color="BFDDE1" w:themeColor="accent3"/>
      </w:tblBorders>
    </w:tblPr>
    <w:tblStylePr w:type="firstRow">
      <w:pPr>
        <w:spacing w:before="0" w:after="0" w:line="240" w:lineRule="auto"/>
      </w:pPr>
      <w:rPr>
        <w:b/>
        <w:bCs/>
      </w:rPr>
      <w:tblPr/>
      <w:tcPr>
        <w:tcBorders>
          <w:top w:val="single" w:sz="8" w:space="0" w:color="BFDDE1" w:themeColor="accent3"/>
          <w:left w:val="nil"/>
          <w:bottom w:val="single" w:sz="8" w:space="0" w:color="BFDDE1" w:themeColor="accent3"/>
          <w:right w:val="nil"/>
          <w:insideH w:val="nil"/>
          <w:insideV w:val="nil"/>
        </w:tcBorders>
      </w:tcPr>
    </w:tblStylePr>
    <w:tblStylePr w:type="lastRow">
      <w:pPr>
        <w:spacing w:before="0" w:after="0" w:line="240" w:lineRule="auto"/>
      </w:pPr>
      <w:rPr>
        <w:b/>
        <w:bCs/>
      </w:rPr>
      <w:tblPr/>
      <w:tcPr>
        <w:tcBorders>
          <w:top w:val="single" w:sz="8" w:space="0" w:color="BFDDE1" w:themeColor="accent3"/>
          <w:left w:val="nil"/>
          <w:bottom w:val="single" w:sz="8" w:space="0" w:color="BFDDE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6F7" w:themeFill="accent3" w:themeFillTint="3F"/>
      </w:tcPr>
    </w:tblStylePr>
    <w:tblStylePr w:type="band1Horz">
      <w:tblPr/>
      <w:tcPr>
        <w:tcBorders>
          <w:left w:val="nil"/>
          <w:right w:val="nil"/>
          <w:insideH w:val="nil"/>
          <w:insideV w:val="nil"/>
        </w:tcBorders>
        <w:shd w:val="clear" w:color="auto" w:fill="EFF6F7" w:themeFill="accent3" w:themeFillTint="3F"/>
      </w:tcPr>
    </w:tblStylePr>
  </w:style>
  <w:style w:type="table" w:styleId="LightShading-Accent4">
    <w:name w:val="Light Shading Accent 4"/>
    <w:basedOn w:val="TableNormal"/>
    <w:uiPriority w:val="60"/>
    <w:semiHidden/>
    <w:rsid w:val="00294A5A"/>
    <w:pPr>
      <w:spacing w:before="0" w:after="0" w:line="240" w:lineRule="auto"/>
    </w:pPr>
    <w:rPr>
      <w:color w:val="30303B" w:themeColor="accent4" w:themeShade="BF"/>
    </w:rPr>
    <w:tblPr>
      <w:tblStyleRowBandSize w:val="1"/>
      <w:tblStyleColBandSize w:val="1"/>
      <w:tblBorders>
        <w:top w:val="single" w:sz="8" w:space="0" w:color="404050" w:themeColor="accent4"/>
        <w:bottom w:val="single" w:sz="8" w:space="0" w:color="404050" w:themeColor="accent4"/>
      </w:tblBorders>
    </w:tblPr>
    <w:tblStylePr w:type="firstRow">
      <w:pPr>
        <w:spacing w:before="0" w:after="0" w:line="240" w:lineRule="auto"/>
      </w:pPr>
      <w:rPr>
        <w:b/>
        <w:bCs/>
      </w:rPr>
      <w:tblPr/>
      <w:tcPr>
        <w:tcBorders>
          <w:top w:val="single" w:sz="8" w:space="0" w:color="404050" w:themeColor="accent4"/>
          <w:left w:val="nil"/>
          <w:bottom w:val="single" w:sz="8" w:space="0" w:color="404050" w:themeColor="accent4"/>
          <w:right w:val="nil"/>
          <w:insideH w:val="nil"/>
          <w:insideV w:val="nil"/>
        </w:tcBorders>
      </w:tcPr>
    </w:tblStylePr>
    <w:tblStylePr w:type="lastRow">
      <w:pPr>
        <w:spacing w:before="0" w:after="0" w:line="240" w:lineRule="auto"/>
      </w:pPr>
      <w:rPr>
        <w:b/>
        <w:bCs/>
      </w:rPr>
      <w:tblPr/>
      <w:tcPr>
        <w:tcBorders>
          <w:top w:val="single" w:sz="8" w:space="0" w:color="404050" w:themeColor="accent4"/>
          <w:left w:val="nil"/>
          <w:bottom w:val="single" w:sz="8" w:space="0" w:color="40405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CCCD6" w:themeFill="accent4" w:themeFillTint="3F"/>
      </w:tcPr>
    </w:tblStylePr>
    <w:tblStylePr w:type="band1Horz">
      <w:tblPr/>
      <w:tcPr>
        <w:tcBorders>
          <w:left w:val="nil"/>
          <w:right w:val="nil"/>
          <w:insideH w:val="nil"/>
          <w:insideV w:val="nil"/>
        </w:tcBorders>
        <w:shd w:val="clear" w:color="auto" w:fill="CCCCD6" w:themeFill="accent4" w:themeFillTint="3F"/>
      </w:tcPr>
    </w:tblStylePr>
  </w:style>
  <w:style w:type="table" w:styleId="LightShading-Accent5">
    <w:name w:val="Light Shading Accent 5"/>
    <w:basedOn w:val="TableNormal"/>
    <w:uiPriority w:val="60"/>
    <w:semiHidden/>
    <w:rsid w:val="00294A5A"/>
    <w:pPr>
      <w:spacing w:before="0" w:after="0" w:line="240" w:lineRule="auto"/>
    </w:pPr>
    <w:rPr>
      <w:color w:val="5F5F68" w:themeColor="accent5" w:themeShade="BF"/>
    </w:rPr>
    <w:tblPr>
      <w:tblStyleRowBandSize w:val="1"/>
      <w:tblStyleColBandSize w:val="1"/>
      <w:tblBorders>
        <w:top w:val="single" w:sz="8" w:space="0" w:color="80808B" w:themeColor="accent5"/>
        <w:bottom w:val="single" w:sz="8" w:space="0" w:color="80808B" w:themeColor="accent5"/>
      </w:tblBorders>
    </w:tblPr>
    <w:tblStylePr w:type="firstRow">
      <w:pPr>
        <w:spacing w:before="0" w:after="0" w:line="240" w:lineRule="auto"/>
      </w:pPr>
      <w:rPr>
        <w:b/>
        <w:bCs/>
      </w:rPr>
      <w:tblPr/>
      <w:tcPr>
        <w:tcBorders>
          <w:top w:val="single" w:sz="8" w:space="0" w:color="80808B" w:themeColor="accent5"/>
          <w:left w:val="nil"/>
          <w:bottom w:val="single" w:sz="8" w:space="0" w:color="80808B" w:themeColor="accent5"/>
          <w:right w:val="nil"/>
          <w:insideH w:val="nil"/>
          <w:insideV w:val="nil"/>
        </w:tcBorders>
      </w:tcPr>
    </w:tblStylePr>
    <w:tblStylePr w:type="lastRow">
      <w:pPr>
        <w:spacing w:before="0" w:after="0" w:line="240" w:lineRule="auto"/>
      </w:pPr>
      <w:rPr>
        <w:b/>
        <w:bCs/>
      </w:rPr>
      <w:tblPr/>
      <w:tcPr>
        <w:tcBorders>
          <w:top w:val="single" w:sz="8" w:space="0" w:color="80808B" w:themeColor="accent5"/>
          <w:left w:val="nil"/>
          <w:bottom w:val="single" w:sz="8" w:space="0" w:color="80808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FE2" w:themeFill="accent5" w:themeFillTint="3F"/>
      </w:tcPr>
    </w:tblStylePr>
    <w:tblStylePr w:type="band1Horz">
      <w:tblPr/>
      <w:tcPr>
        <w:tcBorders>
          <w:left w:val="nil"/>
          <w:right w:val="nil"/>
          <w:insideH w:val="nil"/>
          <w:insideV w:val="nil"/>
        </w:tcBorders>
        <w:shd w:val="clear" w:color="auto" w:fill="DFDFE2" w:themeFill="accent5" w:themeFillTint="3F"/>
      </w:tcPr>
    </w:tblStylePr>
  </w:style>
  <w:style w:type="table" w:styleId="LightShading-Accent6">
    <w:name w:val="Light Shading Accent 6"/>
    <w:basedOn w:val="TableNormal"/>
    <w:uiPriority w:val="60"/>
    <w:semiHidden/>
    <w:rsid w:val="00294A5A"/>
    <w:pPr>
      <w:spacing w:before="0" w:after="0" w:line="240" w:lineRule="auto"/>
    </w:pPr>
    <w:rPr>
      <w:color w:val="96969E" w:themeColor="accent6" w:themeShade="BF"/>
    </w:rPr>
    <w:tblPr>
      <w:tblStyleRowBandSize w:val="1"/>
      <w:tblStyleColBandSize w:val="1"/>
      <w:tblBorders>
        <w:top w:val="single" w:sz="8" w:space="0" w:color="CCCCD0" w:themeColor="accent6"/>
        <w:bottom w:val="single" w:sz="8" w:space="0" w:color="CCCCD0" w:themeColor="accent6"/>
      </w:tblBorders>
    </w:tblPr>
    <w:tblStylePr w:type="firstRow">
      <w:pPr>
        <w:spacing w:before="0" w:after="0" w:line="240" w:lineRule="auto"/>
      </w:pPr>
      <w:rPr>
        <w:b/>
        <w:bCs/>
      </w:rPr>
      <w:tblPr/>
      <w:tcPr>
        <w:tcBorders>
          <w:top w:val="single" w:sz="8" w:space="0" w:color="CCCCD0" w:themeColor="accent6"/>
          <w:left w:val="nil"/>
          <w:bottom w:val="single" w:sz="8" w:space="0" w:color="CCCCD0" w:themeColor="accent6"/>
          <w:right w:val="nil"/>
          <w:insideH w:val="nil"/>
          <w:insideV w:val="nil"/>
        </w:tcBorders>
      </w:tcPr>
    </w:tblStylePr>
    <w:tblStylePr w:type="lastRow">
      <w:pPr>
        <w:spacing w:before="0" w:after="0" w:line="240" w:lineRule="auto"/>
      </w:pPr>
      <w:rPr>
        <w:b/>
        <w:bCs/>
      </w:rPr>
      <w:tblPr/>
      <w:tcPr>
        <w:tcBorders>
          <w:top w:val="single" w:sz="8" w:space="0" w:color="CCCCD0" w:themeColor="accent6"/>
          <w:left w:val="nil"/>
          <w:bottom w:val="single" w:sz="8" w:space="0" w:color="CCCCD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2F3" w:themeFill="accent6" w:themeFillTint="3F"/>
      </w:tcPr>
    </w:tblStylePr>
    <w:tblStylePr w:type="band1Horz">
      <w:tblPr/>
      <w:tcPr>
        <w:tcBorders>
          <w:left w:val="nil"/>
          <w:right w:val="nil"/>
          <w:insideH w:val="nil"/>
          <w:insideV w:val="nil"/>
        </w:tcBorders>
        <w:shd w:val="clear" w:color="auto" w:fill="F2F2F3" w:themeFill="accent6" w:themeFillTint="3F"/>
      </w:tcPr>
    </w:tblStylePr>
  </w:style>
  <w:style w:type="table" w:styleId="ListTable1Light">
    <w:name w:val="List Table 1 Light"/>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85C6CF" w:themeColor="accent1" w:themeTint="99"/>
        </w:tcBorders>
      </w:tcPr>
    </w:tblStylePr>
    <w:tblStylePr w:type="lastRow">
      <w:rPr>
        <w:b/>
        <w:bCs/>
      </w:rPr>
      <w:tblPr/>
      <w:tcPr>
        <w:tcBorders>
          <w:top w:val="single" w:sz="4" w:space="0" w:color="85C6CF" w:themeColor="accent1" w:themeTint="99"/>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ListTable1Light-Accent2">
    <w:name w:val="List Table 1 Light Accent 2"/>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B2D5DB" w:themeColor="accent2" w:themeTint="99"/>
        </w:tcBorders>
      </w:tcPr>
    </w:tblStylePr>
    <w:tblStylePr w:type="lastRow">
      <w:rPr>
        <w:b/>
        <w:bCs/>
      </w:rPr>
      <w:tblPr/>
      <w:tcPr>
        <w:tcBorders>
          <w:top w:val="single" w:sz="4" w:space="0" w:color="B2D5DB" w:themeColor="accent2" w:themeTint="99"/>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ListTable1Light-Accent3">
    <w:name w:val="List Table 1 Light Accent 3"/>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D8EAED" w:themeColor="accent3" w:themeTint="99"/>
        </w:tcBorders>
      </w:tcPr>
    </w:tblStylePr>
    <w:tblStylePr w:type="lastRow">
      <w:rPr>
        <w:b/>
        <w:bCs/>
      </w:rPr>
      <w:tblPr/>
      <w:tcPr>
        <w:tcBorders>
          <w:top w:val="single" w:sz="4" w:space="0" w:color="D8EAED" w:themeColor="accent3" w:themeTint="99"/>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ListTable1Light-Accent4">
    <w:name w:val="List Table 1 Light Accent 4"/>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84849D" w:themeColor="accent4" w:themeTint="99"/>
        </w:tcBorders>
      </w:tcPr>
    </w:tblStylePr>
    <w:tblStylePr w:type="lastRow">
      <w:rPr>
        <w:b/>
        <w:bCs/>
      </w:rPr>
      <w:tblPr/>
      <w:tcPr>
        <w:tcBorders>
          <w:top w:val="single" w:sz="4" w:space="0" w:color="84849D" w:themeColor="accent4" w:themeTint="99"/>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ListTable1Light-Accent5">
    <w:name w:val="List Table 1 Light Accent 5"/>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B2B2B9" w:themeColor="accent5" w:themeTint="99"/>
        </w:tcBorders>
      </w:tcPr>
    </w:tblStylePr>
    <w:tblStylePr w:type="lastRow">
      <w:rPr>
        <w:b/>
        <w:bCs/>
      </w:rPr>
      <w:tblPr/>
      <w:tcPr>
        <w:tcBorders>
          <w:top w:val="single" w:sz="4" w:space="0" w:color="B2B2B9" w:themeColor="accent5" w:themeTint="99"/>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ListTable1Light-Accent6">
    <w:name w:val="List Table 1 Light Accent 6"/>
    <w:basedOn w:val="TableNormal"/>
    <w:uiPriority w:val="46"/>
    <w:semiHidden/>
    <w:rsid w:val="00294A5A"/>
    <w:pPr>
      <w:spacing w:after="0" w:line="240" w:lineRule="auto"/>
    </w:pPr>
    <w:tblPr>
      <w:tblStyleRowBandSize w:val="1"/>
      <w:tblStyleColBandSize w:val="1"/>
    </w:tblPr>
    <w:tblStylePr w:type="firstRow">
      <w:rPr>
        <w:b/>
        <w:bCs/>
      </w:rPr>
      <w:tblPr/>
      <w:tcPr>
        <w:tcBorders>
          <w:bottom w:val="single" w:sz="4" w:space="0" w:color="E0E0E2" w:themeColor="accent6" w:themeTint="99"/>
        </w:tcBorders>
      </w:tcPr>
    </w:tblStylePr>
    <w:tblStylePr w:type="lastRow">
      <w:rPr>
        <w:b/>
        <w:bCs/>
      </w:rPr>
      <w:tblPr/>
      <w:tcPr>
        <w:tcBorders>
          <w:top w:val="single" w:sz="4" w:space="0" w:color="E0E0E2" w:themeColor="accent6" w:themeTint="99"/>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ListTable2">
    <w:name w:val="List Table 2"/>
    <w:basedOn w:val="TableNormal"/>
    <w:uiPriority w:val="47"/>
    <w:semiHidden/>
    <w:rsid w:val="00294A5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semiHidden/>
    <w:rsid w:val="00294A5A"/>
    <w:pPr>
      <w:spacing w:after="0" w:line="240" w:lineRule="auto"/>
    </w:pPr>
    <w:tblPr>
      <w:tblStyleRowBandSize w:val="1"/>
      <w:tblStyleColBandSize w:val="1"/>
      <w:tblBorders>
        <w:top w:val="single" w:sz="4" w:space="0" w:color="85C6CF" w:themeColor="accent1" w:themeTint="99"/>
        <w:bottom w:val="single" w:sz="4" w:space="0" w:color="85C6CF" w:themeColor="accent1" w:themeTint="99"/>
        <w:insideH w:val="single" w:sz="4" w:space="0" w:color="85C6C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ListTable2-Accent2">
    <w:name w:val="List Table 2 Accent 2"/>
    <w:basedOn w:val="TableNormal"/>
    <w:uiPriority w:val="47"/>
    <w:semiHidden/>
    <w:rsid w:val="00294A5A"/>
    <w:pPr>
      <w:spacing w:after="0" w:line="240" w:lineRule="auto"/>
    </w:pPr>
    <w:tblPr>
      <w:tblStyleRowBandSize w:val="1"/>
      <w:tblStyleColBandSize w:val="1"/>
      <w:tblBorders>
        <w:top w:val="single" w:sz="4" w:space="0" w:color="B2D5DB" w:themeColor="accent2" w:themeTint="99"/>
        <w:bottom w:val="single" w:sz="4" w:space="0" w:color="B2D5DB" w:themeColor="accent2" w:themeTint="99"/>
        <w:insideH w:val="single" w:sz="4" w:space="0" w:color="B2D5D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ListTable2-Accent3">
    <w:name w:val="List Table 2 Accent 3"/>
    <w:basedOn w:val="TableNormal"/>
    <w:uiPriority w:val="47"/>
    <w:semiHidden/>
    <w:rsid w:val="00294A5A"/>
    <w:pPr>
      <w:spacing w:after="0" w:line="240" w:lineRule="auto"/>
    </w:pPr>
    <w:tblPr>
      <w:tblStyleRowBandSize w:val="1"/>
      <w:tblStyleColBandSize w:val="1"/>
      <w:tblBorders>
        <w:top w:val="single" w:sz="4" w:space="0" w:color="D8EAED" w:themeColor="accent3" w:themeTint="99"/>
        <w:bottom w:val="single" w:sz="4" w:space="0" w:color="D8EAED" w:themeColor="accent3" w:themeTint="99"/>
        <w:insideH w:val="single" w:sz="4" w:space="0" w:color="D8EAED"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ListTable2-Accent4">
    <w:name w:val="List Table 2 Accent 4"/>
    <w:basedOn w:val="TableNormal"/>
    <w:uiPriority w:val="47"/>
    <w:semiHidden/>
    <w:rsid w:val="00294A5A"/>
    <w:pPr>
      <w:spacing w:after="0" w:line="240" w:lineRule="auto"/>
    </w:pPr>
    <w:tblPr>
      <w:tblStyleRowBandSize w:val="1"/>
      <w:tblStyleColBandSize w:val="1"/>
      <w:tblBorders>
        <w:top w:val="single" w:sz="4" w:space="0" w:color="84849D" w:themeColor="accent4" w:themeTint="99"/>
        <w:bottom w:val="single" w:sz="4" w:space="0" w:color="84849D" w:themeColor="accent4" w:themeTint="99"/>
        <w:insideH w:val="single" w:sz="4" w:space="0" w:color="84849D"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ListTable2-Accent5">
    <w:name w:val="List Table 2 Accent 5"/>
    <w:basedOn w:val="TableNormal"/>
    <w:uiPriority w:val="47"/>
    <w:semiHidden/>
    <w:rsid w:val="00294A5A"/>
    <w:pPr>
      <w:spacing w:after="0" w:line="240" w:lineRule="auto"/>
    </w:pPr>
    <w:tblPr>
      <w:tblStyleRowBandSize w:val="1"/>
      <w:tblStyleColBandSize w:val="1"/>
      <w:tblBorders>
        <w:top w:val="single" w:sz="4" w:space="0" w:color="B2B2B9" w:themeColor="accent5" w:themeTint="99"/>
        <w:bottom w:val="single" w:sz="4" w:space="0" w:color="B2B2B9" w:themeColor="accent5" w:themeTint="99"/>
        <w:insideH w:val="single" w:sz="4" w:space="0" w:color="B2B2B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ListTable2-Accent6">
    <w:name w:val="List Table 2 Accent 6"/>
    <w:basedOn w:val="TableNormal"/>
    <w:uiPriority w:val="47"/>
    <w:semiHidden/>
    <w:rsid w:val="00294A5A"/>
    <w:pPr>
      <w:spacing w:after="0" w:line="240" w:lineRule="auto"/>
    </w:pPr>
    <w:tblPr>
      <w:tblStyleRowBandSize w:val="1"/>
      <w:tblStyleColBandSize w:val="1"/>
      <w:tblBorders>
        <w:top w:val="single" w:sz="4" w:space="0" w:color="E0E0E2" w:themeColor="accent6" w:themeTint="99"/>
        <w:bottom w:val="single" w:sz="4" w:space="0" w:color="E0E0E2" w:themeColor="accent6" w:themeTint="99"/>
        <w:insideH w:val="single" w:sz="4" w:space="0" w:color="E0E0E2"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ListTable3">
    <w:name w:val="List Table 3"/>
    <w:basedOn w:val="TableNormal"/>
    <w:uiPriority w:val="48"/>
    <w:semiHidden/>
    <w:rsid w:val="00294A5A"/>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semiHidden/>
    <w:rsid w:val="00294A5A"/>
    <w:pPr>
      <w:spacing w:after="0" w:line="240" w:lineRule="auto"/>
    </w:pPr>
    <w:tblPr>
      <w:tblStyleRowBandSize w:val="1"/>
      <w:tblStyleColBandSize w:val="1"/>
      <w:tblBorders>
        <w:top w:val="single" w:sz="4" w:space="0" w:color="4098A4" w:themeColor="accent1"/>
        <w:left w:val="single" w:sz="4" w:space="0" w:color="4098A4" w:themeColor="accent1"/>
        <w:bottom w:val="single" w:sz="4" w:space="0" w:color="4098A4" w:themeColor="accent1"/>
        <w:right w:val="single" w:sz="4" w:space="0" w:color="4098A4" w:themeColor="accent1"/>
      </w:tblBorders>
    </w:tblPr>
    <w:tblStylePr w:type="firstRow">
      <w:rPr>
        <w:b/>
        <w:bCs/>
        <w:color w:val="FFFFFF" w:themeColor="background1"/>
      </w:rPr>
      <w:tblPr/>
      <w:tcPr>
        <w:shd w:val="clear" w:color="auto" w:fill="4098A4" w:themeFill="accent1"/>
      </w:tcPr>
    </w:tblStylePr>
    <w:tblStylePr w:type="lastRow">
      <w:rPr>
        <w:b/>
        <w:bCs/>
      </w:rPr>
      <w:tblPr/>
      <w:tcPr>
        <w:tcBorders>
          <w:top w:val="double" w:sz="4" w:space="0" w:color="4098A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098A4" w:themeColor="accent1"/>
          <w:right w:val="single" w:sz="4" w:space="0" w:color="4098A4" w:themeColor="accent1"/>
        </w:tcBorders>
      </w:tcPr>
    </w:tblStylePr>
    <w:tblStylePr w:type="band1Horz">
      <w:tblPr/>
      <w:tcPr>
        <w:tcBorders>
          <w:top w:val="single" w:sz="4" w:space="0" w:color="4098A4" w:themeColor="accent1"/>
          <w:bottom w:val="single" w:sz="4" w:space="0" w:color="4098A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098A4" w:themeColor="accent1"/>
          <w:left w:val="nil"/>
        </w:tcBorders>
      </w:tcPr>
    </w:tblStylePr>
    <w:tblStylePr w:type="swCell">
      <w:tblPr/>
      <w:tcPr>
        <w:tcBorders>
          <w:top w:val="double" w:sz="4" w:space="0" w:color="4098A4" w:themeColor="accent1"/>
          <w:right w:val="nil"/>
        </w:tcBorders>
      </w:tcPr>
    </w:tblStylePr>
  </w:style>
  <w:style w:type="table" w:styleId="ListTable3-Accent2">
    <w:name w:val="List Table 3 Accent 2"/>
    <w:basedOn w:val="TableNormal"/>
    <w:uiPriority w:val="48"/>
    <w:semiHidden/>
    <w:rsid w:val="00294A5A"/>
    <w:pPr>
      <w:spacing w:after="0" w:line="240" w:lineRule="auto"/>
    </w:pPr>
    <w:tblPr>
      <w:tblStyleRowBandSize w:val="1"/>
      <w:tblStyleColBandSize w:val="1"/>
      <w:tblBorders>
        <w:top w:val="single" w:sz="4" w:space="0" w:color="80BAC3" w:themeColor="accent2"/>
        <w:left w:val="single" w:sz="4" w:space="0" w:color="80BAC3" w:themeColor="accent2"/>
        <w:bottom w:val="single" w:sz="4" w:space="0" w:color="80BAC3" w:themeColor="accent2"/>
        <w:right w:val="single" w:sz="4" w:space="0" w:color="80BAC3" w:themeColor="accent2"/>
      </w:tblBorders>
    </w:tblPr>
    <w:tblStylePr w:type="firstRow">
      <w:rPr>
        <w:b/>
        <w:bCs/>
        <w:color w:val="FFFFFF" w:themeColor="background1"/>
      </w:rPr>
      <w:tblPr/>
      <w:tcPr>
        <w:shd w:val="clear" w:color="auto" w:fill="80BAC3" w:themeFill="accent2"/>
      </w:tcPr>
    </w:tblStylePr>
    <w:tblStylePr w:type="lastRow">
      <w:rPr>
        <w:b/>
        <w:bCs/>
      </w:rPr>
      <w:tblPr/>
      <w:tcPr>
        <w:tcBorders>
          <w:top w:val="double" w:sz="4" w:space="0" w:color="80BAC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BAC3" w:themeColor="accent2"/>
          <w:right w:val="single" w:sz="4" w:space="0" w:color="80BAC3" w:themeColor="accent2"/>
        </w:tcBorders>
      </w:tcPr>
    </w:tblStylePr>
    <w:tblStylePr w:type="band1Horz">
      <w:tblPr/>
      <w:tcPr>
        <w:tcBorders>
          <w:top w:val="single" w:sz="4" w:space="0" w:color="80BAC3" w:themeColor="accent2"/>
          <w:bottom w:val="single" w:sz="4" w:space="0" w:color="80BAC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BAC3" w:themeColor="accent2"/>
          <w:left w:val="nil"/>
        </w:tcBorders>
      </w:tcPr>
    </w:tblStylePr>
    <w:tblStylePr w:type="swCell">
      <w:tblPr/>
      <w:tcPr>
        <w:tcBorders>
          <w:top w:val="double" w:sz="4" w:space="0" w:color="80BAC3" w:themeColor="accent2"/>
          <w:right w:val="nil"/>
        </w:tcBorders>
      </w:tcPr>
    </w:tblStylePr>
  </w:style>
  <w:style w:type="table" w:styleId="ListTable3-Accent3">
    <w:name w:val="List Table 3 Accent 3"/>
    <w:basedOn w:val="TableNormal"/>
    <w:uiPriority w:val="48"/>
    <w:semiHidden/>
    <w:rsid w:val="00294A5A"/>
    <w:pPr>
      <w:spacing w:after="0" w:line="240" w:lineRule="auto"/>
    </w:pPr>
    <w:tblPr>
      <w:tblStyleRowBandSize w:val="1"/>
      <w:tblStyleColBandSize w:val="1"/>
      <w:tblBorders>
        <w:top w:val="single" w:sz="4" w:space="0" w:color="BFDDE1" w:themeColor="accent3"/>
        <w:left w:val="single" w:sz="4" w:space="0" w:color="BFDDE1" w:themeColor="accent3"/>
        <w:bottom w:val="single" w:sz="4" w:space="0" w:color="BFDDE1" w:themeColor="accent3"/>
        <w:right w:val="single" w:sz="4" w:space="0" w:color="BFDDE1" w:themeColor="accent3"/>
      </w:tblBorders>
    </w:tblPr>
    <w:tblStylePr w:type="firstRow">
      <w:rPr>
        <w:b/>
        <w:bCs/>
        <w:color w:val="FFFFFF" w:themeColor="background1"/>
      </w:rPr>
      <w:tblPr/>
      <w:tcPr>
        <w:shd w:val="clear" w:color="auto" w:fill="BFDDE1" w:themeFill="accent3"/>
      </w:tcPr>
    </w:tblStylePr>
    <w:tblStylePr w:type="lastRow">
      <w:rPr>
        <w:b/>
        <w:bCs/>
      </w:rPr>
      <w:tblPr/>
      <w:tcPr>
        <w:tcBorders>
          <w:top w:val="double" w:sz="4" w:space="0" w:color="BFDDE1"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FDDE1" w:themeColor="accent3"/>
          <w:right w:val="single" w:sz="4" w:space="0" w:color="BFDDE1" w:themeColor="accent3"/>
        </w:tcBorders>
      </w:tcPr>
    </w:tblStylePr>
    <w:tblStylePr w:type="band1Horz">
      <w:tblPr/>
      <w:tcPr>
        <w:tcBorders>
          <w:top w:val="single" w:sz="4" w:space="0" w:color="BFDDE1" w:themeColor="accent3"/>
          <w:bottom w:val="single" w:sz="4" w:space="0" w:color="BFDDE1"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FDDE1" w:themeColor="accent3"/>
          <w:left w:val="nil"/>
        </w:tcBorders>
      </w:tcPr>
    </w:tblStylePr>
    <w:tblStylePr w:type="swCell">
      <w:tblPr/>
      <w:tcPr>
        <w:tcBorders>
          <w:top w:val="double" w:sz="4" w:space="0" w:color="BFDDE1" w:themeColor="accent3"/>
          <w:right w:val="nil"/>
        </w:tcBorders>
      </w:tcPr>
    </w:tblStylePr>
  </w:style>
  <w:style w:type="table" w:styleId="ListTable3-Accent4">
    <w:name w:val="List Table 3 Accent 4"/>
    <w:basedOn w:val="TableNormal"/>
    <w:uiPriority w:val="48"/>
    <w:semiHidden/>
    <w:rsid w:val="00294A5A"/>
    <w:pPr>
      <w:spacing w:after="0" w:line="240" w:lineRule="auto"/>
    </w:pPr>
    <w:tblPr>
      <w:tblStyleRowBandSize w:val="1"/>
      <w:tblStyleColBandSize w:val="1"/>
      <w:tblBorders>
        <w:top w:val="single" w:sz="4" w:space="0" w:color="404050" w:themeColor="accent4"/>
        <w:left w:val="single" w:sz="4" w:space="0" w:color="404050" w:themeColor="accent4"/>
        <w:bottom w:val="single" w:sz="4" w:space="0" w:color="404050" w:themeColor="accent4"/>
        <w:right w:val="single" w:sz="4" w:space="0" w:color="404050" w:themeColor="accent4"/>
      </w:tblBorders>
    </w:tblPr>
    <w:tblStylePr w:type="firstRow">
      <w:rPr>
        <w:b/>
        <w:bCs/>
        <w:color w:val="FFFFFF" w:themeColor="background1"/>
      </w:rPr>
      <w:tblPr/>
      <w:tcPr>
        <w:shd w:val="clear" w:color="auto" w:fill="404050" w:themeFill="accent4"/>
      </w:tcPr>
    </w:tblStylePr>
    <w:tblStylePr w:type="lastRow">
      <w:rPr>
        <w:b/>
        <w:bCs/>
      </w:rPr>
      <w:tblPr/>
      <w:tcPr>
        <w:tcBorders>
          <w:top w:val="double" w:sz="4" w:space="0" w:color="40405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04050" w:themeColor="accent4"/>
          <w:right w:val="single" w:sz="4" w:space="0" w:color="404050" w:themeColor="accent4"/>
        </w:tcBorders>
      </w:tcPr>
    </w:tblStylePr>
    <w:tblStylePr w:type="band1Horz">
      <w:tblPr/>
      <w:tcPr>
        <w:tcBorders>
          <w:top w:val="single" w:sz="4" w:space="0" w:color="404050" w:themeColor="accent4"/>
          <w:bottom w:val="single" w:sz="4" w:space="0" w:color="40405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04050" w:themeColor="accent4"/>
          <w:left w:val="nil"/>
        </w:tcBorders>
      </w:tcPr>
    </w:tblStylePr>
    <w:tblStylePr w:type="swCell">
      <w:tblPr/>
      <w:tcPr>
        <w:tcBorders>
          <w:top w:val="double" w:sz="4" w:space="0" w:color="404050" w:themeColor="accent4"/>
          <w:right w:val="nil"/>
        </w:tcBorders>
      </w:tcPr>
    </w:tblStylePr>
  </w:style>
  <w:style w:type="table" w:styleId="ListTable3-Accent5">
    <w:name w:val="List Table 3 Accent 5"/>
    <w:basedOn w:val="TableNormal"/>
    <w:uiPriority w:val="48"/>
    <w:semiHidden/>
    <w:rsid w:val="00294A5A"/>
    <w:pPr>
      <w:spacing w:after="0" w:line="240" w:lineRule="auto"/>
    </w:pPr>
    <w:tblPr>
      <w:tblStyleRowBandSize w:val="1"/>
      <w:tblStyleColBandSize w:val="1"/>
      <w:tblBorders>
        <w:top w:val="single" w:sz="4" w:space="0" w:color="80808B" w:themeColor="accent5"/>
        <w:left w:val="single" w:sz="4" w:space="0" w:color="80808B" w:themeColor="accent5"/>
        <w:bottom w:val="single" w:sz="4" w:space="0" w:color="80808B" w:themeColor="accent5"/>
        <w:right w:val="single" w:sz="4" w:space="0" w:color="80808B" w:themeColor="accent5"/>
      </w:tblBorders>
    </w:tblPr>
    <w:tblStylePr w:type="firstRow">
      <w:rPr>
        <w:b/>
        <w:bCs/>
        <w:color w:val="FFFFFF" w:themeColor="background1"/>
      </w:rPr>
      <w:tblPr/>
      <w:tcPr>
        <w:shd w:val="clear" w:color="auto" w:fill="80808B" w:themeFill="accent5"/>
      </w:tcPr>
    </w:tblStylePr>
    <w:tblStylePr w:type="lastRow">
      <w:rPr>
        <w:b/>
        <w:bCs/>
      </w:rPr>
      <w:tblPr/>
      <w:tcPr>
        <w:tcBorders>
          <w:top w:val="double" w:sz="4" w:space="0" w:color="80808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808B" w:themeColor="accent5"/>
          <w:right w:val="single" w:sz="4" w:space="0" w:color="80808B" w:themeColor="accent5"/>
        </w:tcBorders>
      </w:tcPr>
    </w:tblStylePr>
    <w:tblStylePr w:type="band1Horz">
      <w:tblPr/>
      <w:tcPr>
        <w:tcBorders>
          <w:top w:val="single" w:sz="4" w:space="0" w:color="80808B" w:themeColor="accent5"/>
          <w:bottom w:val="single" w:sz="4" w:space="0" w:color="80808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808B" w:themeColor="accent5"/>
          <w:left w:val="nil"/>
        </w:tcBorders>
      </w:tcPr>
    </w:tblStylePr>
    <w:tblStylePr w:type="swCell">
      <w:tblPr/>
      <w:tcPr>
        <w:tcBorders>
          <w:top w:val="double" w:sz="4" w:space="0" w:color="80808B" w:themeColor="accent5"/>
          <w:right w:val="nil"/>
        </w:tcBorders>
      </w:tcPr>
    </w:tblStylePr>
  </w:style>
  <w:style w:type="table" w:styleId="ListTable3-Accent6">
    <w:name w:val="List Table 3 Accent 6"/>
    <w:basedOn w:val="TableNormal"/>
    <w:uiPriority w:val="48"/>
    <w:semiHidden/>
    <w:rsid w:val="00294A5A"/>
    <w:pPr>
      <w:spacing w:after="0" w:line="240" w:lineRule="auto"/>
    </w:pPr>
    <w:tblPr>
      <w:tblStyleRowBandSize w:val="1"/>
      <w:tblStyleColBandSize w:val="1"/>
      <w:tblBorders>
        <w:top w:val="single" w:sz="4" w:space="0" w:color="CCCCD0" w:themeColor="accent6"/>
        <w:left w:val="single" w:sz="4" w:space="0" w:color="CCCCD0" w:themeColor="accent6"/>
        <w:bottom w:val="single" w:sz="4" w:space="0" w:color="CCCCD0" w:themeColor="accent6"/>
        <w:right w:val="single" w:sz="4" w:space="0" w:color="CCCCD0" w:themeColor="accent6"/>
      </w:tblBorders>
    </w:tblPr>
    <w:tblStylePr w:type="firstRow">
      <w:rPr>
        <w:b/>
        <w:bCs/>
        <w:color w:val="FFFFFF" w:themeColor="background1"/>
      </w:rPr>
      <w:tblPr/>
      <w:tcPr>
        <w:shd w:val="clear" w:color="auto" w:fill="CCCCD0" w:themeFill="accent6"/>
      </w:tcPr>
    </w:tblStylePr>
    <w:tblStylePr w:type="lastRow">
      <w:rPr>
        <w:b/>
        <w:bCs/>
      </w:rPr>
      <w:tblPr/>
      <w:tcPr>
        <w:tcBorders>
          <w:top w:val="double" w:sz="4" w:space="0" w:color="CCCCD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CCCD0" w:themeColor="accent6"/>
          <w:right w:val="single" w:sz="4" w:space="0" w:color="CCCCD0" w:themeColor="accent6"/>
        </w:tcBorders>
      </w:tcPr>
    </w:tblStylePr>
    <w:tblStylePr w:type="band1Horz">
      <w:tblPr/>
      <w:tcPr>
        <w:tcBorders>
          <w:top w:val="single" w:sz="4" w:space="0" w:color="CCCCD0" w:themeColor="accent6"/>
          <w:bottom w:val="single" w:sz="4" w:space="0" w:color="CCCCD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CCCD0" w:themeColor="accent6"/>
          <w:left w:val="nil"/>
        </w:tcBorders>
      </w:tcPr>
    </w:tblStylePr>
    <w:tblStylePr w:type="swCell">
      <w:tblPr/>
      <w:tcPr>
        <w:tcBorders>
          <w:top w:val="double" w:sz="4" w:space="0" w:color="CCCCD0" w:themeColor="accent6"/>
          <w:right w:val="nil"/>
        </w:tcBorders>
      </w:tcPr>
    </w:tblStylePr>
  </w:style>
  <w:style w:type="table" w:styleId="ListTable4">
    <w:name w:val="List Table 4"/>
    <w:basedOn w:val="TableNormal"/>
    <w:uiPriority w:val="49"/>
    <w:semiHidden/>
    <w:rsid w:val="00294A5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semiHidden/>
    <w:rsid w:val="00294A5A"/>
    <w:pPr>
      <w:spacing w:after="0" w:line="240" w:lineRule="auto"/>
    </w:pPr>
    <w:tblPr>
      <w:tblStyleRowBandSize w:val="1"/>
      <w:tblStyleColBandSize w:val="1"/>
      <w:tblBorders>
        <w:top w:val="single" w:sz="4" w:space="0" w:color="85C6CF" w:themeColor="accent1" w:themeTint="99"/>
        <w:left w:val="single" w:sz="4" w:space="0" w:color="85C6CF" w:themeColor="accent1" w:themeTint="99"/>
        <w:bottom w:val="single" w:sz="4" w:space="0" w:color="85C6CF" w:themeColor="accent1" w:themeTint="99"/>
        <w:right w:val="single" w:sz="4" w:space="0" w:color="85C6CF" w:themeColor="accent1" w:themeTint="99"/>
        <w:insideH w:val="single" w:sz="4" w:space="0" w:color="85C6CF" w:themeColor="accent1" w:themeTint="99"/>
      </w:tblBorders>
    </w:tblPr>
    <w:tblStylePr w:type="firstRow">
      <w:rPr>
        <w:b/>
        <w:bCs/>
        <w:color w:val="FFFFFF" w:themeColor="background1"/>
      </w:rPr>
      <w:tblPr/>
      <w:tcPr>
        <w:tcBorders>
          <w:top w:val="single" w:sz="4" w:space="0" w:color="4098A4" w:themeColor="accent1"/>
          <w:left w:val="single" w:sz="4" w:space="0" w:color="4098A4" w:themeColor="accent1"/>
          <w:bottom w:val="single" w:sz="4" w:space="0" w:color="4098A4" w:themeColor="accent1"/>
          <w:right w:val="single" w:sz="4" w:space="0" w:color="4098A4" w:themeColor="accent1"/>
          <w:insideH w:val="nil"/>
        </w:tcBorders>
        <w:shd w:val="clear" w:color="auto" w:fill="4098A4" w:themeFill="accent1"/>
      </w:tcPr>
    </w:tblStylePr>
    <w:tblStylePr w:type="lastRow">
      <w:rPr>
        <w:b/>
        <w:bCs/>
      </w:rPr>
      <w:tblPr/>
      <w:tcPr>
        <w:tcBorders>
          <w:top w:val="double" w:sz="4" w:space="0" w:color="85C6CF" w:themeColor="accent1" w:themeTint="99"/>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ListTable4-Accent2">
    <w:name w:val="List Table 4 Accent 2"/>
    <w:basedOn w:val="TableNormal"/>
    <w:uiPriority w:val="49"/>
    <w:semiHidden/>
    <w:rsid w:val="00294A5A"/>
    <w:pPr>
      <w:spacing w:after="0" w:line="240" w:lineRule="auto"/>
    </w:pPr>
    <w:tblPr>
      <w:tblStyleRowBandSize w:val="1"/>
      <w:tblStyleColBandSize w:val="1"/>
      <w:tblBorders>
        <w:top w:val="single" w:sz="4" w:space="0" w:color="B2D5DB" w:themeColor="accent2" w:themeTint="99"/>
        <w:left w:val="single" w:sz="4" w:space="0" w:color="B2D5DB" w:themeColor="accent2" w:themeTint="99"/>
        <w:bottom w:val="single" w:sz="4" w:space="0" w:color="B2D5DB" w:themeColor="accent2" w:themeTint="99"/>
        <w:right w:val="single" w:sz="4" w:space="0" w:color="B2D5DB" w:themeColor="accent2" w:themeTint="99"/>
        <w:insideH w:val="single" w:sz="4" w:space="0" w:color="B2D5DB" w:themeColor="accent2" w:themeTint="99"/>
      </w:tblBorders>
    </w:tblPr>
    <w:tblStylePr w:type="firstRow">
      <w:rPr>
        <w:b/>
        <w:bCs/>
        <w:color w:val="FFFFFF" w:themeColor="background1"/>
      </w:rPr>
      <w:tblPr/>
      <w:tcPr>
        <w:tcBorders>
          <w:top w:val="single" w:sz="4" w:space="0" w:color="80BAC3" w:themeColor="accent2"/>
          <w:left w:val="single" w:sz="4" w:space="0" w:color="80BAC3" w:themeColor="accent2"/>
          <w:bottom w:val="single" w:sz="4" w:space="0" w:color="80BAC3" w:themeColor="accent2"/>
          <w:right w:val="single" w:sz="4" w:space="0" w:color="80BAC3" w:themeColor="accent2"/>
          <w:insideH w:val="nil"/>
        </w:tcBorders>
        <w:shd w:val="clear" w:color="auto" w:fill="80BAC3" w:themeFill="accent2"/>
      </w:tcPr>
    </w:tblStylePr>
    <w:tblStylePr w:type="lastRow">
      <w:rPr>
        <w:b/>
        <w:bCs/>
      </w:rPr>
      <w:tblPr/>
      <w:tcPr>
        <w:tcBorders>
          <w:top w:val="double" w:sz="4" w:space="0" w:color="B2D5DB" w:themeColor="accent2" w:themeTint="99"/>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ListTable4-Accent3">
    <w:name w:val="List Table 4 Accent 3"/>
    <w:basedOn w:val="TableNormal"/>
    <w:uiPriority w:val="49"/>
    <w:semiHidden/>
    <w:rsid w:val="00294A5A"/>
    <w:pPr>
      <w:spacing w:after="0" w:line="240" w:lineRule="auto"/>
    </w:pPr>
    <w:tblPr>
      <w:tblStyleRowBandSize w:val="1"/>
      <w:tblStyleColBandSize w:val="1"/>
      <w:tblBorders>
        <w:top w:val="single" w:sz="4" w:space="0" w:color="D8EAED" w:themeColor="accent3" w:themeTint="99"/>
        <w:left w:val="single" w:sz="4" w:space="0" w:color="D8EAED" w:themeColor="accent3" w:themeTint="99"/>
        <w:bottom w:val="single" w:sz="4" w:space="0" w:color="D8EAED" w:themeColor="accent3" w:themeTint="99"/>
        <w:right w:val="single" w:sz="4" w:space="0" w:color="D8EAED" w:themeColor="accent3" w:themeTint="99"/>
        <w:insideH w:val="single" w:sz="4" w:space="0" w:color="D8EAED" w:themeColor="accent3" w:themeTint="99"/>
      </w:tblBorders>
    </w:tblPr>
    <w:tblStylePr w:type="firstRow">
      <w:rPr>
        <w:b/>
        <w:bCs/>
        <w:color w:val="FFFFFF" w:themeColor="background1"/>
      </w:rPr>
      <w:tblPr/>
      <w:tcPr>
        <w:tcBorders>
          <w:top w:val="single" w:sz="4" w:space="0" w:color="BFDDE1" w:themeColor="accent3"/>
          <w:left w:val="single" w:sz="4" w:space="0" w:color="BFDDE1" w:themeColor="accent3"/>
          <w:bottom w:val="single" w:sz="4" w:space="0" w:color="BFDDE1" w:themeColor="accent3"/>
          <w:right w:val="single" w:sz="4" w:space="0" w:color="BFDDE1" w:themeColor="accent3"/>
          <w:insideH w:val="nil"/>
        </w:tcBorders>
        <w:shd w:val="clear" w:color="auto" w:fill="BFDDE1" w:themeFill="accent3"/>
      </w:tcPr>
    </w:tblStylePr>
    <w:tblStylePr w:type="lastRow">
      <w:rPr>
        <w:b/>
        <w:bCs/>
      </w:rPr>
      <w:tblPr/>
      <w:tcPr>
        <w:tcBorders>
          <w:top w:val="double" w:sz="4" w:space="0" w:color="D8EAED" w:themeColor="accent3" w:themeTint="99"/>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ListTable4-Accent4">
    <w:name w:val="List Table 4 Accent 4"/>
    <w:basedOn w:val="TableNormal"/>
    <w:uiPriority w:val="49"/>
    <w:semiHidden/>
    <w:rsid w:val="00294A5A"/>
    <w:pPr>
      <w:spacing w:after="0" w:line="240" w:lineRule="auto"/>
    </w:pPr>
    <w:tblPr>
      <w:tblStyleRowBandSize w:val="1"/>
      <w:tblStyleColBandSize w:val="1"/>
      <w:tblBorders>
        <w:top w:val="single" w:sz="4" w:space="0" w:color="84849D" w:themeColor="accent4" w:themeTint="99"/>
        <w:left w:val="single" w:sz="4" w:space="0" w:color="84849D" w:themeColor="accent4" w:themeTint="99"/>
        <w:bottom w:val="single" w:sz="4" w:space="0" w:color="84849D" w:themeColor="accent4" w:themeTint="99"/>
        <w:right w:val="single" w:sz="4" w:space="0" w:color="84849D" w:themeColor="accent4" w:themeTint="99"/>
        <w:insideH w:val="single" w:sz="4" w:space="0" w:color="84849D" w:themeColor="accent4" w:themeTint="99"/>
      </w:tblBorders>
    </w:tblPr>
    <w:tblStylePr w:type="firstRow">
      <w:rPr>
        <w:b/>
        <w:bCs/>
        <w:color w:val="FFFFFF" w:themeColor="background1"/>
      </w:rPr>
      <w:tblPr/>
      <w:tcPr>
        <w:tcBorders>
          <w:top w:val="single" w:sz="4" w:space="0" w:color="404050" w:themeColor="accent4"/>
          <w:left w:val="single" w:sz="4" w:space="0" w:color="404050" w:themeColor="accent4"/>
          <w:bottom w:val="single" w:sz="4" w:space="0" w:color="404050" w:themeColor="accent4"/>
          <w:right w:val="single" w:sz="4" w:space="0" w:color="404050" w:themeColor="accent4"/>
          <w:insideH w:val="nil"/>
        </w:tcBorders>
        <w:shd w:val="clear" w:color="auto" w:fill="404050" w:themeFill="accent4"/>
      </w:tcPr>
    </w:tblStylePr>
    <w:tblStylePr w:type="lastRow">
      <w:rPr>
        <w:b/>
        <w:bCs/>
      </w:rPr>
      <w:tblPr/>
      <w:tcPr>
        <w:tcBorders>
          <w:top w:val="double" w:sz="4" w:space="0" w:color="84849D" w:themeColor="accent4" w:themeTint="99"/>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ListTable4-Accent5">
    <w:name w:val="List Table 4 Accent 5"/>
    <w:basedOn w:val="TableNormal"/>
    <w:uiPriority w:val="49"/>
    <w:semiHidden/>
    <w:rsid w:val="00294A5A"/>
    <w:pPr>
      <w:spacing w:after="0" w:line="240" w:lineRule="auto"/>
    </w:pPr>
    <w:tblPr>
      <w:tblStyleRowBandSize w:val="1"/>
      <w:tblStyleColBandSize w:val="1"/>
      <w:tblBorders>
        <w:top w:val="single" w:sz="4" w:space="0" w:color="B2B2B9" w:themeColor="accent5" w:themeTint="99"/>
        <w:left w:val="single" w:sz="4" w:space="0" w:color="B2B2B9" w:themeColor="accent5" w:themeTint="99"/>
        <w:bottom w:val="single" w:sz="4" w:space="0" w:color="B2B2B9" w:themeColor="accent5" w:themeTint="99"/>
        <w:right w:val="single" w:sz="4" w:space="0" w:color="B2B2B9" w:themeColor="accent5" w:themeTint="99"/>
        <w:insideH w:val="single" w:sz="4" w:space="0" w:color="B2B2B9" w:themeColor="accent5" w:themeTint="99"/>
      </w:tblBorders>
    </w:tblPr>
    <w:tblStylePr w:type="firstRow">
      <w:rPr>
        <w:b/>
        <w:bCs/>
        <w:color w:val="FFFFFF" w:themeColor="background1"/>
      </w:rPr>
      <w:tblPr/>
      <w:tcPr>
        <w:tcBorders>
          <w:top w:val="single" w:sz="4" w:space="0" w:color="80808B" w:themeColor="accent5"/>
          <w:left w:val="single" w:sz="4" w:space="0" w:color="80808B" w:themeColor="accent5"/>
          <w:bottom w:val="single" w:sz="4" w:space="0" w:color="80808B" w:themeColor="accent5"/>
          <w:right w:val="single" w:sz="4" w:space="0" w:color="80808B" w:themeColor="accent5"/>
          <w:insideH w:val="nil"/>
        </w:tcBorders>
        <w:shd w:val="clear" w:color="auto" w:fill="80808B" w:themeFill="accent5"/>
      </w:tcPr>
    </w:tblStylePr>
    <w:tblStylePr w:type="lastRow">
      <w:rPr>
        <w:b/>
        <w:bCs/>
      </w:rPr>
      <w:tblPr/>
      <w:tcPr>
        <w:tcBorders>
          <w:top w:val="double" w:sz="4" w:space="0" w:color="B2B2B9" w:themeColor="accent5" w:themeTint="99"/>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ListTable4-Accent6">
    <w:name w:val="List Table 4 Accent 6"/>
    <w:basedOn w:val="TableNormal"/>
    <w:uiPriority w:val="49"/>
    <w:semiHidden/>
    <w:rsid w:val="00294A5A"/>
    <w:pPr>
      <w:spacing w:after="0" w:line="240" w:lineRule="auto"/>
    </w:pPr>
    <w:tblPr>
      <w:tblStyleRowBandSize w:val="1"/>
      <w:tblStyleColBandSize w:val="1"/>
      <w:tblBorders>
        <w:top w:val="single" w:sz="4" w:space="0" w:color="E0E0E2" w:themeColor="accent6" w:themeTint="99"/>
        <w:left w:val="single" w:sz="4" w:space="0" w:color="E0E0E2" w:themeColor="accent6" w:themeTint="99"/>
        <w:bottom w:val="single" w:sz="4" w:space="0" w:color="E0E0E2" w:themeColor="accent6" w:themeTint="99"/>
        <w:right w:val="single" w:sz="4" w:space="0" w:color="E0E0E2" w:themeColor="accent6" w:themeTint="99"/>
        <w:insideH w:val="single" w:sz="4" w:space="0" w:color="E0E0E2" w:themeColor="accent6" w:themeTint="99"/>
      </w:tblBorders>
    </w:tblPr>
    <w:tblStylePr w:type="firstRow">
      <w:rPr>
        <w:b/>
        <w:bCs/>
        <w:color w:val="FFFFFF" w:themeColor="background1"/>
      </w:rPr>
      <w:tblPr/>
      <w:tcPr>
        <w:tcBorders>
          <w:top w:val="single" w:sz="4" w:space="0" w:color="CCCCD0" w:themeColor="accent6"/>
          <w:left w:val="single" w:sz="4" w:space="0" w:color="CCCCD0" w:themeColor="accent6"/>
          <w:bottom w:val="single" w:sz="4" w:space="0" w:color="CCCCD0" w:themeColor="accent6"/>
          <w:right w:val="single" w:sz="4" w:space="0" w:color="CCCCD0" w:themeColor="accent6"/>
          <w:insideH w:val="nil"/>
        </w:tcBorders>
        <w:shd w:val="clear" w:color="auto" w:fill="CCCCD0" w:themeFill="accent6"/>
      </w:tcPr>
    </w:tblStylePr>
    <w:tblStylePr w:type="lastRow">
      <w:rPr>
        <w:b/>
        <w:bCs/>
      </w:rPr>
      <w:tblPr/>
      <w:tcPr>
        <w:tcBorders>
          <w:top w:val="double" w:sz="4" w:space="0" w:color="E0E0E2" w:themeColor="accent6" w:themeTint="99"/>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ListTable5Dark">
    <w:name w:val="List Table 5 Dark"/>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4098A4" w:themeColor="accent1"/>
        <w:left w:val="single" w:sz="24" w:space="0" w:color="4098A4" w:themeColor="accent1"/>
        <w:bottom w:val="single" w:sz="24" w:space="0" w:color="4098A4" w:themeColor="accent1"/>
        <w:right w:val="single" w:sz="24" w:space="0" w:color="4098A4" w:themeColor="accent1"/>
      </w:tblBorders>
    </w:tblPr>
    <w:tcPr>
      <w:shd w:val="clear" w:color="auto" w:fill="4098A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80BAC3" w:themeColor="accent2"/>
        <w:left w:val="single" w:sz="24" w:space="0" w:color="80BAC3" w:themeColor="accent2"/>
        <w:bottom w:val="single" w:sz="24" w:space="0" w:color="80BAC3" w:themeColor="accent2"/>
        <w:right w:val="single" w:sz="24" w:space="0" w:color="80BAC3" w:themeColor="accent2"/>
      </w:tblBorders>
    </w:tblPr>
    <w:tcPr>
      <w:shd w:val="clear" w:color="auto" w:fill="80BAC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BFDDE1" w:themeColor="accent3"/>
        <w:left w:val="single" w:sz="24" w:space="0" w:color="BFDDE1" w:themeColor="accent3"/>
        <w:bottom w:val="single" w:sz="24" w:space="0" w:color="BFDDE1" w:themeColor="accent3"/>
        <w:right w:val="single" w:sz="24" w:space="0" w:color="BFDDE1" w:themeColor="accent3"/>
      </w:tblBorders>
    </w:tblPr>
    <w:tcPr>
      <w:shd w:val="clear" w:color="auto" w:fill="BFDDE1"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404050" w:themeColor="accent4"/>
        <w:left w:val="single" w:sz="24" w:space="0" w:color="404050" w:themeColor="accent4"/>
        <w:bottom w:val="single" w:sz="24" w:space="0" w:color="404050" w:themeColor="accent4"/>
        <w:right w:val="single" w:sz="24" w:space="0" w:color="404050" w:themeColor="accent4"/>
      </w:tblBorders>
    </w:tblPr>
    <w:tcPr>
      <w:shd w:val="clear" w:color="auto" w:fill="40405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80808B" w:themeColor="accent5"/>
        <w:left w:val="single" w:sz="24" w:space="0" w:color="80808B" w:themeColor="accent5"/>
        <w:bottom w:val="single" w:sz="24" w:space="0" w:color="80808B" w:themeColor="accent5"/>
        <w:right w:val="single" w:sz="24" w:space="0" w:color="80808B" w:themeColor="accent5"/>
      </w:tblBorders>
    </w:tblPr>
    <w:tcPr>
      <w:shd w:val="clear" w:color="auto" w:fill="80808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294A5A"/>
    <w:pPr>
      <w:spacing w:after="0" w:line="240" w:lineRule="auto"/>
    </w:pPr>
    <w:rPr>
      <w:color w:val="FFFFFF" w:themeColor="background1"/>
    </w:rPr>
    <w:tblPr>
      <w:tblStyleRowBandSize w:val="1"/>
      <w:tblStyleColBandSize w:val="1"/>
      <w:tblBorders>
        <w:top w:val="single" w:sz="24" w:space="0" w:color="CCCCD0" w:themeColor="accent6"/>
        <w:left w:val="single" w:sz="24" w:space="0" w:color="CCCCD0" w:themeColor="accent6"/>
        <w:bottom w:val="single" w:sz="24" w:space="0" w:color="CCCCD0" w:themeColor="accent6"/>
        <w:right w:val="single" w:sz="24" w:space="0" w:color="CCCCD0" w:themeColor="accent6"/>
      </w:tblBorders>
    </w:tblPr>
    <w:tcPr>
      <w:shd w:val="clear" w:color="auto" w:fill="CCCCD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294A5A"/>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semiHidden/>
    <w:rsid w:val="00294A5A"/>
    <w:pPr>
      <w:spacing w:after="0" w:line="240" w:lineRule="auto"/>
    </w:pPr>
    <w:rPr>
      <w:color w:val="30717A" w:themeColor="accent1" w:themeShade="BF"/>
    </w:rPr>
    <w:tblPr>
      <w:tblStyleRowBandSize w:val="1"/>
      <w:tblStyleColBandSize w:val="1"/>
      <w:tblBorders>
        <w:top w:val="single" w:sz="4" w:space="0" w:color="4098A4" w:themeColor="accent1"/>
        <w:bottom w:val="single" w:sz="4" w:space="0" w:color="4098A4" w:themeColor="accent1"/>
      </w:tblBorders>
    </w:tblPr>
    <w:tblStylePr w:type="firstRow">
      <w:rPr>
        <w:b/>
        <w:bCs/>
      </w:rPr>
      <w:tblPr/>
      <w:tcPr>
        <w:tcBorders>
          <w:bottom w:val="single" w:sz="4" w:space="0" w:color="4098A4" w:themeColor="accent1"/>
        </w:tcBorders>
      </w:tcPr>
    </w:tblStylePr>
    <w:tblStylePr w:type="lastRow">
      <w:rPr>
        <w:b/>
        <w:bCs/>
      </w:rPr>
      <w:tblPr/>
      <w:tcPr>
        <w:tcBorders>
          <w:top w:val="double" w:sz="4" w:space="0" w:color="4098A4" w:themeColor="accent1"/>
        </w:tcBorders>
      </w:tcPr>
    </w:tblStylePr>
    <w:tblStylePr w:type="firstCol">
      <w:rPr>
        <w:b/>
        <w:bCs/>
      </w:rPr>
    </w:tblStylePr>
    <w:tblStylePr w:type="lastCol">
      <w:rPr>
        <w:b/>
        <w:bCs/>
      </w:rPr>
    </w:tblStylePr>
    <w:tblStylePr w:type="band1Vert">
      <w:tblPr/>
      <w:tcPr>
        <w:shd w:val="clear" w:color="auto" w:fill="D6ECEF" w:themeFill="accent1" w:themeFillTint="33"/>
      </w:tcPr>
    </w:tblStylePr>
    <w:tblStylePr w:type="band1Horz">
      <w:tblPr/>
      <w:tcPr>
        <w:shd w:val="clear" w:color="auto" w:fill="D6ECEF" w:themeFill="accent1" w:themeFillTint="33"/>
      </w:tcPr>
    </w:tblStylePr>
  </w:style>
  <w:style w:type="table" w:styleId="ListTable6Colorful-Accent2">
    <w:name w:val="List Table 6 Colorful Accent 2"/>
    <w:basedOn w:val="TableNormal"/>
    <w:uiPriority w:val="51"/>
    <w:semiHidden/>
    <w:rsid w:val="00294A5A"/>
    <w:pPr>
      <w:spacing w:after="0" w:line="240" w:lineRule="auto"/>
    </w:pPr>
    <w:rPr>
      <w:color w:val="4D98A4" w:themeColor="accent2" w:themeShade="BF"/>
    </w:rPr>
    <w:tblPr>
      <w:tblStyleRowBandSize w:val="1"/>
      <w:tblStyleColBandSize w:val="1"/>
      <w:tblBorders>
        <w:top w:val="single" w:sz="4" w:space="0" w:color="80BAC3" w:themeColor="accent2"/>
        <w:bottom w:val="single" w:sz="4" w:space="0" w:color="80BAC3" w:themeColor="accent2"/>
      </w:tblBorders>
    </w:tblPr>
    <w:tblStylePr w:type="firstRow">
      <w:rPr>
        <w:b/>
        <w:bCs/>
      </w:rPr>
      <w:tblPr/>
      <w:tcPr>
        <w:tcBorders>
          <w:bottom w:val="single" w:sz="4" w:space="0" w:color="80BAC3" w:themeColor="accent2"/>
        </w:tcBorders>
      </w:tcPr>
    </w:tblStylePr>
    <w:tblStylePr w:type="lastRow">
      <w:rPr>
        <w:b/>
        <w:bCs/>
      </w:rPr>
      <w:tblPr/>
      <w:tcPr>
        <w:tcBorders>
          <w:top w:val="double" w:sz="4" w:space="0" w:color="80BAC3" w:themeColor="accent2"/>
        </w:tcBorders>
      </w:tcPr>
    </w:tblStylePr>
    <w:tblStylePr w:type="firstCol">
      <w:rPr>
        <w:b/>
        <w:bCs/>
      </w:rPr>
    </w:tblStylePr>
    <w:tblStylePr w:type="lastCol">
      <w:rPr>
        <w:b/>
        <w:bCs/>
      </w:rPr>
    </w:tblStylePr>
    <w:tblStylePr w:type="band1Vert">
      <w:tblPr/>
      <w:tcPr>
        <w:shd w:val="clear" w:color="auto" w:fill="E5F1F3" w:themeFill="accent2" w:themeFillTint="33"/>
      </w:tcPr>
    </w:tblStylePr>
    <w:tblStylePr w:type="band1Horz">
      <w:tblPr/>
      <w:tcPr>
        <w:shd w:val="clear" w:color="auto" w:fill="E5F1F3" w:themeFill="accent2" w:themeFillTint="33"/>
      </w:tcPr>
    </w:tblStylePr>
  </w:style>
  <w:style w:type="table" w:styleId="ListTable6Colorful-Accent3">
    <w:name w:val="List Table 6 Colorful Accent 3"/>
    <w:basedOn w:val="TableNormal"/>
    <w:uiPriority w:val="51"/>
    <w:semiHidden/>
    <w:rsid w:val="00294A5A"/>
    <w:pPr>
      <w:spacing w:after="0" w:line="240" w:lineRule="auto"/>
    </w:pPr>
    <w:rPr>
      <w:color w:val="77B7BF" w:themeColor="accent3" w:themeShade="BF"/>
    </w:rPr>
    <w:tblPr>
      <w:tblStyleRowBandSize w:val="1"/>
      <w:tblStyleColBandSize w:val="1"/>
      <w:tblBorders>
        <w:top w:val="single" w:sz="4" w:space="0" w:color="BFDDE1" w:themeColor="accent3"/>
        <w:bottom w:val="single" w:sz="4" w:space="0" w:color="BFDDE1" w:themeColor="accent3"/>
      </w:tblBorders>
    </w:tblPr>
    <w:tblStylePr w:type="firstRow">
      <w:rPr>
        <w:b/>
        <w:bCs/>
      </w:rPr>
      <w:tblPr/>
      <w:tcPr>
        <w:tcBorders>
          <w:bottom w:val="single" w:sz="4" w:space="0" w:color="BFDDE1" w:themeColor="accent3"/>
        </w:tcBorders>
      </w:tcPr>
    </w:tblStylePr>
    <w:tblStylePr w:type="lastRow">
      <w:rPr>
        <w:b/>
        <w:bCs/>
      </w:rPr>
      <w:tblPr/>
      <w:tcPr>
        <w:tcBorders>
          <w:top w:val="double" w:sz="4" w:space="0" w:color="BFDDE1" w:themeColor="accent3"/>
        </w:tcBorders>
      </w:tcPr>
    </w:tblStylePr>
    <w:tblStylePr w:type="firstCol">
      <w:rPr>
        <w:b/>
        <w:bCs/>
      </w:rPr>
    </w:tblStylePr>
    <w:tblStylePr w:type="lastCol">
      <w:rPr>
        <w:b/>
        <w:bCs/>
      </w:rPr>
    </w:tblStylePr>
    <w:tblStylePr w:type="band1Vert">
      <w:tblPr/>
      <w:tcPr>
        <w:shd w:val="clear" w:color="auto" w:fill="F2F8F9" w:themeFill="accent3" w:themeFillTint="33"/>
      </w:tcPr>
    </w:tblStylePr>
    <w:tblStylePr w:type="band1Horz">
      <w:tblPr/>
      <w:tcPr>
        <w:shd w:val="clear" w:color="auto" w:fill="F2F8F9" w:themeFill="accent3" w:themeFillTint="33"/>
      </w:tcPr>
    </w:tblStylePr>
  </w:style>
  <w:style w:type="table" w:styleId="ListTable6Colorful-Accent4">
    <w:name w:val="List Table 6 Colorful Accent 4"/>
    <w:basedOn w:val="TableNormal"/>
    <w:uiPriority w:val="51"/>
    <w:semiHidden/>
    <w:rsid w:val="00294A5A"/>
    <w:pPr>
      <w:spacing w:after="0" w:line="240" w:lineRule="auto"/>
    </w:pPr>
    <w:rPr>
      <w:color w:val="30303B" w:themeColor="accent4" w:themeShade="BF"/>
    </w:rPr>
    <w:tblPr>
      <w:tblStyleRowBandSize w:val="1"/>
      <w:tblStyleColBandSize w:val="1"/>
      <w:tblBorders>
        <w:top w:val="single" w:sz="4" w:space="0" w:color="404050" w:themeColor="accent4"/>
        <w:bottom w:val="single" w:sz="4" w:space="0" w:color="404050" w:themeColor="accent4"/>
      </w:tblBorders>
    </w:tblPr>
    <w:tblStylePr w:type="firstRow">
      <w:rPr>
        <w:b/>
        <w:bCs/>
      </w:rPr>
      <w:tblPr/>
      <w:tcPr>
        <w:tcBorders>
          <w:bottom w:val="single" w:sz="4" w:space="0" w:color="404050" w:themeColor="accent4"/>
        </w:tcBorders>
      </w:tcPr>
    </w:tblStylePr>
    <w:tblStylePr w:type="lastRow">
      <w:rPr>
        <w:b/>
        <w:bCs/>
      </w:rPr>
      <w:tblPr/>
      <w:tcPr>
        <w:tcBorders>
          <w:top w:val="double" w:sz="4" w:space="0" w:color="404050" w:themeColor="accent4"/>
        </w:tcBorders>
      </w:tcPr>
    </w:tblStylePr>
    <w:tblStylePr w:type="firstCol">
      <w:rPr>
        <w:b/>
        <w:bCs/>
      </w:rPr>
    </w:tblStylePr>
    <w:tblStylePr w:type="lastCol">
      <w:rPr>
        <w:b/>
        <w:bCs/>
      </w:rPr>
    </w:tblStylePr>
    <w:tblStylePr w:type="band1Vert">
      <w:tblPr/>
      <w:tcPr>
        <w:shd w:val="clear" w:color="auto" w:fill="D6D6DE" w:themeFill="accent4" w:themeFillTint="33"/>
      </w:tcPr>
    </w:tblStylePr>
    <w:tblStylePr w:type="band1Horz">
      <w:tblPr/>
      <w:tcPr>
        <w:shd w:val="clear" w:color="auto" w:fill="D6D6DE" w:themeFill="accent4" w:themeFillTint="33"/>
      </w:tcPr>
    </w:tblStylePr>
  </w:style>
  <w:style w:type="table" w:styleId="ListTable6Colorful-Accent5">
    <w:name w:val="List Table 6 Colorful Accent 5"/>
    <w:basedOn w:val="TableNormal"/>
    <w:uiPriority w:val="51"/>
    <w:semiHidden/>
    <w:rsid w:val="00294A5A"/>
    <w:pPr>
      <w:spacing w:after="0" w:line="240" w:lineRule="auto"/>
    </w:pPr>
    <w:rPr>
      <w:color w:val="5F5F68" w:themeColor="accent5" w:themeShade="BF"/>
    </w:rPr>
    <w:tblPr>
      <w:tblStyleRowBandSize w:val="1"/>
      <w:tblStyleColBandSize w:val="1"/>
      <w:tblBorders>
        <w:top w:val="single" w:sz="4" w:space="0" w:color="80808B" w:themeColor="accent5"/>
        <w:bottom w:val="single" w:sz="4" w:space="0" w:color="80808B" w:themeColor="accent5"/>
      </w:tblBorders>
    </w:tblPr>
    <w:tblStylePr w:type="firstRow">
      <w:rPr>
        <w:b/>
        <w:bCs/>
      </w:rPr>
      <w:tblPr/>
      <w:tcPr>
        <w:tcBorders>
          <w:bottom w:val="single" w:sz="4" w:space="0" w:color="80808B" w:themeColor="accent5"/>
        </w:tcBorders>
      </w:tcPr>
    </w:tblStylePr>
    <w:tblStylePr w:type="lastRow">
      <w:rPr>
        <w:b/>
        <w:bCs/>
      </w:rPr>
      <w:tblPr/>
      <w:tcPr>
        <w:tcBorders>
          <w:top w:val="double" w:sz="4" w:space="0" w:color="80808B" w:themeColor="accent5"/>
        </w:tcBorders>
      </w:tcPr>
    </w:tblStylePr>
    <w:tblStylePr w:type="firstCol">
      <w:rPr>
        <w:b/>
        <w:bCs/>
      </w:rPr>
    </w:tblStylePr>
    <w:tblStylePr w:type="lastCol">
      <w:rPr>
        <w:b/>
        <w:bCs/>
      </w:rPr>
    </w:tblStylePr>
    <w:tblStylePr w:type="band1Vert">
      <w:tblPr/>
      <w:tcPr>
        <w:shd w:val="clear" w:color="auto" w:fill="E5E5E7" w:themeFill="accent5" w:themeFillTint="33"/>
      </w:tcPr>
    </w:tblStylePr>
    <w:tblStylePr w:type="band1Horz">
      <w:tblPr/>
      <w:tcPr>
        <w:shd w:val="clear" w:color="auto" w:fill="E5E5E7" w:themeFill="accent5" w:themeFillTint="33"/>
      </w:tcPr>
    </w:tblStylePr>
  </w:style>
  <w:style w:type="table" w:styleId="ListTable6Colorful-Accent6">
    <w:name w:val="List Table 6 Colorful Accent 6"/>
    <w:basedOn w:val="TableNormal"/>
    <w:uiPriority w:val="51"/>
    <w:semiHidden/>
    <w:rsid w:val="00294A5A"/>
    <w:pPr>
      <w:spacing w:after="0" w:line="240" w:lineRule="auto"/>
    </w:pPr>
    <w:rPr>
      <w:color w:val="96969E" w:themeColor="accent6" w:themeShade="BF"/>
    </w:rPr>
    <w:tblPr>
      <w:tblStyleRowBandSize w:val="1"/>
      <w:tblStyleColBandSize w:val="1"/>
      <w:tblBorders>
        <w:top w:val="single" w:sz="4" w:space="0" w:color="CCCCD0" w:themeColor="accent6"/>
        <w:bottom w:val="single" w:sz="4" w:space="0" w:color="CCCCD0" w:themeColor="accent6"/>
      </w:tblBorders>
    </w:tblPr>
    <w:tblStylePr w:type="firstRow">
      <w:rPr>
        <w:b/>
        <w:bCs/>
      </w:rPr>
      <w:tblPr/>
      <w:tcPr>
        <w:tcBorders>
          <w:bottom w:val="single" w:sz="4" w:space="0" w:color="CCCCD0" w:themeColor="accent6"/>
        </w:tcBorders>
      </w:tcPr>
    </w:tblStylePr>
    <w:tblStylePr w:type="lastRow">
      <w:rPr>
        <w:b/>
        <w:bCs/>
      </w:rPr>
      <w:tblPr/>
      <w:tcPr>
        <w:tcBorders>
          <w:top w:val="double" w:sz="4" w:space="0" w:color="CCCCD0" w:themeColor="accent6"/>
        </w:tcBorders>
      </w:tcPr>
    </w:tblStylePr>
    <w:tblStylePr w:type="firstCol">
      <w:rPr>
        <w:b/>
        <w:bCs/>
      </w:rPr>
    </w:tblStylePr>
    <w:tblStylePr w:type="lastCol">
      <w:rPr>
        <w:b/>
        <w:bCs/>
      </w:rPr>
    </w:tblStylePr>
    <w:tblStylePr w:type="band1Vert">
      <w:tblPr/>
      <w:tcPr>
        <w:shd w:val="clear" w:color="auto" w:fill="F4F4F5" w:themeFill="accent6" w:themeFillTint="33"/>
      </w:tcPr>
    </w:tblStylePr>
    <w:tblStylePr w:type="band1Horz">
      <w:tblPr/>
      <w:tcPr>
        <w:shd w:val="clear" w:color="auto" w:fill="F4F4F5" w:themeFill="accent6" w:themeFillTint="33"/>
      </w:tcPr>
    </w:tblStylePr>
  </w:style>
  <w:style w:type="table" w:styleId="ListTable7Colorful">
    <w:name w:val="List Table 7 Colorful"/>
    <w:basedOn w:val="TableNormal"/>
    <w:uiPriority w:val="52"/>
    <w:semiHidden/>
    <w:rsid w:val="00294A5A"/>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294A5A"/>
    <w:pPr>
      <w:spacing w:after="0" w:line="240" w:lineRule="auto"/>
    </w:pPr>
    <w:rPr>
      <w:color w:val="30717A"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098A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098A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098A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098A4" w:themeColor="accent1"/>
        </w:tcBorders>
        <w:shd w:val="clear" w:color="auto" w:fill="FFFFFF" w:themeFill="background1"/>
      </w:tcPr>
    </w:tblStylePr>
    <w:tblStylePr w:type="band1Vert">
      <w:tblPr/>
      <w:tcPr>
        <w:shd w:val="clear" w:color="auto" w:fill="D6ECEF" w:themeFill="accent1" w:themeFillTint="33"/>
      </w:tcPr>
    </w:tblStylePr>
    <w:tblStylePr w:type="band1Horz">
      <w:tblPr/>
      <w:tcPr>
        <w:shd w:val="clear" w:color="auto" w:fill="D6ECE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294A5A"/>
    <w:pPr>
      <w:spacing w:after="0" w:line="240" w:lineRule="auto"/>
    </w:pPr>
    <w:rPr>
      <w:color w:val="4D98A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BAC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BAC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BAC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BAC3" w:themeColor="accent2"/>
        </w:tcBorders>
        <w:shd w:val="clear" w:color="auto" w:fill="FFFFFF" w:themeFill="background1"/>
      </w:tcPr>
    </w:tblStylePr>
    <w:tblStylePr w:type="band1Vert">
      <w:tblPr/>
      <w:tcPr>
        <w:shd w:val="clear" w:color="auto" w:fill="E5F1F3" w:themeFill="accent2" w:themeFillTint="33"/>
      </w:tcPr>
    </w:tblStylePr>
    <w:tblStylePr w:type="band1Horz">
      <w:tblPr/>
      <w:tcPr>
        <w:shd w:val="clear" w:color="auto" w:fill="E5F1F3"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294A5A"/>
    <w:pPr>
      <w:spacing w:after="0" w:line="240" w:lineRule="auto"/>
    </w:pPr>
    <w:rPr>
      <w:color w:val="77B7BF"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FDDE1"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FDDE1"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FDDE1"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FDDE1" w:themeColor="accent3"/>
        </w:tcBorders>
        <w:shd w:val="clear" w:color="auto" w:fill="FFFFFF" w:themeFill="background1"/>
      </w:tcPr>
    </w:tblStylePr>
    <w:tblStylePr w:type="band1Vert">
      <w:tblPr/>
      <w:tcPr>
        <w:shd w:val="clear" w:color="auto" w:fill="F2F8F9" w:themeFill="accent3" w:themeFillTint="33"/>
      </w:tcPr>
    </w:tblStylePr>
    <w:tblStylePr w:type="band1Horz">
      <w:tblPr/>
      <w:tcPr>
        <w:shd w:val="clear" w:color="auto" w:fill="F2F8F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294A5A"/>
    <w:pPr>
      <w:spacing w:after="0" w:line="240" w:lineRule="auto"/>
    </w:pPr>
    <w:rPr>
      <w:color w:val="30303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0405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0405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0405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04050" w:themeColor="accent4"/>
        </w:tcBorders>
        <w:shd w:val="clear" w:color="auto" w:fill="FFFFFF" w:themeFill="background1"/>
      </w:tcPr>
    </w:tblStylePr>
    <w:tblStylePr w:type="band1Vert">
      <w:tblPr/>
      <w:tcPr>
        <w:shd w:val="clear" w:color="auto" w:fill="D6D6DE" w:themeFill="accent4" w:themeFillTint="33"/>
      </w:tcPr>
    </w:tblStylePr>
    <w:tblStylePr w:type="band1Horz">
      <w:tblPr/>
      <w:tcPr>
        <w:shd w:val="clear" w:color="auto" w:fill="D6D6DE"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294A5A"/>
    <w:pPr>
      <w:spacing w:after="0" w:line="240" w:lineRule="auto"/>
    </w:pPr>
    <w:rPr>
      <w:color w:val="5F5F6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0808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0808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0808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0808B" w:themeColor="accent5"/>
        </w:tcBorders>
        <w:shd w:val="clear" w:color="auto" w:fill="FFFFFF" w:themeFill="background1"/>
      </w:tcPr>
    </w:tblStylePr>
    <w:tblStylePr w:type="band1Vert">
      <w:tblPr/>
      <w:tcPr>
        <w:shd w:val="clear" w:color="auto" w:fill="E5E5E7" w:themeFill="accent5" w:themeFillTint="33"/>
      </w:tcPr>
    </w:tblStylePr>
    <w:tblStylePr w:type="band1Horz">
      <w:tblPr/>
      <w:tcPr>
        <w:shd w:val="clear" w:color="auto" w:fill="E5E5E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294A5A"/>
    <w:pPr>
      <w:spacing w:after="0" w:line="240" w:lineRule="auto"/>
    </w:pPr>
    <w:rPr>
      <w:color w:val="96969E"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CCCD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CCCD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CCCD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CCCD0" w:themeColor="accent6"/>
        </w:tcBorders>
        <w:shd w:val="clear" w:color="auto" w:fill="FFFFFF" w:themeFill="background1"/>
      </w:tcPr>
    </w:tblStylePr>
    <w:tblStylePr w:type="band1Vert">
      <w:tblPr/>
      <w:tcPr>
        <w:shd w:val="clear" w:color="auto" w:fill="F4F4F5" w:themeFill="accent6" w:themeFillTint="33"/>
      </w:tcPr>
    </w:tblStylePr>
    <w:tblStylePr w:type="band1Horz">
      <w:tblPr/>
      <w:tcPr>
        <w:shd w:val="clear" w:color="auto" w:fill="F4F4F5"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294A5A"/>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294A5A"/>
    <w:pPr>
      <w:spacing w:before="0" w:after="0" w:line="240" w:lineRule="auto"/>
    </w:pPr>
    <w:tblPr>
      <w:tblStyleRowBandSize w:val="1"/>
      <w:tblStyleColBandSize w:val="1"/>
      <w:tblBorders>
        <w:top w:val="single" w:sz="8" w:space="0" w:color="66B8C3" w:themeColor="accent1" w:themeTint="BF"/>
        <w:left w:val="single" w:sz="8" w:space="0" w:color="66B8C3" w:themeColor="accent1" w:themeTint="BF"/>
        <w:bottom w:val="single" w:sz="8" w:space="0" w:color="66B8C3" w:themeColor="accent1" w:themeTint="BF"/>
        <w:right w:val="single" w:sz="8" w:space="0" w:color="66B8C3" w:themeColor="accent1" w:themeTint="BF"/>
        <w:insideH w:val="single" w:sz="8" w:space="0" w:color="66B8C3" w:themeColor="accent1" w:themeTint="BF"/>
        <w:insideV w:val="single" w:sz="8" w:space="0" w:color="66B8C3" w:themeColor="accent1" w:themeTint="BF"/>
      </w:tblBorders>
    </w:tblPr>
    <w:tcPr>
      <w:shd w:val="clear" w:color="auto" w:fill="CCE7EB" w:themeFill="accent1" w:themeFillTint="3F"/>
    </w:tcPr>
    <w:tblStylePr w:type="firstRow">
      <w:rPr>
        <w:b/>
        <w:bCs/>
      </w:rPr>
    </w:tblStylePr>
    <w:tblStylePr w:type="lastRow">
      <w:rPr>
        <w:b/>
        <w:bCs/>
      </w:rPr>
      <w:tblPr/>
      <w:tcPr>
        <w:tcBorders>
          <w:top w:val="single" w:sz="18" w:space="0" w:color="66B8C3" w:themeColor="accent1" w:themeTint="BF"/>
        </w:tcBorders>
      </w:tcPr>
    </w:tblStylePr>
    <w:tblStylePr w:type="firstCol">
      <w:rPr>
        <w:b/>
        <w:bCs/>
      </w:rPr>
    </w:tblStylePr>
    <w:tblStylePr w:type="lastCol">
      <w:rPr>
        <w:b/>
        <w:bCs/>
      </w:rPr>
    </w:tblStylePr>
    <w:tblStylePr w:type="band1Vert">
      <w:tblPr/>
      <w:tcPr>
        <w:shd w:val="clear" w:color="auto" w:fill="99D0D7" w:themeFill="accent1" w:themeFillTint="7F"/>
      </w:tcPr>
    </w:tblStylePr>
    <w:tblStylePr w:type="band1Horz">
      <w:tblPr/>
      <w:tcPr>
        <w:shd w:val="clear" w:color="auto" w:fill="99D0D7" w:themeFill="accent1" w:themeFillTint="7F"/>
      </w:tcPr>
    </w:tblStylePr>
  </w:style>
  <w:style w:type="table" w:styleId="MediumGrid1-Accent2">
    <w:name w:val="Medium Grid 1 Accent 2"/>
    <w:basedOn w:val="TableNormal"/>
    <w:uiPriority w:val="67"/>
    <w:semiHidden/>
    <w:rsid w:val="00294A5A"/>
    <w:pPr>
      <w:spacing w:before="0" w:after="0" w:line="240" w:lineRule="auto"/>
    </w:pPr>
    <w:tblPr>
      <w:tblStyleRowBandSize w:val="1"/>
      <w:tblStyleColBandSize w:val="1"/>
      <w:tblBorders>
        <w:top w:val="single" w:sz="8" w:space="0" w:color="9FCBD2" w:themeColor="accent2" w:themeTint="BF"/>
        <w:left w:val="single" w:sz="8" w:space="0" w:color="9FCBD2" w:themeColor="accent2" w:themeTint="BF"/>
        <w:bottom w:val="single" w:sz="8" w:space="0" w:color="9FCBD2" w:themeColor="accent2" w:themeTint="BF"/>
        <w:right w:val="single" w:sz="8" w:space="0" w:color="9FCBD2" w:themeColor="accent2" w:themeTint="BF"/>
        <w:insideH w:val="single" w:sz="8" w:space="0" w:color="9FCBD2" w:themeColor="accent2" w:themeTint="BF"/>
        <w:insideV w:val="single" w:sz="8" w:space="0" w:color="9FCBD2" w:themeColor="accent2" w:themeTint="BF"/>
      </w:tblBorders>
    </w:tblPr>
    <w:tcPr>
      <w:shd w:val="clear" w:color="auto" w:fill="DFEDF0" w:themeFill="accent2" w:themeFillTint="3F"/>
    </w:tcPr>
    <w:tblStylePr w:type="firstRow">
      <w:rPr>
        <w:b/>
        <w:bCs/>
      </w:rPr>
    </w:tblStylePr>
    <w:tblStylePr w:type="lastRow">
      <w:rPr>
        <w:b/>
        <w:bCs/>
      </w:rPr>
      <w:tblPr/>
      <w:tcPr>
        <w:tcBorders>
          <w:top w:val="single" w:sz="18" w:space="0" w:color="9FCBD2" w:themeColor="accent2" w:themeTint="BF"/>
        </w:tcBorders>
      </w:tcPr>
    </w:tblStylePr>
    <w:tblStylePr w:type="firstCol">
      <w:rPr>
        <w:b/>
        <w:bCs/>
      </w:rPr>
    </w:tblStylePr>
    <w:tblStylePr w:type="lastCol">
      <w:rPr>
        <w:b/>
        <w:bCs/>
      </w:rPr>
    </w:tblStylePr>
    <w:tblStylePr w:type="band1Vert">
      <w:tblPr/>
      <w:tcPr>
        <w:shd w:val="clear" w:color="auto" w:fill="BFDCE1" w:themeFill="accent2" w:themeFillTint="7F"/>
      </w:tcPr>
    </w:tblStylePr>
    <w:tblStylePr w:type="band1Horz">
      <w:tblPr/>
      <w:tcPr>
        <w:shd w:val="clear" w:color="auto" w:fill="BFDCE1" w:themeFill="accent2" w:themeFillTint="7F"/>
      </w:tcPr>
    </w:tblStylePr>
  </w:style>
  <w:style w:type="table" w:styleId="MediumGrid1-Accent3">
    <w:name w:val="Medium Grid 1 Accent 3"/>
    <w:basedOn w:val="TableNormal"/>
    <w:uiPriority w:val="67"/>
    <w:semiHidden/>
    <w:rsid w:val="00294A5A"/>
    <w:pPr>
      <w:spacing w:before="0" w:after="0" w:line="240" w:lineRule="auto"/>
    </w:pPr>
    <w:tblPr>
      <w:tblStyleRowBandSize w:val="1"/>
      <w:tblStyleColBandSize w:val="1"/>
      <w:tblBorders>
        <w:top w:val="single" w:sz="8" w:space="0" w:color="CEE5E8" w:themeColor="accent3" w:themeTint="BF"/>
        <w:left w:val="single" w:sz="8" w:space="0" w:color="CEE5E8" w:themeColor="accent3" w:themeTint="BF"/>
        <w:bottom w:val="single" w:sz="8" w:space="0" w:color="CEE5E8" w:themeColor="accent3" w:themeTint="BF"/>
        <w:right w:val="single" w:sz="8" w:space="0" w:color="CEE5E8" w:themeColor="accent3" w:themeTint="BF"/>
        <w:insideH w:val="single" w:sz="8" w:space="0" w:color="CEE5E8" w:themeColor="accent3" w:themeTint="BF"/>
        <w:insideV w:val="single" w:sz="8" w:space="0" w:color="CEE5E8" w:themeColor="accent3" w:themeTint="BF"/>
      </w:tblBorders>
    </w:tblPr>
    <w:tcPr>
      <w:shd w:val="clear" w:color="auto" w:fill="EFF6F7" w:themeFill="accent3" w:themeFillTint="3F"/>
    </w:tcPr>
    <w:tblStylePr w:type="firstRow">
      <w:rPr>
        <w:b/>
        <w:bCs/>
      </w:rPr>
    </w:tblStylePr>
    <w:tblStylePr w:type="lastRow">
      <w:rPr>
        <w:b/>
        <w:bCs/>
      </w:rPr>
      <w:tblPr/>
      <w:tcPr>
        <w:tcBorders>
          <w:top w:val="single" w:sz="18" w:space="0" w:color="CEE5E8" w:themeColor="accent3" w:themeTint="BF"/>
        </w:tcBorders>
      </w:tcPr>
    </w:tblStylePr>
    <w:tblStylePr w:type="firstCol">
      <w:rPr>
        <w:b/>
        <w:bCs/>
      </w:rPr>
    </w:tblStylePr>
    <w:tblStylePr w:type="lastCol">
      <w:rPr>
        <w:b/>
        <w:bCs/>
      </w:rPr>
    </w:tblStylePr>
    <w:tblStylePr w:type="band1Vert">
      <w:tblPr/>
      <w:tcPr>
        <w:shd w:val="clear" w:color="auto" w:fill="DFEEF0" w:themeFill="accent3" w:themeFillTint="7F"/>
      </w:tcPr>
    </w:tblStylePr>
    <w:tblStylePr w:type="band1Horz">
      <w:tblPr/>
      <w:tcPr>
        <w:shd w:val="clear" w:color="auto" w:fill="DFEEF0" w:themeFill="accent3" w:themeFillTint="7F"/>
      </w:tcPr>
    </w:tblStylePr>
  </w:style>
  <w:style w:type="table" w:styleId="MediumGrid1-Accent4">
    <w:name w:val="Medium Grid 1 Accent 4"/>
    <w:basedOn w:val="TableNormal"/>
    <w:uiPriority w:val="67"/>
    <w:semiHidden/>
    <w:rsid w:val="00294A5A"/>
    <w:pPr>
      <w:spacing w:before="0" w:after="0" w:line="240" w:lineRule="auto"/>
    </w:pPr>
    <w:tblPr>
      <w:tblStyleRowBandSize w:val="1"/>
      <w:tblStyleColBandSize w:val="1"/>
      <w:tblBorders>
        <w:top w:val="single" w:sz="8" w:space="0" w:color="686882" w:themeColor="accent4" w:themeTint="BF"/>
        <w:left w:val="single" w:sz="8" w:space="0" w:color="686882" w:themeColor="accent4" w:themeTint="BF"/>
        <w:bottom w:val="single" w:sz="8" w:space="0" w:color="686882" w:themeColor="accent4" w:themeTint="BF"/>
        <w:right w:val="single" w:sz="8" w:space="0" w:color="686882" w:themeColor="accent4" w:themeTint="BF"/>
        <w:insideH w:val="single" w:sz="8" w:space="0" w:color="686882" w:themeColor="accent4" w:themeTint="BF"/>
        <w:insideV w:val="single" w:sz="8" w:space="0" w:color="686882" w:themeColor="accent4" w:themeTint="BF"/>
      </w:tblBorders>
    </w:tblPr>
    <w:tcPr>
      <w:shd w:val="clear" w:color="auto" w:fill="CCCCD6" w:themeFill="accent4" w:themeFillTint="3F"/>
    </w:tcPr>
    <w:tblStylePr w:type="firstRow">
      <w:rPr>
        <w:b/>
        <w:bCs/>
      </w:rPr>
    </w:tblStylePr>
    <w:tblStylePr w:type="lastRow">
      <w:rPr>
        <w:b/>
        <w:bCs/>
      </w:rPr>
      <w:tblPr/>
      <w:tcPr>
        <w:tcBorders>
          <w:top w:val="single" w:sz="18" w:space="0" w:color="686882" w:themeColor="accent4" w:themeTint="BF"/>
        </w:tcBorders>
      </w:tcPr>
    </w:tblStylePr>
    <w:tblStylePr w:type="firstCol">
      <w:rPr>
        <w:b/>
        <w:bCs/>
      </w:rPr>
    </w:tblStylePr>
    <w:tblStylePr w:type="lastCol">
      <w:rPr>
        <w:b/>
        <w:bCs/>
      </w:rPr>
    </w:tblStylePr>
    <w:tblStylePr w:type="band1Vert">
      <w:tblPr/>
      <w:tcPr>
        <w:shd w:val="clear" w:color="auto" w:fill="9999AE" w:themeFill="accent4" w:themeFillTint="7F"/>
      </w:tcPr>
    </w:tblStylePr>
    <w:tblStylePr w:type="band1Horz">
      <w:tblPr/>
      <w:tcPr>
        <w:shd w:val="clear" w:color="auto" w:fill="9999AE" w:themeFill="accent4" w:themeFillTint="7F"/>
      </w:tcPr>
    </w:tblStylePr>
  </w:style>
  <w:style w:type="table" w:styleId="MediumGrid1-Accent5">
    <w:name w:val="Medium Grid 1 Accent 5"/>
    <w:basedOn w:val="TableNormal"/>
    <w:uiPriority w:val="67"/>
    <w:semiHidden/>
    <w:rsid w:val="00294A5A"/>
    <w:pPr>
      <w:spacing w:before="0" w:after="0" w:line="240" w:lineRule="auto"/>
    </w:pPr>
    <w:tblPr>
      <w:tblStyleRowBandSize w:val="1"/>
      <w:tblStyleColBandSize w:val="1"/>
      <w:tblBorders>
        <w:top w:val="single" w:sz="8" w:space="0" w:color="9F9FA8" w:themeColor="accent5" w:themeTint="BF"/>
        <w:left w:val="single" w:sz="8" w:space="0" w:color="9F9FA8" w:themeColor="accent5" w:themeTint="BF"/>
        <w:bottom w:val="single" w:sz="8" w:space="0" w:color="9F9FA8" w:themeColor="accent5" w:themeTint="BF"/>
        <w:right w:val="single" w:sz="8" w:space="0" w:color="9F9FA8" w:themeColor="accent5" w:themeTint="BF"/>
        <w:insideH w:val="single" w:sz="8" w:space="0" w:color="9F9FA8" w:themeColor="accent5" w:themeTint="BF"/>
        <w:insideV w:val="single" w:sz="8" w:space="0" w:color="9F9FA8" w:themeColor="accent5" w:themeTint="BF"/>
      </w:tblBorders>
    </w:tblPr>
    <w:tcPr>
      <w:shd w:val="clear" w:color="auto" w:fill="DFDFE2" w:themeFill="accent5" w:themeFillTint="3F"/>
    </w:tcPr>
    <w:tblStylePr w:type="firstRow">
      <w:rPr>
        <w:b/>
        <w:bCs/>
      </w:rPr>
    </w:tblStylePr>
    <w:tblStylePr w:type="lastRow">
      <w:rPr>
        <w:b/>
        <w:bCs/>
      </w:rPr>
      <w:tblPr/>
      <w:tcPr>
        <w:tcBorders>
          <w:top w:val="single" w:sz="18" w:space="0" w:color="9F9FA8" w:themeColor="accent5" w:themeTint="BF"/>
        </w:tcBorders>
      </w:tcPr>
    </w:tblStylePr>
    <w:tblStylePr w:type="firstCol">
      <w:rPr>
        <w:b/>
        <w:bCs/>
      </w:rPr>
    </w:tblStylePr>
    <w:tblStylePr w:type="lastCol">
      <w:rPr>
        <w:b/>
        <w:bCs/>
      </w:rPr>
    </w:tblStylePr>
    <w:tblStylePr w:type="band1Vert">
      <w:tblPr/>
      <w:tcPr>
        <w:shd w:val="clear" w:color="auto" w:fill="BFBFC5" w:themeFill="accent5" w:themeFillTint="7F"/>
      </w:tcPr>
    </w:tblStylePr>
    <w:tblStylePr w:type="band1Horz">
      <w:tblPr/>
      <w:tcPr>
        <w:shd w:val="clear" w:color="auto" w:fill="BFBFC5" w:themeFill="accent5" w:themeFillTint="7F"/>
      </w:tcPr>
    </w:tblStylePr>
  </w:style>
  <w:style w:type="table" w:styleId="MediumGrid1-Accent6">
    <w:name w:val="Medium Grid 1 Accent 6"/>
    <w:basedOn w:val="TableNormal"/>
    <w:uiPriority w:val="67"/>
    <w:semiHidden/>
    <w:rsid w:val="00294A5A"/>
    <w:pPr>
      <w:spacing w:before="0" w:after="0" w:line="240" w:lineRule="auto"/>
    </w:pPr>
    <w:tblPr>
      <w:tblStyleRowBandSize w:val="1"/>
      <w:tblStyleColBandSize w:val="1"/>
      <w:tblBorders>
        <w:top w:val="single" w:sz="8" w:space="0" w:color="D8D8DB" w:themeColor="accent6" w:themeTint="BF"/>
        <w:left w:val="single" w:sz="8" w:space="0" w:color="D8D8DB" w:themeColor="accent6" w:themeTint="BF"/>
        <w:bottom w:val="single" w:sz="8" w:space="0" w:color="D8D8DB" w:themeColor="accent6" w:themeTint="BF"/>
        <w:right w:val="single" w:sz="8" w:space="0" w:color="D8D8DB" w:themeColor="accent6" w:themeTint="BF"/>
        <w:insideH w:val="single" w:sz="8" w:space="0" w:color="D8D8DB" w:themeColor="accent6" w:themeTint="BF"/>
        <w:insideV w:val="single" w:sz="8" w:space="0" w:color="D8D8DB" w:themeColor="accent6" w:themeTint="BF"/>
      </w:tblBorders>
    </w:tblPr>
    <w:tcPr>
      <w:shd w:val="clear" w:color="auto" w:fill="F2F2F3" w:themeFill="accent6" w:themeFillTint="3F"/>
    </w:tcPr>
    <w:tblStylePr w:type="firstRow">
      <w:rPr>
        <w:b/>
        <w:bCs/>
      </w:rPr>
    </w:tblStylePr>
    <w:tblStylePr w:type="lastRow">
      <w:rPr>
        <w:b/>
        <w:bCs/>
      </w:rPr>
      <w:tblPr/>
      <w:tcPr>
        <w:tcBorders>
          <w:top w:val="single" w:sz="18" w:space="0" w:color="D8D8DB" w:themeColor="accent6" w:themeTint="BF"/>
        </w:tcBorders>
      </w:tcPr>
    </w:tblStylePr>
    <w:tblStylePr w:type="firstCol">
      <w:rPr>
        <w:b/>
        <w:bCs/>
      </w:rPr>
    </w:tblStylePr>
    <w:tblStylePr w:type="lastCol">
      <w:rPr>
        <w:b/>
        <w:bCs/>
      </w:rPr>
    </w:tblStylePr>
    <w:tblStylePr w:type="band1Vert">
      <w:tblPr/>
      <w:tcPr>
        <w:shd w:val="clear" w:color="auto" w:fill="E5E5E7" w:themeFill="accent6" w:themeFillTint="7F"/>
      </w:tcPr>
    </w:tblStylePr>
    <w:tblStylePr w:type="band1Horz">
      <w:tblPr/>
      <w:tcPr>
        <w:shd w:val="clear" w:color="auto" w:fill="E5E5E7" w:themeFill="accent6" w:themeFillTint="7F"/>
      </w:tcPr>
    </w:tblStylePr>
  </w:style>
  <w:style w:type="table" w:styleId="MediumGrid2">
    <w:name w:val="Medium Grid 2"/>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98A4" w:themeColor="accent1"/>
        <w:left w:val="single" w:sz="8" w:space="0" w:color="4098A4" w:themeColor="accent1"/>
        <w:bottom w:val="single" w:sz="8" w:space="0" w:color="4098A4" w:themeColor="accent1"/>
        <w:right w:val="single" w:sz="8" w:space="0" w:color="4098A4" w:themeColor="accent1"/>
        <w:insideH w:val="single" w:sz="8" w:space="0" w:color="4098A4" w:themeColor="accent1"/>
        <w:insideV w:val="single" w:sz="8" w:space="0" w:color="4098A4" w:themeColor="accent1"/>
      </w:tblBorders>
    </w:tblPr>
    <w:tcPr>
      <w:shd w:val="clear" w:color="auto" w:fill="CCE7EB" w:themeFill="accent1" w:themeFillTint="3F"/>
    </w:tcPr>
    <w:tblStylePr w:type="firstRow">
      <w:rPr>
        <w:b/>
        <w:bCs/>
        <w:color w:val="000000" w:themeColor="text1"/>
      </w:rPr>
      <w:tblPr/>
      <w:tcPr>
        <w:shd w:val="clear" w:color="auto" w:fill="EBF5F7"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6ECEF" w:themeFill="accent1" w:themeFillTint="33"/>
      </w:tcPr>
    </w:tblStylePr>
    <w:tblStylePr w:type="band1Vert">
      <w:tblPr/>
      <w:tcPr>
        <w:shd w:val="clear" w:color="auto" w:fill="99D0D7" w:themeFill="accent1" w:themeFillTint="7F"/>
      </w:tcPr>
    </w:tblStylePr>
    <w:tblStylePr w:type="band1Horz">
      <w:tblPr/>
      <w:tcPr>
        <w:tcBorders>
          <w:insideH w:val="single" w:sz="6" w:space="0" w:color="4098A4" w:themeColor="accent1"/>
          <w:insideV w:val="single" w:sz="6" w:space="0" w:color="4098A4" w:themeColor="accent1"/>
        </w:tcBorders>
        <w:shd w:val="clear" w:color="auto" w:fill="99D0D7"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BAC3" w:themeColor="accent2"/>
        <w:left w:val="single" w:sz="8" w:space="0" w:color="80BAC3" w:themeColor="accent2"/>
        <w:bottom w:val="single" w:sz="8" w:space="0" w:color="80BAC3" w:themeColor="accent2"/>
        <w:right w:val="single" w:sz="8" w:space="0" w:color="80BAC3" w:themeColor="accent2"/>
        <w:insideH w:val="single" w:sz="8" w:space="0" w:color="80BAC3" w:themeColor="accent2"/>
        <w:insideV w:val="single" w:sz="8" w:space="0" w:color="80BAC3" w:themeColor="accent2"/>
      </w:tblBorders>
    </w:tblPr>
    <w:tcPr>
      <w:shd w:val="clear" w:color="auto" w:fill="DFEDF0" w:themeFill="accent2" w:themeFillTint="3F"/>
    </w:tcPr>
    <w:tblStylePr w:type="firstRow">
      <w:rPr>
        <w:b/>
        <w:bCs/>
        <w:color w:val="000000" w:themeColor="text1"/>
      </w:rPr>
      <w:tblPr/>
      <w:tcPr>
        <w:shd w:val="clear" w:color="auto" w:fill="F2F8F9"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F1F3" w:themeFill="accent2" w:themeFillTint="33"/>
      </w:tcPr>
    </w:tblStylePr>
    <w:tblStylePr w:type="band1Vert">
      <w:tblPr/>
      <w:tcPr>
        <w:shd w:val="clear" w:color="auto" w:fill="BFDCE1" w:themeFill="accent2" w:themeFillTint="7F"/>
      </w:tcPr>
    </w:tblStylePr>
    <w:tblStylePr w:type="band1Horz">
      <w:tblPr/>
      <w:tcPr>
        <w:tcBorders>
          <w:insideH w:val="single" w:sz="6" w:space="0" w:color="80BAC3" w:themeColor="accent2"/>
          <w:insideV w:val="single" w:sz="6" w:space="0" w:color="80BAC3" w:themeColor="accent2"/>
        </w:tcBorders>
        <w:shd w:val="clear" w:color="auto" w:fill="BFDCE1"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FDDE1" w:themeColor="accent3"/>
        <w:left w:val="single" w:sz="8" w:space="0" w:color="BFDDE1" w:themeColor="accent3"/>
        <w:bottom w:val="single" w:sz="8" w:space="0" w:color="BFDDE1" w:themeColor="accent3"/>
        <w:right w:val="single" w:sz="8" w:space="0" w:color="BFDDE1" w:themeColor="accent3"/>
        <w:insideH w:val="single" w:sz="8" w:space="0" w:color="BFDDE1" w:themeColor="accent3"/>
        <w:insideV w:val="single" w:sz="8" w:space="0" w:color="BFDDE1" w:themeColor="accent3"/>
      </w:tblBorders>
    </w:tblPr>
    <w:tcPr>
      <w:shd w:val="clear" w:color="auto" w:fill="EFF6F7" w:themeFill="accent3" w:themeFillTint="3F"/>
    </w:tcPr>
    <w:tblStylePr w:type="firstRow">
      <w:rPr>
        <w:b/>
        <w:bCs/>
        <w:color w:val="000000" w:themeColor="text1"/>
      </w:rPr>
      <w:tblPr/>
      <w:tcPr>
        <w:shd w:val="clear" w:color="auto" w:fill="F8FBFC"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F8F9" w:themeFill="accent3" w:themeFillTint="33"/>
      </w:tcPr>
    </w:tblStylePr>
    <w:tblStylePr w:type="band1Vert">
      <w:tblPr/>
      <w:tcPr>
        <w:shd w:val="clear" w:color="auto" w:fill="DFEEF0" w:themeFill="accent3" w:themeFillTint="7F"/>
      </w:tcPr>
    </w:tblStylePr>
    <w:tblStylePr w:type="band1Horz">
      <w:tblPr/>
      <w:tcPr>
        <w:tcBorders>
          <w:insideH w:val="single" w:sz="6" w:space="0" w:color="BFDDE1" w:themeColor="accent3"/>
          <w:insideV w:val="single" w:sz="6" w:space="0" w:color="BFDDE1" w:themeColor="accent3"/>
        </w:tcBorders>
        <w:shd w:val="clear" w:color="auto" w:fill="DFEEF0"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4050" w:themeColor="accent4"/>
        <w:left w:val="single" w:sz="8" w:space="0" w:color="404050" w:themeColor="accent4"/>
        <w:bottom w:val="single" w:sz="8" w:space="0" w:color="404050" w:themeColor="accent4"/>
        <w:right w:val="single" w:sz="8" w:space="0" w:color="404050" w:themeColor="accent4"/>
        <w:insideH w:val="single" w:sz="8" w:space="0" w:color="404050" w:themeColor="accent4"/>
        <w:insideV w:val="single" w:sz="8" w:space="0" w:color="404050" w:themeColor="accent4"/>
      </w:tblBorders>
    </w:tblPr>
    <w:tcPr>
      <w:shd w:val="clear" w:color="auto" w:fill="CCCCD6" w:themeFill="accent4" w:themeFillTint="3F"/>
    </w:tcPr>
    <w:tblStylePr w:type="firstRow">
      <w:rPr>
        <w:b/>
        <w:bCs/>
        <w:color w:val="000000" w:themeColor="text1"/>
      </w:rPr>
      <w:tblPr/>
      <w:tcPr>
        <w:shd w:val="clear" w:color="auto" w:fill="EBEBE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6D6DE" w:themeFill="accent4" w:themeFillTint="33"/>
      </w:tcPr>
    </w:tblStylePr>
    <w:tblStylePr w:type="band1Vert">
      <w:tblPr/>
      <w:tcPr>
        <w:shd w:val="clear" w:color="auto" w:fill="9999AE" w:themeFill="accent4" w:themeFillTint="7F"/>
      </w:tcPr>
    </w:tblStylePr>
    <w:tblStylePr w:type="band1Horz">
      <w:tblPr/>
      <w:tcPr>
        <w:tcBorders>
          <w:insideH w:val="single" w:sz="6" w:space="0" w:color="404050" w:themeColor="accent4"/>
          <w:insideV w:val="single" w:sz="6" w:space="0" w:color="404050" w:themeColor="accent4"/>
        </w:tcBorders>
        <w:shd w:val="clear" w:color="auto" w:fill="9999AE"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808B" w:themeColor="accent5"/>
        <w:left w:val="single" w:sz="8" w:space="0" w:color="80808B" w:themeColor="accent5"/>
        <w:bottom w:val="single" w:sz="8" w:space="0" w:color="80808B" w:themeColor="accent5"/>
        <w:right w:val="single" w:sz="8" w:space="0" w:color="80808B" w:themeColor="accent5"/>
        <w:insideH w:val="single" w:sz="8" w:space="0" w:color="80808B" w:themeColor="accent5"/>
        <w:insideV w:val="single" w:sz="8" w:space="0" w:color="80808B" w:themeColor="accent5"/>
      </w:tblBorders>
    </w:tblPr>
    <w:tcPr>
      <w:shd w:val="clear" w:color="auto" w:fill="DFDFE2" w:themeFill="accent5" w:themeFillTint="3F"/>
    </w:tcPr>
    <w:tblStylePr w:type="firstRow">
      <w:rPr>
        <w:b/>
        <w:bCs/>
        <w:color w:val="000000" w:themeColor="text1"/>
      </w:rPr>
      <w:tblPr/>
      <w:tcPr>
        <w:shd w:val="clear" w:color="auto" w:fill="F2F2F3"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E5E7" w:themeFill="accent5" w:themeFillTint="33"/>
      </w:tcPr>
    </w:tblStylePr>
    <w:tblStylePr w:type="band1Vert">
      <w:tblPr/>
      <w:tcPr>
        <w:shd w:val="clear" w:color="auto" w:fill="BFBFC5" w:themeFill="accent5" w:themeFillTint="7F"/>
      </w:tcPr>
    </w:tblStylePr>
    <w:tblStylePr w:type="band1Horz">
      <w:tblPr/>
      <w:tcPr>
        <w:tcBorders>
          <w:insideH w:val="single" w:sz="6" w:space="0" w:color="80808B" w:themeColor="accent5"/>
          <w:insideV w:val="single" w:sz="6" w:space="0" w:color="80808B" w:themeColor="accent5"/>
        </w:tcBorders>
        <w:shd w:val="clear" w:color="auto" w:fill="BFBFC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CCD0" w:themeColor="accent6"/>
        <w:left w:val="single" w:sz="8" w:space="0" w:color="CCCCD0" w:themeColor="accent6"/>
        <w:bottom w:val="single" w:sz="8" w:space="0" w:color="CCCCD0" w:themeColor="accent6"/>
        <w:right w:val="single" w:sz="8" w:space="0" w:color="CCCCD0" w:themeColor="accent6"/>
        <w:insideH w:val="single" w:sz="8" w:space="0" w:color="CCCCD0" w:themeColor="accent6"/>
        <w:insideV w:val="single" w:sz="8" w:space="0" w:color="CCCCD0" w:themeColor="accent6"/>
      </w:tblBorders>
    </w:tblPr>
    <w:tcPr>
      <w:shd w:val="clear" w:color="auto" w:fill="F2F2F3" w:themeFill="accent6" w:themeFillTint="3F"/>
    </w:tcPr>
    <w:tblStylePr w:type="firstRow">
      <w:rPr>
        <w:b/>
        <w:bCs/>
        <w:color w:val="000000" w:themeColor="text1"/>
      </w:rPr>
      <w:tblPr/>
      <w:tcPr>
        <w:shd w:val="clear" w:color="auto" w:fill="F9F9FA"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5" w:themeFill="accent6" w:themeFillTint="33"/>
      </w:tcPr>
    </w:tblStylePr>
    <w:tblStylePr w:type="band1Vert">
      <w:tblPr/>
      <w:tcPr>
        <w:shd w:val="clear" w:color="auto" w:fill="E5E5E7" w:themeFill="accent6" w:themeFillTint="7F"/>
      </w:tcPr>
    </w:tblStylePr>
    <w:tblStylePr w:type="band1Horz">
      <w:tblPr/>
      <w:tcPr>
        <w:tcBorders>
          <w:insideH w:val="single" w:sz="6" w:space="0" w:color="CCCCD0" w:themeColor="accent6"/>
          <w:insideV w:val="single" w:sz="6" w:space="0" w:color="CCCCD0" w:themeColor="accent6"/>
        </w:tcBorders>
        <w:shd w:val="clear" w:color="auto" w:fill="E5E5E7"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E7EB"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098A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098A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098A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098A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9D0D7"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9D0D7" w:themeFill="accent1" w:themeFillTint="7F"/>
      </w:tcPr>
    </w:tblStylePr>
  </w:style>
  <w:style w:type="table" w:styleId="MediumGrid3-Accent2">
    <w:name w:val="Medium Grid 3 Accent 2"/>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EDF0"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BAC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BAC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BAC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BAC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DCE1"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DCE1" w:themeFill="accent2" w:themeFillTint="7F"/>
      </w:tcPr>
    </w:tblStylePr>
  </w:style>
  <w:style w:type="table" w:styleId="MediumGrid3-Accent3">
    <w:name w:val="Medium Grid 3 Accent 3"/>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F6F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FDDE1"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FDDE1"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FDDE1"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FDDE1"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EEF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EEF0" w:themeFill="accent3" w:themeFillTint="7F"/>
      </w:tcPr>
    </w:tblStylePr>
  </w:style>
  <w:style w:type="table" w:styleId="MediumGrid3-Accent4">
    <w:name w:val="Medium Grid 3 Accent 4"/>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CCCD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0405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0405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0405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0405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999AE"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999AE" w:themeFill="accent4" w:themeFillTint="7F"/>
      </w:tcPr>
    </w:tblStylePr>
  </w:style>
  <w:style w:type="table" w:styleId="MediumGrid3-Accent5">
    <w:name w:val="Medium Grid 3 Accent 5"/>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FE2"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808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808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808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808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FC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FC5" w:themeFill="accent5" w:themeFillTint="7F"/>
      </w:tcPr>
    </w:tblStylePr>
  </w:style>
  <w:style w:type="table" w:styleId="MediumGrid3-Accent6">
    <w:name w:val="Medium Grid 3 Accent 6"/>
    <w:basedOn w:val="TableNormal"/>
    <w:uiPriority w:val="69"/>
    <w:semiHidden/>
    <w:rsid w:val="00294A5A"/>
    <w:pPr>
      <w:spacing w:before="0"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2F2F3"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CCCD0"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CCCD0"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CCCD0"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CCCD0"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5E5E7"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5E5E7" w:themeFill="accent6" w:themeFillTint="7F"/>
      </w:tcPr>
    </w:tblStylePr>
  </w:style>
  <w:style w:type="table" w:styleId="MediumList1">
    <w:name w:val="Medium List 1"/>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7586"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4098A4" w:themeColor="accent1"/>
        <w:bottom w:val="single" w:sz="8" w:space="0" w:color="4098A4" w:themeColor="accent1"/>
      </w:tblBorders>
    </w:tblPr>
    <w:tblStylePr w:type="firstRow">
      <w:rPr>
        <w:rFonts w:asciiTheme="majorHAnsi" w:eastAsiaTheme="majorEastAsia" w:hAnsiTheme="majorHAnsi" w:cstheme="majorBidi"/>
      </w:rPr>
      <w:tblPr/>
      <w:tcPr>
        <w:tcBorders>
          <w:top w:val="nil"/>
          <w:bottom w:val="single" w:sz="8" w:space="0" w:color="4098A4" w:themeColor="accent1"/>
        </w:tcBorders>
      </w:tcPr>
    </w:tblStylePr>
    <w:tblStylePr w:type="lastRow">
      <w:rPr>
        <w:b/>
        <w:bCs/>
        <w:color w:val="007586" w:themeColor="text2"/>
      </w:rPr>
      <w:tblPr/>
      <w:tcPr>
        <w:tcBorders>
          <w:top w:val="single" w:sz="8" w:space="0" w:color="4098A4" w:themeColor="accent1"/>
          <w:bottom w:val="single" w:sz="8" w:space="0" w:color="4098A4" w:themeColor="accent1"/>
        </w:tcBorders>
      </w:tcPr>
    </w:tblStylePr>
    <w:tblStylePr w:type="firstCol">
      <w:rPr>
        <w:b/>
        <w:bCs/>
      </w:rPr>
    </w:tblStylePr>
    <w:tblStylePr w:type="lastCol">
      <w:rPr>
        <w:b/>
        <w:bCs/>
      </w:rPr>
      <w:tblPr/>
      <w:tcPr>
        <w:tcBorders>
          <w:top w:val="single" w:sz="8" w:space="0" w:color="4098A4" w:themeColor="accent1"/>
          <w:bottom w:val="single" w:sz="8" w:space="0" w:color="4098A4" w:themeColor="accent1"/>
        </w:tcBorders>
      </w:tcPr>
    </w:tblStylePr>
    <w:tblStylePr w:type="band1Vert">
      <w:tblPr/>
      <w:tcPr>
        <w:shd w:val="clear" w:color="auto" w:fill="CCE7EB" w:themeFill="accent1" w:themeFillTint="3F"/>
      </w:tcPr>
    </w:tblStylePr>
    <w:tblStylePr w:type="band1Horz">
      <w:tblPr/>
      <w:tcPr>
        <w:shd w:val="clear" w:color="auto" w:fill="CCE7EB" w:themeFill="accent1" w:themeFillTint="3F"/>
      </w:tcPr>
    </w:tblStylePr>
  </w:style>
  <w:style w:type="table" w:styleId="MediumList1-Accent2">
    <w:name w:val="Medium List 1 Accent 2"/>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80BAC3" w:themeColor="accent2"/>
        <w:bottom w:val="single" w:sz="8" w:space="0" w:color="80BAC3" w:themeColor="accent2"/>
      </w:tblBorders>
    </w:tblPr>
    <w:tblStylePr w:type="firstRow">
      <w:rPr>
        <w:rFonts w:asciiTheme="majorHAnsi" w:eastAsiaTheme="majorEastAsia" w:hAnsiTheme="majorHAnsi" w:cstheme="majorBidi"/>
      </w:rPr>
      <w:tblPr/>
      <w:tcPr>
        <w:tcBorders>
          <w:top w:val="nil"/>
          <w:bottom w:val="single" w:sz="8" w:space="0" w:color="80BAC3" w:themeColor="accent2"/>
        </w:tcBorders>
      </w:tcPr>
    </w:tblStylePr>
    <w:tblStylePr w:type="lastRow">
      <w:rPr>
        <w:b/>
        <w:bCs/>
        <w:color w:val="007586" w:themeColor="text2"/>
      </w:rPr>
      <w:tblPr/>
      <w:tcPr>
        <w:tcBorders>
          <w:top w:val="single" w:sz="8" w:space="0" w:color="80BAC3" w:themeColor="accent2"/>
          <w:bottom w:val="single" w:sz="8" w:space="0" w:color="80BAC3" w:themeColor="accent2"/>
        </w:tcBorders>
      </w:tcPr>
    </w:tblStylePr>
    <w:tblStylePr w:type="firstCol">
      <w:rPr>
        <w:b/>
        <w:bCs/>
      </w:rPr>
    </w:tblStylePr>
    <w:tblStylePr w:type="lastCol">
      <w:rPr>
        <w:b/>
        <w:bCs/>
      </w:rPr>
      <w:tblPr/>
      <w:tcPr>
        <w:tcBorders>
          <w:top w:val="single" w:sz="8" w:space="0" w:color="80BAC3" w:themeColor="accent2"/>
          <w:bottom w:val="single" w:sz="8" w:space="0" w:color="80BAC3" w:themeColor="accent2"/>
        </w:tcBorders>
      </w:tcPr>
    </w:tblStylePr>
    <w:tblStylePr w:type="band1Vert">
      <w:tblPr/>
      <w:tcPr>
        <w:shd w:val="clear" w:color="auto" w:fill="DFEDF0" w:themeFill="accent2" w:themeFillTint="3F"/>
      </w:tcPr>
    </w:tblStylePr>
    <w:tblStylePr w:type="band1Horz">
      <w:tblPr/>
      <w:tcPr>
        <w:shd w:val="clear" w:color="auto" w:fill="DFEDF0" w:themeFill="accent2" w:themeFillTint="3F"/>
      </w:tcPr>
    </w:tblStylePr>
  </w:style>
  <w:style w:type="table" w:styleId="MediumList1-Accent3">
    <w:name w:val="Medium List 1 Accent 3"/>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BFDDE1" w:themeColor="accent3"/>
        <w:bottom w:val="single" w:sz="8" w:space="0" w:color="BFDDE1" w:themeColor="accent3"/>
      </w:tblBorders>
    </w:tblPr>
    <w:tblStylePr w:type="firstRow">
      <w:rPr>
        <w:rFonts w:asciiTheme="majorHAnsi" w:eastAsiaTheme="majorEastAsia" w:hAnsiTheme="majorHAnsi" w:cstheme="majorBidi"/>
      </w:rPr>
      <w:tblPr/>
      <w:tcPr>
        <w:tcBorders>
          <w:top w:val="nil"/>
          <w:bottom w:val="single" w:sz="8" w:space="0" w:color="BFDDE1" w:themeColor="accent3"/>
        </w:tcBorders>
      </w:tcPr>
    </w:tblStylePr>
    <w:tblStylePr w:type="lastRow">
      <w:rPr>
        <w:b/>
        <w:bCs/>
        <w:color w:val="007586" w:themeColor="text2"/>
      </w:rPr>
      <w:tblPr/>
      <w:tcPr>
        <w:tcBorders>
          <w:top w:val="single" w:sz="8" w:space="0" w:color="BFDDE1" w:themeColor="accent3"/>
          <w:bottom w:val="single" w:sz="8" w:space="0" w:color="BFDDE1" w:themeColor="accent3"/>
        </w:tcBorders>
      </w:tcPr>
    </w:tblStylePr>
    <w:tblStylePr w:type="firstCol">
      <w:rPr>
        <w:b/>
        <w:bCs/>
      </w:rPr>
    </w:tblStylePr>
    <w:tblStylePr w:type="lastCol">
      <w:rPr>
        <w:b/>
        <w:bCs/>
      </w:rPr>
      <w:tblPr/>
      <w:tcPr>
        <w:tcBorders>
          <w:top w:val="single" w:sz="8" w:space="0" w:color="BFDDE1" w:themeColor="accent3"/>
          <w:bottom w:val="single" w:sz="8" w:space="0" w:color="BFDDE1" w:themeColor="accent3"/>
        </w:tcBorders>
      </w:tcPr>
    </w:tblStylePr>
    <w:tblStylePr w:type="band1Vert">
      <w:tblPr/>
      <w:tcPr>
        <w:shd w:val="clear" w:color="auto" w:fill="EFF6F7" w:themeFill="accent3" w:themeFillTint="3F"/>
      </w:tcPr>
    </w:tblStylePr>
    <w:tblStylePr w:type="band1Horz">
      <w:tblPr/>
      <w:tcPr>
        <w:shd w:val="clear" w:color="auto" w:fill="EFF6F7" w:themeFill="accent3" w:themeFillTint="3F"/>
      </w:tcPr>
    </w:tblStylePr>
  </w:style>
  <w:style w:type="table" w:styleId="MediumList1-Accent4">
    <w:name w:val="Medium List 1 Accent 4"/>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404050" w:themeColor="accent4"/>
        <w:bottom w:val="single" w:sz="8" w:space="0" w:color="404050" w:themeColor="accent4"/>
      </w:tblBorders>
    </w:tblPr>
    <w:tblStylePr w:type="firstRow">
      <w:rPr>
        <w:rFonts w:asciiTheme="majorHAnsi" w:eastAsiaTheme="majorEastAsia" w:hAnsiTheme="majorHAnsi" w:cstheme="majorBidi"/>
      </w:rPr>
      <w:tblPr/>
      <w:tcPr>
        <w:tcBorders>
          <w:top w:val="nil"/>
          <w:bottom w:val="single" w:sz="8" w:space="0" w:color="404050" w:themeColor="accent4"/>
        </w:tcBorders>
      </w:tcPr>
    </w:tblStylePr>
    <w:tblStylePr w:type="lastRow">
      <w:rPr>
        <w:b/>
        <w:bCs/>
        <w:color w:val="007586" w:themeColor="text2"/>
      </w:rPr>
      <w:tblPr/>
      <w:tcPr>
        <w:tcBorders>
          <w:top w:val="single" w:sz="8" w:space="0" w:color="404050" w:themeColor="accent4"/>
          <w:bottom w:val="single" w:sz="8" w:space="0" w:color="404050" w:themeColor="accent4"/>
        </w:tcBorders>
      </w:tcPr>
    </w:tblStylePr>
    <w:tblStylePr w:type="firstCol">
      <w:rPr>
        <w:b/>
        <w:bCs/>
      </w:rPr>
    </w:tblStylePr>
    <w:tblStylePr w:type="lastCol">
      <w:rPr>
        <w:b/>
        <w:bCs/>
      </w:rPr>
      <w:tblPr/>
      <w:tcPr>
        <w:tcBorders>
          <w:top w:val="single" w:sz="8" w:space="0" w:color="404050" w:themeColor="accent4"/>
          <w:bottom w:val="single" w:sz="8" w:space="0" w:color="404050" w:themeColor="accent4"/>
        </w:tcBorders>
      </w:tcPr>
    </w:tblStylePr>
    <w:tblStylePr w:type="band1Vert">
      <w:tblPr/>
      <w:tcPr>
        <w:shd w:val="clear" w:color="auto" w:fill="CCCCD6" w:themeFill="accent4" w:themeFillTint="3F"/>
      </w:tcPr>
    </w:tblStylePr>
    <w:tblStylePr w:type="band1Horz">
      <w:tblPr/>
      <w:tcPr>
        <w:shd w:val="clear" w:color="auto" w:fill="CCCCD6" w:themeFill="accent4" w:themeFillTint="3F"/>
      </w:tcPr>
    </w:tblStylePr>
  </w:style>
  <w:style w:type="table" w:styleId="MediumList1-Accent5">
    <w:name w:val="Medium List 1 Accent 5"/>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80808B" w:themeColor="accent5"/>
        <w:bottom w:val="single" w:sz="8" w:space="0" w:color="80808B" w:themeColor="accent5"/>
      </w:tblBorders>
    </w:tblPr>
    <w:tblStylePr w:type="firstRow">
      <w:rPr>
        <w:rFonts w:asciiTheme="majorHAnsi" w:eastAsiaTheme="majorEastAsia" w:hAnsiTheme="majorHAnsi" w:cstheme="majorBidi"/>
      </w:rPr>
      <w:tblPr/>
      <w:tcPr>
        <w:tcBorders>
          <w:top w:val="nil"/>
          <w:bottom w:val="single" w:sz="8" w:space="0" w:color="80808B" w:themeColor="accent5"/>
        </w:tcBorders>
      </w:tcPr>
    </w:tblStylePr>
    <w:tblStylePr w:type="lastRow">
      <w:rPr>
        <w:b/>
        <w:bCs/>
        <w:color w:val="007586" w:themeColor="text2"/>
      </w:rPr>
      <w:tblPr/>
      <w:tcPr>
        <w:tcBorders>
          <w:top w:val="single" w:sz="8" w:space="0" w:color="80808B" w:themeColor="accent5"/>
          <w:bottom w:val="single" w:sz="8" w:space="0" w:color="80808B" w:themeColor="accent5"/>
        </w:tcBorders>
      </w:tcPr>
    </w:tblStylePr>
    <w:tblStylePr w:type="firstCol">
      <w:rPr>
        <w:b/>
        <w:bCs/>
      </w:rPr>
    </w:tblStylePr>
    <w:tblStylePr w:type="lastCol">
      <w:rPr>
        <w:b/>
        <w:bCs/>
      </w:rPr>
      <w:tblPr/>
      <w:tcPr>
        <w:tcBorders>
          <w:top w:val="single" w:sz="8" w:space="0" w:color="80808B" w:themeColor="accent5"/>
          <w:bottom w:val="single" w:sz="8" w:space="0" w:color="80808B" w:themeColor="accent5"/>
        </w:tcBorders>
      </w:tcPr>
    </w:tblStylePr>
    <w:tblStylePr w:type="band1Vert">
      <w:tblPr/>
      <w:tcPr>
        <w:shd w:val="clear" w:color="auto" w:fill="DFDFE2" w:themeFill="accent5" w:themeFillTint="3F"/>
      </w:tcPr>
    </w:tblStylePr>
    <w:tblStylePr w:type="band1Horz">
      <w:tblPr/>
      <w:tcPr>
        <w:shd w:val="clear" w:color="auto" w:fill="DFDFE2" w:themeFill="accent5" w:themeFillTint="3F"/>
      </w:tcPr>
    </w:tblStylePr>
  </w:style>
  <w:style w:type="table" w:styleId="MediumList1-Accent6">
    <w:name w:val="Medium List 1 Accent 6"/>
    <w:basedOn w:val="TableNormal"/>
    <w:uiPriority w:val="65"/>
    <w:semiHidden/>
    <w:rsid w:val="00294A5A"/>
    <w:pPr>
      <w:spacing w:before="0" w:after="0" w:line="240" w:lineRule="auto"/>
    </w:pPr>
    <w:rPr>
      <w:color w:val="000000" w:themeColor="text1"/>
    </w:rPr>
    <w:tblPr>
      <w:tblStyleRowBandSize w:val="1"/>
      <w:tblStyleColBandSize w:val="1"/>
      <w:tblBorders>
        <w:top w:val="single" w:sz="8" w:space="0" w:color="CCCCD0" w:themeColor="accent6"/>
        <w:bottom w:val="single" w:sz="8" w:space="0" w:color="CCCCD0" w:themeColor="accent6"/>
      </w:tblBorders>
    </w:tblPr>
    <w:tblStylePr w:type="firstRow">
      <w:rPr>
        <w:rFonts w:asciiTheme="majorHAnsi" w:eastAsiaTheme="majorEastAsia" w:hAnsiTheme="majorHAnsi" w:cstheme="majorBidi"/>
      </w:rPr>
      <w:tblPr/>
      <w:tcPr>
        <w:tcBorders>
          <w:top w:val="nil"/>
          <w:bottom w:val="single" w:sz="8" w:space="0" w:color="CCCCD0" w:themeColor="accent6"/>
        </w:tcBorders>
      </w:tcPr>
    </w:tblStylePr>
    <w:tblStylePr w:type="lastRow">
      <w:rPr>
        <w:b/>
        <w:bCs/>
        <w:color w:val="007586" w:themeColor="text2"/>
      </w:rPr>
      <w:tblPr/>
      <w:tcPr>
        <w:tcBorders>
          <w:top w:val="single" w:sz="8" w:space="0" w:color="CCCCD0" w:themeColor="accent6"/>
          <w:bottom w:val="single" w:sz="8" w:space="0" w:color="CCCCD0" w:themeColor="accent6"/>
        </w:tcBorders>
      </w:tcPr>
    </w:tblStylePr>
    <w:tblStylePr w:type="firstCol">
      <w:rPr>
        <w:b/>
        <w:bCs/>
      </w:rPr>
    </w:tblStylePr>
    <w:tblStylePr w:type="lastCol">
      <w:rPr>
        <w:b/>
        <w:bCs/>
      </w:rPr>
      <w:tblPr/>
      <w:tcPr>
        <w:tcBorders>
          <w:top w:val="single" w:sz="8" w:space="0" w:color="CCCCD0" w:themeColor="accent6"/>
          <w:bottom w:val="single" w:sz="8" w:space="0" w:color="CCCCD0" w:themeColor="accent6"/>
        </w:tcBorders>
      </w:tcPr>
    </w:tblStylePr>
    <w:tblStylePr w:type="band1Vert">
      <w:tblPr/>
      <w:tcPr>
        <w:shd w:val="clear" w:color="auto" w:fill="F2F2F3" w:themeFill="accent6" w:themeFillTint="3F"/>
      </w:tcPr>
    </w:tblStylePr>
    <w:tblStylePr w:type="band1Horz">
      <w:tblPr/>
      <w:tcPr>
        <w:shd w:val="clear" w:color="auto" w:fill="F2F2F3" w:themeFill="accent6" w:themeFillTint="3F"/>
      </w:tcPr>
    </w:tblStylePr>
  </w:style>
  <w:style w:type="table" w:styleId="MediumList2">
    <w:name w:val="Medium List 2"/>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98A4" w:themeColor="accent1"/>
        <w:left w:val="single" w:sz="8" w:space="0" w:color="4098A4" w:themeColor="accent1"/>
        <w:bottom w:val="single" w:sz="8" w:space="0" w:color="4098A4" w:themeColor="accent1"/>
        <w:right w:val="single" w:sz="8" w:space="0" w:color="4098A4" w:themeColor="accent1"/>
      </w:tblBorders>
    </w:tblPr>
    <w:tblStylePr w:type="firstRow">
      <w:rPr>
        <w:sz w:val="24"/>
        <w:szCs w:val="24"/>
      </w:rPr>
      <w:tblPr/>
      <w:tcPr>
        <w:tcBorders>
          <w:top w:val="nil"/>
          <w:left w:val="nil"/>
          <w:bottom w:val="single" w:sz="24" w:space="0" w:color="4098A4" w:themeColor="accent1"/>
          <w:right w:val="nil"/>
          <w:insideH w:val="nil"/>
          <w:insideV w:val="nil"/>
        </w:tcBorders>
        <w:shd w:val="clear" w:color="auto" w:fill="FFFFFF" w:themeFill="background1"/>
      </w:tcPr>
    </w:tblStylePr>
    <w:tblStylePr w:type="lastRow">
      <w:tblPr/>
      <w:tcPr>
        <w:tcBorders>
          <w:top w:val="single" w:sz="8" w:space="0" w:color="4098A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098A4" w:themeColor="accent1"/>
          <w:insideH w:val="nil"/>
          <w:insideV w:val="nil"/>
        </w:tcBorders>
        <w:shd w:val="clear" w:color="auto" w:fill="FFFFFF" w:themeFill="background1"/>
      </w:tcPr>
    </w:tblStylePr>
    <w:tblStylePr w:type="lastCol">
      <w:tblPr/>
      <w:tcPr>
        <w:tcBorders>
          <w:top w:val="nil"/>
          <w:left w:val="single" w:sz="8" w:space="0" w:color="4098A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E7EB" w:themeFill="accent1" w:themeFillTint="3F"/>
      </w:tcPr>
    </w:tblStylePr>
    <w:tblStylePr w:type="band1Horz">
      <w:tblPr/>
      <w:tcPr>
        <w:tcBorders>
          <w:top w:val="nil"/>
          <w:bottom w:val="nil"/>
          <w:insideH w:val="nil"/>
          <w:insideV w:val="nil"/>
        </w:tcBorders>
        <w:shd w:val="clear" w:color="auto" w:fill="CCE7EB"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BAC3" w:themeColor="accent2"/>
        <w:left w:val="single" w:sz="8" w:space="0" w:color="80BAC3" w:themeColor="accent2"/>
        <w:bottom w:val="single" w:sz="8" w:space="0" w:color="80BAC3" w:themeColor="accent2"/>
        <w:right w:val="single" w:sz="8" w:space="0" w:color="80BAC3" w:themeColor="accent2"/>
      </w:tblBorders>
    </w:tblPr>
    <w:tblStylePr w:type="firstRow">
      <w:rPr>
        <w:sz w:val="24"/>
        <w:szCs w:val="24"/>
      </w:rPr>
      <w:tblPr/>
      <w:tcPr>
        <w:tcBorders>
          <w:top w:val="nil"/>
          <w:left w:val="nil"/>
          <w:bottom w:val="single" w:sz="24" w:space="0" w:color="80BAC3" w:themeColor="accent2"/>
          <w:right w:val="nil"/>
          <w:insideH w:val="nil"/>
          <w:insideV w:val="nil"/>
        </w:tcBorders>
        <w:shd w:val="clear" w:color="auto" w:fill="FFFFFF" w:themeFill="background1"/>
      </w:tcPr>
    </w:tblStylePr>
    <w:tblStylePr w:type="lastRow">
      <w:tblPr/>
      <w:tcPr>
        <w:tcBorders>
          <w:top w:val="single" w:sz="8" w:space="0" w:color="80BAC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BAC3" w:themeColor="accent2"/>
          <w:insideH w:val="nil"/>
          <w:insideV w:val="nil"/>
        </w:tcBorders>
        <w:shd w:val="clear" w:color="auto" w:fill="FFFFFF" w:themeFill="background1"/>
      </w:tcPr>
    </w:tblStylePr>
    <w:tblStylePr w:type="lastCol">
      <w:tblPr/>
      <w:tcPr>
        <w:tcBorders>
          <w:top w:val="nil"/>
          <w:left w:val="single" w:sz="8" w:space="0" w:color="80BAC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EDF0" w:themeFill="accent2" w:themeFillTint="3F"/>
      </w:tcPr>
    </w:tblStylePr>
    <w:tblStylePr w:type="band1Horz">
      <w:tblPr/>
      <w:tcPr>
        <w:tcBorders>
          <w:top w:val="nil"/>
          <w:bottom w:val="nil"/>
          <w:insideH w:val="nil"/>
          <w:insideV w:val="nil"/>
        </w:tcBorders>
        <w:shd w:val="clear" w:color="auto" w:fill="DFEDF0"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FDDE1" w:themeColor="accent3"/>
        <w:left w:val="single" w:sz="8" w:space="0" w:color="BFDDE1" w:themeColor="accent3"/>
        <w:bottom w:val="single" w:sz="8" w:space="0" w:color="BFDDE1" w:themeColor="accent3"/>
        <w:right w:val="single" w:sz="8" w:space="0" w:color="BFDDE1" w:themeColor="accent3"/>
      </w:tblBorders>
    </w:tblPr>
    <w:tblStylePr w:type="firstRow">
      <w:rPr>
        <w:sz w:val="24"/>
        <w:szCs w:val="24"/>
      </w:rPr>
      <w:tblPr/>
      <w:tcPr>
        <w:tcBorders>
          <w:top w:val="nil"/>
          <w:left w:val="nil"/>
          <w:bottom w:val="single" w:sz="24" w:space="0" w:color="BFDDE1" w:themeColor="accent3"/>
          <w:right w:val="nil"/>
          <w:insideH w:val="nil"/>
          <w:insideV w:val="nil"/>
        </w:tcBorders>
        <w:shd w:val="clear" w:color="auto" w:fill="FFFFFF" w:themeFill="background1"/>
      </w:tcPr>
    </w:tblStylePr>
    <w:tblStylePr w:type="lastRow">
      <w:tblPr/>
      <w:tcPr>
        <w:tcBorders>
          <w:top w:val="single" w:sz="8" w:space="0" w:color="BFDDE1"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FDDE1" w:themeColor="accent3"/>
          <w:insideH w:val="nil"/>
          <w:insideV w:val="nil"/>
        </w:tcBorders>
        <w:shd w:val="clear" w:color="auto" w:fill="FFFFFF" w:themeFill="background1"/>
      </w:tcPr>
    </w:tblStylePr>
    <w:tblStylePr w:type="lastCol">
      <w:tblPr/>
      <w:tcPr>
        <w:tcBorders>
          <w:top w:val="nil"/>
          <w:left w:val="single" w:sz="8" w:space="0" w:color="BFDDE1"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6F7" w:themeFill="accent3" w:themeFillTint="3F"/>
      </w:tcPr>
    </w:tblStylePr>
    <w:tblStylePr w:type="band1Horz">
      <w:tblPr/>
      <w:tcPr>
        <w:tcBorders>
          <w:top w:val="nil"/>
          <w:bottom w:val="nil"/>
          <w:insideH w:val="nil"/>
          <w:insideV w:val="nil"/>
        </w:tcBorders>
        <w:shd w:val="clear" w:color="auto" w:fill="EFF6F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04050" w:themeColor="accent4"/>
        <w:left w:val="single" w:sz="8" w:space="0" w:color="404050" w:themeColor="accent4"/>
        <w:bottom w:val="single" w:sz="8" w:space="0" w:color="404050" w:themeColor="accent4"/>
        <w:right w:val="single" w:sz="8" w:space="0" w:color="404050" w:themeColor="accent4"/>
      </w:tblBorders>
    </w:tblPr>
    <w:tblStylePr w:type="firstRow">
      <w:rPr>
        <w:sz w:val="24"/>
        <w:szCs w:val="24"/>
      </w:rPr>
      <w:tblPr/>
      <w:tcPr>
        <w:tcBorders>
          <w:top w:val="nil"/>
          <w:left w:val="nil"/>
          <w:bottom w:val="single" w:sz="24" w:space="0" w:color="404050" w:themeColor="accent4"/>
          <w:right w:val="nil"/>
          <w:insideH w:val="nil"/>
          <w:insideV w:val="nil"/>
        </w:tcBorders>
        <w:shd w:val="clear" w:color="auto" w:fill="FFFFFF" w:themeFill="background1"/>
      </w:tcPr>
    </w:tblStylePr>
    <w:tblStylePr w:type="lastRow">
      <w:tblPr/>
      <w:tcPr>
        <w:tcBorders>
          <w:top w:val="single" w:sz="8" w:space="0" w:color="40405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04050" w:themeColor="accent4"/>
          <w:insideH w:val="nil"/>
          <w:insideV w:val="nil"/>
        </w:tcBorders>
        <w:shd w:val="clear" w:color="auto" w:fill="FFFFFF" w:themeFill="background1"/>
      </w:tcPr>
    </w:tblStylePr>
    <w:tblStylePr w:type="lastCol">
      <w:tblPr/>
      <w:tcPr>
        <w:tcBorders>
          <w:top w:val="nil"/>
          <w:left w:val="single" w:sz="8" w:space="0" w:color="40405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CCCD6" w:themeFill="accent4" w:themeFillTint="3F"/>
      </w:tcPr>
    </w:tblStylePr>
    <w:tblStylePr w:type="band1Horz">
      <w:tblPr/>
      <w:tcPr>
        <w:tcBorders>
          <w:top w:val="nil"/>
          <w:bottom w:val="nil"/>
          <w:insideH w:val="nil"/>
          <w:insideV w:val="nil"/>
        </w:tcBorders>
        <w:shd w:val="clear" w:color="auto" w:fill="CCCCD6"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808B" w:themeColor="accent5"/>
        <w:left w:val="single" w:sz="8" w:space="0" w:color="80808B" w:themeColor="accent5"/>
        <w:bottom w:val="single" w:sz="8" w:space="0" w:color="80808B" w:themeColor="accent5"/>
        <w:right w:val="single" w:sz="8" w:space="0" w:color="80808B" w:themeColor="accent5"/>
      </w:tblBorders>
    </w:tblPr>
    <w:tblStylePr w:type="firstRow">
      <w:rPr>
        <w:sz w:val="24"/>
        <w:szCs w:val="24"/>
      </w:rPr>
      <w:tblPr/>
      <w:tcPr>
        <w:tcBorders>
          <w:top w:val="nil"/>
          <w:left w:val="nil"/>
          <w:bottom w:val="single" w:sz="24" w:space="0" w:color="80808B" w:themeColor="accent5"/>
          <w:right w:val="nil"/>
          <w:insideH w:val="nil"/>
          <w:insideV w:val="nil"/>
        </w:tcBorders>
        <w:shd w:val="clear" w:color="auto" w:fill="FFFFFF" w:themeFill="background1"/>
      </w:tcPr>
    </w:tblStylePr>
    <w:tblStylePr w:type="lastRow">
      <w:tblPr/>
      <w:tcPr>
        <w:tcBorders>
          <w:top w:val="single" w:sz="8" w:space="0" w:color="80808B"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808B" w:themeColor="accent5"/>
          <w:insideH w:val="nil"/>
          <w:insideV w:val="nil"/>
        </w:tcBorders>
        <w:shd w:val="clear" w:color="auto" w:fill="FFFFFF" w:themeFill="background1"/>
      </w:tcPr>
    </w:tblStylePr>
    <w:tblStylePr w:type="lastCol">
      <w:tblPr/>
      <w:tcPr>
        <w:tcBorders>
          <w:top w:val="nil"/>
          <w:left w:val="single" w:sz="8" w:space="0" w:color="80808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FE2" w:themeFill="accent5" w:themeFillTint="3F"/>
      </w:tcPr>
    </w:tblStylePr>
    <w:tblStylePr w:type="band1Horz">
      <w:tblPr/>
      <w:tcPr>
        <w:tcBorders>
          <w:top w:val="nil"/>
          <w:bottom w:val="nil"/>
          <w:insideH w:val="nil"/>
          <w:insideV w:val="nil"/>
        </w:tcBorders>
        <w:shd w:val="clear" w:color="auto" w:fill="DFDFE2"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294A5A"/>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CCCD0" w:themeColor="accent6"/>
        <w:left w:val="single" w:sz="8" w:space="0" w:color="CCCCD0" w:themeColor="accent6"/>
        <w:bottom w:val="single" w:sz="8" w:space="0" w:color="CCCCD0" w:themeColor="accent6"/>
        <w:right w:val="single" w:sz="8" w:space="0" w:color="CCCCD0" w:themeColor="accent6"/>
      </w:tblBorders>
    </w:tblPr>
    <w:tblStylePr w:type="firstRow">
      <w:rPr>
        <w:sz w:val="24"/>
        <w:szCs w:val="24"/>
      </w:rPr>
      <w:tblPr/>
      <w:tcPr>
        <w:tcBorders>
          <w:top w:val="nil"/>
          <w:left w:val="nil"/>
          <w:bottom w:val="single" w:sz="24" w:space="0" w:color="CCCCD0" w:themeColor="accent6"/>
          <w:right w:val="nil"/>
          <w:insideH w:val="nil"/>
          <w:insideV w:val="nil"/>
        </w:tcBorders>
        <w:shd w:val="clear" w:color="auto" w:fill="FFFFFF" w:themeFill="background1"/>
      </w:tcPr>
    </w:tblStylePr>
    <w:tblStylePr w:type="lastRow">
      <w:tblPr/>
      <w:tcPr>
        <w:tcBorders>
          <w:top w:val="single" w:sz="8" w:space="0" w:color="CCCCD0"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CCCD0" w:themeColor="accent6"/>
          <w:insideH w:val="nil"/>
          <w:insideV w:val="nil"/>
        </w:tcBorders>
        <w:shd w:val="clear" w:color="auto" w:fill="FFFFFF" w:themeFill="background1"/>
      </w:tcPr>
    </w:tblStylePr>
    <w:tblStylePr w:type="lastCol">
      <w:tblPr/>
      <w:tcPr>
        <w:tcBorders>
          <w:top w:val="nil"/>
          <w:left w:val="single" w:sz="8" w:space="0" w:color="CCCCD0"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2F2F3" w:themeFill="accent6" w:themeFillTint="3F"/>
      </w:tcPr>
    </w:tblStylePr>
    <w:tblStylePr w:type="band1Horz">
      <w:tblPr/>
      <w:tcPr>
        <w:tcBorders>
          <w:top w:val="nil"/>
          <w:bottom w:val="nil"/>
          <w:insideH w:val="nil"/>
          <w:insideV w:val="nil"/>
        </w:tcBorders>
        <w:shd w:val="clear" w:color="auto" w:fill="F2F2F3"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294A5A"/>
    <w:pPr>
      <w:spacing w:before="0"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294A5A"/>
    <w:pPr>
      <w:spacing w:before="0" w:after="0" w:line="240" w:lineRule="auto"/>
    </w:pPr>
    <w:tblPr>
      <w:tblStyleRowBandSize w:val="1"/>
      <w:tblStyleColBandSize w:val="1"/>
      <w:tblBorders>
        <w:top w:val="single" w:sz="8" w:space="0" w:color="66B8C3" w:themeColor="accent1" w:themeTint="BF"/>
        <w:left w:val="single" w:sz="8" w:space="0" w:color="66B8C3" w:themeColor="accent1" w:themeTint="BF"/>
        <w:bottom w:val="single" w:sz="8" w:space="0" w:color="66B8C3" w:themeColor="accent1" w:themeTint="BF"/>
        <w:right w:val="single" w:sz="8" w:space="0" w:color="66B8C3" w:themeColor="accent1" w:themeTint="BF"/>
        <w:insideH w:val="single" w:sz="8" w:space="0" w:color="66B8C3" w:themeColor="accent1" w:themeTint="BF"/>
      </w:tblBorders>
    </w:tblPr>
    <w:tblStylePr w:type="firstRow">
      <w:pPr>
        <w:spacing w:before="0" w:after="0" w:line="240" w:lineRule="auto"/>
      </w:pPr>
      <w:rPr>
        <w:b/>
        <w:bCs/>
        <w:color w:val="FFFFFF" w:themeColor="background1"/>
      </w:rPr>
      <w:tblPr/>
      <w:tcPr>
        <w:tcBorders>
          <w:top w:val="single" w:sz="8" w:space="0" w:color="66B8C3" w:themeColor="accent1" w:themeTint="BF"/>
          <w:left w:val="single" w:sz="8" w:space="0" w:color="66B8C3" w:themeColor="accent1" w:themeTint="BF"/>
          <w:bottom w:val="single" w:sz="8" w:space="0" w:color="66B8C3" w:themeColor="accent1" w:themeTint="BF"/>
          <w:right w:val="single" w:sz="8" w:space="0" w:color="66B8C3" w:themeColor="accent1" w:themeTint="BF"/>
          <w:insideH w:val="nil"/>
          <w:insideV w:val="nil"/>
        </w:tcBorders>
        <w:shd w:val="clear" w:color="auto" w:fill="4098A4" w:themeFill="accent1"/>
      </w:tcPr>
    </w:tblStylePr>
    <w:tblStylePr w:type="lastRow">
      <w:pPr>
        <w:spacing w:before="0" w:after="0" w:line="240" w:lineRule="auto"/>
      </w:pPr>
      <w:rPr>
        <w:b/>
        <w:bCs/>
      </w:rPr>
      <w:tblPr/>
      <w:tcPr>
        <w:tcBorders>
          <w:top w:val="double" w:sz="6" w:space="0" w:color="66B8C3" w:themeColor="accent1" w:themeTint="BF"/>
          <w:left w:val="single" w:sz="8" w:space="0" w:color="66B8C3" w:themeColor="accent1" w:themeTint="BF"/>
          <w:bottom w:val="single" w:sz="8" w:space="0" w:color="66B8C3" w:themeColor="accent1" w:themeTint="BF"/>
          <w:right w:val="single" w:sz="8" w:space="0" w:color="66B8C3" w:themeColor="accent1" w:themeTint="BF"/>
          <w:insideH w:val="nil"/>
          <w:insideV w:val="nil"/>
        </w:tcBorders>
      </w:tcPr>
    </w:tblStylePr>
    <w:tblStylePr w:type="firstCol">
      <w:rPr>
        <w:b/>
        <w:bCs/>
      </w:rPr>
    </w:tblStylePr>
    <w:tblStylePr w:type="lastCol">
      <w:rPr>
        <w:b/>
        <w:bCs/>
      </w:rPr>
    </w:tblStylePr>
    <w:tblStylePr w:type="band1Vert">
      <w:tblPr/>
      <w:tcPr>
        <w:shd w:val="clear" w:color="auto" w:fill="CCE7EB" w:themeFill="accent1" w:themeFillTint="3F"/>
      </w:tcPr>
    </w:tblStylePr>
    <w:tblStylePr w:type="band1Horz">
      <w:tblPr/>
      <w:tcPr>
        <w:tcBorders>
          <w:insideH w:val="nil"/>
          <w:insideV w:val="nil"/>
        </w:tcBorders>
        <w:shd w:val="clear" w:color="auto" w:fill="CCE7EB"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294A5A"/>
    <w:pPr>
      <w:spacing w:before="0" w:after="0" w:line="240" w:lineRule="auto"/>
    </w:pPr>
    <w:tblPr>
      <w:tblStyleRowBandSize w:val="1"/>
      <w:tblStyleColBandSize w:val="1"/>
      <w:tblBorders>
        <w:top w:val="single" w:sz="8" w:space="0" w:color="9FCBD2" w:themeColor="accent2" w:themeTint="BF"/>
        <w:left w:val="single" w:sz="8" w:space="0" w:color="9FCBD2" w:themeColor="accent2" w:themeTint="BF"/>
        <w:bottom w:val="single" w:sz="8" w:space="0" w:color="9FCBD2" w:themeColor="accent2" w:themeTint="BF"/>
        <w:right w:val="single" w:sz="8" w:space="0" w:color="9FCBD2" w:themeColor="accent2" w:themeTint="BF"/>
        <w:insideH w:val="single" w:sz="8" w:space="0" w:color="9FCBD2" w:themeColor="accent2" w:themeTint="BF"/>
      </w:tblBorders>
    </w:tblPr>
    <w:tblStylePr w:type="firstRow">
      <w:pPr>
        <w:spacing w:before="0" w:after="0" w:line="240" w:lineRule="auto"/>
      </w:pPr>
      <w:rPr>
        <w:b/>
        <w:bCs/>
        <w:color w:val="FFFFFF" w:themeColor="background1"/>
      </w:rPr>
      <w:tblPr/>
      <w:tcPr>
        <w:tcBorders>
          <w:top w:val="single" w:sz="8" w:space="0" w:color="9FCBD2" w:themeColor="accent2" w:themeTint="BF"/>
          <w:left w:val="single" w:sz="8" w:space="0" w:color="9FCBD2" w:themeColor="accent2" w:themeTint="BF"/>
          <w:bottom w:val="single" w:sz="8" w:space="0" w:color="9FCBD2" w:themeColor="accent2" w:themeTint="BF"/>
          <w:right w:val="single" w:sz="8" w:space="0" w:color="9FCBD2" w:themeColor="accent2" w:themeTint="BF"/>
          <w:insideH w:val="nil"/>
          <w:insideV w:val="nil"/>
        </w:tcBorders>
        <w:shd w:val="clear" w:color="auto" w:fill="80BAC3" w:themeFill="accent2"/>
      </w:tcPr>
    </w:tblStylePr>
    <w:tblStylePr w:type="lastRow">
      <w:pPr>
        <w:spacing w:before="0" w:after="0" w:line="240" w:lineRule="auto"/>
      </w:pPr>
      <w:rPr>
        <w:b/>
        <w:bCs/>
      </w:rPr>
      <w:tblPr/>
      <w:tcPr>
        <w:tcBorders>
          <w:top w:val="double" w:sz="6" w:space="0" w:color="9FCBD2" w:themeColor="accent2" w:themeTint="BF"/>
          <w:left w:val="single" w:sz="8" w:space="0" w:color="9FCBD2" w:themeColor="accent2" w:themeTint="BF"/>
          <w:bottom w:val="single" w:sz="8" w:space="0" w:color="9FCBD2" w:themeColor="accent2" w:themeTint="BF"/>
          <w:right w:val="single" w:sz="8" w:space="0" w:color="9FCBD2" w:themeColor="accent2" w:themeTint="BF"/>
          <w:insideH w:val="nil"/>
          <w:insideV w:val="nil"/>
        </w:tcBorders>
      </w:tcPr>
    </w:tblStylePr>
    <w:tblStylePr w:type="firstCol">
      <w:rPr>
        <w:b/>
        <w:bCs/>
      </w:rPr>
    </w:tblStylePr>
    <w:tblStylePr w:type="lastCol">
      <w:rPr>
        <w:b/>
        <w:bCs/>
      </w:rPr>
    </w:tblStylePr>
    <w:tblStylePr w:type="band1Vert">
      <w:tblPr/>
      <w:tcPr>
        <w:shd w:val="clear" w:color="auto" w:fill="DFEDF0" w:themeFill="accent2" w:themeFillTint="3F"/>
      </w:tcPr>
    </w:tblStylePr>
    <w:tblStylePr w:type="band1Horz">
      <w:tblPr/>
      <w:tcPr>
        <w:tcBorders>
          <w:insideH w:val="nil"/>
          <w:insideV w:val="nil"/>
        </w:tcBorders>
        <w:shd w:val="clear" w:color="auto" w:fill="DFEDF0"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294A5A"/>
    <w:pPr>
      <w:spacing w:before="0" w:after="0" w:line="240" w:lineRule="auto"/>
    </w:pPr>
    <w:tblPr>
      <w:tblStyleRowBandSize w:val="1"/>
      <w:tblStyleColBandSize w:val="1"/>
      <w:tblBorders>
        <w:top w:val="single" w:sz="8" w:space="0" w:color="CEE5E8" w:themeColor="accent3" w:themeTint="BF"/>
        <w:left w:val="single" w:sz="8" w:space="0" w:color="CEE5E8" w:themeColor="accent3" w:themeTint="BF"/>
        <w:bottom w:val="single" w:sz="8" w:space="0" w:color="CEE5E8" w:themeColor="accent3" w:themeTint="BF"/>
        <w:right w:val="single" w:sz="8" w:space="0" w:color="CEE5E8" w:themeColor="accent3" w:themeTint="BF"/>
        <w:insideH w:val="single" w:sz="8" w:space="0" w:color="CEE5E8" w:themeColor="accent3" w:themeTint="BF"/>
      </w:tblBorders>
    </w:tblPr>
    <w:tblStylePr w:type="firstRow">
      <w:pPr>
        <w:spacing w:before="0" w:after="0" w:line="240" w:lineRule="auto"/>
      </w:pPr>
      <w:rPr>
        <w:b/>
        <w:bCs/>
        <w:color w:val="FFFFFF" w:themeColor="background1"/>
      </w:rPr>
      <w:tblPr/>
      <w:tcPr>
        <w:tcBorders>
          <w:top w:val="single" w:sz="8" w:space="0" w:color="CEE5E8" w:themeColor="accent3" w:themeTint="BF"/>
          <w:left w:val="single" w:sz="8" w:space="0" w:color="CEE5E8" w:themeColor="accent3" w:themeTint="BF"/>
          <w:bottom w:val="single" w:sz="8" w:space="0" w:color="CEE5E8" w:themeColor="accent3" w:themeTint="BF"/>
          <w:right w:val="single" w:sz="8" w:space="0" w:color="CEE5E8" w:themeColor="accent3" w:themeTint="BF"/>
          <w:insideH w:val="nil"/>
          <w:insideV w:val="nil"/>
        </w:tcBorders>
        <w:shd w:val="clear" w:color="auto" w:fill="BFDDE1" w:themeFill="accent3"/>
      </w:tcPr>
    </w:tblStylePr>
    <w:tblStylePr w:type="lastRow">
      <w:pPr>
        <w:spacing w:before="0" w:after="0" w:line="240" w:lineRule="auto"/>
      </w:pPr>
      <w:rPr>
        <w:b/>
        <w:bCs/>
      </w:rPr>
      <w:tblPr/>
      <w:tcPr>
        <w:tcBorders>
          <w:top w:val="double" w:sz="6" w:space="0" w:color="CEE5E8" w:themeColor="accent3" w:themeTint="BF"/>
          <w:left w:val="single" w:sz="8" w:space="0" w:color="CEE5E8" w:themeColor="accent3" w:themeTint="BF"/>
          <w:bottom w:val="single" w:sz="8" w:space="0" w:color="CEE5E8" w:themeColor="accent3" w:themeTint="BF"/>
          <w:right w:val="single" w:sz="8" w:space="0" w:color="CEE5E8" w:themeColor="accent3" w:themeTint="BF"/>
          <w:insideH w:val="nil"/>
          <w:insideV w:val="nil"/>
        </w:tcBorders>
      </w:tcPr>
    </w:tblStylePr>
    <w:tblStylePr w:type="firstCol">
      <w:rPr>
        <w:b/>
        <w:bCs/>
      </w:rPr>
    </w:tblStylePr>
    <w:tblStylePr w:type="lastCol">
      <w:rPr>
        <w:b/>
        <w:bCs/>
      </w:rPr>
    </w:tblStylePr>
    <w:tblStylePr w:type="band1Vert">
      <w:tblPr/>
      <w:tcPr>
        <w:shd w:val="clear" w:color="auto" w:fill="EFF6F7" w:themeFill="accent3" w:themeFillTint="3F"/>
      </w:tcPr>
    </w:tblStylePr>
    <w:tblStylePr w:type="band1Horz">
      <w:tblPr/>
      <w:tcPr>
        <w:tcBorders>
          <w:insideH w:val="nil"/>
          <w:insideV w:val="nil"/>
        </w:tcBorders>
        <w:shd w:val="clear" w:color="auto" w:fill="EFF6F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294A5A"/>
    <w:pPr>
      <w:spacing w:before="0" w:after="0" w:line="240" w:lineRule="auto"/>
    </w:pPr>
    <w:tblPr>
      <w:tblStyleRowBandSize w:val="1"/>
      <w:tblStyleColBandSize w:val="1"/>
      <w:tblBorders>
        <w:top w:val="single" w:sz="8" w:space="0" w:color="686882" w:themeColor="accent4" w:themeTint="BF"/>
        <w:left w:val="single" w:sz="8" w:space="0" w:color="686882" w:themeColor="accent4" w:themeTint="BF"/>
        <w:bottom w:val="single" w:sz="8" w:space="0" w:color="686882" w:themeColor="accent4" w:themeTint="BF"/>
        <w:right w:val="single" w:sz="8" w:space="0" w:color="686882" w:themeColor="accent4" w:themeTint="BF"/>
        <w:insideH w:val="single" w:sz="8" w:space="0" w:color="686882" w:themeColor="accent4" w:themeTint="BF"/>
      </w:tblBorders>
    </w:tblPr>
    <w:tblStylePr w:type="firstRow">
      <w:pPr>
        <w:spacing w:before="0" w:after="0" w:line="240" w:lineRule="auto"/>
      </w:pPr>
      <w:rPr>
        <w:b/>
        <w:bCs/>
        <w:color w:val="FFFFFF" w:themeColor="background1"/>
      </w:rPr>
      <w:tblPr/>
      <w:tcPr>
        <w:tcBorders>
          <w:top w:val="single" w:sz="8" w:space="0" w:color="686882" w:themeColor="accent4" w:themeTint="BF"/>
          <w:left w:val="single" w:sz="8" w:space="0" w:color="686882" w:themeColor="accent4" w:themeTint="BF"/>
          <w:bottom w:val="single" w:sz="8" w:space="0" w:color="686882" w:themeColor="accent4" w:themeTint="BF"/>
          <w:right w:val="single" w:sz="8" w:space="0" w:color="686882" w:themeColor="accent4" w:themeTint="BF"/>
          <w:insideH w:val="nil"/>
          <w:insideV w:val="nil"/>
        </w:tcBorders>
        <w:shd w:val="clear" w:color="auto" w:fill="404050" w:themeFill="accent4"/>
      </w:tcPr>
    </w:tblStylePr>
    <w:tblStylePr w:type="lastRow">
      <w:pPr>
        <w:spacing w:before="0" w:after="0" w:line="240" w:lineRule="auto"/>
      </w:pPr>
      <w:rPr>
        <w:b/>
        <w:bCs/>
      </w:rPr>
      <w:tblPr/>
      <w:tcPr>
        <w:tcBorders>
          <w:top w:val="double" w:sz="6" w:space="0" w:color="686882" w:themeColor="accent4" w:themeTint="BF"/>
          <w:left w:val="single" w:sz="8" w:space="0" w:color="686882" w:themeColor="accent4" w:themeTint="BF"/>
          <w:bottom w:val="single" w:sz="8" w:space="0" w:color="686882" w:themeColor="accent4" w:themeTint="BF"/>
          <w:right w:val="single" w:sz="8" w:space="0" w:color="686882" w:themeColor="accent4" w:themeTint="BF"/>
          <w:insideH w:val="nil"/>
          <w:insideV w:val="nil"/>
        </w:tcBorders>
      </w:tcPr>
    </w:tblStylePr>
    <w:tblStylePr w:type="firstCol">
      <w:rPr>
        <w:b/>
        <w:bCs/>
      </w:rPr>
    </w:tblStylePr>
    <w:tblStylePr w:type="lastCol">
      <w:rPr>
        <w:b/>
        <w:bCs/>
      </w:rPr>
    </w:tblStylePr>
    <w:tblStylePr w:type="band1Vert">
      <w:tblPr/>
      <w:tcPr>
        <w:shd w:val="clear" w:color="auto" w:fill="CCCCD6" w:themeFill="accent4" w:themeFillTint="3F"/>
      </w:tcPr>
    </w:tblStylePr>
    <w:tblStylePr w:type="band1Horz">
      <w:tblPr/>
      <w:tcPr>
        <w:tcBorders>
          <w:insideH w:val="nil"/>
          <w:insideV w:val="nil"/>
        </w:tcBorders>
        <w:shd w:val="clear" w:color="auto" w:fill="CCCCD6"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294A5A"/>
    <w:pPr>
      <w:spacing w:before="0" w:after="0" w:line="240" w:lineRule="auto"/>
    </w:pPr>
    <w:tblPr>
      <w:tblStyleRowBandSize w:val="1"/>
      <w:tblStyleColBandSize w:val="1"/>
      <w:tblBorders>
        <w:top w:val="single" w:sz="8" w:space="0" w:color="9F9FA8" w:themeColor="accent5" w:themeTint="BF"/>
        <w:left w:val="single" w:sz="8" w:space="0" w:color="9F9FA8" w:themeColor="accent5" w:themeTint="BF"/>
        <w:bottom w:val="single" w:sz="8" w:space="0" w:color="9F9FA8" w:themeColor="accent5" w:themeTint="BF"/>
        <w:right w:val="single" w:sz="8" w:space="0" w:color="9F9FA8" w:themeColor="accent5" w:themeTint="BF"/>
        <w:insideH w:val="single" w:sz="8" w:space="0" w:color="9F9FA8" w:themeColor="accent5" w:themeTint="BF"/>
      </w:tblBorders>
    </w:tblPr>
    <w:tblStylePr w:type="firstRow">
      <w:pPr>
        <w:spacing w:before="0" w:after="0" w:line="240" w:lineRule="auto"/>
      </w:pPr>
      <w:rPr>
        <w:b/>
        <w:bCs/>
        <w:color w:val="FFFFFF" w:themeColor="background1"/>
      </w:rPr>
      <w:tblPr/>
      <w:tcPr>
        <w:tcBorders>
          <w:top w:val="single" w:sz="8" w:space="0" w:color="9F9FA8" w:themeColor="accent5" w:themeTint="BF"/>
          <w:left w:val="single" w:sz="8" w:space="0" w:color="9F9FA8" w:themeColor="accent5" w:themeTint="BF"/>
          <w:bottom w:val="single" w:sz="8" w:space="0" w:color="9F9FA8" w:themeColor="accent5" w:themeTint="BF"/>
          <w:right w:val="single" w:sz="8" w:space="0" w:color="9F9FA8" w:themeColor="accent5" w:themeTint="BF"/>
          <w:insideH w:val="nil"/>
          <w:insideV w:val="nil"/>
        </w:tcBorders>
        <w:shd w:val="clear" w:color="auto" w:fill="80808B" w:themeFill="accent5"/>
      </w:tcPr>
    </w:tblStylePr>
    <w:tblStylePr w:type="lastRow">
      <w:pPr>
        <w:spacing w:before="0" w:after="0" w:line="240" w:lineRule="auto"/>
      </w:pPr>
      <w:rPr>
        <w:b/>
        <w:bCs/>
      </w:rPr>
      <w:tblPr/>
      <w:tcPr>
        <w:tcBorders>
          <w:top w:val="double" w:sz="6" w:space="0" w:color="9F9FA8" w:themeColor="accent5" w:themeTint="BF"/>
          <w:left w:val="single" w:sz="8" w:space="0" w:color="9F9FA8" w:themeColor="accent5" w:themeTint="BF"/>
          <w:bottom w:val="single" w:sz="8" w:space="0" w:color="9F9FA8" w:themeColor="accent5" w:themeTint="BF"/>
          <w:right w:val="single" w:sz="8" w:space="0" w:color="9F9FA8" w:themeColor="accent5" w:themeTint="BF"/>
          <w:insideH w:val="nil"/>
          <w:insideV w:val="nil"/>
        </w:tcBorders>
      </w:tcPr>
    </w:tblStylePr>
    <w:tblStylePr w:type="firstCol">
      <w:rPr>
        <w:b/>
        <w:bCs/>
      </w:rPr>
    </w:tblStylePr>
    <w:tblStylePr w:type="lastCol">
      <w:rPr>
        <w:b/>
        <w:bCs/>
      </w:rPr>
    </w:tblStylePr>
    <w:tblStylePr w:type="band1Vert">
      <w:tblPr/>
      <w:tcPr>
        <w:shd w:val="clear" w:color="auto" w:fill="DFDFE2" w:themeFill="accent5" w:themeFillTint="3F"/>
      </w:tcPr>
    </w:tblStylePr>
    <w:tblStylePr w:type="band1Horz">
      <w:tblPr/>
      <w:tcPr>
        <w:tcBorders>
          <w:insideH w:val="nil"/>
          <w:insideV w:val="nil"/>
        </w:tcBorders>
        <w:shd w:val="clear" w:color="auto" w:fill="DFDFE2"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294A5A"/>
    <w:pPr>
      <w:spacing w:before="0" w:after="0" w:line="240" w:lineRule="auto"/>
    </w:pPr>
    <w:tblPr>
      <w:tblStyleRowBandSize w:val="1"/>
      <w:tblStyleColBandSize w:val="1"/>
      <w:tblBorders>
        <w:top w:val="single" w:sz="8" w:space="0" w:color="D8D8DB" w:themeColor="accent6" w:themeTint="BF"/>
        <w:left w:val="single" w:sz="8" w:space="0" w:color="D8D8DB" w:themeColor="accent6" w:themeTint="BF"/>
        <w:bottom w:val="single" w:sz="8" w:space="0" w:color="D8D8DB" w:themeColor="accent6" w:themeTint="BF"/>
        <w:right w:val="single" w:sz="8" w:space="0" w:color="D8D8DB" w:themeColor="accent6" w:themeTint="BF"/>
        <w:insideH w:val="single" w:sz="8" w:space="0" w:color="D8D8DB" w:themeColor="accent6" w:themeTint="BF"/>
      </w:tblBorders>
    </w:tblPr>
    <w:tblStylePr w:type="firstRow">
      <w:pPr>
        <w:spacing w:before="0" w:after="0" w:line="240" w:lineRule="auto"/>
      </w:pPr>
      <w:rPr>
        <w:b/>
        <w:bCs/>
        <w:color w:val="FFFFFF" w:themeColor="background1"/>
      </w:rPr>
      <w:tblPr/>
      <w:tcPr>
        <w:tcBorders>
          <w:top w:val="single" w:sz="8" w:space="0" w:color="D8D8DB" w:themeColor="accent6" w:themeTint="BF"/>
          <w:left w:val="single" w:sz="8" w:space="0" w:color="D8D8DB" w:themeColor="accent6" w:themeTint="BF"/>
          <w:bottom w:val="single" w:sz="8" w:space="0" w:color="D8D8DB" w:themeColor="accent6" w:themeTint="BF"/>
          <w:right w:val="single" w:sz="8" w:space="0" w:color="D8D8DB" w:themeColor="accent6" w:themeTint="BF"/>
          <w:insideH w:val="nil"/>
          <w:insideV w:val="nil"/>
        </w:tcBorders>
        <w:shd w:val="clear" w:color="auto" w:fill="CCCCD0" w:themeFill="accent6"/>
      </w:tcPr>
    </w:tblStylePr>
    <w:tblStylePr w:type="lastRow">
      <w:pPr>
        <w:spacing w:before="0" w:after="0" w:line="240" w:lineRule="auto"/>
      </w:pPr>
      <w:rPr>
        <w:b/>
        <w:bCs/>
      </w:rPr>
      <w:tblPr/>
      <w:tcPr>
        <w:tcBorders>
          <w:top w:val="double" w:sz="6" w:space="0" w:color="D8D8DB" w:themeColor="accent6" w:themeTint="BF"/>
          <w:left w:val="single" w:sz="8" w:space="0" w:color="D8D8DB" w:themeColor="accent6" w:themeTint="BF"/>
          <w:bottom w:val="single" w:sz="8" w:space="0" w:color="D8D8DB" w:themeColor="accent6" w:themeTint="BF"/>
          <w:right w:val="single" w:sz="8" w:space="0" w:color="D8D8DB" w:themeColor="accent6" w:themeTint="BF"/>
          <w:insideH w:val="nil"/>
          <w:insideV w:val="nil"/>
        </w:tcBorders>
      </w:tcPr>
    </w:tblStylePr>
    <w:tblStylePr w:type="firstCol">
      <w:rPr>
        <w:b/>
        <w:bCs/>
      </w:rPr>
    </w:tblStylePr>
    <w:tblStylePr w:type="lastCol">
      <w:rPr>
        <w:b/>
        <w:bCs/>
      </w:rPr>
    </w:tblStylePr>
    <w:tblStylePr w:type="band1Vert">
      <w:tblPr/>
      <w:tcPr>
        <w:shd w:val="clear" w:color="auto" w:fill="F2F2F3" w:themeFill="accent6" w:themeFillTint="3F"/>
      </w:tcPr>
    </w:tblStylePr>
    <w:tblStylePr w:type="band1Horz">
      <w:tblPr/>
      <w:tcPr>
        <w:tcBorders>
          <w:insideH w:val="nil"/>
          <w:insideV w:val="nil"/>
        </w:tcBorders>
        <w:shd w:val="clear" w:color="auto" w:fill="F2F2F3"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098A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098A4" w:themeFill="accent1"/>
      </w:tcPr>
    </w:tblStylePr>
    <w:tblStylePr w:type="lastCol">
      <w:rPr>
        <w:b/>
        <w:bCs/>
        <w:color w:val="FFFFFF" w:themeColor="background1"/>
      </w:rPr>
      <w:tblPr/>
      <w:tcPr>
        <w:tcBorders>
          <w:left w:val="nil"/>
          <w:right w:val="nil"/>
          <w:insideH w:val="nil"/>
          <w:insideV w:val="nil"/>
        </w:tcBorders>
        <w:shd w:val="clear" w:color="auto" w:fill="4098A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BAC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BAC3" w:themeFill="accent2"/>
      </w:tcPr>
    </w:tblStylePr>
    <w:tblStylePr w:type="lastCol">
      <w:rPr>
        <w:b/>
        <w:bCs/>
        <w:color w:val="FFFFFF" w:themeColor="background1"/>
      </w:rPr>
      <w:tblPr/>
      <w:tcPr>
        <w:tcBorders>
          <w:left w:val="nil"/>
          <w:right w:val="nil"/>
          <w:insideH w:val="nil"/>
          <w:insideV w:val="nil"/>
        </w:tcBorders>
        <w:shd w:val="clear" w:color="auto" w:fill="80BAC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DDE1"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FDDE1" w:themeFill="accent3"/>
      </w:tcPr>
    </w:tblStylePr>
    <w:tblStylePr w:type="lastCol">
      <w:rPr>
        <w:b/>
        <w:bCs/>
        <w:color w:val="FFFFFF" w:themeColor="background1"/>
      </w:rPr>
      <w:tblPr/>
      <w:tcPr>
        <w:tcBorders>
          <w:left w:val="nil"/>
          <w:right w:val="nil"/>
          <w:insideH w:val="nil"/>
          <w:insideV w:val="nil"/>
        </w:tcBorders>
        <w:shd w:val="clear" w:color="auto" w:fill="BFDDE1"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0405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04050" w:themeFill="accent4"/>
      </w:tcPr>
    </w:tblStylePr>
    <w:tblStylePr w:type="lastCol">
      <w:rPr>
        <w:b/>
        <w:bCs/>
        <w:color w:val="FFFFFF" w:themeColor="background1"/>
      </w:rPr>
      <w:tblPr/>
      <w:tcPr>
        <w:tcBorders>
          <w:left w:val="nil"/>
          <w:right w:val="nil"/>
          <w:insideH w:val="nil"/>
          <w:insideV w:val="nil"/>
        </w:tcBorders>
        <w:shd w:val="clear" w:color="auto" w:fill="40405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808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808B" w:themeFill="accent5"/>
      </w:tcPr>
    </w:tblStylePr>
    <w:tblStylePr w:type="lastCol">
      <w:rPr>
        <w:b/>
        <w:bCs/>
        <w:color w:val="FFFFFF" w:themeColor="background1"/>
      </w:rPr>
      <w:tblPr/>
      <w:tcPr>
        <w:tcBorders>
          <w:left w:val="nil"/>
          <w:right w:val="nil"/>
          <w:insideH w:val="nil"/>
          <w:insideV w:val="nil"/>
        </w:tcBorders>
        <w:shd w:val="clear" w:color="auto" w:fill="80808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294A5A"/>
    <w:pPr>
      <w:spacing w:before="0"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CCCD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CCCD0" w:themeFill="accent6"/>
      </w:tcPr>
    </w:tblStylePr>
    <w:tblStylePr w:type="lastCol">
      <w:rPr>
        <w:b/>
        <w:bCs/>
        <w:color w:val="FFFFFF" w:themeColor="background1"/>
      </w:rPr>
      <w:tblPr/>
      <w:tcPr>
        <w:tcBorders>
          <w:left w:val="nil"/>
          <w:right w:val="nil"/>
          <w:insideH w:val="nil"/>
          <w:insideV w:val="nil"/>
        </w:tcBorders>
        <w:shd w:val="clear" w:color="auto" w:fill="CCCCD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294A5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294A5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semiHidden/>
    <w:rsid w:val="00294A5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294A5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294A5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294A5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ulloutText">
    <w:name w:val="Pullout Text"/>
    <w:basedOn w:val="Normal"/>
    <w:uiPriority w:val="1"/>
    <w:qFormat/>
    <w:rsid w:val="007E098F"/>
    <w:pPr>
      <w:spacing w:before="100" w:after="100"/>
    </w:pPr>
    <w:rPr>
      <w:color w:val="007586" w:themeColor="text2"/>
    </w:rPr>
  </w:style>
  <w:style w:type="paragraph" w:customStyle="1" w:styleId="PulloutHeading">
    <w:name w:val="Pullout Heading"/>
    <w:basedOn w:val="PulloutText"/>
    <w:next w:val="PulloutText"/>
    <w:uiPriority w:val="1"/>
    <w:qFormat/>
    <w:rsid w:val="007E098F"/>
    <w:pPr>
      <w:spacing w:before="0" w:line="216" w:lineRule="auto"/>
    </w:pPr>
    <w:rPr>
      <w:b/>
      <w:sz w:val="24"/>
    </w:rPr>
  </w:style>
  <w:style w:type="table" w:customStyle="1" w:styleId="SCVInformationTable">
    <w:name w:val="SCV Information Table"/>
    <w:basedOn w:val="TableNormal"/>
    <w:uiPriority w:val="99"/>
    <w:rsid w:val="0086277A"/>
    <w:pPr>
      <w:spacing w:before="0" w:after="80" w:line="240" w:lineRule="auto"/>
      <w:ind w:left="170"/>
    </w:pPr>
    <w:rPr>
      <w:sz w:val="15"/>
    </w:rPr>
    <w:tblPr>
      <w:tblCellMar>
        <w:top w:w="323" w:type="dxa"/>
        <w:left w:w="0" w:type="dxa"/>
        <w:right w:w="0" w:type="dxa"/>
      </w:tblCellMar>
    </w:tblPr>
    <w:tcPr>
      <w:shd w:val="clear" w:color="auto" w:fill="F2F2F3"/>
    </w:tcPr>
  </w:style>
  <w:style w:type="paragraph" w:styleId="Date">
    <w:name w:val="Date"/>
    <w:basedOn w:val="Normal"/>
    <w:next w:val="Normal"/>
    <w:link w:val="DateChar"/>
    <w:uiPriority w:val="99"/>
    <w:rsid w:val="0050356B"/>
    <w:pPr>
      <w:framePr w:hSpace="5670" w:wrap="around" w:vAnchor="page" w:hAnchor="page" w:x="852" w:y="4310"/>
      <w:spacing w:before="0" w:after="70" w:line="312" w:lineRule="auto"/>
      <w:suppressOverlap/>
    </w:pPr>
    <w:rPr>
      <w:b/>
      <w:sz w:val="28"/>
    </w:rPr>
  </w:style>
  <w:style w:type="character" w:customStyle="1" w:styleId="DateChar">
    <w:name w:val="Date Char"/>
    <w:basedOn w:val="DefaultParagraphFont"/>
    <w:link w:val="Date"/>
    <w:uiPriority w:val="99"/>
    <w:rsid w:val="0050356B"/>
    <w:rPr>
      <w:b/>
      <w:sz w:val="28"/>
    </w:rPr>
  </w:style>
  <w:style w:type="paragraph" w:styleId="NormalWeb">
    <w:name w:val="Normal (Web)"/>
    <w:basedOn w:val="Normal"/>
    <w:uiPriority w:val="99"/>
    <w:rsid w:val="005F15F1"/>
    <w:pPr>
      <w:spacing w:before="0" w:after="0" w:line="260" w:lineRule="atLeast"/>
    </w:pPr>
    <w:rPr>
      <w:rFonts w:eastAsia="Times New Roman" w:cs="Times New Roman"/>
      <w:color w:val="000000" w:themeColor="text1"/>
      <w:szCs w:val="24"/>
    </w:rPr>
  </w:style>
  <w:style w:type="character" w:styleId="UnresolvedMention">
    <w:name w:val="Unresolved Mention"/>
    <w:basedOn w:val="DefaultParagraphFont"/>
    <w:uiPriority w:val="99"/>
    <w:semiHidden/>
    <w:unhideWhenUsed/>
    <w:rsid w:val="0089354C"/>
    <w:rPr>
      <w:color w:val="605E5C"/>
      <w:shd w:val="clear" w:color="auto" w:fill="E1DFDD"/>
    </w:rPr>
  </w:style>
  <w:style w:type="paragraph" w:customStyle="1" w:styleId="Footnotes">
    <w:name w:val="Footnotes"/>
    <w:basedOn w:val="BodyCopy"/>
    <w:uiPriority w:val="99"/>
    <w:rsid w:val="009A2201"/>
    <w:pPr>
      <w:spacing w:after="57" w:line="160" w:lineRule="atLeast"/>
      <w:ind w:left="170" w:hanging="170"/>
    </w:pPr>
    <w:rPr>
      <w:rFonts w:asciiTheme="minorHAnsi" w:hAnsiTheme="minorHAnsi"/>
      <w:sz w:val="13"/>
      <w:szCs w:val="13"/>
    </w:rPr>
  </w:style>
  <w:style w:type="paragraph" w:customStyle="1" w:styleId="BodyCopy">
    <w:name w:val="Body Copy"/>
    <w:basedOn w:val="NoParagraphStyle"/>
    <w:uiPriority w:val="99"/>
    <w:rsid w:val="005036AA"/>
    <w:pPr>
      <w:suppressAutoHyphens/>
      <w:spacing w:after="170" w:line="280" w:lineRule="atLeast"/>
    </w:pPr>
    <w:rPr>
      <w:rFonts w:ascii="VIC" w:hAnsi="VIC" w:cs="VIC"/>
      <w:color w:val="0F151F"/>
      <w:sz w:val="20"/>
      <w:szCs w:val="20"/>
      <w:lang w:val="en-GB"/>
    </w:rPr>
  </w:style>
  <w:style w:type="paragraph" w:customStyle="1" w:styleId="NoParagraphStyle">
    <w:name w:val="[No Paragraph Style]"/>
    <w:rsid w:val="005036AA"/>
    <w:pPr>
      <w:autoSpaceDE w:val="0"/>
      <w:autoSpaceDN w:val="0"/>
      <w:adjustRightInd w:val="0"/>
      <w:spacing w:before="0" w:after="0" w:line="288" w:lineRule="auto"/>
      <w:textAlignment w:val="center"/>
    </w:pPr>
    <w:rPr>
      <w:rFonts w:ascii="Minion Pro" w:hAnsi="Minion Pro" w:cs="Minion Pro"/>
      <w:color w:val="000000"/>
      <w:sz w:val="24"/>
      <w:szCs w:val="24"/>
      <w:lang w:val="en-US"/>
    </w:rPr>
  </w:style>
  <w:style w:type="character" w:styleId="FollowedHyperlink">
    <w:name w:val="FollowedHyperlink"/>
    <w:basedOn w:val="DefaultParagraphFont"/>
    <w:uiPriority w:val="99"/>
    <w:semiHidden/>
    <w:unhideWhenUsed/>
    <w:rsid w:val="001C53D3"/>
    <w:rPr>
      <w:color w:val="007586" w:themeColor="followedHyperlink"/>
      <w:u w:val="single"/>
    </w:rPr>
  </w:style>
  <w:style w:type="paragraph" w:customStyle="1" w:styleId="TableheadingTablesandfigures">
    <w:name w:val="Table heading (Tables and figures)"/>
    <w:basedOn w:val="Normal"/>
    <w:uiPriority w:val="99"/>
    <w:rsid w:val="00D241B6"/>
    <w:pPr>
      <w:suppressAutoHyphens/>
      <w:autoSpaceDE w:val="0"/>
      <w:autoSpaceDN w:val="0"/>
      <w:adjustRightInd w:val="0"/>
      <w:spacing w:before="227" w:after="113" w:line="190" w:lineRule="atLeast"/>
      <w:textAlignment w:val="center"/>
    </w:pPr>
    <w:rPr>
      <w:rFonts w:ascii="VIC" w:hAnsi="VIC" w:cs="VIC"/>
      <w:b/>
      <w:bCs/>
      <w:color w:val="009859"/>
      <w:sz w:val="16"/>
      <w:szCs w:val="16"/>
      <w:lang w:val="en-GB"/>
    </w:rPr>
  </w:style>
  <w:style w:type="paragraph" w:customStyle="1" w:styleId="TablebodyTablesandfigures">
    <w:name w:val="Table body (Tables and figures)"/>
    <w:basedOn w:val="NoParagraphStyle"/>
    <w:uiPriority w:val="99"/>
    <w:rsid w:val="00D241B6"/>
    <w:pPr>
      <w:suppressAutoHyphens/>
      <w:spacing w:line="200" w:lineRule="atLeast"/>
    </w:pPr>
    <w:rPr>
      <w:rFonts w:ascii="VIC" w:hAnsi="VIC" w:cs="VIC"/>
      <w:sz w:val="16"/>
      <w:szCs w:val="16"/>
    </w:rPr>
  </w:style>
  <w:style w:type="paragraph" w:customStyle="1" w:styleId="Heading1Headings">
    <w:name w:val="Heading 1 (Headings)"/>
    <w:basedOn w:val="NoParagraphStyle"/>
    <w:uiPriority w:val="99"/>
    <w:rsid w:val="00A4568B"/>
    <w:pPr>
      <w:suppressAutoHyphens/>
      <w:spacing w:line="520" w:lineRule="atLeast"/>
    </w:pPr>
    <w:rPr>
      <w:rFonts w:ascii="VIC" w:hAnsi="VIC" w:cs="VIC"/>
      <w:b/>
      <w:bCs/>
      <w:color w:val="009859"/>
      <w:sz w:val="48"/>
      <w:szCs w:val="48"/>
      <w:lang w:val="en-GB"/>
    </w:rPr>
  </w:style>
  <w:style w:type="paragraph" w:customStyle="1" w:styleId="FigurecaptionTablesandfigures">
    <w:name w:val="Figure caption (Tables and figures)"/>
    <w:basedOn w:val="BodyCopy"/>
    <w:uiPriority w:val="99"/>
    <w:rsid w:val="00A4568B"/>
    <w:pPr>
      <w:spacing w:line="200" w:lineRule="atLeast"/>
    </w:pPr>
    <w:rPr>
      <w:color w:val="000000"/>
      <w:sz w:val="16"/>
      <w:szCs w:val="16"/>
    </w:rPr>
  </w:style>
  <w:style w:type="character" w:styleId="CommentReference">
    <w:name w:val="annotation reference"/>
    <w:basedOn w:val="DefaultParagraphFont"/>
    <w:uiPriority w:val="1"/>
    <w:semiHidden/>
    <w:unhideWhenUsed/>
    <w:rsid w:val="008C6686"/>
    <w:rPr>
      <w:sz w:val="16"/>
      <w:szCs w:val="16"/>
    </w:rPr>
  </w:style>
  <w:style w:type="paragraph" w:styleId="CommentText">
    <w:name w:val="annotation text"/>
    <w:basedOn w:val="Normal"/>
    <w:link w:val="CommentTextChar"/>
    <w:uiPriority w:val="1"/>
    <w:unhideWhenUsed/>
    <w:rsid w:val="008C6686"/>
    <w:pPr>
      <w:spacing w:line="240" w:lineRule="auto"/>
    </w:pPr>
  </w:style>
  <w:style w:type="character" w:customStyle="1" w:styleId="CommentTextChar">
    <w:name w:val="Comment Text Char"/>
    <w:basedOn w:val="DefaultParagraphFont"/>
    <w:link w:val="CommentText"/>
    <w:uiPriority w:val="1"/>
    <w:rsid w:val="008C6686"/>
  </w:style>
  <w:style w:type="paragraph" w:styleId="CommentSubject">
    <w:name w:val="annotation subject"/>
    <w:basedOn w:val="CommentText"/>
    <w:next w:val="CommentText"/>
    <w:link w:val="CommentSubjectChar"/>
    <w:uiPriority w:val="1"/>
    <w:semiHidden/>
    <w:unhideWhenUsed/>
    <w:rsid w:val="008C6686"/>
    <w:rPr>
      <w:b/>
      <w:bCs/>
    </w:rPr>
  </w:style>
  <w:style w:type="character" w:customStyle="1" w:styleId="CommentSubjectChar">
    <w:name w:val="Comment Subject Char"/>
    <w:basedOn w:val="CommentTextChar"/>
    <w:link w:val="CommentSubject"/>
    <w:uiPriority w:val="1"/>
    <w:semiHidden/>
    <w:rsid w:val="008C6686"/>
    <w:rPr>
      <w:b/>
      <w:bCs/>
    </w:rPr>
  </w:style>
  <w:style w:type="paragraph" w:customStyle="1" w:styleId="msonormal0">
    <w:name w:val="msonormal"/>
    <w:basedOn w:val="Normal"/>
    <w:rsid w:val="007C458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7C4580"/>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7">
    <w:name w:val="xl67"/>
    <w:basedOn w:val="Normal"/>
    <w:rsid w:val="007C4580"/>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8">
    <w:name w:val="xl68"/>
    <w:basedOn w:val="Normal"/>
    <w:rsid w:val="007C458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Normal"/>
    <w:rsid w:val="007C4580"/>
    <w:pPr>
      <w:shd w:val="clear" w:color="000000" w:fill="FFC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7C4580"/>
    <w:pPr>
      <w:shd w:val="clear" w:color="000000" w:fill="FFC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7C4580"/>
    <w:pPr>
      <w:shd w:val="clear" w:color="000000" w:fill="FFC00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4">
    <w:name w:val="xl74"/>
    <w:basedOn w:val="Normal"/>
    <w:rsid w:val="007C4580"/>
    <w:pPr>
      <w:shd w:val="clear" w:color="000000" w:fill="D0CEC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6">
    <w:name w:val="xl76"/>
    <w:basedOn w:val="Normal"/>
    <w:rsid w:val="007C4580"/>
    <w:pPr>
      <w:shd w:val="clear" w:color="000000" w:fill="D0CECE"/>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7C4580"/>
    <w:pPr>
      <w:shd w:val="clear" w:color="000000" w:fill="FFC000"/>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79">
    <w:name w:val="xl79"/>
    <w:basedOn w:val="Normal"/>
    <w:rsid w:val="007C4580"/>
    <w:pPr>
      <w:shd w:val="clear" w:color="000000" w:fill="FFE699"/>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0">
    <w:name w:val="xl80"/>
    <w:basedOn w:val="Normal"/>
    <w:rsid w:val="007C4580"/>
    <w:pPr>
      <w:shd w:val="clear" w:color="000000" w:fill="C6E0B4"/>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7C4580"/>
    <w:pPr>
      <w:shd w:val="clear" w:color="000000" w:fill="CCCC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3">
    <w:name w:val="xl83"/>
    <w:basedOn w:val="Normal"/>
    <w:rsid w:val="007C4580"/>
    <w:pPr>
      <w:shd w:val="clear" w:color="000000" w:fill="E2EFD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4">
    <w:name w:val="xl84"/>
    <w:basedOn w:val="Normal"/>
    <w:rsid w:val="007C4580"/>
    <w:pPr>
      <w:shd w:val="clear" w:color="000000" w:fill="E2EFDA"/>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5">
    <w:name w:val="xl85"/>
    <w:basedOn w:val="Normal"/>
    <w:rsid w:val="007C4580"/>
    <w:pPr>
      <w:shd w:val="clear" w:color="000000" w:fill="CCCCFF"/>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7760F9"/>
    <w:pPr>
      <w:spacing w:before="0" w:after="0" w:line="240" w:lineRule="auto"/>
    </w:pPr>
  </w:style>
  <w:style w:type="paragraph" w:customStyle="1" w:styleId="IntroText">
    <w:name w:val="Intro Text"/>
    <w:basedOn w:val="BodyCopy"/>
    <w:uiPriority w:val="99"/>
    <w:rsid w:val="009E4A5F"/>
    <w:pPr>
      <w:spacing w:after="283"/>
    </w:pPr>
    <w:rPr>
      <w:rFonts w:ascii="VIC SemiBold" w:hAnsi="VIC SemiBold" w:cs="VIC SemiBold"/>
      <w:b/>
      <w:bCs/>
      <w:color w:val="006E83"/>
    </w:rPr>
  </w:style>
  <w:style w:type="paragraph" w:customStyle="1" w:styleId="FigureHeadingTablesandfigures">
    <w:name w:val="Figure Heading (Tables and figures)"/>
    <w:basedOn w:val="NoParagraphStyle"/>
    <w:uiPriority w:val="99"/>
    <w:rsid w:val="009E4A5F"/>
    <w:pPr>
      <w:suppressAutoHyphens/>
      <w:spacing w:before="170" w:after="113" w:line="260" w:lineRule="atLeast"/>
    </w:pPr>
    <w:rPr>
      <w:rFonts w:ascii="VIC" w:hAnsi="VIC" w:cs="VIC"/>
      <w:b/>
      <w:bCs/>
      <w:color w:val="006E83"/>
      <w:sz w:val="20"/>
      <w:szCs w:val="20"/>
      <w:lang w:val="en-GB"/>
    </w:rPr>
  </w:style>
  <w:style w:type="paragraph" w:customStyle="1" w:styleId="Heading2Headings">
    <w:name w:val="Heading 2 (Headings)"/>
    <w:basedOn w:val="NoParagraphStyle"/>
    <w:uiPriority w:val="99"/>
    <w:rsid w:val="009E4A5F"/>
    <w:pPr>
      <w:suppressAutoHyphens/>
      <w:spacing w:before="227" w:after="57" w:line="280" w:lineRule="atLeast"/>
    </w:pPr>
    <w:rPr>
      <w:rFonts w:ascii="VIC" w:hAnsi="VIC" w:cs="VIC"/>
      <w:b/>
      <w:bCs/>
      <w:caps/>
      <w:color w:val="006E83"/>
      <w:lang w:val="en-GB"/>
    </w:rPr>
  </w:style>
  <w:style w:type="paragraph" w:customStyle="1" w:styleId="Bullet">
    <w:name w:val="Bullet"/>
    <w:basedOn w:val="BodyCopy"/>
    <w:uiPriority w:val="99"/>
    <w:rsid w:val="009E4A5F"/>
    <w:pPr>
      <w:tabs>
        <w:tab w:val="left" w:pos="283"/>
      </w:tabs>
      <w:spacing w:after="57"/>
      <w:ind w:left="283" w:hanging="283"/>
    </w:pPr>
    <w:rPr>
      <w:color w:val="000000"/>
    </w:rPr>
  </w:style>
  <w:style w:type="paragraph" w:customStyle="1" w:styleId="BulletLast">
    <w:name w:val="Bullet Last"/>
    <w:basedOn w:val="Bullet"/>
    <w:uiPriority w:val="99"/>
    <w:rsid w:val="009E4A5F"/>
    <w:pPr>
      <w:spacing w:after="170"/>
    </w:pPr>
  </w:style>
  <w:style w:type="paragraph" w:customStyle="1" w:styleId="Heading3Headings">
    <w:name w:val="Heading 3 (Headings)"/>
    <w:basedOn w:val="NoParagraphStyle"/>
    <w:uiPriority w:val="99"/>
    <w:rsid w:val="009E4A5F"/>
    <w:pPr>
      <w:suppressAutoHyphens/>
      <w:spacing w:before="170" w:after="57" w:line="280" w:lineRule="atLeast"/>
    </w:pPr>
    <w:rPr>
      <w:rFonts w:ascii="VIC" w:hAnsi="VIC" w:cs="VIC"/>
      <w:b/>
      <w:bCs/>
      <w:color w:val="040D1A"/>
      <w:lang w:val="en-GB"/>
    </w:rPr>
  </w:style>
  <w:style w:type="paragraph" w:customStyle="1" w:styleId="Heading4Headings">
    <w:name w:val="Heading 4 (Headings)"/>
    <w:basedOn w:val="NoParagraphStyle"/>
    <w:uiPriority w:val="99"/>
    <w:rsid w:val="009E4A5F"/>
    <w:pPr>
      <w:suppressAutoHyphens/>
      <w:spacing w:before="170" w:after="57" w:line="240" w:lineRule="atLeast"/>
    </w:pPr>
    <w:rPr>
      <w:rFonts w:ascii="VIC" w:hAnsi="VIC" w:cs="VIC"/>
      <w:b/>
      <w:bCs/>
      <w:color w:val="040D1A"/>
      <w:sz w:val="20"/>
      <w:szCs w:val="20"/>
      <w:lang w:val="en-GB"/>
    </w:rPr>
  </w:style>
  <w:style w:type="paragraph" w:customStyle="1" w:styleId="BasicParagraph">
    <w:name w:val="[Basic Paragraph]"/>
    <w:basedOn w:val="NoParagraphStyle"/>
    <w:uiPriority w:val="99"/>
    <w:rsid w:val="009E4A5F"/>
  </w:style>
  <w:style w:type="character" w:customStyle="1" w:styleId="boldbody">
    <w:name w:val="bold_body"/>
    <w:uiPriority w:val="99"/>
    <w:rsid w:val="009E4A5F"/>
    <w:rPr>
      <w:rFonts w:ascii="VIC SemiBold" w:hAnsi="VIC SemiBold" w:cs="VIC SemiBold"/>
      <w:b/>
      <w:bCs/>
    </w:rPr>
  </w:style>
  <w:style w:type="character" w:customStyle="1" w:styleId="GovernementBluebullet">
    <w:name w:val="Governement Blue / bullet"/>
    <w:uiPriority w:val="99"/>
    <w:rsid w:val="009E4A5F"/>
    <w:rPr>
      <w:color w:val="005DA0"/>
    </w:rPr>
  </w:style>
  <w:style w:type="paragraph" w:customStyle="1" w:styleId="contents1">
    <w:name w:val="contents 1"/>
    <w:basedOn w:val="BodyCopy"/>
    <w:uiPriority w:val="99"/>
    <w:rsid w:val="00D6403A"/>
    <w:pPr>
      <w:pBdr>
        <w:bottom w:val="single" w:sz="2" w:space="4" w:color="auto"/>
      </w:pBdr>
      <w:tabs>
        <w:tab w:val="right" w:pos="10205"/>
      </w:tabs>
      <w:spacing w:after="102"/>
    </w:pPr>
    <w:rPr>
      <w:rFonts w:ascii="VIC SemiBold" w:hAnsi="VIC SemiBold" w:cs="VIC SemiBold"/>
      <w:b/>
      <w:bCs/>
      <w:color w:val="000000"/>
    </w:rPr>
  </w:style>
  <w:style w:type="paragraph" w:customStyle="1" w:styleId="contents2">
    <w:name w:val="contents 2"/>
    <w:basedOn w:val="BodyCopy"/>
    <w:uiPriority w:val="99"/>
    <w:rsid w:val="00D6403A"/>
    <w:pPr>
      <w:pBdr>
        <w:bottom w:val="single" w:sz="2" w:space="4" w:color="auto"/>
      </w:pBdr>
      <w:tabs>
        <w:tab w:val="right" w:pos="10205"/>
      </w:tabs>
      <w:spacing w:after="102"/>
    </w:pPr>
    <w:rPr>
      <w:color w:val="009859"/>
    </w:rPr>
  </w:style>
  <w:style w:type="paragraph" w:customStyle="1" w:styleId="heading5Headings">
    <w:name w:val="heading 5 (Headings)"/>
    <w:basedOn w:val="Heading4Headings"/>
    <w:uiPriority w:val="99"/>
    <w:rsid w:val="00D6403A"/>
    <w:pPr>
      <w:spacing w:before="113"/>
    </w:pPr>
    <w:rPr>
      <w:rFonts w:ascii="VIC SemiBold" w:hAnsi="VIC SemiBold" w:cs="VIC SemiBold"/>
      <w:color w:val="000000"/>
    </w:rPr>
  </w:style>
  <w:style w:type="paragraph" w:customStyle="1" w:styleId="bullet20">
    <w:name w:val="bullet_2"/>
    <w:basedOn w:val="Bullet"/>
    <w:uiPriority w:val="99"/>
    <w:rsid w:val="00D6403A"/>
    <w:pPr>
      <w:ind w:left="567"/>
    </w:pPr>
  </w:style>
  <w:style w:type="character" w:customStyle="1" w:styleId="GovernmentBluebullet">
    <w:name w:val="Government Blue / bullet"/>
    <w:uiPriority w:val="99"/>
    <w:rsid w:val="00D6403A"/>
    <w:rPr>
      <w:color w:val="0059D8"/>
    </w:rPr>
  </w:style>
  <w:style w:type="paragraph" w:styleId="TOC5">
    <w:name w:val="toc 5"/>
    <w:basedOn w:val="Normal"/>
    <w:next w:val="Normal"/>
    <w:autoRedefine/>
    <w:uiPriority w:val="39"/>
    <w:unhideWhenUsed/>
    <w:rsid w:val="00DC5A4D"/>
    <w:pPr>
      <w:spacing w:before="0" w:after="100" w:line="240" w:lineRule="auto"/>
      <w:ind w:left="960"/>
    </w:pPr>
    <w:rPr>
      <w:sz w:val="24"/>
      <w:szCs w:val="24"/>
      <w:lang w:eastAsia="en-US"/>
    </w:rPr>
  </w:style>
  <w:style w:type="paragraph" w:styleId="TOC6">
    <w:name w:val="toc 6"/>
    <w:basedOn w:val="Normal"/>
    <w:next w:val="Normal"/>
    <w:autoRedefine/>
    <w:uiPriority w:val="39"/>
    <w:unhideWhenUsed/>
    <w:rsid w:val="00DC5A4D"/>
    <w:pPr>
      <w:spacing w:before="0" w:after="100" w:line="240" w:lineRule="auto"/>
      <w:ind w:left="1200"/>
    </w:pPr>
    <w:rPr>
      <w:sz w:val="24"/>
      <w:szCs w:val="24"/>
      <w:lang w:eastAsia="en-US"/>
    </w:rPr>
  </w:style>
  <w:style w:type="paragraph" w:styleId="TOC7">
    <w:name w:val="toc 7"/>
    <w:basedOn w:val="Normal"/>
    <w:next w:val="Normal"/>
    <w:autoRedefine/>
    <w:uiPriority w:val="39"/>
    <w:unhideWhenUsed/>
    <w:rsid w:val="00DC5A4D"/>
    <w:pPr>
      <w:spacing w:before="0" w:after="100" w:line="240" w:lineRule="auto"/>
      <w:ind w:left="1440"/>
    </w:pPr>
    <w:rPr>
      <w:sz w:val="24"/>
      <w:szCs w:val="24"/>
      <w:lang w:eastAsia="en-US"/>
    </w:rPr>
  </w:style>
  <w:style w:type="paragraph" w:styleId="TOC8">
    <w:name w:val="toc 8"/>
    <w:basedOn w:val="Normal"/>
    <w:next w:val="Normal"/>
    <w:autoRedefine/>
    <w:uiPriority w:val="39"/>
    <w:unhideWhenUsed/>
    <w:rsid w:val="00DC5A4D"/>
    <w:pPr>
      <w:spacing w:before="0" w:after="100" w:line="240" w:lineRule="auto"/>
      <w:ind w:left="1680"/>
    </w:pPr>
    <w:rPr>
      <w:sz w:val="24"/>
      <w:szCs w:val="24"/>
      <w:lang w:eastAsia="en-US"/>
    </w:rPr>
  </w:style>
  <w:style w:type="paragraph" w:styleId="TOC9">
    <w:name w:val="toc 9"/>
    <w:basedOn w:val="Normal"/>
    <w:next w:val="Normal"/>
    <w:autoRedefine/>
    <w:uiPriority w:val="39"/>
    <w:unhideWhenUsed/>
    <w:rsid w:val="00DC5A4D"/>
    <w:pPr>
      <w:spacing w:before="0" w:after="100" w:line="240" w:lineRule="auto"/>
      <w:ind w:left="1920"/>
    </w:pPr>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94002">
      <w:bodyDiv w:val="1"/>
      <w:marLeft w:val="0"/>
      <w:marRight w:val="0"/>
      <w:marTop w:val="0"/>
      <w:marBottom w:val="0"/>
      <w:divBdr>
        <w:top w:val="none" w:sz="0" w:space="0" w:color="auto"/>
        <w:left w:val="none" w:sz="0" w:space="0" w:color="auto"/>
        <w:bottom w:val="none" w:sz="0" w:space="0" w:color="auto"/>
        <w:right w:val="none" w:sz="0" w:space="0" w:color="auto"/>
      </w:divBdr>
    </w:div>
    <w:div w:id="109514196">
      <w:bodyDiv w:val="1"/>
      <w:marLeft w:val="0"/>
      <w:marRight w:val="0"/>
      <w:marTop w:val="0"/>
      <w:marBottom w:val="0"/>
      <w:divBdr>
        <w:top w:val="none" w:sz="0" w:space="0" w:color="auto"/>
        <w:left w:val="none" w:sz="0" w:space="0" w:color="auto"/>
        <w:bottom w:val="none" w:sz="0" w:space="0" w:color="auto"/>
        <w:right w:val="none" w:sz="0" w:space="0" w:color="auto"/>
      </w:divBdr>
    </w:div>
    <w:div w:id="304235983">
      <w:bodyDiv w:val="1"/>
      <w:marLeft w:val="0"/>
      <w:marRight w:val="0"/>
      <w:marTop w:val="0"/>
      <w:marBottom w:val="0"/>
      <w:divBdr>
        <w:top w:val="none" w:sz="0" w:space="0" w:color="auto"/>
        <w:left w:val="none" w:sz="0" w:space="0" w:color="auto"/>
        <w:bottom w:val="none" w:sz="0" w:space="0" w:color="auto"/>
        <w:right w:val="none" w:sz="0" w:space="0" w:color="auto"/>
      </w:divBdr>
    </w:div>
    <w:div w:id="324164565">
      <w:bodyDiv w:val="1"/>
      <w:marLeft w:val="0"/>
      <w:marRight w:val="0"/>
      <w:marTop w:val="0"/>
      <w:marBottom w:val="0"/>
      <w:divBdr>
        <w:top w:val="none" w:sz="0" w:space="0" w:color="auto"/>
        <w:left w:val="none" w:sz="0" w:space="0" w:color="auto"/>
        <w:bottom w:val="none" w:sz="0" w:space="0" w:color="auto"/>
        <w:right w:val="none" w:sz="0" w:space="0" w:color="auto"/>
      </w:divBdr>
    </w:div>
    <w:div w:id="348458287">
      <w:bodyDiv w:val="1"/>
      <w:marLeft w:val="0"/>
      <w:marRight w:val="0"/>
      <w:marTop w:val="0"/>
      <w:marBottom w:val="0"/>
      <w:divBdr>
        <w:top w:val="none" w:sz="0" w:space="0" w:color="auto"/>
        <w:left w:val="none" w:sz="0" w:space="0" w:color="auto"/>
        <w:bottom w:val="none" w:sz="0" w:space="0" w:color="auto"/>
        <w:right w:val="none" w:sz="0" w:space="0" w:color="auto"/>
      </w:divBdr>
    </w:div>
    <w:div w:id="365982256">
      <w:bodyDiv w:val="1"/>
      <w:marLeft w:val="0"/>
      <w:marRight w:val="0"/>
      <w:marTop w:val="0"/>
      <w:marBottom w:val="0"/>
      <w:divBdr>
        <w:top w:val="none" w:sz="0" w:space="0" w:color="auto"/>
        <w:left w:val="none" w:sz="0" w:space="0" w:color="auto"/>
        <w:bottom w:val="none" w:sz="0" w:space="0" w:color="auto"/>
        <w:right w:val="none" w:sz="0" w:space="0" w:color="auto"/>
      </w:divBdr>
    </w:div>
    <w:div w:id="512769984">
      <w:bodyDiv w:val="1"/>
      <w:marLeft w:val="0"/>
      <w:marRight w:val="0"/>
      <w:marTop w:val="0"/>
      <w:marBottom w:val="0"/>
      <w:divBdr>
        <w:top w:val="none" w:sz="0" w:space="0" w:color="auto"/>
        <w:left w:val="none" w:sz="0" w:space="0" w:color="auto"/>
        <w:bottom w:val="none" w:sz="0" w:space="0" w:color="auto"/>
        <w:right w:val="none" w:sz="0" w:space="0" w:color="auto"/>
      </w:divBdr>
    </w:div>
    <w:div w:id="687289429">
      <w:bodyDiv w:val="1"/>
      <w:marLeft w:val="0"/>
      <w:marRight w:val="0"/>
      <w:marTop w:val="0"/>
      <w:marBottom w:val="0"/>
      <w:divBdr>
        <w:top w:val="none" w:sz="0" w:space="0" w:color="auto"/>
        <w:left w:val="none" w:sz="0" w:space="0" w:color="auto"/>
        <w:bottom w:val="none" w:sz="0" w:space="0" w:color="auto"/>
        <w:right w:val="none" w:sz="0" w:space="0" w:color="auto"/>
      </w:divBdr>
    </w:div>
    <w:div w:id="785852261">
      <w:bodyDiv w:val="1"/>
      <w:marLeft w:val="0"/>
      <w:marRight w:val="0"/>
      <w:marTop w:val="0"/>
      <w:marBottom w:val="0"/>
      <w:divBdr>
        <w:top w:val="none" w:sz="0" w:space="0" w:color="auto"/>
        <w:left w:val="none" w:sz="0" w:space="0" w:color="auto"/>
        <w:bottom w:val="none" w:sz="0" w:space="0" w:color="auto"/>
        <w:right w:val="none" w:sz="0" w:space="0" w:color="auto"/>
      </w:divBdr>
    </w:div>
    <w:div w:id="798453443">
      <w:bodyDiv w:val="1"/>
      <w:marLeft w:val="0"/>
      <w:marRight w:val="0"/>
      <w:marTop w:val="0"/>
      <w:marBottom w:val="0"/>
      <w:divBdr>
        <w:top w:val="none" w:sz="0" w:space="0" w:color="auto"/>
        <w:left w:val="none" w:sz="0" w:space="0" w:color="auto"/>
        <w:bottom w:val="none" w:sz="0" w:space="0" w:color="auto"/>
        <w:right w:val="none" w:sz="0" w:space="0" w:color="auto"/>
      </w:divBdr>
    </w:div>
    <w:div w:id="812527319">
      <w:bodyDiv w:val="1"/>
      <w:marLeft w:val="0"/>
      <w:marRight w:val="0"/>
      <w:marTop w:val="0"/>
      <w:marBottom w:val="0"/>
      <w:divBdr>
        <w:top w:val="none" w:sz="0" w:space="0" w:color="auto"/>
        <w:left w:val="none" w:sz="0" w:space="0" w:color="auto"/>
        <w:bottom w:val="none" w:sz="0" w:space="0" w:color="auto"/>
        <w:right w:val="none" w:sz="0" w:space="0" w:color="auto"/>
      </w:divBdr>
    </w:div>
    <w:div w:id="823547061">
      <w:bodyDiv w:val="1"/>
      <w:marLeft w:val="0"/>
      <w:marRight w:val="0"/>
      <w:marTop w:val="0"/>
      <w:marBottom w:val="0"/>
      <w:divBdr>
        <w:top w:val="none" w:sz="0" w:space="0" w:color="auto"/>
        <w:left w:val="none" w:sz="0" w:space="0" w:color="auto"/>
        <w:bottom w:val="none" w:sz="0" w:space="0" w:color="auto"/>
        <w:right w:val="none" w:sz="0" w:space="0" w:color="auto"/>
      </w:divBdr>
      <w:divsChild>
        <w:div w:id="127742741">
          <w:marLeft w:val="0"/>
          <w:marRight w:val="0"/>
          <w:marTop w:val="0"/>
          <w:marBottom w:val="0"/>
          <w:divBdr>
            <w:top w:val="none" w:sz="0" w:space="0" w:color="auto"/>
            <w:left w:val="none" w:sz="0" w:space="0" w:color="auto"/>
            <w:bottom w:val="none" w:sz="0" w:space="0" w:color="auto"/>
            <w:right w:val="none" w:sz="0" w:space="0" w:color="auto"/>
          </w:divBdr>
        </w:div>
      </w:divsChild>
    </w:div>
    <w:div w:id="834034880">
      <w:bodyDiv w:val="1"/>
      <w:marLeft w:val="0"/>
      <w:marRight w:val="0"/>
      <w:marTop w:val="0"/>
      <w:marBottom w:val="0"/>
      <w:divBdr>
        <w:top w:val="none" w:sz="0" w:space="0" w:color="auto"/>
        <w:left w:val="none" w:sz="0" w:space="0" w:color="auto"/>
        <w:bottom w:val="none" w:sz="0" w:space="0" w:color="auto"/>
        <w:right w:val="none" w:sz="0" w:space="0" w:color="auto"/>
      </w:divBdr>
    </w:div>
    <w:div w:id="874729337">
      <w:bodyDiv w:val="1"/>
      <w:marLeft w:val="0"/>
      <w:marRight w:val="0"/>
      <w:marTop w:val="0"/>
      <w:marBottom w:val="0"/>
      <w:divBdr>
        <w:top w:val="none" w:sz="0" w:space="0" w:color="auto"/>
        <w:left w:val="none" w:sz="0" w:space="0" w:color="auto"/>
        <w:bottom w:val="none" w:sz="0" w:space="0" w:color="auto"/>
        <w:right w:val="none" w:sz="0" w:space="0" w:color="auto"/>
      </w:divBdr>
    </w:div>
    <w:div w:id="983660453">
      <w:bodyDiv w:val="1"/>
      <w:marLeft w:val="0"/>
      <w:marRight w:val="0"/>
      <w:marTop w:val="0"/>
      <w:marBottom w:val="0"/>
      <w:divBdr>
        <w:top w:val="none" w:sz="0" w:space="0" w:color="auto"/>
        <w:left w:val="none" w:sz="0" w:space="0" w:color="auto"/>
        <w:bottom w:val="none" w:sz="0" w:space="0" w:color="auto"/>
        <w:right w:val="none" w:sz="0" w:space="0" w:color="auto"/>
      </w:divBdr>
      <w:divsChild>
        <w:div w:id="195697914">
          <w:marLeft w:val="0"/>
          <w:marRight w:val="0"/>
          <w:marTop w:val="0"/>
          <w:marBottom w:val="0"/>
          <w:divBdr>
            <w:top w:val="none" w:sz="0" w:space="0" w:color="auto"/>
            <w:left w:val="none" w:sz="0" w:space="0" w:color="auto"/>
            <w:bottom w:val="none" w:sz="0" w:space="0" w:color="auto"/>
            <w:right w:val="none" w:sz="0" w:space="0" w:color="auto"/>
          </w:divBdr>
        </w:div>
      </w:divsChild>
    </w:div>
    <w:div w:id="1004285005">
      <w:bodyDiv w:val="1"/>
      <w:marLeft w:val="0"/>
      <w:marRight w:val="0"/>
      <w:marTop w:val="0"/>
      <w:marBottom w:val="0"/>
      <w:divBdr>
        <w:top w:val="none" w:sz="0" w:space="0" w:color="auto"/>
        <w:left w:val="none" w:sz="0" w:space="0" w:color="auto"/>
        <w:bottom w:val="none" w:sz="0" w:space="0" w:color="auto"/>
        <w:right w:val="none" w:sz="0" w:space="0" w:color="auto"/>
      </w:divBdr>
    </w:div>
    <w:div w:id="1066298667">
      <w:bodyDiv w:val="1"/>
      <w:marLeft w:val="0"/>
      <w:marRight w:val="0"/>
      <w:marTop w:val="0"/>
      <w:marBottom w:val="0"/>
      <w:divBdr>
        <w:top w:val="none" w:sz="0" w:space="0" w:color="auto"/>
        <w:left w:val="none" w:sz="0" w:space="0" w:color="auto"/>
        <w:bottom w:val="none" w:sz="0" w:space="0" w:color="auto"/>
        <w:right w:val="none" w:sz="0" w:space="0" w:color="auto"/>
      </w:divBdr>
    </w:div>
    <w:div w:id="1082752538">
      <w:bodyDiv w:val="1"/>
      <w:marLeft w:val="0"/>
      <w:marRight w:val="0"/>
      <w:marTop w:val="0"/>
      <w:marBottom w:val="0"/>
      <w:divBdr>
        <w:top w:val="none" w:sz="0" w:space="0" w:color="auto"/>
        <w:left w:val="none" w:sz="0" w:space="0" w:color="auto"/>
        <w:bottom w:val="none" w:sz="0" w:space="0" w:color="auto"/>
        <w:right w:val="none" w:sz="0" w:space="0" w:color="auto"/>
      </w:divBdr>
    </w:div>
    <w:div w:id="1127892015">
      <w:bodyDiv w:val="1"/>
      <w:marLeft w:val="0"/>
      <w:marRight w:val="0"/>
      <w:marTop w:val="0"/>
      <w:marBottom w:val="0"/>
      <w:divBdr>
        <w:top w:val="none" w:sz="0" w:space="0" w:color="auto"/>
        <w:left w:val="none" w:sz="0" w:space="0" w:color="auto"/>
        <w:bottom w:val="none" w:sz="0" w:space="0" w:color="auto"/>
        <w:right w:val="none" w:sz="0" w:space="0" w:color="auto"/>
      </w:divBdr>
    </w:div>
    <w:div w:id="1261333035">
      <w:bodyDiv w:val="1"/>
      <w:marLeft w:val="0"/>
      <w:marRight w:val="0"/>
      <w:marTop w:val="0"/>
      <w:marBottom w:val="0"/>
      <w:divBdr>
        <w:top w:val="none" w:sz="0" w:space="0" w:color="auto"/>
        <w:left w:val="none" w:sz="0" w:space="0" w:color="auto"/>
        <w:bottom w:val="none" w:sz="0" w:space="0" w:color="auto"/>
        <w:right w:val="none" w:sz="0" w:space="0" w:color="auto"/>
      </w:divBdr>
      <w:divsChild>
        <w:div w:id="1402870007">
          <w:marLeft w:val="0"/>
          <w:marRight w:val="0"/>
          <w:marTop w:val="0"/>
          <w:marBottom w:val="0"/>
          <w:divBdr>
            <w:top w:val="none" w:sz="0" w:space="0" w:color="auto"/>
            <w:left w:val="none" w:sz="0" w:space="0" w:color="auto"/>
            <w:bottom w:val="none" w:sz="0" w:space="0" w:color="auto"/>
            <w:right w:val="none" w:sz="0" w:space="0" w:color="auto"/>
          </w:divBdr>
        </w:div>
      </w:divsChild>
    </w:div>
    <w:div w:id="1346901058">
      <w:bodyDiv w:val="1"/>
      <w:marLeft w:val="0"/>
      <w:marRight w:val="0"/>
      <w:marTop w:val="0"/>
      <w:marBottom w:val="0"/>
      <w:divBdr>
        <w:top w:val="none" w:sz="0" w:space="0" w:color="auto"/>
        <w:left w:val="none" w:sz="0" w:space="0" w:color="auto"/>
        <w:bottom w:val="none" w:sz="0" w:space="0" w:color="auto"/>
        <w:right w:val="none" w:sz="0" w:space="0" w:color="auto"/>
      </w:divBdr>
    </w:div>
    <w:div w:id="1357345069">
      <w:bodyDiv w:val="1"/>
      <w:marLeft w:val="0"/>
      <w:marRight w:val="0"/>
      <w:marTop w:val="0"/>
      <w:marBottom w:val="0"/>
      <w:divBdr>
        <w:top w:val="none" w:sz="0" w:space="0" w:color="auto"/>
        <w:left w:val="none" w:sz="0" w:space="0" w:color="auto"/>
        <w:bottom w:val="none" w:sz="0" w:space="0" w:color="auto"/>
        <w:right w:val="none" w:sz="0" w:space="0" w:color="auto"/>
      </w:divBdr>
    </w:div>
    <w:div w:id="1378697892">
      <w:bodyDiv w:val="1"/>
      <w:marLeft w:val="0"/>
      <w:marRight w:val="0"/>
      <w:marTop w:val="0"/>
      <w:marBottom w:val="0"/>
      <w:divBdr>
        <w:top w:val="none" w:sz="0" w:space="0" w:color="auto"/>
        <w:left w:val="none" w:sz="0" w:space="0" w:color="auto"/>
        <w:bottom w:val="none" w:sz="0" w:space="0" w:color="auto"/>
        <w:right w:val="none" w:sz="0" w:space="0" w:color="auto"/>
      </w:divBdr>
      <w:divsChild>
        <w:div w:id="18821145">
          <w:marLeft w:val="0"/>
          <w:marRight w:val="0"/>
          <w:marTop w:val="0"/>
          <w:marBottom w:val="0"/>
          <w:divBdr>
            <w:top w:val="none" w:sz="0" w:space="0" w:color="auto"/>
            <w:left w:val="none" w:sz="0" w:space="0" w:color="auto"/>
            <w:bottom w:val="none" w:sz="0" w:space="0" w:color="auto"/>
            <w:right w:val="none" w:sz="0" w:space="0" w:color="auto"/>
          </w:divBdr>
        </w:div>
      </w:divsChild>
    </w:div>
    <w:div w:id="1412309044">
      <w:bodyDiv w:val="1"/>
      <w:marLeft w:val="0"/>
      <w:marRight w:val="0"/>
      <w:marTop w:val="0"/>
      <w:marBottom w:val="0"/>
      <w:divBdr>
        <w:top w:val="none" w:sz="0" w:space="0" w:color="auto"/>
        <w:left w:val="none" w:sz="0" w:space="0" w:color="auto"/>
        <w:bottom w:val="none" w:sz="0" w:space="0" w:color="auto"/>
        <w:right w:val="none" w:sz="0" w:space="0" w:color="auto"/>
      </w:divBdr>
    </w:div>
    <w:div w:id="1420834900">
      <w:bodyDiv w:val="1"/>
      <w:marLeft w:val="0"/>
      <w:marRight w:val="0"/>
      <w:marTop w:val="0"/>
      <w:marBottom w:val="0"/>
      <w:divBdr>
        <w:top w:val="none" w:sz="0" w:space="0" w:color="auto"/>
        <w:left w:val="none" w:sz="0" w:space="0" w:color="auto"/>
        <w:bottom w:val="none" w:sz="0" w:space="0" w:color="auto"/>
        <w:right w:val="none" w:sz="0" w:space="0" w:color="auto"/>
      </w:divBdr>
      <w:divsChild>
        <w:div w:id="1195120794">
          <w:marLeft w:val="0"/>
          <w:marRight w:val="0"/>
          <w:marTop w:val="0"/>
          <w:marBottom w:val="0"/>
          <w:divBdr>
            <w:top w:val="none" w:sz="0" w:space="0" w:color="auto"/>
            <w:left w:val="none" w:sz="0" w:space="0" w:color="auto"/>
            <w:bottom w:val="none" w:sz="0" w:space="0" w:color="auto"/>
            <w:right w:val="none" w:sz="0" w:space="0" w:color="auto"/>
          </w:divBdr>
        </w:div>
      </w:divsChild>
    </w:div>
    <w:div w:id="1530290843">
      <w:bodyDiv w:val="1"/>
      <w:marLeft w:val="0"/>
      <w:marRight w:val="0"/>
      <w:marTop w:val="0"/>
      <w:marBottom w:val="0"/>
      <w:divBdr>
        <w:top w:val="none" w:sz="0" w:space="0" w:color="auto"/>
        <w:left w:val="none" w:sz="0" w:space="0" w:color="auto"/>
        <w:bottom w:val="none" w:sz="0" w:space="0" w:color="auto"/>
        <w:right w:val="none" w:sz="0" w:space="0" w:color="auto"/>
      </w:divBdr>
      <w:divsChild>
        <w:div w:id="696471496">
          <w:marLeft w:val="0"/>
          <w:marRight w:val="0"/>
          <w:marTop w:val="0"/>
          <w:marBottom w:val="0"/>
          <w:divBdr>
            <w:top w:val="none" w:sz="0" w:space="0" w:color="auto"/>
            <w:left w:val="none" w:sz="0" w:space="0" w:color="auto"/>
            <w:bottom w:val="none" w:sz="0" w:space="0" w:color="auto"/>
            <w:right w:val="none" w:sz="0" w:space="0" w:color="auto"/>
          </w:divBdr>
        </w:div>
      </w:divsChild>
    </w:div>
    <w:div w:id="1558280633">
      <w:bodyDiv w:val="1"/>
      <w:marLeft w:val="0"/>
      <w:marRight w:val="0"/>
      <w:marTop w:val="0"/>
      <w:marBottom w:val="0"/>
      <w:divBdr>
        <w:top w:val="none" w:sz="0" w:space="0" w:color="auto"/>
        <w:left w:val="none" w:sz="0" w:space="0" w:color="auto"/>
        <w:bottom w:val="none" w:sz="0" w:space="0" w:color="auto"/>
        <w:right w:val="none" w:sz="0" w:space="0" w:color="auto"/>
      </w:divBdr>
    </w:div>
    <w:div w:id="1603412069">
      <w:bodyDiv w:val="1"/>
      <w:marLeft w:val="0"/>
      <w:marRight w:val="0"/>
      <w:marTop w:val="0"/>
      <w:marBottom w:val="0"/>
      <w:divBdr>
        <w:top w:val="none" w:sz="0" w:space="0" w:color="auto"/>
        <w:left w:val="none" w:sz="0" w:space="0" w:color="auto"/>
        <w:bottom w:val="none" w:sz="0" w:space="0" w:color="auto"/>
        <w:right w:val="none" w:sz="0" w:space="0" w:color="auto"/>
      </w:divBdr>
    </w:div>
    <w:div w:id="1855224356">
      <w:bodyDiv w:val="1"/>
      <w:marLeft w:val="0"/>
      <w:marRight w:val="0"/>
      <w:marTop w:val="0"/>
      <w:marBottom w:val="0"/>
      <w:divBdr>
        <w:top w:val="none" w:sz="0" w:space="0" w:color="auto"/>
        <w:left w:val="none" w:sz="0" w:space="0" w:color="auto"/>
        <w:bottom w:val="none" w:sz="0" w:space="0" w:color="auto"/>
        <w:right w:val="none" w:sz="0" w:space="0" w:color="auto"/>
      </w:divBdr>
    </w:div>
    <w:div w:id="1948847869">
      <w:bodyDiv w:val="1"/>
      <w:marLeft w:val="0"/>
      <w:marRight w:val="0"/>
      <w:marTop w:val="0"/>
      <w:marBottom w:val="0"/>
      <w:divBdr>
        <w:top w:val="none" w:sz="0" w:space="0" w:color="auto"/>
        <w:left w:val="none" w:sz="0" w:space="0" w:color="auto"/>
        <w:bottom w:val="none" w:sz="0" w:space="0" w:color="auto"/>
        <w:right w:val="none" w:sz="0" w:space="0" w:color="auto"/>
      </w:divBdr>
    </w:div>
    <w:div w:id="2016809195">
      <w:bodyDiv w:val="1"/>
      <w:marLeft w:val="0"/>
      <w:marRight w:val="0"/>
      <w:marTop w:val="0"/>
      <w:marBottom w:val="0"/>
      <w:divBdr>
        <w:top w:val="none" w:sz="0" w:space="0" w:color="auto"/>
        <w:left w:val="none" w:sz="0" w:space="0" w:color="auto"/>
        <w:bottom w:val="none" w:sz="0" w:space="0" w:color="auto"/>
        <w:right w:val="none" w:sz="0" w:space="0" w:color="auto"/>
      </w:divBdr>
    </w:div>
    <w:div w:id="2086344089">
      <w:bodyDiv w:val="1"/>
      <w:marLeft w:val="0"/>
      <w:marRight w:val="0"/>
      <w:marTop w:val="0"/>
      <w:marBottom w:val="0"/>
      <w:divBdr>
        <w:top w:val="none" w:sz="0" w:space="0" w:color="auto"/>
        <w:left w:val="none" w:sz="0" w:space="0" w:color="auto"/>
        <w:bottom w:val="none" w:sz="0" w:space="0" w:color="auto"/>
        <w:right w:val="none" w:sz="0" w:space="0" w:color="auto"/>
      </w:divBdr>
    </w:div>
    <w:div w:id="2089183931">
      <w:bodyDiv w:val="1"/>
      <w:marLeft w:val="0"/>
      <w:marRight w:val="0"/>
      <w:marTop w:val="0"/>
      <w:marBottom w:val="0"/>
      <w:divBdr>
        <w:top w:val="none" w:sz="0" w:space="0" w:color="auto"/>
        <w:left w:val="none" w:sz="0" w:space="0" w:color="auto"/>
        <w:bottom w:val="none" w:sz="0" w:space="0" w:color="auto"/>
        <w:right w:val="none" w:sz="0" w:space="0" w:color="auto"/>
      </w:divBdr>
    </w:div>
    <w:div w:id="2117406766">
      <w:bodyDiv w:val="1"/>
      <w:marLeft w:val="0"/>
      <w:marRight w:val="0"/>
      <w:marTop w:val="0"/>
      <w:marBottom w:val="0"/>
      <w:divBdr>
        <w:top w:val="none" w:sz="0" w:space="0" w:color="auto"/>
        <w:left w:val="none" w:sz="0" w:space="0" w:color="auto"/>
        <w:bottom w:val="none" w:sz="0" w:space="0" w:color="auto"/>
        <w:right w:val="none" w:sz="0" w:space="0" w:color="auto"/>
      </w:divBdr>
    </w:div>
    <w:div w:id="2131317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etterhealth.vic.gov.au/" TargetMode="External"/><Relationship Id="rId117" Type="http://schemas.openxmlformats.org/officeDocument/2006/relationships/image" Target="media/image66.png"/><Relationship Id="rId21" Type="http://schemas.openxmlformats.org/officeDocument/2006/relationships/footer" Target="footer5.xml"/><Relationship Id="rId42" Type="http://schemas.openxmlformats.org/officeDocument/2006/relationships/image" Target="media/image17.png"/><Relationship Id="rId47" Type="http://schemas.openxmlformats.org/officeDocument/2006/relationships/hyperlink" Target="https://www.safercare.vic.gov.au/improvement/projects/mbc/better-births" TargetMode="External"/><Relationship Id="rId63" Type="http://schemas.openxmlformats.org/officeDocument/2006/relationships/image" Target="media/image30.png"/><Relationship Id="rId68" Type="http://schemas.openxmlformats.org/officeDocument/2006/relationships/hyperlink" Target="https://www.safercare.vic.gov.au/best-practice-improvement/learning-health-networks/maternity-newborn-lhn" TargetMode="External"/><Relationship Id="rId84" Type="http://schemas.openxmlformats.org/officeDocument/2006/relationships/image" Target="media/image45.png"/><Relationship Id="rId89" Type="http://schemas.openxmlformats.org/officeDocument/2006/relationships/image" Target="media/image50.png"/><Relationship Id="rId112" Type="http://schemas.openxmlformats.org/officeDocument/2006/relationships/image" Target="media/image63.png"/><Relationship Id="rId133" Type="http://schemas.openxmlformats.org/officeDocument/2006/relationships/image" Target="media/image77.png"/><Relationship Id="rId138" Type="http://schemas.openxmlformats.org/officeDocument/2006/relationships/image" Target="media/image80.png"/><Relationship Id="rId154" Type="http://schemas.openxmlformats.org/officeDocument/2006/relationships/hyperlink" Target="https://www.breastfeeding.asn.au/" TargetMode="External"/><Relationship Id="rId159" Type="http://schemas.openxmlformats.org/officeDocument/2006/relationships/hyperlink" Target="https://www.health.gov.au/topics/immunisation" TargetMode="External"/><Relationship Id="rId175" Type="http://schemas.openxmlformats.org/officeDocument/2006/relationships/hyperlink" Target="https://learn.stillbirthcre.org.au/" TargetMode="External"/><Relationship Id="rId170" Type="http://schemas.openxmlformats.org/officeDocument/2006/relationships/hyperlink" Target="https://isistaquit.org.au/" TargetMode="External"/><Relationship Id="rId16" Type="http://schemas.openxmlformats.org/officeDocument/2006/relationships/hyperlink" Target="mailto:mailto:info@safercare.vic.gov.au" TargetMode="External"/><Relationship Id="rId107" Type="http://schemas.openxmlformats.org/officeDocument/2006/relationships/image" Target="media/image59.png"/><Relationship Id="rId11" Type="http://schemas.openxmlformats.org/officeDocument/2006/relationships/header" Target="header1.xml"/><Relationship Id="rId32" Type="http://schemas.openxmlformats.org/officeDocument/2006/relationships/hyperlink" Target="https://stillbirthcre.org.au/parents/safer-baby/timing-of-birth" TargetMode="External"/><Relationship Id="rId37" Type="http://schemas.openxmlformats.org/officeDocument/2006/relationships/image" Target="media/image12.png"/><Relationship Id="rId53" Type="http://schemas.openxmlformats.org/officeDocument/2006/relationships/image" Target="media/image22.png"/><Relationship Id="rId58" Type="http://schemas.openxmlformats.org/officeDocument/2006/relationships/image" Target="media/image25.png"/><Relationship Id="rId74" Type="http://schemas.openxmlformats.org/officeDocument/2006/relationships/hyperlink" Target="https://www.health.vic.gov.au/patient-care/capability-frameworks-for-maternity-and-newborn-care-in-victoria" TargetMode="External"/><Relationship Id="rId79" Type="http://schemas.openxmlformats.org/officeDocument/2006/relationships/image" Target="media/image41.png"/><Relationship Id="rId102" Type="http://schemas.openxmlformats.org/officeDocument/2006/relationships/image" Target="media/image54.png"/><Relationship Id="rId123" Type="http://schemas.openxmlformats.org/officeDocument/2006/relationships/image" Target="media/image72.png"/><Relationship Id="rId128" Type="http://schemas.openxmlformats.org/officeDocument/2006/relationships/hyperlink" Target="https://skai.org.au/" TargetMode="External"/><Relationship Id="rId144" Type="http://schemas.openxmlformats.org/officeDocument/2006/relationships/hyperlink" Target="https://rednose.org.au/article/breastfeeding-and-the-risk-of-sudden-unexpected-death-in-infancy" TargetMode="External"/><Relationship Id="rId149" Type="http://schemas.openxmlformats.org/officeDocument/2006/relationships/hyperlink" Target="https://www.betterhealth.vic.gov.au/health/servicesandsupport/healthcare-decision-making-options-benefits-and-risks" TargetMode="External"/><Relationship Id="rId5" Type="http://schemas.openxmlformats.org/officeDocument/2006/relationships/numbering" Target="numbering.xml"/><Relationship Id="rId90" Type="http://schemas.openxmlformats.org/officeDocument/2006/relationships/hyperlink" Target="https://www.quit.org.au/" TargetMode="External"/><Relationship Id="rId95" Type="http://schemas.openxmlformats.org/officeDocument/2006/relationships/hyperlink" Target="https://www.quit.org.au/" TargetMode="External"/><Relationship Id="rId160" Type="http://schemas.openxmlformats.org/officeDocument/2006/relationships/hyperlink" Target="https://www.health.gov.au/topics/immunisation/when-to-get-vaccinated/immunisation-for-pregnancy" TargetMode="External"/><Relationship Id="rId165" Type="http://schemas.openxmlformats.org/officeDocument/2006/relationships/hyperlink" Target="https://www.safetyandquality.gov.au/standards/clinical-care-standards/third-and-fourth-degree-perineal-tears-clinical-care-standard" TargetMode="External"/><Relationship Id="rId181" Type="http://schemas.openxmlformats.org/officeDocument/2006/relationships/fontTable" Target="fontTable.xml"/><Relationship Id="rId22" Type="http://schemas.openxmlformats.org/officeDocument/2006/relationships/header" Target="header3.xml"/><Relationship Id="rId27" Type="http://schemas.openxmlformats.org/officeDocument/2006/relationships/hyperlink" Target="https://www.betterhealth.vic.gov.au/health/servicesandsupport/healthcare-decision-making-options-benefits-and-risks" TargetMode="External"/><Relationship Id="rId43" Type="http://schemas.openxmlformats.org/officeDocument/2006/relationships/hyperlink" Target="https://www.safercare.vic.gov.au/improvement/projects/mbc/better-births" TargetMode="External"/><Relationship Id="rId48" Type="http://schemas.openxmlformats.org/officeDocument/2006/relationships/hyperlink" Target="https://www.safercare.vic.gov.au/improvement/learning-health-networks/maternity-and-newborn-lhn" TargetMode="External"/><Relationship Id="rId64" Type="http://schemas.openxmlformats.org/officeDocument/2006/relationships/image" Target="media/image31.png"/><Relationship Id="rId69" Type="http://schemas.openxmlformats.org/officeDocument/2006/relationships/image" Target="media/image32.png"/><Relationship Id="rId113" Type="http://schemas.openxmlformats.org/officeDocument/2006/relationships/image" Target="media/image64.png"/><Relationship Id="rId118" Type="http://schemas.openxmlformats.org/officeDocument/2006/relationships/image" Target="media/image67.png"/><Relationship Id="rId134" Type="http://schemas.openxmlformats.org/officeDocument/2006/relationships/image" Target="media/image78.png"/><Relationship Id="rId139" Type="http://schemas.openxmlformats.org/officeDocument/2006/relationships/image" Target="media/image81.png"/><Relationship Id="rId80" Type="http://schemas.openxmlformats.org/officeDocument/2006/relationships/image" Target="media/image42.png"/><Relationship Id="rId85" Type="http://schemas.openxmlformats.org/officeDocument/2006/relationships/image" Target="media/image46.png"/><Relationship Id="rId150" Type="http://schemas.openxmlformats.org/officeDocument/2006/relationships/hyperlink" Target="https://www.health.vic.gov.au/quality-safety-service/victorian-perinatal-data-collection" TargetMode="External"/><Relationship Id="rId155" Type="http://schemas.openxmlformats.org/officeDocument/2006/relationships/hyperlink" Target="https://bfhi.org.au/" TargetMode="External"/><Relationship Id="rId171" Type="http://schemas.openxmlformats.org/officeDocument/2006/relationships/hyperlink" Target="https://stillbirthcre.org.au/about-us/our-work/the-safer-baby-bundle/smoking-cessation/" TargetMode="External"/><Relationship Id="rId176" Type="http://schemas.openxmlformats.org/officeDocument/2006/relationships/hyperlink" Target="https://www.anzcor.org/" TargetMode="External"/><Relationship Id="rId12" Type="http://schemas.openxmlformats.org/officeDocument/2006/relationships/footer" Target="footer1.xml"/><Relationship Id="rId17" Type="http://schemas.openxmlformats.org/officeDocument/2006/relationships/hyperlink" Target="https://bettersafercare.vic.gov.au/" TargetMode="External"/><Relationship Id="rId33" Type="http://schemas.openxmlformats.org/officeDocument/2006/relationships/image" Target="media/image9.png"/><Relationship Id="rId38" Type="http://schemas.openxmlformats.org/officeDocument/2006/relationships/image" Target="media/image13.png"/><Relationship Id="rId59" Type="http://schemas.openxmlformats.org/officeDocument/2006/relationships/image" Target="media/image26.png"/><Relationship Id="rId103" Type="http://schemas.openxmlformats.org/officeDocument/2006/relationships/image" Target="media/image55.png"/><Relationship Id="rId108" Type="http://schemas.openxmlformats.org/officeDocument/2006/relationships/image" Target="media/image60.png"/><Relationship Id="rId124" Type="http://schemas.openxmlformats.org/officeDocument/2006/relationships/hyperlink" Target="https://www.health.gov.au/topics/immunisation" TargetMode="External"/><Relationship Id="rId129" Type="http://schemas.openxmlformats.org/officeDocument/2006/relationships/image" Target="media/image73.png"/><Relationship Id="rId54" Type="http://schemas.openxmlformats.org/officeDocument/2006/relationships/image" Target="media/image23.png"/><Relationship Id="rId70" Type="http://schemas.openxmlformats.org/officeDocument/2006/relationships/image" Target="media/image33.png"/><Relationship Id="rId75" Type="http://schemas.openxmlformats.org/officeDocument/2006/relationships/image" Target="media/image37.png"/><Relationship Id="rId91" Type="http://schemas.openxmlformats.org/officeDocument/2006/relationships/hyperlink" Target="https://isistaquit.org.au/" TargetMode="External"/><Relationship Id="rId96" Type="http://schemas.openxmlformats.org/officeDocument/2006/relationships/hyperlink" Target="https://isistaquit.org.au/" TargetMode="External"/><Relationship Id="rId140" Type="http://schemas.openxmlformats.org/officeDocument/2006/relationships/image" Target="media/image82.png"/><Relationship Id="rId145" Type="http://schemas.openxmlformats.org/officeDocument/2006/relationships/hyperlink" Target="https://ranzcog.edu.au/wp-content/uploads/2022/05/Birth-after-previous-caesarean-section.pdf" TargetMode="External"/><Relationship Id="rId161" Type="http://schemas.openxmlformats.org/officeDocument/2006/relationships/hyperlink" Target="https://www.health.vic.gov.au/public-health/immunisation" TargetMode="External"/><Relationship Id="rId166" Type="http://schemas.openxmlformats.org/officeDocument/2006/relationships/hyperlink" Target="https://women.wcha.asn.au/wp-content/uploads/sites/3/2022/04/wha_national_collaborative_how_to_guide_21.1.20.pdf" TargetMode="External"/><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6.xml"/><Relationship Id="rId28" Type="http://schemas.openxmlformats.org/officeDocument/2006/relationships/hyperlink" Target="https://www.aihw.gov.au/reports-data/population-groups/mothers-babies/reports" TargetMode="External"/><Relationship Id="rId49" Type="http://schemas.openxmlformats.org/officeDocument/2006/relationships/image" Target="media/image18.png"/><Relationship Id="rId114" Type="http://schemas.openxmlformats.org/officeDocument/2006/relationships/image" Target="media/image65.png"/><Relationship Id="rId119" Type="http://schemas.openxmlformats.org/officeDocument/2006/relationships/image" Target="media/image68.png"/><Relationship Id="rId44" Type="http://schemas.openxmlformats.org/officeDocument/2006/relationships/hyperlink" Target="https://www.safercare.vic.gov.au/improvement/learning-health-networks/maternity-and-newborn-lhn" TargetMode="External"/><Relationship Id="rId60" Type="http://schemas.openxmlformats.org/officeDocument/2006/relationships/image" Target="media/image27.png"/><Relationship Id="rId65" Type="http://schemas.openxmlformats.org/officeDocument/2006/relationships/hyperlink" Target="https://www.safercare.vic.gov.au/improvement/projects/mbc/safer-baby" TargetMode="External"/><Relationship Id="rId81" Type="http://schemas.openxmlformats.org/officeDocument/2006/relationships/image" Target="media/image43.png"/><Relationship Id="rId86" Type="http://schemas.openxmlformats.org/officeDocument/2006/relationships/image" Target="media/image47.png"/><Relationship Id="rId130" Type="http://schemas.openxmlformats.org/officeDocument/2006/relationships/image" Target="media/image74.png"/><Relationship Id="rId135" Type="http://schemas.openxmlformats.org/officeDocument/2006/relationships/hyperlink" Target="https://www.safercare.vic.gov.au/100000lives/projects/postpartum-haemorrhage-collaborative" TargetMode="External"/><Relationship Id="rId151" Type="http://schemas.openxmlformats.org/officeDocument/2006/relationships/hyperlink" Target="https://safercare.vic.gov.au/" TargetMode="External"/><Relationship Id="rId156" Type="http://schemas.openxmlformats.org/officeDocument/2006/relationships/hyperlink" Target="https://immunisationhandbook.health.gov.au/vaccine-preventable-diseases/pertussis-whooping-cough" TargetMode="External"/><Relationship Id="rId177" Type="http://schemas.openxmlformats.org/officeDocument/2006/relationships/hyperlink" Target="https://www.neoresus.org.au/" TargetMode="Externa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hyperlink" Target="https://www.safercare.vic.gov.au/best-practice-improvement/improvement-projects/mothers-babies-children/safer-baby-collaborative" TargetMode="External"/><Relationship Id="rId180" Type="http://schemas.openxmlformats.org/officeDocument/2006/relationships/image" Target="media/image83.jpeg"/><Relationship Id="rId13" Type="http://schemas.openxmlformats.org/officeDocument/2006/relationships/footer" Target="footer2.xml"/><Relationship Id="rId18" Type="http://schemas.openxmlformats.org/officeDocument/2006/relationships/image" Target="media/image4.png"/><Relationship Id="rId39" Type="http://schemas.openxmlformats.org/officeDocument/2006/relationships/image" Target="media/image14.png"/><Relationship Id="rId109" Type="http://schemas.openxmlformats.org/officeDocument/2006/relationships/image" Target="media/image61.png"/><Relationship Id="rId34" Type="http://schemas.openxmlformats.org/officeDocument/2006/relationships/image" Target="media/image10.png"/><Relationship Id="rId50" Type="http://schemas.openxmlformats.org/officeDocument/2006/relationships/image" Target="media/image19.png"/><Relationship Id="rId55" Type="http://schemas.openxmlformats.org/officeDocument/2006/relationships/hyperlink" Target="https://www.safetyandquality.gov.au/publications-and-resources/resource-library/third-and-fourth-degree-perineal-tears-clinical-care-standard" TargetMode="External"/><Relationship Id="rId76" Type="http://schemas.openxmlformats.org/officeDocument/2006/relationships/image" Target="media/image38.png"/><Relationship Id="rId97" Type="http://schemas.openxmlformats.org/officeDocument/2006/relationships/image" Target="media/image51.png"/><Relationship Id="rId104" Type="http://schemas.openxmlformats.org/officeDocument/2006/relationships/image" Target="media/image56.png"/><Relationship Id="rId120" Type="http://schemas.openxmlformats.org/officeDocument/2006/relationships/image" Target="media/image69.png"/><Relationship Id="rId125" Type="http://schemas.openxmlformats.org/officeDocument/2006/relationships/hyperlink" Target="https://skai.org.au/pregnancy-and-newborn/resources/factsheets" TargetMode="External"/><Relationship Id="rId141" Type="http://schemas.openxmlformats.org/officeDocument/2006/relationships/hyperlink" Target="https://www.aihw.gov.au/reports/mothers-babies/australias-mothers-babies/data" TargetMode="External"/><Relationship Id="rId146" Type="http://schemas.openxmlformats.org/officeDocument/2006/relationships/hyperlink" Target="https://stillbirthcre.org.au/parents/safer-baby/timing-of-birth" TargetMode="External"/><Relationship Id="rId167" Type="http://schemas.openxmlformats.org/officeDocument/2006/relationships/hyperlink" Target="https://www.safercare.vic.gov.au/100000lives/projects/postpartum-haemorrhage-collaborative" TargetMode="External"/><Relationship Id="rId7" Type="http://schemas.openxmlformats.org/officeDocument/2006/relationships/settings" Target="settings.xml"/><Relationship Id="rId71" Type="http://schemas.openxmlformats.org/officeDocument/2006/relationships/image" Target="media/image34.png"/><Relationship Id="rId92" Type="http://schemas.openxmlformats.org/officeDocument/2006/relationships/hyperlink" Target="https://www.safercare.vic.gov.au/best-practice-improvement/improvement-projects/mothers-babies-children/safer-baby-collaborative" TargetMode="External"/><Relationship Id="rId162" Type="http://schemas.openxmlformats.org/officeDocument/2006/relationships/hyperlink" Target="https://skai.org.au/pregnancy-and-newborn/resources/factsheets" TargetMode="External"/><Relationship Id="rId2" Type="http://schemas.openxmlformats.org/officeDocument/2006/relationships/customXml" Target="../customXml/item2.xml"/><Relationship Id="rId29" Type="http://schemas.openxmlformats.org/officeDocument/2006/relationships/hyperlink" Target="https://www.health.nsw.gov.au/hsnsw/Pages/mothers-and-babies-reports.aspx" TargetMode="External"/><Relationship Id="rId24" Type="http://schemas.openxmlformats.org/officeDocument/2006/relationships/image" Target="media/image6.png"/><Relationship Id="rId40" Type="http://schemas.openxmlformats.org/officeDocument/2006/relationships/image" Target="media/image15.png"/><Relationship Id="rId45" Type="http://schemas.openxmlformats.org/officeDocument/2006/relationships/hyperlink" Target="https://www.safetyandquality.gov.au/standards/clinical-care-standards/third-and-fourth-degree-perineal-tears-clinical-care-standard" TargetMode="External"/><Relationship Id="rId66" Type="http://schemas.openxmlformats.org/officeDocument/2006/relationships/hyperlink" Target="https://www.safercare.vic.gov.au/improvement/learning-health-networks/maternity-and-newborn-lhn" TargetMode="External"/><Relationship Id="rId87" Type="http://schemas.openxmlformats.org/officeDocument/2006/relationships/image" Target="media/image48.png"/><Relationship Id="rId110" Type="http://schemas.openxmlformats.org/officeDocument/2006/relationships/image" Target="media/image62.png"/><Relationship Id="rId115" Type="http://schemas.openxmlformats.org/officeDocument/2006/relationships/hyperlink" Target="https://www.anzcor.org/" TargetMode="External"/><Relationship Id="rId131" Type="http://schemas.openxmlformats.org/officeDocument/2006/relationships/image" Target="media/image75.png"/><Relationship Id="rId136" Type="http://schemas.openxmlformats.org/officeDocument/2006/relationships/hyperlink" Target="https://www.safercare.vic.gov.au/clinical-guidance/maternity/postpartum-haemorrhage-pph-prevention-assessment-and-management" TargetMode="External"/><Relationship Id="rId157" Type="http://schemas.openxmlformats.org/officeDocument/2006/relationships/hyperlink" Target="https://immunisationhandbook.health.gov.au/contents/vaccine-preventable-diseases/influenza-flu" TargetMode="External"/><Relationship Id="rId178" Type="http://schemas.openxmlformats.org/officeDocument/2006/relationships/hyperlink" Target="https://www.aihw.gov.au/reports/mothers-babies/australias-mothers-babies" TargetMode="External"/><Relationship Id="rId61" Type="http://schemas.openxmlformats.org/officeDocument/2006/relationships/image" Target="media/image28.png"/><Relationship Id="rId82" Type="http://schemas.openxmlformats.org/officeDocument/2006/relationships/image" Target="media/image44.png"/><Relationship Id="rId152" Type="http://schemas.openxmlformats.org/officeDocument/2006/relationships/hyperlink" Target="https://www.safercare.vic.gov.au/sites/default/files/2023-09/Final%20CCOPMM%20COVID%20communique.pdf" TargetMode="External"/><Relationship Id="rId173" Type="http://schemas.openxmlformats.org/officeDocument/2006/relationships/hyperlink" Target="https://learn.stillbirthcre.org.au/wp-content/uploads/2023/05/FGR-Management-Pathway_v3.0.pdf" TargetMode="External"/><Relationship Id="rId19" Type="http://schemas.openxmlformats.org/officeDocument/2006/relationships/image" Target="media/image5.png"/><Relationship Id="rId14" Type="http://schemas.openxmlformats.org/officeDocument/2006/relationships/header" Target="header2.xml"/><Relationship Id="rId30" Type="http://schemas.openxmlformats.org/officeDocument/2006/relationships/image" Target="media/image7.png"/><Relationship Id="rId35" Type="http://schemas.openxmlformats.org/officeDocument/2006/relationships/image" Target="media/image11.png"/><Relationship Id="rId56" Type="http://schemas.openxmlformats.org/officeDocument/2006/relationships/hyperlink" Target="https://www.safercare.vic.gov.au/improvement/learning-health-networks/maternity-and-newborn-lhn" TargetMode="External"/><Relationship Id="rId77" Type="http://schemas.openxmlformats.org/officeDocument/2006/relationships/image" Target="media/image39.png"/><Relationship Id="rId100" Type="http://schemas.openxmlformats.org/officeDocument/2006/relationships/hyperlink" Target="https://www.breastfeeding.asn.au/" TargetMode="External"/><Relationship Id="rId105" Type="http://schemas.openxmlformats.org/officeDocument/2006/relationships/image" Target="media/image57.png"/><Relationship Id="rId126" Type="http://schemas.openxmlformats.org/officeDocument/2006/relationships/hyperlink" Target="https://www.health.vic.gov.au/public-health/immunisation" TargetMode="External"/><Relationship Id="rId147" Type="http://schemas.openxmlformats.org/officeDocument/2006/relationships/hyperlink" Target="https://www.who.int/health-topics/breastfeeding" TargetMode="External"/><Relationship Id="rId168" Type="http://schemas.openxmlformats.org/officeDocument/2006/relationships/hyperlink" Target="https://www.safercare.vic.gov.au/clinical-guidance/maternity/postpartum-haemorrhage-pph-prevention-assessment-and-management" TargetMode="External"/><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image" Target="media/image35.png"/><Relationship Id="rId93" Type="http://schemas.openxmlformats.org/officeDocument/2006/relationships/hyperlink" Target="https://stillbirthcre.org.au/about-us/our-work/the-safer-baby-bundle/smoking-cessation" TargetMode="External"/><Relationship Id="rId98" Type="http://schemas.openxmlformats.org/officeDocument/2006/relationships/image" Target="media/image52.png"/><Relationship Id="rId121" Type="http://schemas.openxmlformats.org/officeDocument/2006/relationships/image" Target="media/image70.png"/><Relationship Id="rId142" Type="http://schemas.openxmlformats.org/officeDocument/2006/relationships/hyperlink" Target="https://www.aihw.gov.au/reports/mothers-babies/australias-mothers-babies/data" TargetMode="External"/><Relationship Id="rId163" Type="http://schemas.openxmlformats.org/officeDocument/2006/relationships/hyperlink" Target="https://www.safercare.vic.gov.au/improvement/projects/mbc/better-births" TargetMode="External"/><Relationship Id="rId3" Type="http://schemas.openxmlformats.org/officeDocument/2006/relationships/customXml" Target="../customXml/item3.xml"/><Relationship Id="rId25" Type="http://schemas.openxmlformats.org/officeDocument/2006/relationships/hyperlink" Target="http://www.healthdirect.gov.au/" TargetMode="External"/><Relationship Id="rId46" Type="http://schemas.openxmlformats.org/officeDocument/2006/relationships/hyperlink" Target="https://www.safetyandquality.gov.au/publications-and-resources/resource-library/third-and-fourth-degree-perineal-tears-clinical-care-standard" TargetMode="External"/><Relationship Id="rId67" Type="http://schemas.openxmlformats.org/officeDocument/2006/relationships/hyperlink" Target="https://learn.stillbirthcre.org.au/wp-content/uploads/2023/05/FGR-Management-Pathway_v3.0.pdf" TargetMode="External"/><Relationship Id="rId116" Type="http://schemas.openxmlformats.org/officeDocument/2006/relationships/hyperlink" Target="https://www.neoresus.org.au/" TargetMode="External"/><Relationship Id="rId137" Type="http://schemas.openxmlformats.org/officeDocument/2006/relationships/image" Target="media/image79.png"/><Relationship Id="rId158" Type="http://schemas.openxmlformats.org/officeDocument/2006/relationships/hyperlink" Target="https://www.health.gov.au/news/influenza-and-pertussis-whooping-cough-vaccination-in-pregnancy" TargetMode="External"/><Relationship Id="rId20" Type="http://schemas.openxmlformats.org/officeDocument/2006/relationships/footer" Target="footer4.xml"/><Relationship Id="rId41" Type="http://schemas.openxmlformats.org/officeDocument/2006/relationships/image" Target="media/image16.png"/><Relationship Id="rId62" Type="http://schemas.openxmlformats.org/officeDocument/2006/relationships/image" Target="media/image29.png"/><Relationship Id="rId83" Type="http://schemas.openxmlformats.org/officeDocument/2006/relationships/hyperlink" Target="https://www.safercare.vic.gov.au/sites/default/files/2023-09/Final%20CCOPMM%20COVID%20communique.pdf" TargetMode="External"/><Relationship Id="rId88" Type="http://schemas.openxmlformats.org/officeDocument/2006/relationships/image" Target="media/image49.png"/><Relationship Id="rId111" Type="http://schemas.openxmlformats.org/officeDocument/2006/relationships/hyperlink" Target="https://www.health.vic.gov.au/quality-safety-service/victorian-perinatal-data-collection" TargetMode="External"/><Relationship Id="rId132" Type="http://schemas.openxmlformats.org/officeDocument/2006/relationships/image" Target="media/image76.png"/><Relationship Id="rId153" Type="http://schemas.openxmlformats.org/officeDocument/2006/relationships/hyperlink" Target="https://www.safercare.vic.gov.au/best-practice-improvement/learning-health-networks/maternity-newborn-lhn" TargetMode="External"/><Relationship Id="rId174" Type="http://schemas.openxmlformats.org/officeDocument/2006/relationships/hyperlink" Target="https://stillbirthcre.org.au/parents/safer-baby/timing-of-birth/" TargetMode="External"/><Relationship Id="rId179" Type="http://schemas.openxmlformats.org/officeDocument/2006/relationships/hyperlink" Target="https://www.health.nsw.gov.au/hsnsw/Pages/mothers-and-babies-2021.aspx" TargetMode="External"/><Relationship Id="rId15" Type="http://schemas.openxmlformats.org/officeDocument/2006/relationships/footer" Target="footer3.xml"/><Relationship Id="rId36" Type="http://schemas.openxmlformats.org/officeDocument/2006/relationships/hyperlink" Target="https://www.betterhealth.vic.gov.au/health/healthyliving/caesarean-section" TargetMode="External"/><Relationship Id="rId57" Type="http://schemas.openxmlformats.org/officeDocument/2006/relationships/image" Target="media/image24.png"/><Relationship Id="rId106" Type="http://schemas.openxmlformats.org/officeDocument/2006/relationships/image" Target="media/image58.png"/><Relationship Id="rId127" Type="http://schemas.openxmlformats.org/officeDocument/2006/relationships/hyperlink" Target="https://www.health.gov.au/topics/immunisation/when-to-get-vaccinated/immunisation-for-pregnancy" TargetMode="External"/><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image" Target="media/image21.png"/><Relationship Id="rId73" Type="http://schemas.openxmlformats.org/officeDocument/2006/relationships/image" Target="media/image36.png"/><Relationship Id="rId78" Type="http://schemas.openxmlformats.org/officeDocument/2006/relationships/image" Target="media/image40.png"/><Relationship Id="rId94" Type="http://schemas.openxmlformats.org/officeDocument/2006/relationships/hyperlink" Target="https://learn.stillbirthcre.org.au/" TargetMode="External"/><Relationship Id="rId99" Type="http://schemas.openxmlformats.org/officeDocument/2006/relationships/image" Target="media/image53.png"/><Relationship Id="rId101" Type="http://schemas.openxmlformats.org/officeDocument/2006/relationships/hyperlink" Target="https://bfhi.org.au/" TargetMode="External"/><Relationship Id="rId122" Type="http://schemas.openxmlformats.org/officeDocument/2006/relationships/image" Target="media/image71.png"/><Relationship Id="rId143" Type="http://schemas.openxmlformats.org/officeDocument/2006/relationships/hyperlink" Target="https://www.betterhealth.vic.gov.au/health/healthyliving/caesarean-section" TargetMode="External"/><Relationship Id="rId148" Type="http://schemas.openxmlformats.org/officeDocument/2006/relationships/hyperlink" Target="https://www.health.vic.gov.au/patient-care/capability-frameworks-for-maternity-and-newborn-care-in-victoria" TargetMode="External"/><Relationship Id="rId164" Type="http://schemas.openxmlformats.org/officeDocument/2006/relationships/hyperlink" Target="https://www.bettersafercare.vic.gov.au/improvement/projects/mbc/perineal-protection" TargetMode="External"/><Relationship Id="rId169" Type="http://schemas.openxmlformats.org/officeDocument/2006/relationships/hyperlink" Target="https://www.quit.org.a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3" Type="http://schemas.openxmlformats.org/officeDocument/2006/relationships/hyperlink" Target="https://ranzcog.edu.au/wp-content/uploads/2022/05/Birth-after-previous-caesarean-section.pdf" TargetMode="External"/><Relationship Id="rId2" Type="http://schemas.openxmlformats.org/officeDocument/2006/relationships/hyperlink" Target="https://www.betterhealth.vic.gov.au/health/healthyliving/caesarean-section" TargetMode="External"/><Relationship Id="rId1" Type="http://schemas.openxmlformats.org/officeDocument/2006/relationships/hyperlink" Target="https://stillbirthcre.org.au/parents/safer-baby/timing-of-birth" TargetMode="External"/><Relationship Id="rId6" Type="http://schemas.openxmlformats.org/officeDocument/2006/relationships/hyperlink" Target="https://www.health.gov.au/sites/default/files/documents/2022/10/aisr-2021-national-influenza-season-summary.pdf" TargetMode="External"/><Relationship Id="rId5" Type="http://schemas.openxmlformats.org/officeDocument/2006/relationships/hyperlink" Target="https://www.health.gov.au/news/influenza-and-pertussis-whooping-cough-vaccination-in-pregnancy" TargetMode="External"/><Relationship Id="rId4" Type="http://schemas.openxmlformats.org/officeDocument/2006/relationships/hyperlink" Target="https://immunisationhandbook.health.gov.au/vaccine-preventable-diseases/pertussis-whooping-coug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SCV">
      <a:dk1>
        <a:srgbClr val="000000"/>
      </a:dk1>
      <a:lt1>
        <a:srgbClr val="FFFFFF"/>
      </a:lt1>
      <a:dk2>
        <a:srgbClr val="007586"/>
      </a:dk2>
      <a:lt2>
        <a:srgbClr val="EDF5F7"/>
      </a:lt2>
      <a:accent1>
        <a:srgbClr val="4098A4"/>
      </a:accent1>
      <a:accent2>
        <a:srgbClr val="80BAC3"/>
      </a:accent2>
      <a:accent3>
        <a:srgbClr val="BFDDE1"/>
      </a:accent3>
      <a:accent4>
        <a:srgbClr val="404050"/>
      </a:accent4>
      <a:accent5>
        <a:srgbClr val="80808B"/>
      </a:accent5>
      <a:accent6>
        <a:srgbClr val="CCCCD0"/>
      </a:accent6>
      <a:hlink>
        <a:srgbClr val="000000"/>
      </a:hlink>
      <a:folHlink>
        <a:srgbClr val="007586"/>
      </a:folHlink>
    </a:clrScheme>
    <a:fontScheme name="Arial">
      <a:majorFont>
        <a:latin typeface="Arial" panose="020F0302020204030204"/>
        <a:ea typeface="Arial"/>
        <a:cs typeface="Arial"/>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F0502020204030204"/>
        <a:ea typeface="Arial"/>
        <a:cs typeface="Arial"/>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311353CA96C50478A86F24D62E5F7EC" ma:contentTypeVersion="15" ma:contentTypeDescription="Create a new document." ma:contentTypeScope="" ma:versionID="fb8b67aae47f827705dc2d5546c81780">
  <xsd:schema xmlns:xsd="http://www.w3.org/2001/XMLSchema" xmlns:xs="http://www.w3.org/2001/XMLSchema" xmlns:p="http://schemas.microsoft.com/office/2006/metadata/properties" xmlns:ns2="41c17d80-103f-4f3b-9d2a-70ea00c58074" xmlns:ns3="3612268e-577b-4245-b8dc-2af2245541ff" xmlns:ns4="5ce0f2b5-5be5-4508-bce9-d7011ece0659" targetNamespace="http://schemas.microsoft.com/office/2006/metadata/properties" ma:root="true" ma:fieldsID="2c4aa1380b447832fc535cdc5b870cbe" ns2:_="" ns3:_="" ns4:_="">
    <xsd:import namespace="41c17d80-103f-4f3b-9d2a-70ea00c58074"/>
    <xsd:import namespace="3612268e-577b-4245-b8dc-2af2245541ff"/>
    <xsd:import namespace="5ce0f2b5-5be5-4508-bce9-d7011ece0659"/>
    <xsd:element name="properties">
      <xsd:complexType>
        <xsd:sequence>
          <xsd:element name="documentManagement">
            <xsd:complexType>
              <xsd:all>
                <xsd:element ref="ns2:SharedWithUsers" minOccurs="0"/>
                <xsd:element ref="ns2:SharedWithDetails" minOccurs="0"/>
                <xsd:element ref="ns3:Exported_x0020_By" minOccurs="0"/>
                <xsd:element ref="ns3:Entity"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4:TaxCatchAll"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c17d80-103f-4f3b-9d2a-70ea00c5807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612268e-577b-4245-b8dc-2af2245541ff" elementFormDefault="qualified">
    <xsd:import namespace="http://schemas.microsoft.com/office/2006/documentManagement/types"/>
    <xsd:import namespace="http://schemas.microsoft.com/office/infopath/2007/PartnerControls"/>
    <xsd:element name="Exported_x0020_By" ma:index="10" nillable="true" ma:displayName="Exported By" ma:internalName="Exported_x0020_By">
      <xsd:simpleType>
        <xsd:restriction base="dms:Text">
          <xsd:maxLength value="255"/>
        </xsd:restriction>
      </xsd:simpleType>
    </xsd:element>
    <xsd:element name="Entity" ma:index="11" nillable="true" ma:displayName="Entity" ma:internalName="Entity">
      <xsd:simpleType>
        <xsd:restriction base="dms:Text">
          <xsd:maxLength value="255"/>
        </xsd:restriction>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6e24e156-28e6-48ad-9c0f-4171595c9d94" ma:termSetId="09814cd3-568e-fe90-9814-8d621ff8fb84" ma:anchorId="fba54fb3-c3e1-fe81-a776-ca4b69148c4d" ma:open="true" ma:isKeyword="false">
      <xsd:complexType>
        <xsd:sequence>
          <xsd:element ref="pc:Terms" minOccurs="0" maxOccurs="1"/>
        </xsd:sequence>
      </xsd:complex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ce0f2b5-5be5-4508-bce9-d7011ece065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1d114036-d40d-4c38-85b2-11439222adba}" ma:internalName="TaxCatchAll" ma:showField="CatchAllData" ma:web="41c17d80-103f-4f3b-9d2a-70ea00c5807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612268e-577b-4245-b8dc-2af2245541ff">
      <Terms xmlns="http://schemas.microsoft.com/office/infopath/2007/PartnerControls"/>
    </lcf76f155ced4ddcb4097134ff3c332f>
    <Exported_x0020_By xmlns="3612268e-577b-4245-b8dc-2af2245541ff" xsi:nil="true"/>
    <TaxCatchAll xmlns="5ce0f2b5-5be5-4508-bce9-d7011ece0659" xsi:nil="true"/>
    <Entity xmlns="3612268e-577b-4245-b8dc-2af2245541ff" xsi:nil="true"/>
  </documentManagement>
</p:properties>
</file>

<file path=customXml/itemProps1.xml><?xml version="1.0" encoding="utf-8"?>
<ds:datastoreItem xmlns:ds="http://schemas.openxmlformats.org/officeDocument/2006/customXml" ds:itemID="{1FE8B0F3-0D18-994E-98B4-E895E36506D9}">
  <ds:schemaRefs>
    <ds:schemaRef ds:uri="http://schemas.openxmlformats.org/officeDocument/2006/bibliography"/>
  </ds:schemaRefs>
</ds:datastoreItem>
</file>

<file path=customXml/itemProps2.xml><?xml version="1.0" encoding="utf-8"?>
<ds:datastoreItem xmlns:ds="http://schemas.openxmlformats.org/officeDocument/2006/customXml" ds:itemID="{D08ED339-4CF9-4056-8CD8-AEE40A02E8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1c17d80-103f-4f3b-9d2a-70ea00c58074"/>
    <ds:schemaRef ds:uri="3612268e-577b-4245-b8dc-2af2245541ff"/>
    <ds:schemaRef ds:uri="5ce0f2b5-5be5-4508-bce9-d7011ece06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59773BE-C8E9-4409-8405-2DA7685EC61E}">
  <ds:schemaRefs>
    <ds:schemaRef ds:uri="http://schemas.microsoft.com/sharepoint/v3/contenttype/forms"/>
  </ds:schemaRefs>
</ds:datastoreItem>
</file>

<file path=customXml/itemProps4.xml><?xml version="1.0" encoding="utf-8"?>
<ds:datastoreItem xmlns:ds="http://schemas.openxmlformats.org/officeDocument/2006/customXml" ds:itemID="{0E4F2413-2B3D-4B89-ABED-67758DA3A84D}">
  <ds:schemaRefs>
    <ds:schemaRef ds:uri="http://schemas.microsoft.com/office/2006/metadata/properties"/>
    <ds:schemaRef ds:uri="http://schemas.microsoft.com/office/infopath/2007/PartnerControls"/>
    <ds:schemaRef ds:uri="3612268e-577b-4245-b8dc-2af2245541ff"/>
    <ds:schemaRef ds:uri="5ce0f2b5-5be5-4508-bce9-d7011ece0659"/>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143</Pages>
  <Words>30298</Words>
  <Characters>172700</Characters>
  <Application>Microsoft Office Word</Application>
  <DocSecurity>0</DocSecurity>
  <Lines>1439</Lines>
  <Paragraphs>405</Paragraphs>
  <ScaleCrop>false</ScaleCrop>
  <HeadingPairs>
    <vt:vector size="2" baseType="variant">
      <vt:variant>
        <vt:lpstr>Title</vt:lpstr>
      </vt:variant>
      <vt:variant>
        <vt:i4>1</vt:i4>
      </vt:variant>
    </vt:vector>
  </HeadingPairs>
  <TitlesOfParts>
    <vt:vector size="1" baseType="lpstr">
      <vt:lpstr>Victorian perinatal services performance indicators 2021</vt:lpstr>
    </vt:vector>
  </TitlesOfParts>
  <Manager/>
  <Company>Safer Care Victoria</Company>
  <LinksUpToDate>false</LinksUpToDate>
  <CharactersWithSpaces>202593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Victorian perinatal services performance indicators 2021</dc:title>
  <dc:subject>Victorian perinatal services performance indicators 2020–21</dc:subject>
  <dc:creator>Safer Care Victoria</dc:creator>
  <cp:keywords>perinatal services, maternity services,</cp:keywords>
  <dc:description/>
  <cp:lastModifiedBy>Caroline Hardy (Health)</cp:lastModifiedBy>
  <cp:revision>2</cp:revision>
  <cp:lastPrinted>2019-11-06T22:22:00Z</cp:lastPrinted>
  <dcterms:created xsi:type="dcterms:W3CDTF">2024-03-01T03:06:00Z</dcterms:created>
  <dcterms:modified xsi:type="dcterms:W3CDTF">2024-03-01T03:06:00Z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346754aa-f64f-4676-8998-5678c96f0a97</vt:lpwstr>
  </property>
  <property fmtid="{D5CDD505-2E9C-101B-9397-08002B2CF9AE}" pid="3" name="PSPFClassification">
    <vt:lpwstr>Do Not Mark</vt:lpwstr>
  </property>
  <property fmtid="{D5CDD505-2E9C-101B-9397-08002B2CF9AE}" pid="4" name="ContentTypeId">
    <vt:lpwstr>0x010100B311353CA96C50478A86F24D62E5F7EC</vt:lpwstr>
  </property>
  <property fmtid="{D5CDD505-2E9C-101B-9397-08002B2CF9AE}" pid="5" name="ClassificationContentMarkingFooterShapeIds">
    <vt:lpwstr>54,55,56,57,58,59</vt:lpwstr>
  </property>
  <property fmtid="{D5CDD505-2E9C-101B-9397-08002B2CF9AE}" pid="6" name="ClassificationContentMarkingFooterFontProps">
    <vt:lpwstr>#000000,10,Arial Black</vt:lpwstr>
  </property>
  <property fmtid="{D5CDD505-2E9C-101B-9397-08002B2CF9AE}" pid="7" name="ClassificationContentMarkingFooterText">
    <vt:lpwstr>OFFICIAL</vt:lpwstr>
  </property>
  <property fmtid="{D5CDD505-2E9C-101B-9397-08002B2CF9AE}" pid="8" name="MSIP_Label_43e64453-338c-4f93-8a4d-0039a0a41f2a_Enabled">
    <vt:lpwstr>true</vt:lpwstr>
  </property>
  <property fmtid="{D5CDD505-2E9C-101B-9397-08002B2CF9AE}" pid="9" name="MSIP_Label_43e64453-338c-4f93-8a4d-0039a0a41f2a_SetDate">
    <vt:lpwstr>2024-03-01T03:06:36Z</vt:lpwstr>
  </property>
  <property fmtid="{D5CDD505-2E9C-101B-9397-08002B2CF9AE}" pid="10" name="MSIP_Label_43e64453-338c-4f93-8a4d-0039a0a41f2a_Method">
    <vt:lpwstr>Privileged</vt:lpwstr>
  </property>
  <property fmtid="{D5CDD505-2E9C-101B-9397-08002B2CF9AE}" pid="11" name="MSIP_Label_43e64453-338c-4f93-8a4d-0039a0a41f2a_Name">
    <vt:lpwstr>43e64453-338c-4f93-8a4d-0039a0a41f2a</vt:lpwstr>
  </property>
  <property fmtid="{D5CDD505-2E9C-101B-9397-08002B2CF9AE}" pid="12" name="MSIP_Label_43e64453-338c-4f93-8a4d-0039a0a41f2a_SiteId">
    <vt:lpwstr>c0e0601f-0fac-449c-9c88-a104c4eb9f28</vt:lpwstr>
  </property>
  <property fmtid="{D5CDD505-2E9C-101B-9397-08002B2CF9AE}" pid="13" name="MSIP_Label_43e64453-338c-4f93-8a4d-0039a0a41f2a_ActionId">
    <vt:lpwstr>6bf186c2-48a4-4e65-ac35-fd863c42c412</vt:lpwstr>
  </property>
  <property fmtid="{D5CDD505-2E9C-101B-9397-08002B2CF9AE}" pid="14" name="MSIP_Label_43e64453-338c-4f93-8a4d-0039a0a41f2a_ContentBits">
    <vt:lpwstr>2</vt:lpwstr>
  </property>
</Properties>
</file>