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7042" w14:textId="1B0B0CB6" w:rsidR="00FB5F78" w:rsidRPr="00FB5F78" w:rsidRDefault="00152EC1" w:rsidP="00FB5F78">
      <w:pPr>
        <w:pStyle w:val="SCVreporttitle"/>
        <w:spacing w:before="160"/>
        <w:rPr>
          <w:sz w:val="96"/>
        </w:rPr>
      </w:pPr>
      <w:r>
        <w:rPr>
          <w:sz w:val="96"/>
        </w:rPr>
        <w:t>Sentinel events</w:t>
      </w:r>
      <w:r w:rsidR="00FB5F78">
        <w:rPr>
          <w:sz w:val="96"/>
        </w:rPr>
        <w:t xml:space="preserve"> </w:t>
      </w:r>
      <w:r w:rsidR="00FB5F78" w:rsidRPr="00FB5F78">
        <w:rPr>
          <w:sz w:val="96"/>
        </w:rPr>
        <w:t>a</w:t>
      </w:r>
      <w:r w:rsidR="007A72C1" w:rsidRPr="00FB5F78">
        <w:rPr>
          <w:sz w:val="96"/>
        </w:rPr>
        <w:t xml:space="preserve">nnual report </w:t>
      </w:r>
      <w:r w:rsidR="00093E3A" w:rsidRPr="00FB5F78">
        <w:rPr>
          <w:sz w:val="96"/>
        </w:rPr>
        <w:t>2022–2023</w:t>
      </w:r>
    </w:p>
    <w:p w14:paraId="0CA5340E" w14:textId="3BD4BB78" w:rsidR="00C50A2B" w:rsidRPr="0059267A" w:rsidRDefault="00FB5F78" w:rsidP="00C50A2B">
      <w:pPr>
        <w:pStyle w:val="SCVreportsubtitle"/>
      </w:pPr>
      <w:r>
        <w:t>Accessible version</w:t>
      </w:r>
    </w:p>
    <w:p w14:paraId="38CAC0F9" w14:textId="77777777" w:rsidR="00C50A2B" w:rsidRPr="003C1EED" w:rsidRDefault="00000000" w:rsidP="00C50A2B">
      <w:pPr>
        <w:pStyle w:val="SCVprotectivemarkingbelowsubtitle"/>
        <w:rPr>
          <w:b/>
          <w:bCs/>
        </w:rPr>
      </w:pPr>
      <w:r w:rsidRPr="003C1EED">
        <w:rPr>
          <w:b/>
          <w:bCs/>
        </w:rPr>
        <w:fldChar w:fldCharType="begin"/>
      </w:r>
      <w:r w:rsidRPr="003C1EED">
        <w:rPr>
          <w:b/>
          <w:bCs/>
        </w:rPr>
        <w:instrText>FILLIN  "Type the protective marking" \d OFFICIAL \o  \* MERGEFORMAT</w:instrText>
      </w:r>
      <w:r w:rsidRPr="003C1EED">
        <w:rPr>
          <w:b/>
          <w:bCs/>
        </w:rPr>
        <w:fldChar w:fldCharType="separate"/>
      </w:r>
      <w:r w:rsidR="00070748" w:rsidRPr="003C1EED">
        <w:rPr>
          <w:b/>
          <w:bCs/>
        </w:rPr>
        <w:t>OFFICIAL</w:t>
      </w:r>
      <w:r w:rsidRPr="003C1EED">
        <w:rPr>
          <w:b/>
          <w:bCs/>
        </w:rPr>
        <w:fldChar w:fldCharType="end"/>
      </w:r>
    </w:p>
    <w:p w14:paraId="5559D9A9" w14:textId="77777777" w:rsidR="009A35AA" w:rsidRPr="0059267A" w:rsidRDefault="009A35AA" w:rsidP="00A46288">
      <w:pPr>
        <w:pStyle w:val="NoSpacing"/>
      </w:pPr>
    </w:p>
    <w:p w14:paraId="730013FD" w14:textId="77777777" w:rsidR="00A46288" w:rsidRPr="0059267A" w:rsidRDefault="00A46288" w:rsidP="00A45CB0">
      <w:pPr>
        <w:pStyle w:val="SCVbody"/>
        <w:sectPr w:rsidR="00A46288" w:rsidRPr="0059267A" w:rsidSect="004D19D4">
          <w:headerReference w:type="default" r:id="rId11"/>
          <w:footerReference w:type="even" r:id="rId12"/>
          <w:footerReference w:type="default" r:id="rId13"/>
          <w:pgSz w:w="11906" w:h="16838" w:code="9"/>
          <w:pgMar w:top="4536" w:right="3402" w:bottom="1361" w:left="851" w:header="454" w:footer="454" w:gutter="0"/>
          <w:cols w:space="284"/>
          <w:docGrid w:linePitch="360"/>
        </w:sectPr>
      </w:pPr>
    </w:p>
    <w:tbl>
      <w:tblPr>
        <w:tblW w:w="10206" w:type="dxa"/>
        <w:tblLook w:val="04A0" w:firstRow="1" w:lastRow="0" w:firstColumn="1" w:lastColumn="0" w:noHBand="0" w:noVBand="1"/>
      </w:tblPr>
      <w:tblGrid>
        <w:gridCol w:w="10206"/>
      </w:tblGrid>
      <w:tr w:rsidR="00C539DC" w:rsidRPr="0059267A" w14:paraId="75930591" w14:textId="77777777" w:rsidTr="004505F7">
        <w:trPr>
          <w:trHeight w:val="3969"/>
        </w:trPr>
        <w:tc>
          <w:tcPr>
            <w:tcW w:w="10206" w:type="dxa"/>
          </w:tcPr>
          <w:p w14:paraId="4C0946B3" w14:textId="4142006F" w:rsidR="00C539DC" w:rsidRPr="005F474C" w:rsidRDefault="00C539DC" w:rsidP="00A45CB0">
            <w:pPr>
              <w:pStyle w:val="SCVaccessibilitypara"/>
              <w:rPr>
                <w:sz w:val="28"/>
                <w:szCs w:val="28"/>
              </w:rPr>
            </w:pPr>
            <w:r w:rsidRPr="005F474C">
              <w:rPr>
                <w:sz w:val="28"/>
                <w:szCs w:val="28"/>
              </w:rPr>
              <w:lastRenderedPageBreak/>
              <w:t>To</w:t>
            </w:r>
            <w:r w:rsidR="00A83AFC" w:rsidRPr="005F474C">
              <w:rPr>
                <w:sz w:val="28"/>
                <w:szCs w:val="28"/>
              </w:rPr>
              <w:t xml:space="preserve"> </w:t>
            </w:r>
            <w:r w:rsidRPr="005F474C">
              <w:rPr>
                <w:sz w:val="28"/>
                <w:szCs w:val="28"/>
              </w:rPr>
              <w:t>receive</w:t>
            </w:r>
            <w:r w:rsidR="00A83AFC" w:rsidRPr="005F474C">
              <w:rPr>
                <w:sz w:val="28"/>
                <w:szCs w:val="28"/>
              </w:rPr>
              <w:t xml:space="preserve"> </w:t>
            </w:r>
            <w:r w:rsidRPr="005F474C">
              <w:rPr>
                <w:sz w:val="28"/>
                <w:szCs w:val="28"/>
              </w:rPr>
              <w:t>this</w:t>
            </w:r>
            <w:r w:rsidR="00A83AFC" w:rsidRPr="005F474C">
              <w:rPr>
                <w:sz w:val="28"/>
                <w:szCs w:val="28"/>
              </w:rPr>
              <w:t xml:space="preserve"> </w:t>
            </w:r>
            <w:r w:rsidRPr="005F474C">
              <w:rPr>
                <w:sz w:val="28"/>
                <w:szCs w:val="28"/>
              </w:rPr>
              <w:t>publication</w:t>
            </w:r>
            <w:r w:rsidR="00A83AFC" w:rsidRPr="005F474C">
              <w:rPr>
                <w:sz w:val="28"/>
                <w:szCs w:val="28"/>
              </w:rPr>
              <w:t xml:space="preserve"> </w:t>
            </w:r>
            <w:r w:rsidRPr="005F474C">
              <w:rPr>
                <w:sz w:val="28"/>
                <w:szCs w:val="28"/>
              </w:rPr>
              <w:t>in</w:t>
            </w:r>
            <w:r w:rsidR="00A83AFC" w:rsidRPr="005F474C">
              <w:rPr>
                <w:sz w:val="28"/>
                <w:szCs w:val="28"/>
              </w:rPr>
              <w:t xml:space="preserve"> </w:t>
            </w:r>
            <w:r w:rsidRPr="005F474C">
              <w:rPr>
                <w:sz w:val="28"/>
                <w:szCs w:val="28"/>
              </w:rPr>
              <w:t>an</w:t>
            </w:r>
            <w:r w:rsidR="00A83AFC" w:rsidRPr="005F474C">
              <w:rPr>
                <w:sz w:val="28"/>
                <w:szCs w:val="28"/>
              </w:rPr>
              <w:t xml:space="preserve"> </w:t>
            </w:r>
            <w:r w:rsidRPr="005F474C">
              <w:rPr>
                <w:sz w:val="28"/>
                <w:szCs w:val="28"/>
              </w:rPr>
              <w:t>accessible</w:t>
            </w:r>
            <w:r w:rsidR="00A83AFC" w:rsidRPr="005F474C">
              <w:rPr>
                <w:sz w:val="28"/>
                <w:szCs w:val="28"/>
              </w:rPr>
              <w:t xml:space="preserve"> </w:t>
            </w:r>
            <w:r w:rsidRPr="005F474C">
              <w:rPr>
                <w:sz w:val="28"/>
                <w:szCs w:val="28"/>
              </w:rPr>
              <w:t>format</w:t>
            </w:r>
            <w:r w:rsidR="00A83AFC" w:rsidRPr="005F474C">
              <w:rPr>
                <w:sz w:val="28"/>
                <w:szCs w:val="28"/>
              </w:rPr>
              <w:t xml:space="preserve"> </w:t>
            </w:r>
            <w:r w:rsidRPr="005F474C">
              <w:rPr>
                <w:sz w:val="28"/>
                <w:szCs w:val="28"/>
              </w:rPr>
              <w:t>phone</w:t>
            </w:r>
            <w:r w:rsidR="00A83AFC" w:rsidRPr="005F474C">
              <w:rPr>
                <w:sz w:val="28"/>
                <w:szCs w:val="28"/>
              </w:rPr>
              <w:t xml:space="preserve"> </w:t>
            </w:r>
            <w:r w:rsidRPr="005F474C">
              <w:rPr>
                <w:sz w:val="28"/>
                <w:szCs w:val="28"/>
              </w:rPr>
              <w:t>03</w:t>
            </w:r>
            <w:r w:rsidR="00A83AFC" w:rsidRPr="005F474C">
              <w:rPr>
                <w:sz w:val="28"/>
                <w:szCs w:val="28"/>
              </w:rPr>
              <w:t xml:space="preserve"> </w:t>
            </w:r>
            <w:r w:rsidRPr="005F474C">
              <w:rPr>
                <w:sz w:val="28"/>
                <w:szCs w:val="28"/>
              </w:rPr>
              <w:t>9096</w:t>
            </w:r>
            <w:r w:rsidR="00A83AFC" w:rsidRPr="005F474C">
              <w:rPr>
                <w:sz w:val="28"/>
                <w:szCs w:val="28"/>
              </w:rPr>
              <w:t xml:space="preserve"> </w:t>
            </w:r>
            <w:r w:rsidRPr="005F474C">
              <w:rPr>
                <w:sz w:val="28"/>
                <w:szCs w:val="28"/>
              </w:rPr>
              <w:t>1384,</w:t>
            </w:r>
            <w:r w:rsidR="00A83AFC" w:rsidRPr="005F474C">
              <w:rPr>
                <w:sz w:val="28"/>
                <w:szCs w:val="28"/>
              </w:rPr>
              <w:t xml:space="preserve"> </w:t>
            </w:r>
            <w:r w:rsidR="00D662E0" w:rsidRPr="005F474C">
              <w:rPr>
                <w:sz w:val="28"/>
                <w:szCs w:val="28"/>
              </w:rPr>
              <w:br/>
            </w:r>
            <w:r w:rsidRPr="005F474C">
              <w:rPr>
                <w:sz w:val="28"/>
                <w:szCs w:val="28"/>
              </w:rPr>
              <w:t>using</w:t>
            </w:r>
            <w:r w:rsidR="00A83AFC" w:rsidRPr="005F474C">
              <w:rPr>
                <w:sz w:val="28"/>
                <w:szCs w:val="28"/>
              </w:rPr>
              <w:t xml:space="preserve"> </w:t>
            </w:r>
            <w:r w:rsidRPr="005F474C">
              <w:rPr>
                <w:sz w:val="28"/>
                <w:szCs w:val="28"/>
              </w:rPr>
              <w:t>the</w:t>
            </w:r>
            <w:r w:rsidR="00A83AFC" w:rsidRPr="005F474C">
              <w:rPr>
                <w:sz w:val="28"/>
                <w:szCs w:val="28"/>
              </w:rPr>
              <w:t xml:space="preserve"> </w:t>
            </w:r>
            <w:r w:rsidRPr="005F474C">
              <w:rPr>
                <w:sz w:val="28"/>
                <w:szCs w:val="28"/>
              </w:rPr>
              <w:t>National</w:t>
            </w:r>
            <w:r w:rsidR="00A83AFC" w:rsidRPr="005F474C">
              <w:rPr>
                <w:sz w:val="28"/>
                <w:szCs w:val="28"/>
              </w:rPr>
              <w:t xml:space="preserve"> </w:t>
            </w:r>
            <w:r w:rsidRPr="005F474C">
              <w:rPr>
                <w:sz w:val="28"/>
                <w:szCs w:val="28"/>
              </w:rPr>
              <w:t>Relay</w:t>
            </w:r>
            <w:r w:rsidR="00A83AFC" w:rsidRPr="005F474C">
              <w:rPr>
                <w:sz w:val="28"/>
                <w:szCs w:val="28"/>
              </w:rPr>
              <w:t xml:space="preserve"> </w:t>
            </w:r>
            <w:r w:rsidRPr="005F474C">
              <w:rPr>
                <w:sz w:val="28"/>
                <w:szCs w:val="28"/>
              </w:rPr>
              <w:t>Service</w:t>
            </w:r>
            <w:r w:rsidR="00A83AFC" w:rsidRPr="005F474C">
              <w:rPr>
                <w:sz w:val="28"/>
                <w:szCs w:val="28"/>
              </w:rPr>
              <w:t xml:space="preserve"> </w:t>
            </w:r>
            <w:r w:rsidRPr="005F474C">
              <w:rPr>
                <w:sz w:val="28"/>
                <w:szCs w:val="28"/>
              </w:rPr>
              <w:t>13</w:t>
            </w:r>
            <w:r w:rsidR="00A83AFC" w:rsidRPr="005F474C">
              <w:rPr>
                <w:sz w:val="28"/>
                <w:szCs w:val="28"/>
              </w:rPr>
              <w:t xml:space="preserve"> </w:t>
            </w:r>
            <w:r w:rsidRPr="005F474C">
              <w:rPr>
                <w:sz w:val="28"/>
                <w:szCs w:val="28"/>
              </w:rPr>
              <w:t>36</w:t>
            </w:r>
            <w:r w:rsidR="00A83AFC" w:rsidRPr="005F474C">
              <w:rPr>
                <w:sz w:val="28"/>
                <w:szCs w:val="28"/>
              </w:rPr>
              <w:t xml:space="preserve"> </w:t>
            </w:r>
            <w:r w:rsidRPr="005F474C">
              <w:rPr>
                <w:spacing w:val="-2"/>
                <w:sz w:val="28"/>
                <w:szCs w:val="28"/>
              </w:rPr>
              <w:t>77</w:t>
            </w:r>
            <w:r w:rsidR="00A83AFC" w:rsidRPr="005F474C">
              <w:rPr>
                <w:spacing w:val="-2"/>
                <w:sz w:val="28"/>
                <w:szCs w:val="28"/>
              </w:rPr>
              <w:t xml:space="preserve"> </w:t>
            </w:r>
            <w:r w:rsidRPr="005F474C">
              <w:rPr>
                <w:spacing w:val="-2"/>
                <w:sz w:val="28"/>
                <w:szCs w:val="28"/>
              </w:rPr>
              <w:t>if</w:t>
            </w:r>
            <w:r w:rsidR="00A83AFC" w:rsidRPr="005F474C">
              <w:rPr>
                <w:spacing w:val="-2"/>
                <w:sz w:val="28"/>
                <w:szCs w:val="28"/>
              </w:rPr>
              <w:t xml:space="preserve"> </w:t>
            </w:r>
            <w:r w:rsidRPr="005F474C">
              <w:rPr>
                <w:spacing w:val="-2"/>
                <w:sz w:val="28"/>
                <w:szCs w:val="28"/>
              </w:rPr>
              <w:t>required,</w:t>
            </w:r>
            <w:r w:rsidR="00A83AFC" w:rsidRPr="005F474C">
              <w:rPr>
                <w:spacing w:val="-2"/>
                <w:sz w:val="28"/>
                <w:szCs w:val="28"/>
              </w:rPr>
              <w:t xml:space="preserve"> </w:t>
            </w:r>
            <w:r w:rsidRPr="005F474C">
              <w:rPr>
                <w:spacing w:val="-2"/>
                <w:sz w:val="28"/>
                <w:szCs w:val="28"/>
              </w:rPr>
              <w:t>or</w:t>
            </w:r>
            <w:r w:rsidR="00A83AFC" w:rsidRPr="005F474C">
              <w:rPr>
                <w:spacing w:val="-2"/>
                <w:sz w:val="28"/>
                <w:szCs w:val="28"/>
              </w:rPr>
              <w:t xml:space="preserve"> </w:t>
            </w:r>
            <w:hyperlink r:id="rId14" w:history="1">
              <w:r w:rsidRPr="005F474C">
                <w:rPr>
                  <w:rStyle w:val="Hyperlink"/>
                  <w:sz w:val="28"/>
                  <w:szCs w:val="28"/>
                </w:rPr>
                <w:t>email</w:t>
              </w:r>
              <w:r w:rsidR="00A83AFC" w:rsidRPr="005F474C">
                <w:rPr>
                  <w:rStyle w:val="Hyperlink"/>
                  <w:sz w:val="28"/>
                  <w:szCs w:val="28"/>
                </w:rPr>
                <w:t xml:space="preserve"> </w:t>
              </w:r>
              <w:r w:rsidRPr="005F474C">
                <w:rPr>
                  <w:rStyle w:val="Hyperlink"/>
                  <w:sz w:val="28"/>
                  <w:szCs w:val="28"/>
                </w:rPr>
                <w:t>Safer</w:t>
              </w:r>
              <w:r w:rsidR="00A83AFC" w:rsidRPr="005F474C">
                <w:rPr>
                  <w:rStyle w:val="Hyperlink"/>
                  <w:sz w:val="28"/>
                  <w:szCs w:val="28"/>
                </w:rPr>
                <w:t xml:space="preserve"> </w:t>
              </w:r>
              <w:r w:rsidRPr="005F474C">
                <w:rPr>
                  <w:rStyle w:val="Hyperlink"/>
                  <w:sz w:val="28"/>
                  <w:szCs w:val="28"/>
                </w:rPr>
                <w:t>Care</w:t>
              </w:r>
              <w:r w:rsidR="00A83AFC" w:rsidRPr="005F474C">
                <w:rPr>
                  <w:rStyle w:val="Hyperlink"/>
                  <w:sz w:val="28"/>
                  <w:szCs w:val="28"/>
                </w:rPr>
                <w:t xml:space="preserve"> </w:t>
              </w:r>
              <w:r w:rsidRPr="005F474C">
                <w:rPr>
                  <w:rStyle w:val="Hyperlink"/>
                  <w:sz w:val="28"/>
                  <w:szCs w:val="28"/>
                </w:rPr>
                <w:t>Victoria</w:t>
              </w:r>
            </w:hyperlink>
            <w:r w:rsidR="00A83AFC" w:rsidRPr="005F474C">
              <w:rPr>
                <w:sz w:val="28"/>
                <w:szCs w:val="28"/>
              </w:rPr>
              <w:t xml:space="preserve"> </w:t>
            </w:r>
            <w:r w:rsidR="00D662E0" w:rsidRPr="005F474C">
              <w:rPr>
                <w:sz w:val="28"/>
                <w:szCs w:val="28"/>
              </w:rPr>
              <w:t>&lt;</w:t>
            </w:r>
            <w:r w:rsidR="00787837" w:rsidRPr="00787837">
              <w:rPr>
                <w:sz w:val="28"/>
                <w:szCs w:val="28"/>
              </w:rPr>
              <w:t>sentinel.events</w:t>
            </w:r>
            <w:r w:rsidR="00947A0F" w:rsidRPr="005F474C">
              <w:rPr>
                <w:sz w:val="28"/>
                <w:szCs w:val="28"/>
              </w:rPr>
              <w:t>@</w:t>
            </w:r>
            <w:hyperlink r:id="rId15" w:history="1">
              <w:r w:rsidRPr="005F474C">
                <w:rPr>
                  <w:sz w:val="28"/>
                  <w:szCs w:val="28"/>
                </w:rPr>
                <w:t>safercare.vic</w:t>
              </w:r>
            </w:hyperlink>
            <w:r w:rsidRPr="005F474C">
              <w:rPr>
                <w:sz w:val="28"/>
                <w:szCs w:val="28"/>
              </w:rPr>
              <w:t>.gov.au</w:t>
            </w:r>
            <w:r w:rsidR="00D662E0" w:rsidRPr="005F474C">
              <w:rPr>
                <w:sz w:val="28"/>
                <w:szCs w:val="28"/>
              </w:rPr>
              <w:t>&gt;</w:t>
            </w:r>
            <w:r w:rsidR="005F474C" w:rsidRPr="005F474C">
              <w:rPr>
                <w:sz w:val="28"/>
                <w:szCs w:val="28"/>
              </w:rPr>
              <w:t>. The figures, graphs and diagrams in this document have been converted from their original format into text or tables for improved accessibility.</w:t>
            </w:r>
          </w:p>
          <w:p w14:paraId="1AEA1207" w14:textId="4771A405" w:rsidR="00C539DC" w:rsidRPr="005F474C" w:rsidRDefault="00C539DC" w:rsidP="00B37FF8">
            <w:pPr>
              <w:pStyle w:val="SCVimprint"/>
              <w:rPr>
                <w:sz w:val="22"/>
                <w:szCs w:val="22"/>
              </w:rPr>
            </w:pPr>
            <w:r w:rsidRPr="005F474C">
              <w:rPr>
                <w:sz w:val="22"/>
                <w:szCs w:val="22"/>
              </w:rPr>
              <w:t>Authorised</w:t>
            </w:r>
            <w:r w:rsidR="00A83AFC" w:rsidRPr="005F474C">
              <w:rPr>
                <w:sz w:val="22"/>
                <w:szCs w:val="22"/>
              </w:rPr>
              <w:t xml:space="preserve"> </w:t>
            </w:r>
            <w:r w:rsidRPr="005F474C">
              <w:rPr>
                <w:sz w:val="22"/>
                <w:szCs w:val="22"/>
              </w:rPr>
              <w:t>and</w:t>
            </w:r>
            <w:r w:rsidR="00A83AFC" w:rsidRPr="005F474C">
              <w:rPr>
                <w:sz w:val="22"/>
                <w:szCs w:val="22"/>
              </w:rPr>
              <w:t xml:space="preserve"> </w:t>
            </w:r>
            <w:r w:rsidRPr="005F474C">
              <w:rPr>
                <w:spacing w:val="-2"/>
                <w:sz w:val="22"/>
                <w:szCs w:val="22"/>
              </w:rPr>
              <w:t>published</w:t>
            </w:r>
            <w:r w:rsidR="00A83AFC" w:rsidRPr="005F474C">
              <w:rPr>
                <w:spacing w:val="-2"/>
                <w:sz w:val="22"/>
                <w:szCs w:val="22"/>
              </w:rPr>
              <w:t xml:space="preserve"> </w:t>
            </w:r>
            <w:r w:rsidRPr="005F474C">
              <w:rPr>
                <w:spacing w:val="-2"/>
                <w:sz w:val="22"/>
                <w:szCs w:val="22"/>
              </w:rPr>
              <w:t>by</w:t>
            </w:r>
            <w:r w:rsidR="00A83AFC" w:rsidRPr="005F474C">
              <w:rPr>
                <w:spacing w:val="-2"/>
                <w:sz w:val="22"/>
                <w:szCs w:val="22"/>
              </w:rPr>
              <w:t xml:space="preserve"> </w:t>
            </w:r>
            <w:r w:rsidRPr="005F474C">
              <w:rPr>
                <w:spacing w:val="-2"/>
                <w:sz w:val="22"/>
                <w:szCs w:val="22"/>
              </w:rPr>
              <w:t>the</w:t>
            </w:r>
            <w:r w:rsidR="00A83AFC" w:rsidRPr="005F474C">
              <w:rPr>
                <w:spacing w:val="-2"/>
                <w:sz w:val="22"/>
                <w:szCs w:val="22"/>
              </w:rPr>
              <w:t xml:space="preserve"> </w:t>
            </w:r>
            <w:r w:rsidRPr="005F474C">
              <w:rPr>
                <w:spacing w:val="-2"/>
                <w:sz w:val="22"/>
                <w:szCs w:val="22"/>
              </w:rPr>
              <w:t>Victorian</w:t>
            </w:r>
            <w:r w:rsidR="00A83AFC" w:rsidRPr="005F474C">
              <w:rPr>
                <w:sz w:val="22"/>
                <w:szCs w:val="22"/>
              </w:rPr>
              <w:t xml:space="preserve"> </w:t>
            </w:r>
            <w:r w:rsidRPr="005F474C">
              <w:rPr>
                <w:sz w:val="22"/>
                <w:szCs w:val="22"/>
              </w:rPr>
              <w:t>Government,</w:t>
            </w:r>
            <w:r w:rsidR="00A83AFC" w:rsidRPr="005F474C">
              <w:rPr>
                <w:sz w:val="22"/>
                <w:szCs w:val="22"/>
              </w:rPr>
              <w:t xml:space="preserve"> </w:t>
            </w:r>
            <w:r w:rsidRPr="005F474C">
              <w:rPr>
                <w:sz w:val="22"/>
                <w:szCs w:val="22"/>
              </w:rPr>
              <w:t>1</w:t>
            </w:r>
            <w:r w:rsidR="00A83AFC" w:rsidRPr="005F474C">
              <w:rPr>
                <w:sz w:val="22"/>
                <w:szCs w:val="22"/>
              </w:rPr>
              <w:t xml:space="preserve"> </w:t>
            </w:r>
            <w:r w:rsidRPr="005F474C">
              <w:rPr>
                <w:sz w:val="22"/>
                <w:szCs w:val="22"/>
              </w:rPr>
              <w:t>Treasury</w:t>
            </w:r>
            <w:r w:rsidR="00A83AFC" w:rsidRPr="005F474C">
              <w:rPr>
                <w:sz w:val="22"/>
                <w:szCs w:val="22"/>
              </w:rPr>
              <w:t xml:space="preserve"> </w:t>
            </w:r>
            <w:r w:rsidRPr="005F474C">
              <w:rPr>
                <w:sz w:val="22"/>
                <w:szCs w:val="22"/>
              </w:rPr>
              <w:t>Place,</w:t>
            </w:r>
            <w:r w:rsidR="00A83AFC" w:rsidRPr="005F474C">
              <w:rPr>
                <w:sz w:val="22"/>
                <w:szCs w:val="22"/>
              </w:rPr>
              <w:t xml:space="preserve"> </w:t>
            </w:r>
            <w:r w:rsidRPr="005F474C">
              <w:rPr>
                <w:sz w:val="22"/>
                <w:szCs w:val="22"/>
              </w:rPr>
              <w:t>Melbourne.</w:t>
            </w:r>
          </w:p>
          <w:p w14:paraId="20C25795" w14:textId="1E637AA6" w:rsidR="00C539DC" w:rsidRPr="005F474C" w:rsidRDefault="00C539DC" w:rsidP="00B37FF8">
            <w:pPr>
              <w:pStyle w:val="SCVimprint"/>
              <w:rPr>
                <w:sz w:val="22"/>
                <w:szCs w:val="22"/>
              </w:rPr>
            </w:pPr>
            <w:r w:rsidRPr="005F474C">
              <w:rPr>
                <w:sz w:val="22"/>
                <w:szCs w:val="22"/>
              </w:rPr>
              <w:t>©</w:t>
            </w:r>
            <w:r w:rsidR="00A83AFC" w:rsidRPr="005F474C">
              <w:rPr>
                <w:sz w:val="22"/>
                <w:szCs w:val="22"/>
              </w:rPr>
              <w:t xml:space="preserve"> </w:t>
            </w:r>
            <w:r w:rsidRPr="005F474C">
              <w:rPr>
                <w:sz w:val="22"/>
                <w:szCs w:val="22"/>
              </w:rPr>
              <w:t>State</w:t>
            </w:r>
            <w:r w:rsidR="00A83AFC" w:rsidRPr="005F474C">
              <w:rPr>
                <w:sz w:val="22"/>
                <w:szCs w:val="22"/>
              </w:rPr>
              <w:t xml:space="preserve"> </w:t>
            </w:r>
            <w:r w:rsidRPr="005F474C">
              <w:rPr>
                <w:sz w:val="22"/>
                <w:szCs w:val="22"/>
              </w:rPr>
              <w:t>of</w:t>
            </w:r>
            <w:r w:rsidR="00A83AFC" w:rsidRPr="005F474C">
              <w:rPr>
                <w:sz w:val="22"/>
                <w:szCs w:val="22"/>
              </w:rPr>
              <w:t xml:space="preserve"> </w:t>
            </w:r>
            <w:r w:rsidRPr="005F474C">
              <w:rPr>
                <w:sz w:val="22"/>
                <w:szCs w:val="22"/>
              </w:rPr>
              <w:t>Victoria,</w:t>
            </w:r>
            <w:r w:rsidR="00A83AFC" w:rsidRPr="005F474C">
              <w:rPr>
                <w:sz w:val="22"/>
                <w:szCs w:val="22"/>
              </w:rPr>
              <w:t xml:space="preserve"> </w:t>
            </w:r>
            <w:r w:rsidRPr="005F474C">
              <w:rPr>
                <w:sz w:val="22"/>
                <w:szCs w:val="22"/>
              </w:rPr>
              <w:t>Australia,</w:t>
            </w:r>
            <w:r w:rsidR="00A83AFC" w:rsidRPr="005F474C">
              <w:rPr>
                <w:sz w:val="22"/>
                <w:szCs w:val="22"/>
              </w:rPr>
              <w:t xml:space="preserve"> </w:t>
            </w:r>
            <w:r w:rsidRPr="005F474C">
              <w:rPr>
                <w:sz w:val="22"/>
                <w:szCs w:val="22"/>
              </w:rPr>
              <w:t>Safer</w:t>
            </w:r>
            <w:r w:rsidR="00A83AFC" w:rsidRPr="005F474C">
              <w:rPr>
                <w:sz w:val="22"/>
                <w:szCs w:val="22"/>
              </w:rPr>
              <w:t xml:space="preserve"> </w:t>
            </w:r>
            <w:r w:rsidRPr="005F474C">
              <w:rPr>
                <w:sz w:val="22"/>
                <w:szCs w:val="22"/>
              </w:rPr>
              <w:t>Care</w:t>
            </w:r>
            <w:r w:rsidR="00A83AFC" w:rsidRPr="005F474C">
              <w:rPr>
                <w:sz w:val="22"/>
                <w:szCs w:val="22"/>
              </w:rPr>
              <w:t xml:space="preserve"> </w:t>
            </w:r>
            <w:r w:rsidRPr="005F474C">
              <w:rPr>
                <w:sz w:val="22"/>
                <w:szCs w:val="22"/>
              </w:rPr>
              <w:t>Victoria,</w:t>
            </w:r>
            <w:r w:rsidR="00A83AFC" w:rsidRPr="005F474C">
              <w:rPr>
                <w:sz w:val="22"/>
                <w:szCs w:val="22"/>
              </w:rPr>
              <w:t xml:space="preserve"> </w:t>
            </w:r>
            <w:r w:rsidR="00152EC1" w:rsidRPr="005F474C">
              <w:rPr>
                <w:sz w:val="22"/>
                <w:szCs w:val="22"/>
              </w:rPr>
              <w:t xml:space="preserve">August </w:t>
            </w:r>
            <w:r w:rsidR="00D96AAA" w:rsidRPr="005F474C">
              <w:rPr>
                <w:sz w:val="22"/>
                <w:szCs w:val="22"/>
              </w:rPr>
              <w:t>2</w:t>
            </w:r>
            <w:r w:rsidR="00152EC1" w:rsidRPr="005F474C">
              <w:rPr>
                <w:sz w:val="22"/>
                <w:szCs w:val="22"/>
              </w:rPr>
              <w:t>024</w:t>
            </w:r>
          </w:p>
          <w:p w14:paraId="5AA6BC14" w14:textId="7C6A6C08" w:rsidR="00C539DC" w:rsidRPr="005F474C" w:rsidRDefault="004370FA" w:rsidP="00B37FF8">
            <w:pPr>
              <w:pStyle w:val="SCVimprint"/>
              <w:rPr>
                <w:color w:val="C00000"/>
                <w:sz w:val="22"/>
                <w:szCs w:val="22"/>
              </w:rPr>
            </w:pPr>
            <w:r w:rsidRPr="005F474C">
              <w:rPr>
                <w:rFonts w:ascii="Arial" w:hAnsi="Arial" w:cs="Arial"/>
                <w:b/>
                <w:bCs/>
                <w:color w:val="000000"/>
                <w:sz w:val="22"/>
                <w:szCs w:val="22"/>
              </w:rPr>
              <w:t>ISBN</w:t>
            </w:r>
            <w:r w:rsidR="00A83AFC" w:rsidRPr="005F474C">
              <w:rPr>
                <w:rFonts w:ascii="Arial" w:hAnsi="Arial" w:cs="Arial"/>
                <w:b/>
                <w:bCs/>
                <w:color w:val="000000"/>
                <w:sz w:val="22"/>
                <w:szCs w:val="22"/>
              </w:rPr>
              <w:t xml:space="preserve"> </w:t>
            </w:r>
            <w:r w:rsidR="00787837" w:rsidRPr="00787837">
              <w:rPr>
                <w:sz w:val="22"/>
                <w:szCs w:val="22"/>
              </w:rPr>
              <w:t xml:space="preserve">2206-3625 </w:t>
            </w:r>
            <w:r w:rsidR="00787837" w:rsidRPr="00787837">
              <w:rPr>
                <w:b/>
                <w:bCs/>
                <w:sz w:val="22"/>
                <w:szCs w:val="22"/>
              </w:rPr>
              <w:t>(online)</w:t>
            </w:r>
          </w:p>
          <w:p w14:paraId="498A3A02" w14:textId="744BCB07" w:rsidR="00C539DC" w:rsidRPr="005F474C" w:rsidRDefault="00C539DC" w:rsidP="00B37FF8">
            <w:pPr>
              <w:pStyle w:val="SCVimprint"/>
              <w:rPr>
                <w:sz w:val="22"/>
                <w:szCs w:val="22"/>
              </w:rPr>
            </w:pPr>
            <w:r w:rsidRPr="005F474C">
              <w:rPr>
                <w:sz w:val="22"/>
                <w:szCs w:val="22"/>
              </w:rPr>
              <w:t>Available</w:t>
            </w:r>
            <w:r w:rsidR="00A83AFC" w:rsidRPr="005F474C">
              <w:rPr>
                <w:sz w:val="22"/>
                <w:szCs w:val="22"/>
              </w:rPr>
              <w:t xml:space="preserve"> </w:t>
            </w:r>
            <w:r w:rsidRPr="005F474C">
              <w:rPr>
                <w:sz w:val="22"/>
                <w:szCs w:val="22"/>
              </w:rPr>
              <w:t>at</w:t>
            </w:r>
            <w:r w:rsidR="00A83AFC" w:rsidRPr="005F474C">
              <w:rPr>
                <w:sz w:val="22"/>
                <w:szCs w:val="22"/>
              </w:rPr>
              <w:t xml:space="preserve"> </w:t>
            </w:r>
            <w:r w:rsidRPr="005F474C">
              <w:rPr>
                <w:sz w:val="22"/>
                <w:szCs w:val="22"/>
              </w:rPr>
              <w:t>the</w:t>
            </w:r>
            <w:r w:rsidR="00A83AFC" w:rsidRPr="005F474C">
              <w:rPr>
                <w:sz w:val="22"/>
                <w:szCs w:val="22"/>
              </w:rPr>
              <w:t xml:space="preserve"> </w:t>
            </w:r>
            <w:hyperlink r:id="rId16" w:history="1">
              <w:r w:rsidRPr="005F474C">
                <w:rPr>
                  <w:rStyle w:val="Hyperlink"/>
                  <w:sz w:val="22"/>
                  <w:szCs w:val="22"/>
                </w:rPr>
                <w:t>Safer</w:t>
              </w:r>
              <w:r w:rsidR="00A83AFC" w:rsidRPr="005F474C">
                <w:rPr>
                  <w:rStyle w:val="Hyperlink"/>
                  <w:sz w:val="22"/>
                  <w:szCs w:val="22"/>
                </w:rPr>
                <w:t xml:space="preserve"> </w:t>
              </w:r>
              <w:r w:rsidRPr="005F474C">
                <w:rPr>
                  <w:rStyle w:val="Hyperlink"/>
                  <w:sz w:val="22"/>
                  <w:szCs w:val="22"/>
                </w:rPr>
                <w:t>Care</w:t>
              </w:r>
              <w:r w:rsidR="00A83AFC" w:rsidRPr="005F474C">
                <w:rPr>
                  <w:rStyle w:val="Hyperlink"/>
                  <w:sz w:val="22"/>
                  <w:szCs w:val="22"/>
                </w:rPr>
                <w:t xml:space="preserve"> </w:t>
              </w:r>
              <w:r w:rsidRPr="005F474C">
                <w:rPr>
                  <w:rStyle w:val="Hyperlink"/>
                  <w:sz w:val="22"/>
                  <w:szCs w:val="22"/>
                </w:rPr>
                <w:t>Victoria</w:t>
              </w:r>
              <w:r w:rsidR="00A83AFC" w:rsidRPr="005F474C">
                <w:rPr>
                  <w:rStyle w:val="Hyperlink"/>
                  <w:sz w:val="22"/>
                  <w:szCs w:val="22"/>
                </w:rPr>
                <w:t xml:space="preserve"> </w:t>
              </w:r>
              <w:r w:rsidRPr="005F474C">
                <w:rPr>
                  <w:rStyle w:val="Hyperlink"/>
                  <w:sz w:val="22"/>
                  <w:szCs w:val="22"/>
                </w:rPr>
                <w:t>website</w:t>
              </w:r>
            </w:hyperlink>
            <w:r w:rsidR="00A83AFC" w:rsidRPr="005F474C">
              <w:rPr>
                <w:sz w:val="22"/>
                <w:szCs w:val="22"/>
              </w:rPr>
              <w:t xml:space="preserve"> </w:t>
            </w:r>
            <w:r w:rsidR="00D662E0" w:rsidRPr="005F474C">
              <w:rPr>
                <w:sz w:val="22"/>
                <w:szCs w:val="22"/>
              </w:rPr>
              <w:t>&lt;</w:t>
            </w:r>
            <w:r w:rsidRPr="005F474C">
              <w:rPr>
                <w:sz w:val="22"/>
                <w:szCs w:val="22"/>
              </w:rPr>
              <w:t>https://</w:t>
            </w:r>
            <w:hyperlink r:id="rId17" w:history="1">
              <w:r w:rsidRPr="005F474C">
                <w:rPr>
                  <w:sz w:val="22"/>
                  <w:szCs w:val="22"/>
                </w:rPr>
                <w:t>www.safercare.vic</w:t>
              </w:r>
            </w:hyperlink>
            <w:r w:rsidRPr="005F474C">
              <w:rPr>
                <w:sz w:val="22"/>
                <w:szCs w:val="22"/>
              </w:rPr>
              <w:t>.gov.au</w:t>
            </w:r>
            <w:r w:rsidR="00D662E0" w:rsidRPr="005F474C">
              <w:rPr>
                <w:sz w:val="22"/>
                <w:szCs w:val="22"/>
              </w:rPr>
              <w:t>&gt;</w:t>
            </w:r>
          </w:p>
          <w:p w14:paraId="56E04A66" w14:textId="77777777" w:rsidR="00C539DC" w:rsidRPr="0059267A" w:rsidRDefault="00C539DC" w:rsidP="00205C68">
            <w:pPr>
              <w:pStyle w:val="SCVbody"/>
              <w:jc w:val="right"/>
            </w:pPr>
            <w:r w:rsidRPr="0059267A">
              <w:rPr>
                <w:noProof/>
              </w:rPr>
              <w:drawing>
                <wp:inline distT="0" distB="0" distL="0" distR="0" wp14:anchorId="61CFE2A0" wp14:editId="7F360D6E">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244975B4" w14:textId="77777777" w:rsidR="0086277A" w:rsidRPr="0059267A" w:rsidRDefault="0086277A" w:rsidP="00A45CB0">
      <w:pPr>
        <w:pStyle w:val="SCVbody"/>
      </w:pPr>
    </w:p>
    <w:p w14:paraId="31352EC4" w14:textId="77777777" w:rsidR="0086277A" w:rsidRPr="0059267A" w:rsidRDefault="0086277A" w:rsidP="00A45CB0">
      <w:pPr>
        <w:pStyle w:val="SCVbody"/>
        <w:sectPr w:rsidR="0086277A" w:rsidRPr="0059267A" w:rsidSect="004D19D4">
          <w:headerReference w:type="even" r:id="rId19"/>
          <w:headerReference w:type="default" r:id="rId20"/>
          <w:footerReference w:type="even" r:id="rId21"/>
          <w:footerReference w:type="default" r:id="rId22"/>
          <w:headerReference w:type="first" r:id="rId23"/>
          <w:footerReference w:type="first" r:id="rId24"/>
          <w:pgSz w:w="11906" w:h="16838" w:code="9"/>
          <w:pgMar w:top="3402" w:right="851" w:bottom="1361" w:left="851" w:header="851" w:footer="851" w:gutter="0"/>
          <w:pgNumType w:fmt="lowerRoman"/>
          <w:cols w:space="284"/>
          <w:docGrid w:linePitch="360"/>
        </w:sectPr>
      </w:pPr>
    </w:p>
    <w:p w14:paraId="10A35217" w14:textId="0A925F38" w:rsidR="007753EA" w:rsidRDefault="007753EA" w:rsidP="007753EA">
      <w:pPr>
        <w:pStyle w:val="Heading1"/>
      </w:pPr>
      <w:bookmarkStart w:id="0" w:name="_Toc173851098"/>
      <w:r>
        <w:lastRenderedPageBreak/>
        <w:t>Acknowledgements</w:t>
      </w:r>
      <w:bookmarkEnd w:id="0"/>
    </w:p>
    <w:p w14:paraId="7370E327" w14:textId="433984AA" w:rsidR="00093E3A" w:rsidRDefault="00093E3A" w:rsidP="007753EA">
      <w:pPr>
        <w:pStyle w:val="Heading2"/>
      </w:pPr>
      <w:bookmarkStart w:id="1" w:name="_Toc173851099"/>
      <w:r>
        <w:t>Acknowledgement of Country</w:t>
      </w:r>
      <w:bookmarkEnd w:id="1"/>
      <w:r>
        <w:t xml:space="preserve"> </w:t>
      </w:r>
    </w:p>
    <w:p w14:paraId="4CC736F1" w14:textId="77777777" w:rsidR="00093E3A" w:rsidRDefault="00093E3A" w:rsidP="00C96A69">
      <w:pPr>
        <w:pStyle w:val="SCVbody"/>
      </w:pPr>
      <w:r>
        <w:t xml:space="preserve">Our office is based on the land of the Traditional Owners, the Wurundjeri people of the Kulin Nation. We acknowledge and pay respect to their history, culture, and their Elders past, present and emerging. </w:t>
      </w:r>
    </w:p>
    <w:p w14:paraId="1193AB6C" w14:textId="77777777" w:rsidR="00093E3A" w:rsidRDefault="00093E3A" w:rsidP="00C96A69">
      <w:pPr>
        <w:pStyle w:val="SCVbody"/>
      </w:pPr>
      <w:r>
        <w:t xml:space="preserve">We acknowledge Aboriginal people as Australia’s first peoples and as the Traditional Owners and custodians of the land and water on which we rely. </w:t>
      </w:r>
    </w:p>
    <w:p w14:paraId="692408FA" w14:textId="77777777" w:rsidR="00093E3A" w:rsidRDefault="00093E3A" w:rsidP="00C96A69">
      <w:pPr>
        <w:pStyle w:val="SCVbody"/>
      </w:pPr>
      <w:r>
        <w:t xml:space="preserve">We recognise and value the ongoing contribution of Aboriginal people and communities to Victorian life and how this enriches us. </w:t>
      </w:r>
    </w:p>
    <w:p w14:paraId="2679483F" w14:textId="77777777" w:rsidR="00093E3A" w:rsidRDefault="00093E3A" w:rsidP="00C96A69">
      <w:pPr>
        <w:pStyle w:val="SCVbody"/>
      </w:pPr>
      <w:r>
        <w:t xml:space="preserve">We embrace the spirit of reconciliation, working towards the equality of outcomes and ensuring an equal voice. </w:t>
      </w:r>
    </w:p>
    <w:p w14:paraId="15D5622B" w14:textId="77777777" w:rsidR="00093E3A" w:rsidRDefault="00093E3A" w:rsidP="00C96A69">
      <w:pPr>
        <w:pStyle w:val="SCVbody"/>
      </w:pPr>
      <w:r>
        <w:t xml:space="preserve">For this land always was, and always will be, Aboriginal Land. </w:t>
      </w:r>
    </w:p>
    <w:p w14:paraId="181B8914" w14:textId="77777777" w:rsidR="00093E3A" w:rsidRDefault="00093E3A" w:rsidP="007753EA">
      <w:pPr>
        <w:pStyle w:val="Heading2"/>
      </w:pPr>
      <w:bookmarkStart w:id="2" w:name="_Toc173851100"/>
      <w:r>
        <w:t>Acknowledgement of lived experience</w:t>
      </w:r>
      <w:bookmarkEnd w:id="2"/>
      <w:r>
        <w:t xml:space="preserve"> </w:t>
      </w:r>
    </w:p>
    <w:p w14:paraId="73668C6B" w14:textId="28ED3788" w:rsidR="00093E3A" w:rsidRDefault="00093E3A" w:rsidP="00C96A69">
      <w:pPr>
        <w:pStyle w:val="SCVbody"/>
      </w:pPr>
      <w:r>
        <w:t xml:space="preserve">Safer Care Victoria acknowledges the consumers, families, carers, friends and loved ones who have experienced, or have been affected by, sentinel events. We are deeply sorry for their distress and grief. We bear witness to their stories in the sincere hope of improving care for others. </w:t>
      </w:r>
    </w:p>
    <w:p w14:paraId="2F783041" w14:textId="77777777" w:rsidR="00093E3A" w:rsidRDefault="00093E3A" w:rsidP="00C96A69">
      <w:pPr>
        <w:pStyle w:val="SCVbody"/>
      </w:pPr>
      <w:r>
        <w:br w:type="page"/>
      </w:r>
    </w:p>
    <w:p w14:paraId="30DFEAE8" w14:textId="77777777" w:rsidR="00093E3A" w:rsidRDefault="00093E3A" w:rsidP="005318B6">
      <w:pPr>
        <w:pStyle w:val="Heading1"/>
      </w:pPr>
      <w:bookmarkStart w:id="3" w:name="_Toc173851101"/>
      <w:r>
        <w:lastRenderedPageBreak/>
        <w:t>CEO foreword</w:t>
      </w:r>
      <w:bookmarkEnd w:id="3"/>
      <w:r>
        <w:t xml:space="preserve"> </w:t>
      </w:r>
    </w:p>
    <w:p w14:paraId="19439017" w14:textId="77777777" w:rsidR="00093E3A" w:rsidRDefault="00093E3A" w:rsidP="00C96A69">
      <w:pPr>
        <w:pStyle w:val="SCVbody"/>
      </w:pPr>
      <w:r>
        <w:t xml:space="preserve">Safer Care Victoria (SCV) exists to support a safer healthcare system for all Victorians. While most healthcare in Victoria leads to good outcomes, there are times when things go wrong and patients are harmed as a result. These events have a devastating impact on patients, their families and carers, and the healthcare staff involved. As a healthcare system, we need to be honest when harm occurs and we have a shared responsibility to learn from these events. </w:t>
      </w:r>
    </w:p>
    <w:p w14:paraId="4FFB729C" w14:textId="77777777" w:rsidR="00093E3A" w:rsidRDefault="00093E3A" w:rsidP="00C96A69">
      <w:pPr>
        <w:pStyle w:val="SCVbody"/>
      </w:pPr>
      <w:r>
        <w:t xml:space="preserve">This year’s Sentinel Event Annual Report contains detailed information about harm events, analysis of key themes, and advice and recommendations for health services. It also includes links to a range of resources and examples of improvement activities underway across the sector. </w:t>
      </w:r>
    </w:p>
    <w:p w14:paraId="7C68A39C" w14:textId="77777777" w:rsidR="00093E3A" w:rsidRDefault="00093E3A" w:rsidP="00C96A69">
      <w:pPr>
        <w:pStyle w:val="SCVbody"/>
      </w:pPr>
      <w:r>
        <w:t xml:space="preserve">Between July 2022 and June 2023, 245 sentinel events were reported to us. This is an increase of two per cent from the year before and is consistent with the year-on-year growth in notifications seen since SCV took ownership of the program. We believe this trend demonstrates an improving safety culture of transparency and an increasing desire to learn. </w:t>
      </w:r>
    </w:p>
    <w:p w14:paraId="555988D0" w14:textId="77777777" w:rsidR="00093E3A" w:rsidRDefault="00093E3A" w:rsidP="00C96A69">
      <w:pPr>
        <w:pStyle w:val="SCVbody"/>
      </w:pPr>
      <w:r>
        <w:t xml:space="preserve">This report describes: </w:t>
      </w:r>
    </w:p>
    <w:p w14:paraId="66E27830" w14:textId="77777777" w:rsidR="00093E3A" w:rsidRDefault="00093E3A" w:rsidP="005318B6">
      <w:pPr>
        <w:pStyle w:val="SCVbullet1"/>
      </w:pPr>
      <w:r>
        <w:t xml:space="preserve">improved consumer representation on event review panels </w:t>
      </w:r>
    </w:p>
    <w:p w14:paraId="1929C778" w14:textId="77777777" w:rsidR="00093E3A" w:rsidRDefault="00093E3A" w:rsidP="005318B6">
      <w:pPr>
        <w:pStyle w:val="SCVbullet1"/>
      </w:pPr>
      <w:r>
        <w:t xml:space="preserve">improved engagement of patients, their families and carers in review processes </w:t>
      </w:r>
    </w:p>
    <w:p w14:paraId="72D60DFF" w14:textId="77777777" w:rsidR="00093E3A" w:rsidRDefault="00093E3A" w:rsidP="005318B6">
      <w:pPr>
        <w:pStyle w:val="SCVbullet1"/>
      </w:pPr>
      <w:r>
        <w:t xml:space="preserve">improved open disclosure and sharing of reports with patients, their families and carers at the end of the review process. </w:t>
      </w:r>
    </w:p>
    <w:p w14:paraId="21DA83E4" w14:textId="77777777" w:rsidR="00093E3A" w:rsidRDefault="00093E3A" w:rsidP="00C96A69">
      <w:pPr>
        <w:pStyle w:val="SCVbody"/>
      </w:pPr>
      <w:r>
        <w:t xml:space="preserve">These improvements demonstrate that services are keeping consumers at the centre of the work that they do. </w:t>
      </w:r>
    </w:p>
    <w:p w14:paraId="57027DB2" w14:textId="77777777" w:rsidR="00093E3A" w:rsidRDefault="00093E3A" w:rsidP="00C96A69">
      <w:pPr>
        <w:pStyle w:val="SCVbody"/>
      </w:pPr>
      <w:r>
        <w:t xml:space="preserve">All health service staff, including clinicians, administrative and support staff, have a vital role to play in providing safe care, as do we in government. Over the next year, we look forward to supporting health services and consumers as we continue our work to learn from serious patient harm and strive for outstanding healthcare for all Victorians. Always. </w:t>
      </w:r>
    </w:p>
    <w:p w14:paraId="2FECC278" w14:textId="6E4BEDCF" w:rsidR="00093E3A" w:rsidRPr="00EF24D6" w:rsidRDefault="00093E3A" w:rsidP="00C96A69">
      <w:pPr>
        <w:pStyle w:val="SCVbody"/>
        <w:rPr>
          <w:b/>
          <w:bCs/>
        </w:rPr>
      </w:pPr>
      <w:r w:rsidRPr="008A5B8A">
        <w:rPr>
          <w:b/>
          <w:bCs/>
        </w:rPr>
        <w:t xml:space="preserve">Louise McKinlay </w:t>
      </w:r>
      <w:r w:rsidRPr="008A5B8A">
        <w:rPr>
          <w:b/>
          <w:bCs/>
        </w:rPr>
        <w:br/>
        <w:t xml:space="preserve">CEO, Safer Care Victoria </w:t>
      </w:r>
    </w:p>
    <w:p w14:paraId="09A43A87" w14:textId="77777777" w:rsidR="00093E3A" w:rsidRDefault="00093E3A" w:rsidP="00C96A69">
      <w:pPr>
        <w:pStyle w:val="SCVbody"/>
        <w:rPr>
          <w:rFonts w:asciiTheme="majorHAnsi" w:eastAsiaTheme="majorEastAsia" w:hAnsiTheme="majorHAnsi" w:cstheme="majorBidi"/>
          <w:color w:val="007586" w:themeColor="text2"/>
          <w:sz w:val="48"/>
          <w:szCs w:val="32"/>
        </w:rPr>
      </w:pPr>
      <w:r>
        <w:br w:type="page"/>
      </w:r>
    </w:p>
    <w:p w14:paraId="24E33BE7" w14:textId="53EB6C3D" w:rsidR="00B3608B" w:rsidRDefault="00B3608B" w:rsidP="00152EC1">
      <w:pPr>
        <w:pStyle w:val="SCVTOCheading"/>
      </w:pPr>
      <w:r>
        <w:lastRenderedPageBreak/>
        <w:t>Contents</w:t>
      </w:r>
    </w:p>
    <w:p w14:paraId="11A027AC" w14:textId="39DBDFB0" w:rsidR="00E35069" w:rsidRDefault="007753EA">
      <w:pPr>
        <w:pStyle w:val="TOC1"/>
        <w:rPr>
          <w:b w:val="0"/>
          <w:kern w:val="2"/>
          <w:sz w:val="24"/>
          <w:szCs w:val="24"/>
          <w:lang w:eastAsia="en-AU"/>
          <w14:ligatures w14:val="standardContextual"/>
        </w:rPr>
      </w:pPr>
      <w:r>
        <w:rPr>
          <w:b w:val="0"/>
          <w:bCs/>
          <w:color w:val="000000" w:themeColor="text1"/>
        </w:rPr>
        <w:fldChar w:fldCharType="begin"/>
      </w:r>
      <w:r>
        <w:rPr>
          <w:b w:val="0"/>
          <w:bCs/>
          <w:color w:val="000000" w:themeColor="text1"/>
        </w:rPr>
        <w:instrText xml:space="preserve"> TOC \o "2-2" \h \z \t "Heading 1,1,Heading 3,3" </w:instrText>
      </w:r>
      <w:r>
        <w:rPr>
          <w:b w:val="0"/>
          <w:bCs/>
          <w:color w:val="000000" w:themeColor="text1"/>
        </w:rPr>
        <w:fldChar w:fldCharType="separate"/>
      </w:r>
      <w:hyperlink w:anchor="_Toc173851098" w:history="1">
        <w:r w:rsidR="00E35069" w:rsidRPr="00C211A7">
          <w:rPr>
            <w:rStyle w:val="Hyperlink"/>
          </w:rPr>
          <w:t>Acknowledgements</w:t>
        </w:r>
        <w:r w:rsidR="00E35069">
          <w:rPr>
            <w:webHidden/>
          </w:rPr>
          <w:tab/>
        </w:r>
        <w:r w:rsidR="00E35069">
          <w:rPr>
            <w:webHidden/>
          </w:rPr>
          <w:fldChar w:fldCharType="begin"/>
        </w:r>
        <w:r w:rsidR="00E35069">
          <w:rPr>
            <w:webHidden/>
          </w:rPr>
          <w:instrText xml:space="preserve"> PAGEREF _Toc173851098 \h </w:instrText>
        </w:r>
        <w:r w:rsidR="00E35069">
          <w:rPr>
            <w:webHidden/>
          </w:rPr>
        </w:r>
        <w:r w:rsidR="00E35069">
          <w:rPr>
            <w:webHidden/>
          </w:rPr>
          <w:fldChar w:fldCharType="separate"/>
        </w:r>
        <w:r w:rsidR="00E35069">
          <w:rPr>
            <w:webHidden/>
          </w:rPr>
          <w:t>3</w:t>
        </w:r>
        <w:r w:rsidR="00E35069">
          <w:rPr>
            <w:webHidden/>
          </w:rPr>
          <w:fldChar w:fldCharType="end"/>
        </w:r>
      </w:hyperlink>
    </w:p>
    <w:p w14:paraId="481EA110" w14:textId="38799680" w:rsidR="00E35069" w:rsidRDefault="00000000">
      <w:pPr>
        <w:pStyle w:val="TOC2"/>
        <w:rPr>
          <w:b w:val="0"/>
          <w:color w:val="auto"/>
          <w:kern w:val="2"/>
          <w:sz w:val="24"/>
          <w:szCs w:val="24"/>
          <w14:ligatures w14:val="standardContextual"/>
        </w:rPr>
      </w:pPr>
      <w:hyperlink w:anchor="_Toc173851099" w:history="1">
        <w:r w:rsidR="00E35069" w:rsidRPr="00C211A7">
          <w:rPr>
            <w:rStyle w:val="Hyperlink"/>
          </w:rPr>
          <w:t>Acknowledgement of Country</w:t>
        </w:r>
        <w:r w:rsidR="00E35069">
          <w:rPr>
            <w:webHidden/>
          </w:rPr>
          <w:tab/>
        </w:r>
        <w:r w:rsidR="00E35069">
          <w:rPr>
            <w:webHidden/>
          </w:rPr>
          <w:fldChar w:fldCharType="begin"/>
        </w:r>
        <w:r w:rsidR="00E35069">
          <w:rPr>
            <w:webHidden/>
          </w:rPr>
          <w:instrText xml:space="preserve"> PAGEREF _Toc173851099 \h </w:instrText>
        </w:r>
        <w:r w:rsidR="00E35069">
          <w:rPr>
            <w:webHidden/>
          </w:rPr>
        </w:r>
        <w:r w:rsidR="00E35069">
          <w:rPr>
            <w:webHidden/>
          </w:rPr>
          <w:fldChar w:fldCharType="separate"/>
        </w:r>
        <w:r w:rsidR="00E35069">
          <w:rPr>
            <w:webHidden/>
          </w:rPr>
          <w:t>3</w:t>
        </w:r>
        <w:r w:rsidR="00E35069">
          <w:rPr>
            <w:webHidden/>
          </w:rPr>
          <w:fldChar w:fldCharType="end"/>
        </w:r>
      </w:hyperlink>
    </w:p>
    <w:p w14:paraId="5A15C9C3" w14:textId="1372C6E5" w:rsidR="00E35069" w:rsidRDefault="00000000">
      <w:pPr>
        <w:pStyle w:val="TOC2"/>
        <w:rPr>
          <w:b w:val="0"/>
          <w:color w:val="auto"/>
          <w:kern w:val="2"/>
          <w:sz w:val="24"/>
          <w:szCs w:val="24"/>
          <w14:ligatures w14:val="standardContextual"/>
        </w:rPr>
      </w:pPr>
      <w:hyperlink w:anchor="_Toc173851100" w:history="1">
        <w:r w:rsidR="00E35069" w:rsidRPr="00C211A7">
          <w:rPr>
            <w:rStyle w:val="Hyperlink"/>
          </w:rPr>
          <w:t>Acknowledgement of lived experience</w:t>
        </w:r>
        <w:r w:rsidR="00E35069">
          <w:rPr>
            <w:webHidden/>
          </w:rPr>
          <w:tab/>
        </w:r>
        <w:r w:rsidR="00E35069">
          <w:rPr>
            <w:webHidden/>
          </w:rPr>
          <w:fldChar w:fldCharType="begin"/>
        </w:r>
        <w:r w:rsidR="00E35069">
          <w:rPr>
            <w:webHidden/>
          </w:rPr>
          <w:instrText xml:space="preserve"> PAGEREF _Toc173851100 \h </w:instrText>
        </w:r>
        <w:r w:rsidR="00E35069">
          <w:rPr>
            <w:webHidden/>
          </w:rPr>
        </w:r>
        <w:r w:rsidR="00E35069">
          <w:rPr>
            <w:webHidden/>
          </w:rPr>
          <w:fldChar w:fldCharType="separate"/>
        </w:r>
        <w:r w:rsidR="00E35069">
          <w:rPr>
            <w:webHidden/>
          </w:rPr>
          <w:t>3</w:t>
        </w:r>
        <w:r w:rsidR="00E35069">
          <w:rPr>
            <w:webHidden/>
          </w:rPr>
          <w:fldChar w:fldCharType="end"/>
        </w:r>
      </w:hyperlink>
    </w:p>
    <w:p w14:paraId="10EA2DB6" w14:textId="13BE26B2" w:rsidR="00E35069" w:rsidRDefault="00000000">
      <w:pPr>
        <w:pStyle w:val="TOC1"/>
        <w:rPr>
          <w:b w:val="0"/>
          <w:kern w:val="2"/>
          <w:sz w:val="24"/>
          <w:szCs w:val="24"/>
          <w:lang w:eastAsia="en-AU"/>
          <w14:ligatures w14:val="standardContextual"/>
        </w:rPr>
      </w:pPr>
      <w:hyperlink w:anchor="_Toc173851101" w:history="1">
        <w:r w:rsidR="00E35069" w:rsidRPr="00C211A7">
          <w:rPr>
            <w:rStyle w:val="Hyperlink"/>
          </w:rPr>
          <w:t>CEO foreword</w:t>
        </w:r>
        <w:r w:rsidR="00E35069">
          <w:rPr>
            <w:webHidden/>
          </w:rPr>
          <w:tab/>
        </w:r>
        <w:r w:rsidR="00E35069">
          <w:rPr>
            <w:webHidden/>
          </w:rPr>
          <w:fldChar w:fldCharType="begin"/>
        </w:r>
        <w:r w:rsidR="00E35069">
          <w:rPr>
            <w:webHidden/>
          </w:rPr>
          <w:instrText xml:space="preserve"> PAGEREF _Toc173851101 \h </w:instrText>
        </w:r>
        <w:r w:rsidR="00E35069">
          <w:rPr>
            <w:webHidden/>
          </w:rPr>
        </w:r>
        <w:r w:rsidR="00E35069">
          <w:rPr>
            <w:webHidden/>
          </w:rPr>
          <w:fldChar w:fldCharType="separate"/>
        </w:r>
        <w:r w:rsidR="00E35069">
          <w:rPr>
            <w:webHidden/>
          </w:rPr>
          <w:t>4</w:t>
        </w:r>
        <w:r w:rsidR="00E35069">
          <w:rPr>
            <w:webHidden/>
          </w:rPr>
          <w:fldChar w:fldCharType="end"/>
        </w:r>
      </w:hyperlink>
    </w:p>
    <w:p w14:paraId="02E859DD" w14:textId="27E3CAD5" w:rsidR="00E35069" w:rsidRDefault="00000000">
      <w:pPr>
        <w:pStyle w:val="TOC1"/>
        <w:rPr>
          <w:b w:val="0"/>
          <w:kern w:val="2"/>
          <w:sz w:val="24"/>
          <w:szCs w:val="24"/>
          <w:lang w:eastAsia="en-AU"/>
          <w14:ligatures w14:val="standardContextual"/>
        </w:rPr>
      </w:pPr>
      <w:hyperlink w:anchor="_Toc173851102" w:history="1">
        <w:r w:rsidR="00E35069" w:rsidRPr="00C211A7">
          <w:rPr>
            <w:rStyle w:val="Hyperlink"/>
          </w:rPr>
          <w:t>Introduction</w:t>
        </w:r>
        <w:r w:rsidR="00E35069">
          <w:rPr>
            <w:webHidden/>
          </w:rPr>
          <w:tab/>
        </w:r>
        <w:r w:rsidR="00E35069">
          <w:rPr>
            <w:webHidden/>
          </w:rPr>
          <w:fldChar w:fldCharType="begin"/>
        </w:r>
        <w:r w:rsidR="00E35069">
          <w:rPr>
            <w:webHidden/>
          </w:rPr>
          <w:instrText xml:space="preserve"> PAGEREF _Toc173851102 \h </w:instrText>
        </w:r>
        <w:r w:rsidR="00E35069">
          <w:rPr>
            <w:webHidden/>
          </w:rPr>
        </w:r>
        <w:r w:rsidR="00E35069">
          <w:rPr>
            <w:webHidden/>
          </w:rPr>
          <w:fldChar w:fldCharType="separate"/>
        </w:r>
        <w:r w:rsidR="00E35069">
          <w:rPr>
            <w:webHidden/>
          </w:rPr>
          <w:t>7</w:t>
        </w:r>
        <w:r w:rsidR="00E35069">
          <w:rPr>
            <w:webHidden/>
          </w:rPr>
          <w:fldChar w:fldCharType="end"/>
        </w:r>
      </w:hyperlink>
    </w:p>
    <w:p w14:paraId="26CC3659" w14:textId="2FE8777A" w:rsidR="00E35069" w:rsidRDefault="00000000">
      <w:pPr>
        <w:pStyle w:val="TOC2"/>
        <w:rPr>
          <w:b w:val="0"/>
          <w:color w:val="auto"/>
          <w:kern w:val="2"/>
          <w:sz w:val="24"/>
          <w:szCs w:val="24"/>
          <w14:ligatures w14:val="standardContextual"/>
        </w:rPr>
      </w:pPr>
      <w:hyperlink w:anchor="_Toc173851103" w:history="1">
        <w:r w:rsidR="00E35069" w:rsidRPr="00C211A7">
          <w:rPr>
            <w:rStyle w:val="Hyperlink"/>
          </w:rPr>
          <w:t>What is a sentinel event?</w:t>
        </w:r>
        <w:r w:rsidR="00E35069">
          <w:rPr>
            <w:webHidden/>
          </w:rPr>
          <w:tab/>
        </w:r>
        <w:r w:rsidR="00E35069">
          <w:rPr>
            <w:webHidden/>
          </w:rPr>
          <w:fldChar w:fldCharType="begin"/>
        </w:r>
        <w:r w:rsidR="00E35069">
          <w:rPr>
            <w:webHidden/>
          </w:rPr>
          <w:instrText xml:space="preserve"> PAGEREF _Toc173851103 \h </w:instrText>
        </w:r>
        <w:r w:rsidR="00E35069">
          <w:rPr>
            <w:webHidden/>
          </w:rPr>
        </w:r>
        <w:r w:rsidR="00E35069">
          <w:rPr>
            <w:webHidden/>
          </w:rPr>
          <w:fldChar w:fldCharType="separate"/>
        </w:r>
        <w:r w:rsidR="00E35069">
          <w:rPr>
            <w:webHidden/>
          </w:rPr>
          <w:t>8</w:t>
        </w:r>
        <w:r w:rsidR="00E35069">
          <w:rPr>
            <w:webHidden/>
          </w:rPr>
          <w:fldChar w:fldCharType="end"/>
        </w:r>
      </w:hyperlink>
    </w:p>
    <w:p w14:paraId="034DBD9E" w14:textId="1664A7F1" w:rsidR="00E35069" w:rsidRDefault="00000000">
      <w:pPr>
        <w:pStyle w:val="TOC2"/>
        <w:rPr>
          <w:b w:val="0"/>
          <w:color w:val="auto"/>
          <w:kern w:val="2"/>
          <w:sz w:val="24"/>
          <w:szCs w:val="24"/>
          <w14:ligatures w14:val="standardContextual"/>
        </w:rPr>
      </w:pPr>
      <w:hyperlink w:anchor="_Toc173851104" w:history="1">
        <w:r w:rsidR="00E35069" w:rsidRPr="00C211A7">
          <w:rPr>
            <w:rStyle w:val="Hyperlink"/>
          </w:rPr>
          <w:t>Which events are notifiable in Victoria?</w:t>
        </w:r>
        <w:r w:rsidR="00E35069">
          <w:rPr>
            <w:webHidden/>
          </w:rPr>
          <w:tab/>
        </w:r>
        <w:r w:rsidR="00E35069">
          <w:rPr>
            <w:webHidden/>
          </w:rPr>
          <w:fldChar w:fldCharType="begin"/>
        </w:r>
        <w:r w:rsidR="00E35069">
          <w:rPr>
            <w:webHidden/>
          </w:rPr>
          <w:instrText xml:space="preserve"> PAGEREF _Toc173851104 \h </w:instrText>
        </w:r>
        <w:r w:rsidR="00E35069">
          <w:rPr>
            <w:webHidden/>
          </w:rPr>
        </w:r>
        <w:r w:rsidR="00E35069">
          <w:rPr>
            <w:webHidden/>
          </w:rPr>
          <w:fldChar w:fldCharType="separate"/>
        </w:r>
        <w:r w:rsidR="00E35069">
          <w:rPr>
            <w:webHidden/>
          </w:rPr>
          <w:t>8</w:t>
        </w:r>
        <w:r w:rsidR="00E35069">
          <w:rPr>
            <w:webHidden/>
          </w:rPr>
          <w:fldChar w:fldCharType="end"/>
        </w:r>
      </w:hyperlink>
    </w:p>
    <w:p w14:paraId="5870133D" w14:textId="155438B7" w:rsidR="00E35069" w:rsidRDefault="00000000">
      <w:pPr>
        <w:pStyle w:val="TOC2"/>
        <w:rPr>
          <w:b w:val="0"/>
          <w:color w:val="auto"/>
          <w:kern w:val="2"/>
          <w:sz w:val="24"/>
          <w:szCs w:val="24"/>
          <w14:ligatures w14:val="standardContextual"/>
        </w:rPr>
      </w:pPr>
      <w:hyperlink w:anchor="_Toc173851105" w:history="1">
        <w:r w:rsidR="00E35069" w:rsidRPr="00C211A7">
          <w:rPr>
            <w:rStyle w:val="Hyperlink"/>
          </w:rPr>
          <w:t>The sentinel events process</w:t>
        </w:r>
        <w:r w:rsidR="00E35069">
          <w:rPr>
            <w:webHidden/>
          </w:rPr>
          <w:tab/>
        </w:r>
        <w:r w:rsidR="00E35069">
          <w:rPr>
            <w:webHidden/>
          </w:rPr>
          <w:fldChar w:fldCharType="begin"/>
        </w:r>
        <w:r w:rsidR="00E35069">
          <w:rPr>
            <w:webHidden/>
          </w:rPr>
          <w:instrText xml:space="preserve"> PAGEREF _Toc173851105 \h </w:instrText>
        </w:r>
        <w:r w:rsidR="00E35069">
          <w:rPr>
            <w:webHidden/>
          </w:rPr>
        </w:r>
        <w:r w:rsidR="00E35069">
          <w:rPr>
            <w:webHidden/>
          </w:rPr>
          <w:fldChar w:fldCharType="separate"/>
        </w:r>
        <w:r w:rsidR="00E35069">
          <w:rPr>
            <w:webHidden/>
          </w:rPr>
          <w:t>9</w:t>
        </w:r>
        <w:r w:rsidR="00E35069">
          <w:rPr>
            <w:webHidden/>
          </w:rPr>
          <w:fldChar w:fldCharType="end"/>
        </w:r>
      </w:hyperlink>
    </w:p>
    <w:p w14:paraId="5E9EF7E2" w14:textId="1DF5C4D4" w:rsidR="00E35069" w:rsidRDefault="00000000">
      <w:pPr>
        <w:pStyle w:val="TOC1"/>
        <w:rPr>
          <w:b w:val="0"/>
          <w:kern w:val="2"/>
          <w:sz w:val="24"/>
          <w:szCs w:val="24"/>
          <w:lang w:eastAsia="en-AU"/>
          <w14:ligatures w14:val="standardContextual"/>
        </w:rPr>
      </w:pPr>
      <w:hyperlink w:anchor="_Toc173851106" w:history="1">
        <w:r w:rsidR="00E35069" w:rsidRPr="00C211A7">
          <w:rPr>
            <w:rStyle w:val="Hyperlink"/>
          </w:rPr>
          <w:t>2022–2023 at a glance</w:t>
        </w:r>
        <w:r w:rsidR="00E35069">
          <w:rPr>
            <w:webHidden/>
          </w:rPr>
          <w:tab/>
        </w:r>
        <w:r w:rsidR="00E35069">
          <w:rPr>
            <w:webHidden/>
          </w:rPr>
          <w:fldChar w:fldCharType="begin"/>
        </w:r>
        <w:r w:rsidR="00E35069">
          <w:rPr>
            <w:webHidden/>
          </w:rPr>
          <w:instrText xml:space="preserve"> PAGEREF _Toc173851106 \h </w:instrText>
        </w:r>
        <w:r w:rsidR="00E35069">
          <w:rPr>
            <w:webHidden/>
          </w:rPr>
        </w:r>
        <w:r w:rsidR="00E35069">
          <w:rPr>
            <w:webHidden/>
          </w:rPr>
          <w:fldChar w:fldCharType="separate"/>
        </w:r>
        <w:r w:rsidR="00E35069">
          <w:rPr>
            <w:webHidden/>
          </w:rPr>
          <w:t>10</w:t>
        </w:r>
        <w:r w:rsidR="00E35069">
          <w:rPr>
            <w:webHidden/>
          </w:rPr>
          <w:fldChar w:fldCharType="end"/>
        </w:r>
      </w:hyperlink>
    </w:p>
    <w:p w14:paraId="13987916" w14:textId="06E13AD1" w:rsidR="00E35069" w:rsidRDefault="00000000">
      <w:pPr>
        <w:pStyle w:val="TOC1"/>
        <w:rPr>
          <w:b w:val="0"/>
          <w:kern w:val="2"/>
          <w:sz w:val="24"/>
          <w:szCs w:val="24"/>
          <w:lang w:eastAsia="en-AU"/>
          <w14:ligatures w14:val="standardContextual"/>
        </w:rPr>
      </w:pPr>
      <w:hyperlink w:anchor="_Toc173851107" w:history="1">
        <w:r w:rsidR="00E35069" w:rsidRPr="00C211A7">
          <w:rPr>
            <w:rStyle w:val="Hyperlink"/>
          </w:rPr>
          <w:t>Sentinel events reporting</w:t>
        </w:r>
        <w:r w:rsidR="00E35069">
          <w:rPr>
            <w:webHidden/>
          </w:rPr>
          <w:tab/>
        </w:r>
        <w:r w:rsidR="00E35069">
          <w:rPr>
            <w:webHidden/>
          </w:rPr>
          <w:fldChar w:fldCharType="begin"/>
        </w:r>
        <w:r w:rsidR="00E35069">
          <w:rPr>
            <w:webHidden/>
          </w:rPr>
          <w:instrText xml:space="preserve"> PAGEREF _Toc173851107 \h </w:instrText>
        </w:r>
        <w:r w:rsidR="00E35069">
          <w:rPr>
            <w:webHidden/>
          </w:rPr>
        </w:r>
        <w:r w:rsidR="00E35069">
          <w:rPr>
            <w:webHidden/>
          </w:rPr>
          <w:fldChar w:fldCharType="separate"/>
        </w:r>
        <w:r w:rsidR="00E35069">
          <w:rPr>
            <w:webHidden/>
          </w:rPr>
          <w:t>11</w:t>
        </w:r>
        <w:r w:rsidR="00E35069">
          <w:rPr>
            <w:webHidden/>
          </w:rPr>
          <w:fldChar w:fldCharType="end"/>
        </w:r>
      </w:hyperlink>
    </w:p>
    <w:p w14:paraId="5B6A0E9E" w14:textId="649F1723" w:rsidR="00E35069" w:rsidRDefault="00000000">
      <w:pPr>
        <w:pStyle w:val="TOC2"/>
        <w:rPr>
          <w:b w:val="0"/>
          <w:color w:val="auto"/>
          <w:kern w:val="2"/>
          <w:sz w:val="24"/>
          <w:szCs w:val="24"/>
          <w14:ligatures w14:val="standardContextual"/>
        </w:rPr>
      </w:pPr>
      <w:hyperlink w:anchor="_Toc173851108" w:history="1">
        <w:r w:rsidR="00E35069" w:rsidRPr="00C211A7">
          <w:rPr>
            <w:rStyle w:val="Hyperlink"/>
          </w:rPr>
          <w:t>Services notifying events</w:t>
        </w:r>
        <w:r w:rsidR="00E35069">
          <w:rPr>
            <w:webHidden/>
          </w:rPr>
          <w:tab/>
        </w:r>
        <w:r w:rsidR="00E35069">
          <w:rPr>
            <w:webHidden/>
          </w:rPr>
          <w:fldChar w:fldCharType="begin"/>
        </w:r>
        <w:r w:rsidR="00E35069">
          <w:rPr>
            <w:webHidden/>
          </w:rPr>
          <w:instrText xml:space="preserve"> PAGEREF _Toc173851108 \h </w:instrText>
        </w:r>
        <w:r w:rsidR="00E35069">
          <w:rPr>
            <w:webHidden/>
          </w:rPr>
        </w:r>
        <w:r w:rsidR="00E35069">
          <w:rPr>
            <w:webHidden/>
          </w:rPr>
          <w:fldChar w:fldCharType="separate"/>
        </w:r>
        <w:r w:rsidR="00E35069">
          <w:rPr>
            <w:webHidden/>
          </w:rPr>
          <w:t>11</w:t>
        </w:r>
        <w:r w:rsidR="00E35069">
          <w:rPr>
            <w:webHidden/>
          </w:rPr>
          <w:fldChar w:fldCharType="end"/>
        </w:r>
      </w:hyperlink>
    </w:p>
    <w:p w14:paraId="0EBFA422" w14:textId="44817111" w:rsidR="00E35069" w:rsidRDefault="00000000">
      <w:pPr>
        <w:pStyle w:val="TOC2"/>
        <w:rPr>
          <w:b w:val="0"/>
          <w:color w:val="auto"/>
          <w:kern w:val="2"/>
          <w:sz w:val="24"/>
          <w:szCs w:val="24"/>
          <w14:ligatures w14:val="standardContextual"/>
        </w:rPr>
      </w:pPr>
      <w:hyperlink w:anchor="_Toc173851109" w:history="1">
        <w:r w:rsidR="00E35069" w:rsidRPr="00C211A7">
          <w:rPr>
            <w:rStyle w:val="Hyperlink"/>
          </w:rPr>
          <w:t>Understanding reporting culture</w:t>
        </w:r>
        <w:r w:rsidR="00E35069">
          <w:rPr>
            <w:webHidden/>
          </w:rPr>
          <w:tab/>
        </w:r>
        <w:r w:rsidR="00E35069">
          <w:rPr>
            <w:webHidden/>
          </w:rPr>
          <w:fldChar w:fldCharType="begin"/>
        </w:r>
        <w:r w:rsidR="00E35069">
          <w:rPr>
            <w:webHidden/>
          </w:rPr>
          <w:instrText xml:space="preserve"> PAGEREF _Toc173851109 \h </w:instrText>
        </w:r>
        <w:r w:rsidR="00E35069">
          <w:rPr>
            <w:webHidden/>
          </w:rPr>
        </w:r>
        <w:r w:rsidR="00E35069">
          <w:rPr>
            <w:webHidden/>
          </w:rPr>
          <w:fldChar w:fldCharType="separate"/>
        </w:r>
        <w:r w:rsidR="00E35069">
          <w:rPr>
            <w:webHidden/>
          </w:rPr>
          <w:t>13</w:t>
        </w:r>
        <w:r w:rsidR="00E35069">
          <w:rPr>
            <w:webHidden/>
          </w:rPr>
          <w:fldChar w:fldCharType="end"/>
        </w:r>
      </w:hyperlink>
    </w:p>
    <w:p w14:paraId="690872EF" w14:textId="6380FC67" w:rsidR="00E35069" w:rsidRDefault="00000000">
      <w:pPr>
        <w:pStyle w:val="TOC1"/>
        <w:rPr>
          <w:b w:val="0"/>
          <w:kern w:val="2"/>
          <w:sz w:val="24"/>
          <w:szCs w:val="24"/>
          <w:lang w:eastAsia="en-AU"/>
          <w14:ligatures w14:val="standardContextual"/>
        </w:rPr>
      </w:pPr>
      <w:hyperlink w:anchor="_Toc173851110" w:history="1">
        <w:r w:rsidR="00E35069" w:rsidRPr="00C211A7">
          <w:rPr>
            <w:rStyle w:val="Hyperlink"/>
          </w:rPr>
          <w:t>Key sentinel event themes 2022–2023</w:t>
        </w:r>
        <w:r w:rsidR="00E35069">
          <w:rPr>
            <w:webHidden/>
          </w:rPr>
          <w:tab/>
        </w:r>
        <w:r w:rsidR="00E35069">
          <w:rPr>
            <w:webHidden/>
          </w:rPr>
          <w:fldChar w:fldCharType="begin"/>
        </w:r>
        <w:r w:rsidR="00E35069">
          <w:rPr>
            <w:webHidden/>
          </w:rPr>
          <w:instrText xml:space="preserve"> PAGEREF _Toc173851110 \h </w:instrText>
        </w:r>
        <w:r w:rsidR="00E35069">
          <w:rPr>
            <w:webHidden/>
          </w:rPr>
        </w:r>
        <w:r w:rsidR="00E35069">
          <w:rPr>
            <w:webHidden/>
          </w:rPr>
          <w:fldChar w:fldCharType="separate"/>
        </w:r>
        <w:r w:rsidR="00E35069">
          <w:rPr>
            <w:webHidden/>
          </w:rPr>
          <w:t>16</w:t>
        </w:r>
        <w:r w:rsidR="00E35069">
          <w:rPr>
            <w:webHidden/>
          </w:rPr>
          <w:fldChar w:fldCharType="end"/>
        </w:r>
      </w:hyperlink>
    </w:p>
    <w:p w14:paraId="042E18B7" w14:textId="6152459B" w:rsidR="00E35069" w:rsidRDefault="00000000">
      <w:pPr>
        <w:pStyle w:val="TOC2"/>
        <w:rPr>
          <w:b w:val="0"/>
          <w:color w:val="auto"/>
          <w:kern w:val="2"/>
          <w:sz w:val="24"/>
          <w:szCs w:val="24"/>
          <w14:ligatures w14:val="standardContextual"/>
        </w:rPr>
      </w:pPr>
      <w:hyperlink w:anchor="_Toc173851111" w:history="1">
        <w:r w:rsidR="00E35069" w:rsidRPr="00C211A7">
          <w:rPr>
            <w:rStyle w:val="Hyperlink"/>
          </w:rPr>
          <w:t>Paediatric sentinel events</w:t>
        </w:r>
        <w:r w:rsidR="00E35069">
          <w:rPr>
            <w:webHidden/>
          </w:rPr>
          <w:tab/>
        </w:r>
        <w:r w:rsidR="00E35069">
          <w:rPr>
            <w:webHidden/>
          </w:rPr>
          <w:fldChar w:fldCharType="begin"/>
        </w:r>
        <w:r w:rsidR="00E35069">
          <w:rPr>
            <w:webHidden/>
          </w:rPr>
          <w:instrText xml:space="preserve"> PAGEREF _Toc173851111 \h </w:instrText>
        </w:r>
        <w:r w:rsidR="00E35069">
          <w:rPr>
            <w:webHidden/>
          </w:rPr>
        </w:r>
        <w:r w:rsidR="00E35069">
          <w:rPr>
            <w:webHidden/>
          </w:rPr>
          <w:fldChar w:fldCharType="separate"/>
        </w:r>
        <w:r w:rsidR="00E35069">
          <w:rPr>
            <w:webHidden/>
          </w:rPr>
          <w:t>16</w:t>
        </w:r>
        <w:r w:rsidR="00E35069">
          <w:rPr>
            <w:webHidden/>
          </w:rPr>
          <w:fldChar w:fldCharType="end"/>
        </w:r>
      </w:hyperlink>
    </w:p>
    <w:p w14:paraId="7776C871" w14:textId="5A3DA635" w:rsidR="00E35069" w:rsidRDefault="00000000">
      <w:pPr>
        <w:pStyle w:val="TOC2"/>
        <w:rPr>
          <w:b w:val="0"/>
          <w:color w:val="auto"/>
          <w:kern w:val="2"/>
          <w:sz w:val="24"/>
          <w:szCs w:val="24"/>
          <w14:ligatures w14:val="standardContextual"/>
        </w:rPr>
      </w:pPr>
      <w:hyperlink w:anchor="_Toc173851112" w:history="1">
        <w:r w:rsidR="00E35069" w:rsidRPr="00C211A7">
          <w:rPr>
            <w:rStyle w:val="Hyperlink"/>
          </w:rPr>
          <w:t>Improving system safety: Safer Care for Kids</w:t>
        </w:r>
        <w:r w:rsidR="00E35069">
          <w:rPr>
            <w:webHidden/>
          </w:rPr>
          <w:tab/>
        </w:r>
        <w:r w:rsidR="00E35069">
          <w:rPr>
            <w:webHidden/>
          </w:rPr>
          <w:fldChar w:fldCharType="begin"/>
        </w:r>
        <w:r w:rsidR="00E35069">
          <w:rPr>
            <w:webHidden/>
          </w:rPr>
          <w:instrText xml:space="preserve"> PAGEREF _Toc173851112 \h </w:instrText>
        </w:r>
        <w:r w:rsidR="00E35069">
          <w:rPr>
            <w:webHidden/>
          </w:rPr>
        </w:r>
        <w:r w:rsidR="00E35069">
          <w:rPr>
            <w:webHidden/>
          </w:rPr>
          <w:fldChar w:fldCharType="separate"/>
        </w:r>
        <w:r w:rsidR="00E35069">
          <w:rPr>
            <w:webHidden/>
          </w:rPr>
          <w:t>17</w:t>
        </w:r>
        <w:r w:rsidR="00E35069">
          <w:rPr>
            <w:webHidden/>
          </w:rPr>
          <w:fldChar w:fldCharType="end"/>
        </w:r>
      </w:hyperlink>
    </w:p>
    <w:p w14:paraId="22F49E73" w14:textId="077EE619" w:rsidR="00E35069" w:rsidRDefault="00000000">
      <w:pPr>
        <w:pStyle w:val="TOC3"/>
        <w:rPr>
          <w:bCs w:val="0"/>
          <w:color w:val="auto"/>
          <w:kern w:val="2"/>
          <w:sz w:val="24"/>
          <w:szCs w:val="24"/>
          <w14:ligatures w14:val="standardContextual"/>
        </w:rPr>
      </w:pPr>
      <w:hyperlink w:anchor="_Toc173851113" w:history="1">
        <w:r w:rsidR="00E35069" w:rsidRPr="00C211A7">
          <w:rPr>
            <w:rStyle w:val="Hyperlink"/>
          </w:rPr>
          <w:t>Deliver a statewide family and carer escalation of patient deterioration process</w:t>
        </w:r>
        <w:r w:rsidR="00E35069">
          <w:rPr>
            <w:webHidden/>
          </w:rPr>
          <w:tab/>
        </w:r>
        <w:r w:rsidR="00E35069">
          <w:rPr>
            <w:webHidden/>
          </w:rPr>
          <w:fldChar w:fldCharType="begin"/>
        </w:r>
        <w:r w:rsidR="00E35069">
          <w:rPr>
            <w:webHidden/>
          </w:rPr>
          <w:instrText xml:space="preserve"> PAGEREF _Toc173851113 \h </w:instrText>
        </w:r>
        <w:r w:rsidR="00E35069">
          <w:rPr>
            <w:webHidden/>
          </w:rPr>
        </w:r>
        <w:r w:rsidR="00E35069">
          <w:rPr>
            <w:webHidden/>
          </w:rPr>
          <w:fldChar w:fldCharType="separate"/>
        </w:r>
        <w:r w:rsidR="00E35069">
          <w:rPr>
            <w:webHidden/>
          </w:rPr>
          <w:t>17</w:t>
        </w:r>
        <w:r w:rsidR="00E35069">
          <w:rPr>
            <w:webHidden/>
          </w:rPr>
          <w:fldChar w:fldCharType="end"/>
        </w:r>
      </w:hyperlink>
    </w:p>
    <w:p w14:paraId="1D6F5DF2" w14:textId="458D15FA" w:rsidR="00E35069" w:rsidRDefault="00000000">
      <w:pPr>
        <w:pStyle w:val="TOC3"/>
        <w:rPr>
          <w:bCs w:val="0"/>
          <w:color w:val="auto"/>
          <w:kern w:val="2"/>
          <w:sz w:val="24"/>
          <w:szCs w:val="24"/>
          <w14:ligatures w14:val="standardContextual"/>
        </w:rPr>
      </w:pPr>
      <w:hyperlink w:anchor="_Toc173851114" w:history="1">
        <w:r w:rsidR="00E35069" w:rsidRPr="00C211A7">
          <w:rPr>
            <w:rStyle w:val="Hyperlink"/>
          </w:rPr>
          <w:t>Implement a 24/7 system of virtual paediatric emergency consultation</w:t>
        </w:r>
        <w:r w:rsidR="00E35069">
          <w:rPr>
            <w:webHidden/>
          </w:rPr>
          <w:tab/>
        </w:r>
        <w:r w:rsidR="00E35069">
          <w:rPr>
            <w:webHidden/>
          </w:rPr>
          <w:fldChar w:fldCharType="begin"/>
        </w:r>
        <w:r w:rsidR="00E35069">
          <w:rPr>
            <w:webHidden/>
          </w:rPr>
          <w:instrText xml:space="preserve"> PAGEREF _Toc173851114 \h </w:instrText>
        </w:r>
        <w:r w:rsidR="00E35069">
          <w:rPr>
            <w:webHidden/>
          </w:rPr>
        </w:r>
        <w:r w:rsidR="00E35069">
          <w:rPr>
            <w:webHidden/>
          </w:rPr>
          <w:fldChar w:fldCharType="separate"/>
        </w:r>
        <w:r w:rsidR="00E35069">
          <w:rPr>
            <w:webHidden/>
          </w:rPr>
          <w:t>17</w:t>
        </w:r>
        <w:r w:rsidR="00E35069">
          <w:rPr>
            <w:webHidden/>
          </w:rPr>
          <w:fldChar w:fldCharType="end"/>
        </w:r>
      </w:hyperlink>
    </w:p>
    <w:p w14:paraId="5473E148" w14:textId="1A3257AB" w:rsidR="00E35069" w:rsidRDefault="00000000">
      <w:pPr>
        <w:pStyle w:val="TOC3"/>
        <w:rPr>
          <w:bCs w:val="0"/>
          <w:color w:val="auto"/>
          <w:kern w:val="2"/>
          <w:sz w:val="24"/>
          <w:szCs w:val="24"/>
          <w14:ligatures w14:val="standardContextual"/>
        </w:rPr>
      </w:pPr>
      <w:hyperlink w:anchor="_Toc173851115" w:history="1">
        <w:r w:rsidR="00E35069" w:rsidRPr="00C211A7">
          <w:rPr>
            <w:rStyle w:val="Hyperlink"/>
          </w:rPr>
          <w:t>Mandate the use of the ViCTOR chart, wherever children and young people have vital signs recorded</w:t>
        </w:r>
        <w:r w:rsidR="00E35069">
          <w:rPr>
            <w:webHidden/>
          </w:rPr>
          <w:tab/>
        </w:r>
        <w:r w:rsidR="00E35069">
          <w:rPr>
            <w:webHidden/>
          </w:rPr>
          <w:fldChar w:fldCharType="begin"/>
        </w:r>
        <w:r w:rsidR="00E35069">
          <w:rPr>
            <w:webHidden/>
          </w:rPr>
          <w:instrText xml:space="preserve"> PAGEREF _Toc173851115 \h </w:instrText>
        </w:r>
        <w:r w:rsidR="00E35069">
          <w:rPr>
            <w:webHidden/>
          </w:rPr>
        </w:r>
        <w:r w:rsidR="00E35069">
          <w:rPr>
            <w:webHidden/>
          </w:rPr>
          <w:fldChar w:fldCharType="separate"/>
        </w:r>
        <w:r w:rsidR="00E35069">
          <w:rPr>
            <w:webHidden/>
          </w:rPr>
          <w:t>17</w:t>
        </w:r>
        <w:r w:rsidR="00E35069">
          <w:rPr>
            <w:webHidden/>
          </w:rPr>
          <w:fldChar w:fldCharType="end"/>
        </w:r>
      </w:hyperlink>
    </w:p>
    <w:p w14:paraId="7C967539" w14:textId="07955B70" w:rsidR="00E35069" w:rsidRDefault="00000000">
      <w:pPr>
        <w:pStyle w:val="TOC2"/>
        <w:rPr>
          <w:b w:val="0"/>
          <w:color w:val="auto"/>
          <w:kern w:val="2"/>
          <w:sz w:val="24"/>
          <w:szCs w:val="24"/>
          <w14:ligatures w14:val="standardContextual"/>
        </w:rPr>
      </w:pPr>
      <w:hyperlink w:anchor="_Toc173851116" w:history="1">
        <w:r w:rsidR="00E35069" w:rsidRPr="00C211A7">
          <w:rPr>
            <w:rStyle w:val="Hyperlink"/>
          </w:rPr>
          <w:t>Improving system safety: oneTEAM, a Royal Children’s Hospital (RCH) initiative</w:t>
        </w:r>
        <w:r w:rsidR="00E35069">
          <w:rPr>
            <w:webHidden/>
          </w:rPr>
          <w:tab/>
        </w:r>
        <w:r w:rsidR="00E35069">
          <w:rPr>
            <w:webHidden/>
          </w:rPr>
          <w:fldChar w:fldCharType="begin"/>
        </w:r>
        <w:r w:rsidR="00E35069">
          <w:rPr>
            <w:webHidden/>
          </w:rPr>
          <w:instrText xml:space="preserve"> PAGEREF _Toc173851116 \h </w:instrText>
        </w:r>
        <w:r w:rsidR="00E35069">
          <w:rPr>
            <w:webHidden/>
          </w:rPr>
        </w:r>
        <w:r w:rsidR="00E35069">
          <w:rPr>
            <w:webHidden/>
          </w:rPr>
          <w:fldChar w:fldCharType="separate"/>
        </w:r>
        <w:r w:rsidR="00E35069">
          <w:rPr>
            <w:webHidden/>
          </w:rPr>
          <w:t>18</w:t>
        </w:r>
        <w:r w:rsidR="00E35069">
          <w:rPr>
            <w:webHidden/>
          </w:rPr>
          <w:fldChar w:fldCharType="end"/>
        </w:r>
      </w:hyperlink>
    </w:p>
    <w:p w14:paraId="331C0564" w14:textId="31E5B6EA" w:rsidR="00E35069" w:rsidRDefault="00000000">
      <w:pPr>
        <w:pStyle w:val="TOC2"/>
        <w:rPr>
          <w:b w:val="0"/>
          <w:color w:val="auto"/>
          <w:kern w:val="2"/>
          <w:sz w:val="24"/>
          <w:szCs w:val="24"/>
          <w14:ligatures w14:val="standardContextual"/>
        </w:rPr>
      </w:pPr>
      <w:hyperlink w:anchor="_Toc173851117" w:history="1">
        <w:r w:rsidR="00E35069" w:rsidRPr="00C211A7">
          <w:rPr>
            <w:rStyle w:val="Hyperlink"/>
          </w:rPr>
          <w:t>Medication safety sentinel events</w:t>
        </w:r>
        <w:r w:rsidR="00E35069">
          <w:rPr>
            <w:webHidden/>
          </w:rPr>
          <w:tab/>
        </w:r>
        <w:r w:rsidR="00E35069">
          <w:rPr>
            <w:webHidden/>
          </w:rPr>
          <w:fldChar w:fldCharType="begin"/>
        </w:r>
        <w:r w:rsidR="00E35069">
          <w:rPr>
            <w:webHidden/>
          </w:rPr>
          <w:instrText xml:space="preserve"> PAGEREF _Toc173851117 \h </w:instrText>
        </w:r>
        <w:r w:rsidR="00E35069">
          <w:rPr>
            <w:webHidden/>
          </w:rPr>
        </w:r>
        <w:r w:rsidR="00E35069">
          <w:rPr>
            <w:webHidden/>
          </w:rPr>
          <w:fldChar w:fldCharType="separate"/>
        </w:r>
        <w:r w:rsidR="00E35069">
          <w:rPr>
            <w:webHidden/>
          </w:rPr>
          <w:t>21</w:t>
        </w:r>
        <w:r w:rsidR="00E35069">
          <w:rPr>
            <w:webHidden/>
          </w:rPr>
          <w:fldChar w:fldCharType="end"/>
        </w:r>
      </w:hyperlink>
    </w:p>
    <w:p w14:paraId="5507A691" w14:textId="28907569" w:rsidR="00E35069" w:rsidRDefault="00000000">
      <w:pPr>
        <w:pStyle w:val="TOC3"/>
        <w:rPr>
          <w:bCs w:val="0"/>
          <w:color w:val="auto"/>
          <w:kern w:val="2"/>
          <w:sz w:val="24"/>
          <w:szCs w:val="24"/>
          <w14:ligatures w14:val="standardContextual"/>
        </w:rPr>
      </w:pPr>
      <w:hyperlink w:anchor="_Toc173851118" w:history="1">
        <w:r w:rsidR="00E35069" w:rsidRPr="00C211A7">
          <w:rPr>
            <w:rStyle w:val="Hyperlink"/>
          </w:rPr>
          <w:t>Comparison to previous analysis</w:t>
        </w:r>
        <w:r w:rsidR="00E35069">
          <w:rPr>
            <w:webHidden/>
          </w:rPr>
          <w:tab/>
        </w:r>
        <w:r w:rsidR="00E35069">
          <w:rPr>
            <w:webHidden/>
          </w:rPr>
          <w:fldChar w:fldCharType="begin"/>
        </w:r>
        <w:r w:rsidR="00E35069">
          <w:rPr>
            <w:webHidden/>
          </w:rPr>
          <w:instrText xml:space="preserve"> PAGEREF _Toc173851118 \h </w:instrText>
        </w:r>
        <w:r w:rsidR="00E35069">
          <w:rPr>
            <w:webHidden/>
          </w:rPr>
        </w:r>
        <w:r w:rsidR="00E35069">
          <w:rPr>
            <w:webHidden/>
          </w:rPr>
          <w:fldChar w:fldCharType="separate"/>
        </w:r>
        <w:r w:rsidR="00E35069">
          <w:rPr>
            <w:webHidden/>
          </w:rPr>
          <w:t>24</w:t>
        </w:r>
        <w:r w:rsidR="00E35069">
          <w:rPr>
            <w:webHidden/>
          </w:rPr>
          <w:fldChar w:fldCharType="end"/>
        </w:r>
      </w:hyperlink>
    </w:p>
    <w:p w14:paraId="218DEF54" w14:textId="5D5F4D77" w:rsidR="00E35069" w:rsidRDefault="00000000">
      <w:pPr>
        <w:pStyle w:val="TOC2"/>
        <w:rPr>
          <w:b w:val="0"/>
          <w:color w:val="auto"/>
          <w:kern w:val="2"/>
          <w:sz w:val="24"/>
          <w:szCs w:val="24"/>
          <w14:ligatures w14:val="standardContextual"/>
        </w:rPr>
      </w:pPr>
      <w:hyperlink w:anchor="_Toc173851119" w:history="1">
        <w:r w:rsidR="00E35069" w:rsidRPr="00C211A7">
          <w:rPr>
            <w:rStyle w:val="Hyperlink"/>
          </w:rPr>
          <w:t>Improving system safety: Safer Together</w:t>
        </w:r>
        <w:r w:rsidR="00E35069">
          <w:rPr>
            <w:webHidden/>
          </w:rPr>
          <w:tab/>
        </w:r>
        <w:r w:rsidR="00E35069">
          <w:rPr>
            <w:webHidden/>
          </w:rPr>
          <w:fldChar w:fldCharType="begin"/>
        </w:r>
        <w:r w:rsidR="00E35069">
          <w:rPr>
            <w:webHidden/>
          </w:rPr>
          <w:instrText xml:space="preserve"> PAGEREF _Toc173851119 \h </w:instrText>
        </w:r>
        <w:r w:rsidR="00E35069">
          <w:rPr>
            <w:webHidden/>
          </w:rPr>
        </w:r>
        <w:r w:rsidR="00E35069">
          <w:rPr>
            <w:webHidden/>
          </w:rPr>
          <w:fldChar w:fldCharType="separate"/>
        </w:r>
        <w:r w:rsidR="00E35069">
          <w:rPr>
            <w:webHidden/>
          </w:rPr>
          <w:t>25</w:t>
        </w:r>
        <w:r w:rsidR="00E35069">
          <w:rPr>
            <w:webHidden/>
          </w:rPr>
          <w:fldChar w:fldCharType="end"/>
        </w:r>
      </w:hyperlink>
    </w:p>
    <w:p w14:paraId="5D233D82" w14:textId="6E6EC3A3" w:rsidR="00E35069" w:rsidRDefault="00000000">
      <w:pPr>
        <w:pStyle w:val="TOC2"/>
        <w:rPr>
          <w:b w:val="0"/>
          <w:color w:val="auto"/>
          <w:kern w:val="2"/>
          <w:sz w:val="24"/>
          <w:szCs w:val="24"/>
          <w14:ligatures w14:val="standardContextual"/>
        </w:rPr>
      </w:pPr>
      <w:hyperlink w:anchor="_Toc173851120" w:history="1">
        <w:r w:rsidR="00E35069" w:rsidRPr="00C211A7">
          <w:rPr>
            <w:rStyle w:val="Hyperlink"/>
          </w:rPr>
          <w:t>Improving system safety: Anticoagulation stewardship service at Monash Health</w:t>
        </w:r>
        <w:r w:rsidR="00E35069">
          <w:rPr>
            <w:webHidden/>
          </w:rPr>
          <w:tab/>
        </w:r>
        <w:r w:rsidR="00E35069">
          <w:rPr>
            <w:webHidden/>
          </w:rPr>
          <w:fldChar w:fldCharType="begin"/>
        </w:r>
        <w:r w:rsidR="00E35069">
          <w:rPr>
            <w:webHidden/>
          </w:rPr>
          <w:instrText xml:space="preserve"> PAGEREF _Toc173851120 \h </w:instrText>
        </w:r>
        <w:r w:rsidR="00E35069">
          <w:rPr>
            <w:webHidden/>
          </w:rPr>
        </w:r>
        <w:r w:rsidR="00E35069">
          <w:rPr>
            <w:webHidden/>
          </w:rPr>
          <w:fldChar w:fldCharType="separate"/>
        </w:r>
        <w:r w:rsidR="00E35069">
          <w:rPr>
            <w:webHidden/>
          </w:rPr>
          <w:t>25</w:t>
        </w:r>
        <w:r w:rsidR="00E35069">
          <w:rPr>
            <w:webHidden/>
          </w:rPr>
          <w:fldChar w:fldCharType="end"/>
        </w:r>
      </w:hyperlink>
    </w:p>
    <w:p w14:paraId="2BFB95D2" w14:textId="3C1C67F7" w:rsidR="00E35069" w:rsidRDefault="00000000">
      <w:pPr>
        <w:pStyle w:val="TOC2"/>
        <w:rPr>
          <w:b w:val="0"/>
          <w:color w:val="auto"/>
          <w:kern w:val="2"/>
          <w:sz w:val="24"/>
          <w:szCs w:val="24"/>
          <w14:ligatures w14:val="standardContextual"/>
        </w:rPr>
      </w:pPr>
      <w:hyperlink w:anchor="_Toc173851121" w:history="1">
        <w:r w:rsidR="00E35069" w:rsidRPr="00C211A7">
          <w:rPr>
            <w:rStyle w:val="Hyperlink"/>
          </w:rPr>
          <w:t>Perioperative sentinel events</w:t>
        </w:r>
        <w:r w:rsidR="00E35069">
          <w:rPr>
            <w:webHidden/>
          </w:rPr>
          <w:tab/>
        </w:r>
        <w:r w:rsidR="00E35069">
          <w:rPr>
            <w:webHidden/>
          </w:rPr>
          <w:fldChar w:fldCharType="begin"/>
        </w:r>
        <w:r w:rsidR="00E35069">
          <w:rPr>
            <w:webHidden/>
          </w:rPr>
          <w:instrText xml:space="preserve"> PAGEREF _Toc173851121 \h </w:instrText>
        </w:r>
        <w:r w:rsidR="00E35069">
          <w:rPr>
            <w:webHidden/>
          </w:rPr>
        </w:r>
        <w:r w:rsidR="00E35069">
          <w:rPr>
            <w:webHidden/>
          </w:rPr>
          <w:fldChar w:fldCharType="separate"/>
        </w:r>
        <w:r w:rsidR="00E35069">
          <w:rPr>
            <w:webHidden/>
          </w:rPr>
          <w:t>29</w:t>
        </w:r>
        <w:r w:rsidR="00E35069">
          <w:rPr>
            <w:webHidden/>
          </w:rPr>
          <w:fldChar w:fldCharType="end"/>
        </w:r>
      </w:hyperlink>
    </w:p>
    <w:p w14:paraId="6DAF5AD9" w14:textId="184DBCA0" w:rsidR="00E35069" w:rsidRDefault="00000000">
      <w:pPr>
        <w:pStyle w:val="TOC2"/>
        <w:rPr>
          <w:b w:val="0"/>
          <w:color w:val="auto"/>
          <w:kern w:val="2"/>
          <w:sz w:val="24"/>
          <w:szCs w:val="24"/>
          <w14:ligatures w14:val="standardContextual"/>
        </w:rPr>
      </w:pPr>
      <w:hyperlink w:anchor="_Toc173851122" w:history="1">
        <w:r w:rsidR="00E35069" w:rsidRPr="00C211A7">
          <w:rPr>
            <w:rStyle w:val="Hyperlink"/>
          </w:rPr>
          <w:t>Improving system safety: Testicular Torsion Working Group</w:t>
        </w:r>
        <w:r w:rsidR="00E35069">
          <w:rPr>
            <w:webHidden/>
          </w:rPr>
          <w:tab/>
        </w:r>
        <w:r w:rsidR="00E35069">
          <w:rPr>
            <w:webHidden/>
          </w:rPr>
          <w:fldChar w:fldCharType="begin"/>
        </w:r>
        <w:r w:rsidR="00E35069">
          <w:rPr>
            <w:webHidden/>
          </w:rPr>
          <w:instrText xml:space="preserve"> PAGEREF _Toc173851122 \h </w:instrText>
        </w:r>
        <w:r w:rsidR="00E35069">
          <w:rPr>
            <w:webHidden/>
          </w:rPr>
        </w:r>
        <w:r w:rsidR="00E35069">
          <w:rPr>
            <w:webHidden/>
          </w:rPr>
          <w:fldChar w:fldCharType="separate"/>
        </w:r>
        <w:r w:rsidR="00E35069">
          <w:rPr>
            <w:webHidden/>
          </w:rPr>
          <w:t>32</w:t>
        </w:r>
        <w:r w:rsidR="00E35069">
          <w:rPr>
            <w:webHidden/>
          </w:rPr>
          <w:fldChar w:fldCharType="end"/>
        </w:r>
      </w:hyperlink>
    </w:p>
    <w:p w14:paraId="7B3D348F" w14:textId="26DE8B73" w:rsidR="00E35069" w:rsidRDefault="00000000">
      <w:pPr>
        <w:pStyle w:val="TOC1"/>
        <w:rPr>
          <w:b w:val="0"/>
          <w:kern w:val="2"/>
          <w:sz w:val="24"/>
          <w:szCs w:val="24"/>
          <w:lang w:eastAsia="en-AU"/>
          <w14:ligatures w14:val="standardContextual"/>
        </w:rPr>
      </w:pPr>
      <w:hyperlink w:anchor="_Toc173851123" w:history="1">
        <w:r w:rsidR="00E35069" w:rsidRPr="00C211A7">
          <w:rPr>
            <w:rStyle w:val="Hyperlink"/>
          </w:rPr>
          <w:t>Engaging with impacted patients, families and carers</w:t>
        </w:r>
        <w:r w:rsidR="00E35069">
          <w:rPr>
            <w:webHidden/>
          </w:rPr>
          <w:tab/>
        </w:r>
        <w:r w:rsidR="00E35069">
          <w:rPr>
            <w:webHidden/>
          </w:rPr>
          <w:fldChar w:fldCharType="begin"/>
        </w:r>
        <w:r w:rsidR="00E35069">
          <w:rPr>
            <w:webHidden/>
          </w:rPr>
          <w:instrText xml:space="preserve"> PAGEREF _Toc173851123 \h </w:instrText>
        </w:r>
        <w:r w:rsidR="00E35069">
          <w:rPr>
            <w:webHidden/>
          </w:rPr>
        </w:r>
        <w:r w:rsidR="00E35069">
          <w:rPr>
            <w:webHidden/>
          </w:rPr>
          <w:fldChar w:fldCharType="separate"/>
        </w:r>
        <w:r w:rsidR="00E35069">
          <w:rPr>
            <w:webHidden/>
          </w:rPr>
          <w:t>38</w:t>
        </w:r>
        <w:r w:rsidR="00E35069">
          <w:rPr>
            <w:webHidden/>
          </w:rPr>
          <w:fldChar w:fldCharType="end"/>
        </w:r>
      </w:hyperlink>
    </w:p>
    <w:p w14:paraId="76164A5B" w14:textId="1E704A97" w:rsidR="00E35069" w:rsidRDefault="00000000">
      <w:pPr>
        <w:pStyle w:val="TOC2"/>
        <w:rPr>
          <w:b w:val="0"/>
          <w:color w:val="auto"/>
          <w:kern w:val="2"/>
          <w:sz w:val="24"/>
          <w:szCs w:val="24"/>
          <w14:ligatures w14:val="standardContextual"/>
        </w:rPr>
      </w:pPr>
      <w:hyperlink w:anchor="_Toc173851124" w:history="1">
        <w:r w:rsidR="00E35069" w:rsidRPr="00C211A7">
          <w:rPr>
            <w:rStyle w:val="Hyperlink"/>
          </w:rPr>
          <w:t>Statutory Duty of Candour (SDC)</w:t>
        </w:r>
        <w:r w:rsidR="00E35069">
          <w:rPr>
            <w:webHidden/>
          </w:rPr>
          <w:tab/>
        </w:r>
        <w:r w:rsidR="00E35069">
          <w:rPr>
            <w:webHidden/>
          </w:rPr>
          <w:fldChar w:fldCharType="begin"/>
        </w:r>
        <w:r w:rsidR="00E35069">
          <w:rPr>
            <w:webHidden/>
          </w:rPr>
          <w:instrText xml:space="preserve"> PAGEREF _Toc173851124 \h </w:instrText>
        </w:r>
        <w:r w:rsidR="00E35069">
          <w:rPr>
            <w:webHidden/>
          </w:rPr>
        </w:r>
        <w:r w:rsidR="00E35069">
          <w:rPr>
            <w:webHidden/>
          </w:rPr>
          <w:fldChar w:fldCharType="separate"/>
        </w:r>
        <w:r w:rsidR="00E35069">
          <w:rPr>
            <w:webHidden/>
          </w:rPr>
          <w:t>40</w:t>
        </w:r>
        <w:r w:rsidR="00E35069">
          <w:rPr>
            <w:webHidden/>
          </w:rPr>
          <w:fldChar w:fldCharType="end"/>
        </w:r>
      </w:hyperlink>
    </w:p>
    <w:p w14:paraId="502F815D" w14:textId="72F3FFEC" w:rsidR="00E35069" w:rsidRDefault="00000000">
      <w:pPr>
        <w:pStyle w:val="TOC2"/>
        <w:rPr>
          <w:b w:val="0"/>
          <w:color w:val="auto"/>
          <w:kern w:val="2"/>
          <w:sz w:val="24"/>
          <w:szCs w:val="24"/>
          <w14:ligatures w14:val="standardContextual"/>
        </w:rPr>
      </w:pPr>
      <w:hyperlink w:anchor="_Toc173851125" w:history="1">
        <w:r w:rsidR="00E35069" w:rsidRPr="00C211A7">
          <w:rPr>
            <w:rStyle w:val="Hyperlink"/>
          </w:rPr>
          <w:t>Open disclosure</w:t>
        </w:r>
        <w:r w:rsidR="00E35069">
          <w:rPr>
            <w:webHidden/>
          </w:rPr>
          <w:tab/>
        </w:r>
        <w:r w:rsidR="00E35069">
          <w:rPr>
            <w:webHidden/>
          </w:rPr>
          <w:fldChar w:fldCharType="begin"/>
        </w:r>
        <w:r w:rsidR="00E35069">
          <w:rPr>
            <w:webHidden/>
          </w:rPr>
          <w:instrText xml:space="preserve"> PAGEREF _Toc173851125 \h </w:instrText>
        </w:r>
        <w:r w:rsidR="00E35069">
          <w:rPr>
            <w:webHidden/>
          </w:rPr>
        </w:r>
        <w:r w:rsidR="00E35069">
          <w:rPr>
            <w:webHidden/>
          </w:rPr>
          <w:fldChar w:fldCharType="separate"/>
        </w:r>
        <w:r w:rsidR="00E35069">
          <w:rPr>
            <w:webHidden/>
          </w:rPr>
          <w:t>42</w:t>
        </w:r>
        <w:r w:rsidR="00E35069">
          <w:rPr>
            <w:webHidden/>
          </w:rPr>
          <w:fldChar w:fldCharType="end"/>
        </w:r>
      </w:hyperlink>
    </w:p>
    <w:p w14:paraId="4982B3D0" w14:textId="18118AD2" w:rsidR="00E35069" w:rsidRDefault="00000000">
      <w:pPr>
        <w:pStyle w:val="TOC1"/>
        <w:rPr>
          <w:b w:val="0"/>
          <w:kern w:val="2"/>
          <w:sz w:val="24"/>
          <w:szCs w:val="24"/>
          <w:lang w:eastAsia="en-AU"/>
          <w14:ligatures w14:val="standardContextual"/>
        </w:rPr>
      </w:pPr>
      <w:hyperlink w:anchor="_Toc173851126" w:history="1">
        <w:r w:rsidR="00E35069" w:rsidRPr="00C211A7">
          <w:rPr>
            <w:rStyle w:val="Hyperlink"/>
          </w:rPr>
          <w:t>Recommendations from sentinel event reviews</w:t>
        </w:r>
        <w:r w:rsidR="00E35069">
          <w:rPr>
            <w:webHidden/>
          </w:rPr>
          <w:tab/>
        </w:r>
        <w:r w:rsidR="00E35069">
          <w:rPr>
            <w:webHidden/>
          </w:rPr>
          <w:fldChar w:fldCharType="begin"/>
        </w:r>
        <w:r w:rsidR="00E35069">
          <w:rPr>
            <w:webHidden/>
          </w:rPr>
          <w:instrText xml:space="preserve"> PAGEREF _Toc173851126 \h </w:instrText>
        </w:r>
        <w:r w:rsidR="00E35069">
          <w:rPr>
            <w:webHidden/>
          </w:rPr>
        </w:r>
        <w:r w:rsidR="00E35069">
          <w:rPr>
            <w:webHidden/>
          </w:rPr>
          <w:fldChar w:fldCharType="separate"/>
        </w:r>
        <w:r w:rsidR="00E35069">
          <w:rPr>
            <w:webHidden/>
          </w:rPr>
          <w:t>43</w:t>
        </w:r>
        <w:r w:rsidR="00E35069">
          <w:rPr>
            <w:webHidden/>
          </w:rPr>
          <w:fldChar w:fldCharType="end"/>
        </w:r>
      </w:hyperlink>
    </w:p>
    <w:p w14:paraId="36390309" w14:textId="7D60E24E" w:rsidR="00E35069" w:rsidRDefault="00000000">
      <w:pPr>
        <w:pStyle w:val="TOC2"/>
        <w:rPr>
          <w:b w:val="0"/>
          <w:color w:val="auto"/>
          <w:kern w:val="2"/>
          <w:sz w:val="24"/>
          <w:szCs w:val="24"/>
          <w14:ligatures w14:val="standardContextual"/>
        </w:rPr>
      </w:pPr>
      <w:hyperlink w:anchor="_Toc173851127" w:history="1">
        <w:r w:rsidR="00E35069" w:rsidRPr="00C211A7">
          <w:rPr>
            <w:rStyle w:val="Hyperlink"/>
          </w:rPr>
          <w:t>Developing recommendations</w:t>
        </w:r>
        <w:r w:rsidR="00E35069">
          <w:rPr>
            <w:webHidden/>
          </w:rPr>
          <w:tab/>
        </w:r>
        <w:r w:rsidR="00E35069">
          <w:rPr>
            <w:webHidden/>
          </w:rPr>
          <w:fldChar w:fldCharType="begin"/>
        </w:r>
        <w:r w:rsidR="00E35069">
          <w:rPr>
            <w:webHidden/>
          </w:rPr>
          <w:instrText xml:space="preserve"> PAGEREF _Toc173851127 \h </w:instrText>
        </w:r>
        <w:r w:rsidR="00E35069">
          <w:rPr>
            <w:webHidden/>
          </w:rPr>
        </w:r>
        <w:r w:rsidR="00E35069">
          <w:rPr>
            <w:webHidden/>
          </w:rPr>
          <w:fldChar w:fldCharType="separate"/>
        </w:r>
        <w:r w:rsidR="00E35069">
          <w:rPr>
            <w:webHidden/>
          </w:rPr>
          <w:t>43</w:t>
        </w:r>
        <w:r w:rsidR="00E35069">
          <w:rPr>
            <w:webHidden/>
          </w:rPr>
          <w:fldChar w:fldCharType="end"/>
        </w:r>
      </w:hyperlink>
    </w:p>
    <w:p w14:paraId="44364D41" w14:textId="4EB49C92" w:rsidR="00E35069" w:rsidRDefault="00000000">
      <w:pPr>
        <w:pStyle w:val="TOC2"/>
        <w:rPr>
          <w:b w:val="0"/>
          <w:color w:val="auto"/>
          <w:kern w:val="2"/>
          <w:sz w:val="24"/>
          <w:szCs w:val="24"/>
          <w14:ligatures w14:val="standardContextual"/>
        </w:rPr>
      </w:pPr>
      <w:hyperlink w:anchor="_Toc173851128" w:history="1">
        <w:r w:rsidR="00E35069" w:rsidRPr="00C211A7">
          <w:rPr>
            <w:rStyle w:val="Hyperlink"/>
          </w:rPr>
          <w:t>Writing recommendations</w:t>
        </w:r>
        <w:r w:rsidR="00E35069">
          <w:rPr>
            <w:webHidden/>
          </w:rPr>
          <w:tab/>
        </w:r>
        <w:r w:rsidR="00E35069">
          <w:rPr>
            <w:webHidden/>
          </w:rPr>
          <w:fldChar w:fldCharType="begin"/>
        </w:r>
        <w:r w:rsidR="00E35069">
          <w:rPr>
            <w:webHidden/>
          </w:rPr>
          <w:instrText xml:space="preserve"> PAGEREF _Toc173851128 \h </w:instrText>
        </w:r>
        <w:r w:rsidR="00E35069">
          <w:rPr>
            <w:webHidden/>
          </w:rPr>
        </w:r>
        <w:r w:rsidR="00E35069">
          <w:rPr>
            <w:webHidden/>
          </w:rPr>
          <w:fldChar w:fldCharType="separate"/>
        </w:r>
        <w:r w:rsidR="00E35069">
          <w:rPr>
            <w:webHidden/>
          </w:rPr>
          <w:t>43</w:t>
        </w:r>
        <w:r w:rsidR="00E35069">
          <w:rPr>
            <w:webHidden/>
          </w:rPr>
          <w:fldChar w:fldCharType="end"/>
        </w:r>
      </w:hyperlink>
    </w:p>
    <w:p w14:paraId="723EA069" w14:textId="01B06992" w:rsidR="00E35069" w:rsidRDefault="00000000">
      <w:pPr>
        <w:pStyle w:val="TOC2"/>
        <w:rPr>
          <w:b w:val="0"/>
          <w:color w:val="auto"/>
          <w:kern w:val="2"/>
          <w:sz w:val="24"/>
          <w:szCs w:val="24"/>
          <w14:ligatures w14:val="standardContextual"/>
        </w:rPr>
      </w:pPr>
      <w:hyperlink w:anchor="_Toc173851129" w:history="1">
        <w:r w:rsidR="00E35069" w:rsidRPr="00C211A7">
          <w:rPr>
            <w:rStyle w:val="Hyperlink"/>
          </w:rPr>
          <w:t>Recommendation strength</w:t>
        </w:r>
        <w:r w:rsidR="00E35069">
          <w:rPr>
            <w:webHidden/>
          </w:rPr>
          <w:tab/>
        </w:r>
        <w:r w:rsidR="00E35069">
          <w:rPr>
            <w:webHidden/>
          </w:rPr>
          <w:fldChar w:fldCharType="begin"/>
        </w:r>
        <w:r w:rsidR="00E35069">
          <w:rPr>
            <w:webHidden/>
          </w:rPr>
          <w:instrText xml:space="preserve"> PAGEREF _Toc173851129 \h </w:instrText>
        </w:r>
        <w:r w:rsidR="00E35069">
          <w:rPr>
            <w:webHidden/>
          </w:rPr>
        </w:r>
        <w:r w:rsidR="00E35069">
          <w:rPr>
            <w:webHidden/>
          </w:rPr>
          <w:fldChar w:fldCharType="separate"/>
        </w:r>
        <w:r w:rsidR="00E35069">
          <w:rPr>
            <w:webHidden/>
          </w:rPr>
          <w:t>43</w:t>
        </w:r>
        <w:r w:rsidR="00E35069">
          <w:rPr>
            <w:webHidden/>
          </w:rPr>
          <w:fldChar w:fldCharType="end"/>
        </w:r>
      </w:hyperlink>
    </w:p>
    <w:p w14:paraId="679CC844" w14:textId="5A227D0B" w:rsidR="00E35069" w:rsidRDefault="00000000">
      <w:pPr>
        <w:pStyle w:val="TOC3"/>
        <w:rPr>
          <w:bCs w:val="0"/>
          <w:color w:val="auto"/>
          <w:kern w:val="2"/>
          <w:sz w:val="24"/>
          <w:szCs w:val="24"/>
          <w14:ligatures w14:val="standardContextual"/>
        </w:rPr>
      </w:pPr>
      <w:hyperlink w:anchor="_Toc173851130" w:history="1">
        <w:r w:rsidR="00E35069" w:rsidRPr="00C211A7">
          <w:rPr>
            <w:rStyle w:val="Hyperlink"/>
          </w:rPr>
          <w:t>Progress of recommendations</w:t>
        </w:r>
        <w:r w:rsidR="00E35069">
          <w:rPr>
            <w:webHidden/>
          </w:rPr>
          <w:tab/>
        </w:r>
        <w:r w:rsidR="00E35069">
          <w:rPr>
            <w:webHidden/>
          </w:rPr>
          <w:fldChar w:fldCharType="begin"/>
        </w:r>
        <w:r w:rsidR="00E35069">
          <w:rPr>
            <w:webHidden/>
          </w:rPr>
          <w:instrText xml:space="preserve"> PAGEREF _Toc173851130 \h </w:instrText>
        </w:r>
        <w:r w:rsidR="00E35069">
          <w:rPr>
            <w:webHidden/>
          </w:rPr>
        </w:r>
        <w:r w:rsidR="00E35069">
          <w:rPr>
            <w:webHidden/>
          </w:rPr>
          <w:fldChar w:fldCharType="separate"/>
        </w:r>
        <w:r w:rsidR="00E35069">
          <w:rPr>
            <w:webHidden/>
          </w:rPr>
          <w:t>44</w:t>
        </w:r>
        <w:r w:rsidR="00E35069">
          <w:rPr>
            <w:webHidden/>
          </w:rPr>
          <w:fldChar w:fldCharType="end"/>
        </w:r>
      </w:hyperlink>
    </w:p>
    <w:p w14:paraId="04BBB6BE" w14:textId="259B43B0" w:rsidR="00E35069" w:rsidRDefault="00000000">
      <w:pPr>
        <w:pStyle w:val="TOC1"/>
        <w:rPr>
          <w:b w:val="0"/>
          <w:kern w:val="2"/>
          <w:sz w:val="24"/>
          <w:szCs w:val="24"/>
          <w:lang w:eastAsia="en-AU"/>
          <w14:ligatures w14:val="standardContextual"/>
        </w:rPr>
      </w:pPr>
      <w:hyperlink w:anchor="_Toc173851131" w:history="1">
        <w:r w:rsidR="00E35069" w:rsidRPr="00C211A7">
          <w:rPr>
            <w:rStyle w:val="Hyperlink"/>
          </w:rPr>
          <w:t>Further reading and resources</w:t>
        </w:r>
        <w:r w:rsidR="00E35069">
          <w:rPr>
            <w:webHidden/>
          </w:rPr>
          <w:tab/>
        </w:r>
        <w:r w:rsidR="00E35069">
          <w:rPr>
            <w:webHidden/>
          </w:rPr>
          <w:fldChar w:fldCharType="begin"/>
        </w:r>
        <w:r w:rsidR="00E35069">
          <w:rPr>
            <w:webHidden/>
          </w:rPr>
          <w:instrText xml:space="preserve"> PAGEREF _Toc173851131 \h </w:instrText>
        </w:r>
        <w:r w:rsidR="00E35069">
          <w:rPr>
            <w:webHidden/>
          </w:rPr>
        </w:r>
        <w:r w:rsidR="00E35069">
          <w:rPr>
            <w:webHidden/>
          </w:rPr>
          <w:fldChar w:fldCharType="separate"/>
        </w:r>
        <w:r w:rsidR="00E35069">
          <w:rPr>
            <w:webHidden/>
          </w:rPr>
          <w:t>46</w:t>
        </w:r>
        <w:r w:rsidR="00E35069">
          <w:rPr>
            <w:webHidden/>
          </w:rPr>
          <w:fldChar w:fldCharType="end"/>
        </w:r>
      </w:hyperlink>
    </w:p>
    <w:p w14:paraId="305E48ED" w14:textId="637261D8" w:rsidR="00E35069" w:rsidRDefault="00000000">
      <w:pPr>
        <w:pStyle w:val="TOC2"/>
        <w:rPr>
          <w:b w:val="0"/>
          <w:color w:val="auto"/>
          <w:kern w:val="2"/>
          <w:sz w:val="24"/>
          <w:szCs w:val="24"/>
          <w14:ligatures w14:val="standardContextual"/>
        </w:rPr>
      </w:pPr>
      <w:hyperlink w:anchor="_Toc173851132" w:history="1">
        <w:r w:rsidR="00E35069" w:rsidRPr="00C211A7">
          <w:rPr>
            <w:rStyle w:val="Hyperlink"/>
          </w:rPr>
          <w:t>Resources for health services and leaders</w:t>
        </w:r>
        <w:r w:rsidR="00E35069">
          <w:rPr>
            <w:webHidden/>
          </w:rPr>
          <w:tab/>
        </w:r>
        <w:r w:rsidR="00E35069">
          <w:rPr>
            <w:webHidden/>
          </w:rPr>
          <w:fldChar w:fldCharType="begin"/>
        </w:r>
        <w:r w:rsidR="00E35069">
          <w:rPr>
            <w:webHidden/>
          </w:rPr>
          <w:instrText xml:space="preserve"> PAGEREF _Toc173851132 \h </w:instrText>
        </w:r>
        <w:r w:rsidR="00E35069">
          <w:rPr>
            <w:webHidden/>
          </w:rPr>
        </w:r>
        <w:r w:rsidR="00E35069">
          <w:rPr>
            <w:webHidden/>
          </w:rPr>
          <w:fldChar w:fldCharType="separate"/>
        </w:r>
        <w:r w:rsidR="00E35069">
          <w:rPr>
            <w:webHidden/>
          </w:rPr>
          <w:t>46</w:t>
        </w:r>
        <w:r w:rsidR="00E35069">
          <w:rPr>
            <w:webHidden/>
          </w:rPr>
          <w:fldChar w:fldCharType="end"/>
        </w:r>
      </w:hyperlink>
    </w:p>
    <w:p w14:paraId="2C2084E4" w14:textId="5E476A89" w:rsidR="00E35069" w:rsidRDefault="00000000">
      <w:pPr>
        <w:pStyle w:val="TOC2"/>
        <w:rPr>
          <w:b w:val="0"/>
          <w:color w:val="auto"/>
          <w:kern w:val="2"/>
          <w:sz w:val="24"/>
          <w:szCs w:val="24"/>
          <w14:ligatures w14:val="standardContextual"/>
        </w:rPr>
      </w:pPr>
      <w:hyperlink w:anchor="_Toc173851133" w:history="1">
        <w:r w:rsidR="00E35069" w:rsidRPr="00C211A7">
          <w:rPr>
            <w:rStyle w:val="Hyperlink"/>
          </w:rPr>
          <w:t>Resources for patients, families and carers</w:t>
        </w:r>
        <w:r w:rsidR="00E35069">
          <w:rPr>
            <w:webHidden/>
          </w:rPr>
          <w:tab/>
        </w:r>
        <w:r w:rsidR="00E35069">
          <w:rPr>
            <w:webHidden/>
          </w:rPr>
          <w:fldChar w:fldCharType="begin"/>
        </w:r>
        <w:r w:rsidR="00E35069">
          <w:rPr>
            <w:webHidden/>
          </w:rPr>
          <w:instrText xml:space="preserve"> PAGEREF _Toc173851133 \h </w:instrText>
        </w:r>
        <w:r w:rsidR="00E35069">
          <w:rPr>
            <w:webHidden/>
          </w:rPr>
        </w:r>
        <w:r w:rsidR="00E35069">
          <w:rPr>
            <w:webHidden/>
          </w:rPr>
          <w:fldChar w:fldCharType="separate"/>
        </w:r>
        <w:r w:rsidR="00E35069">
          <w:rPr>
            <w:webHidden/>
          </w:rPr>
          <w:t>47</w:t>
        </w:r>
        <w:r w:rsidR="00E35069">
          <w:rPr>
            <w:webHidden/>
          </w:rPr>
          <w:fldChar w:fldCharType="end"/>
        </w:r>
      </w:hyperlink>
    </w:p>
    <w:p w14:paraId="7696DBAB" w14:textId="507DEF86" w:rsidR="00E35069" w:rsidRDefault="00000000">
      <w:pPr>
        <w:pStyle w:val="TOC1"/>
        <w:rPr>
          <w:b w:val="0"/>
          <w:kern w:val="2"/>
          <w:sz w:val="24"/>
          <w:szCs w:val="24"/>
          <w:lang w:eastAsia="en-AU"/>
          <w14:ligatures w14:val="standardContextual"/>
        </w:rPr>
      </w:pPr>
      <w:hyperlink w:anchor="_Toc173851134" w:history="1">
        <w:r w:rsidR="00E35069" w:rsidRPr="00C211A7">
          <w:rPr>
            <w:rStyle w:val="Hyperlink"/>
          </w:rPr>
          <w:t>Glossary</w:t>
        </w:r>
        <w:r w:rsidR="00E35069">
          <w:rPr>
            <w:webHidden/>
          </w:rPr>
          <w:tab/>
        </w:r>
        <w:r w:rsidR="00E35069">
          <w:rPr>
            <w:webHidden/>
          </w:rPr>
          <w:fldChar w:fldCharType="begin"/>
        </w:r>
        <w:r w:rsidR="00E35069">
          <w:rPr>
            <w:webHidden/>
          </w:rPr>
          <w:instrText xml:space="preserve"> PAGEREF _Toc173851134 \h </w:instrText>
        </w:r>
        <w:r w:rsidR="00E35069">
          <w:rPr>
            <w:webHidden/>
          </w:rPr>
        </w:r>
        <w:r w:rsidR="00E35069">
          <w:rPr>
            <w:webHidden/>
          </w:rPr>
          <w:fldChar w:fldCharType="separate"/>
        </w:r>
        <w:r w:rsidR="00E35069">
          <w:rPr>
            <w:webHidden/>
          </w:rPr>
          <w:t>48</w:t>
        </w:r>
        <w:r w:rsidR="00E35069">
          <w:rPr>
            <w:webHidden/>
          </w:rPr>
          <w:fldChar w:fldCharType="end"/>
        </w:r>
      </w:hyperlink>
    </w:p>
    <w:p w14:paraId="14761BD8" w14:textId="639C3777" w:rsidR="00E35069" w:rsidRDefault="00000000">
      <w:pPr>
        <w:pStyle w:val="TOC1"/>
        <w:rPr>
          <w:b w:val="0"/>
          <w:kern w:val="2"/>
          <w:sz w:val="24"/>
          <w:szCs w:val="24"/>
          <w:lang w:eastAsia="en-AU"/>
          <w14:ligatures w14:val="standardContextual"/>
        </w:rPr>
      </w:pPr>
      <w:hyperlink w:anchor="_Toc173851135" w:history="1">
        <w:r w:rsidR="00E35069" w:rsidRPr="00C211A7">
          <w:rPr>
            <w:rStyle w:val="Hyperlink"/>
          </w:rPr>
          <w:t>Data supplement</w:t>
        </w:r>
        <w:r w:rsidR="00E35069">
          <w:rPr>
            <w:webHidden/>
          </w:rPr>
          <w:tab/>
        </w:r>
        <w:r w:rsidR="00E35069">
          <w:rPr>
            <w:webHidden/>
          </w:rPr>
          <w:fldChar w:fldCharType="begin"/>
        </w:r>
        <w:r w:rsidR="00E35069">
          <w:rPr>
            <w:webHidden/>
          </w:rPr>
          <w:instrText xml:space="preserve"> PAGEREF _Toc173851135 \h </w:instrText>
        </w:r>
        <w:r w:rsidR="00E35069">
          <w:rPr>
            <w:webHidden/>
          </w:rPr>
        </w:r>
        <w:r w:rsidR="00E35069">
          <w:rPr>
            <w:webHidden/>
          </w:rPr>
          <w:fldChar w:fldCharType="separate"/>
        </w:r>
        <w:r w:rsidR="00E35069">
          <w:rPr>
            <w:webHidden/>
          </w:rPr>
          <w:t>51</w:t>
        </w:r>
        <w:r w:rsidR="00E35069">
          <w:rPr>
            <w:webHidden/>
          </w:rPr>
          <w:fldChar w:fldCharType="end"/>
        </w:r>
      </w:hyperlink>
    </w:p>
    <w:p w14:paraId="1216F687" w14:textId="19BE7AFD" w:rsidR="00E35069" w:rsidRDefault="00000000">
      <w:pPr>
        <w:pStyle w:val="TOC2"/>
        <w:rPr>
          <w:b w:val="0"/>
          <w:color w:val="auto"/>
          <w:kern w:val="2"/>
          <w:sz w:val="24"/>
          <w:szCs w:val="24"/>
          <w14:ligatures w14:val="standardContextual"/>
        </w:rPr>
      </w:pPr>
      <w:hyperlink w:anchor="_Toc173851136" w:history="1">
        <w:r w:rsidR="00E35069" w:rsidRPr="00C211A7">
          <w:rPr>
            <w:rStyle w:val="Hyperlink"/>
          </w:rPr>
          <w:t>Sentinel events reporting by category and subcategory</w:t>
        </w:r>
        <w:r w:rsidR="00E35069">
          <w:rPr>
            <w:webHidden/>
          </w:rPr>
          <w:tab/>
        </w:r>
        <w:r w:rsidR="00E35069">
          <w:rPr>
            <w:webHidden/>
          </w:rPr>
          <w:fldChar w:fldCharType="begin"/>
        </w:r>
        <w:r w:rsidR="00E35069">
          <w:rPr>
            <w:webHidden/>
          </w:rPr>
          <w:instrText xml:space="preserve"> PAGEREF _Toc173851136 \h </w:instrText>
        </w:r>
        <w:r w:rsidR="00E35069">
          <w:rPr>
            <w:webHidden/>
          </w:rPr>
        </w:r>
        <w:r w:rsidR="00E35069">
          <w:rPr>
            <w:webHidden/>
          </w:rPr>
          <w:fldChar w:fldCharType="separate"/>
        </w:r>
        <w:r w:rsidR="00E35069">
          <w:rPr>
            <w:webHidden/>
          </w:rPr>
          <w:t>51</w:t>
        </w:r>
        <w:r w:rsidR="00E35069">
          <w:rPr>
            <w:webHidden/>
          </w:rPr>
          <w:fldChar w:fldCharType="end"/>
        </w:r>
      </w:hyperlink>
    </w:p>
    <w:p w14:paraId="15FC5058" w14:textId="137CD648" w:rsidR="00E35069" w:rsidRDefault="00000000">
      <w:pPr>
        <w:pStyle w:val="TOC3"/>
        <w:rPr>
          <w:bCs w:val="0"/>
          <w:color w:val="auto"/>
          <w:kern w:val="2"/>
          <w:sz w:val="24"/>
          <w:szCs w:val="24"/>
          <w14:ligatures w14:val="standardContextual"/>
        </w:rPr>
      </w:pPr>
      <w:hyperlink w:anchor="_Toc173851137" w:history="1">
        <w:r w:rsidR="00E35069" w:rsidRPr="00C211A7">
          <w:rPr>
            <w:rStyle w:val="Hyperlink"/>
          </w:rPr>
          <w:t>Patient outcome</w:t>
        </w:r>
        <w:r w:rsidR="00E35069">
          <w:rPr>
            <w:webHidden/>
          </w:rPr>
          <w:tab/>
        </w:r>
        <w:r w:rsidR="00E35069">
          <w:rPr>
            <w:webHidden/>
          </w:rPr>
          <w:fldChar w:fldCharType="begin"/>
        </w:r>
        <w:r w:rsidR="00E35069">
          <w:rPr>
            <w:webHidden/>
          </w:rPr>
          <w:instrText xml:space="preserve"> PAGEREF _Toc173851137 \h </w:instrText>
        </w:r>
        <w:r w:rsidR="00E35069">
          <w:rPr>
            <w:webHidden/>
          </w:rPr>
        </w:r>
        <w:r w:rsidR="00E35069">
          <w:rPr>
            <w:webHidden/>
          </w:rPr>
          <w:fldChar w:fldCharType="separate"/>
        </w:r>
        <w:r w:rsidR="00E35069">
          <w:rPr>
            <w:webHidden/>
          </w:rPr>
          <w:t>52</w:t>
        </w:r>
        <w:r w:rsidR="00E35069">
          <w:rPr>
            <w:webHidden/>
          </w:rPr>
          <w:fldChar w:fldCharType="end"/>
        </w:r>
      </w:hyperlink>
    </w:p>
    <w:p w14:paraId="0BA2F565" w14:textId="55031060" w:rsidR="00E35069" w:rsidRDefault="00000000">
      <w:pPr>
        <w:pStyle w:val="TOC3"/>
        <w:rPr>
          <w:bCs w:val="0"/>
          <w:color w:val="auto"/>
          <w:kern w:val="2"/>
          <w:sz w:val="24"/>
          <w:szCs w:val="24"/>
          <w14:ligatures w14:val="standardContextual"/>
        </w:rPr>
      </w:pPr>
      <w:hyperlink w:anchor="_Toc173851138" w:history="1">
        <w:r w:rsidR="00E35069" w:rsidRPr="00C211A7">
          <w:rPr>
            <w:rStyle w:val="Hyperlink"/>
          </w:rPr>
          <w:t>Age of affected patient</w:t>
        </w:r>
        <w:r w:rsidR="00E35069">
          <w:rPr>
            <w:webHidden/>
          </w:rPr>
          <w:tab/>
        </w:r>
        <w:r w:rsidR="00E35069">
          <w:rPr>
            <w:webHidden/>
          </w:rPr>
          <w:fldChar w:fldCharType="begin"/>
        </w:r>
        <w:r w:rsidR="00E35069">
          <w:rPr>
            <w:webHidden/>
          </w:rPr>
          <w:instrText xml:space="preserve"> PAGEREF _Toc173851138 \h </w:instrText>
        </w:r>
        <w:r w:rsidR="00E35069">
          <w:rPr>
            <w:webHidden/>
          </w:rPr>
        </w:r>
        <w:r w:rsidR="00E35069">
          <w:rPr>
            <w:webHidden/>
          </w:rPr>
          <w:fldChar w:fldCharType="separate"/>
        </w:r>
        <w:r w:rsidR="00E35069">
          <w:rPr>
            <w:webHidden/>
          </w:rPr>
          <w:t>53</w:t>
        </w:r>
        <w:r w:rsidR="00E35069">
          <w:rPr>
            <w:webHidden/>
          </w:rPr>
          <w:fldChar w:fldCharType="end"/>
        </w:r>
      </w:hyperlink>
    </w:p>
    <w:p w14:paraId="05ACEABA" w14:textId="239E8B28" w:rsidR="00E35069" w:rsidRDefault="00000000">
      <w:pPr>
        <w:pStyle w:val="TOC3"/>
        <w:rPr>
          <w:bCs w:val="0"/>
          <w:color w:val="auto"/>
          <w:kern w:val="2"/>
          <w:sz w:val="24"/>
          <w:szCs w:val="24"/>
          <w14:ligatures w14:val="standardContextual"/>
        </w:rPr>
      </w:pPr>
      <w:hyperlink w:anchor="_Toc173851139" w:history="1">
        <w:r w:rsidR="00E35069" w:rsidRPr="00C211A7">
          <w:rPr>
            <w:rStyle w:val="Hyperlink"/>
          </w:rPr>
          <w:t>Admitting speciality for patients affected by a sentinel event</w:t>
        </w:r>
        <w:r w:rsidR="00E35069">
          <w:rPr>
            <w:webHidden/>
          </w:rPr>
          <w:tab/>
        </w:r>
        <w:r w:rsidR="00E35069">
          <w:rPr>
            <w:webHidden/>
          </w:rPr>
          <w:fldChar w:fldCharType="begin"/>
        </w:r>
        <w:r w:rsidR="00E35069">
          <w:rPr>
            <w:webHidden/>
          </w:rPr>
          <w:instrText xml:space="preserve"> PAGEREF _Toc173851139 \h </w:instrText>
        </w:r>
        <w:r w:rsidR="00E35069">
          <w:rPr>
            <w:webHidden/>
          </w:rPr>
        </w:r>
        <w:r w:rsidR="00E35069">
          <w:rPr>
            <w:webHidden/>
          </w:rPr>
          <w:fldChar w:fldCharType="separate"/>
        </w:r>
        <w:r w:rsidR="00E35069">
          <w:rPr>
            <w:webHidden/>
          </w:rPr>
          <w:t>54</w:t>
        </w:r>
        <w:r w:rsidR="00E35069">
          <w:rPr>
            <w:webHidden/>
          </w:rPr>
          <w:fldChar w:fldCharType="end"/>
        </w:r>
      </w:hyperlink>
    </w:p>
    <w:p w14:paraId="55B59C8A" w14:textId="08ED03B5" w:rsidR="00E35069" w:rsidRDefault="00000000">
      <w:pPr>
        <w:pStyle w:val="TOC3"/>
        <w:rPr>
          <w:bCs w:val="0"/>
          <w:color w:val="auto"/>
          <w:kern w:val="2"/>
          <w:sz w:val="24"/>
          <w:szCs w:val="24"/>
          <w14:ligatures w14:val="standardContextual"/>
        </w:rPr>
      </w:pPr>
      <w:hyperlink w:anchor="_Toc173851140" w:history="1">
        <w:r w:rsidR="00E35069" w:rsidRPr="00C211A7">
          <w:rPr>
            <w:rStyle w:val="Hyperlink"/>
          </w:rPr>
          <w:t>Sentinel event peer group and location</w:t>
        </w:r>
        <w:r w:rsidR="00E35069">
          <w:rPr>
            <w:webHidden/>
          </w:rPr>
          <w:tab/>
        </w:r>
        <w:r w:rsidR="00E35069">
          <w:rPr>
            <w:webHidden/>
          </w:rPr>
          <w:fldChar w:fldCharType="begin"/>
        </w:r>
        <w:r w:rsidR="00E35069">
          <w:rPr>
            <w:webHidden/>
          </w:rPr>
          <w:instrText xml:space="preserve"> PAGEREF _Toc173851140 \h </w:instrText>
        </w:r>
        <w:r w:rsidR="00E35069">
          <w:rPr>
            <w:webHidden/>
          </w:rPr>
        </w:r>
        <w:r w:rsidR="00E35069">
          <w:rPr>
            <w:webHidden/>
          </w:rPr>
          <w:fldChar w:fldCharType="separate"/>
        </w:r>
        <w:r w:rsidR="00E35069">
          <w:rPr>
            <w:webHidden/>
          </w:rPr>
          <w:t>55</w:t>
        </w:r>
        <w:r w:rsidR="00E35069">
          <w:rPr>
            <w:webHidden/>
          </w:rPr>
          <w:fldChar w:fldCharType="end"/>
        </w:r>
      </w:hyperlink>
    </w:p>
    <w:p w14:paraId="3343321A" w14:textId="05194C4D" w:rsidR="00E35069" w:rsidRDefault="00000000">
      <w:pPr>
        <w:pStyle w:val="TOC3"/>
        <w:rPr>
          <w:bCs w:val="0"/>
          <w:color w:val="auto"/>
          <w:kern w:val="2"/>
          <w:sz w:val="24"/>
          <w:szCs w:val="24"/>
          <w14:ligatures w14:val="standardContextual"/>
        </w:rPr>
      </w:pPr>
      <w:hyperlink w:anchor="_Toc173851141" w:history="1">
        <w:r w:rsidR="00E35069" w:rsidRPr="00C211A7">
          <w:rPr>
            <w:rStyle w:val="Hyperlink"/>
          </w:rPr>
          <w:t>Time to notify sentinel events</w:t>
        </w:r>
        <w:r w:rsidR="00E35069">
          <w:rPr>
            <w:webHidden/>
          </w:rPr>
          <w:tab/>
        </w:r>
        <w:r w:rsidR="00E35069">
          <w:rPr>
            <w:webHidden/>
          </w:rPr>
          <w:fldChar w:fldCharType="begin"/>
        </w:r>
        <w:r w:rsidR="00E35069">
          <w:rPr>
            <w:webHidden/>
          </w:rPr>
          <w:instrText xml:space="preserve"> PAGEREF _Toc173851141 \h </w:instrText>
        </w:r>
        <w:r w:rsidR="00E35069">
          <w:rPr>
            <w:webHidden/>
          </w:rPr>
        </w:r>
        <w:r w:rsidR="00E35069">
          <w:rPr>
            <w:webHidden/>
          </w:rPr>
          <w:fldChar w:fldCharType="separate"/>
        </w:r>
        <w:r w:rsidR="00E35069">
          <w:rPr>
            <w:webHidden/>
          </w:rPr>
          <w:t>57</w:t>
        </w:r>
        <w:r w:rsidR="00E35069">
          <w:rPr>
            <w:webHidden/>
          </w:rPr>
          <w:fldChar w:fldCharType="end"/>
        </w:r>
      </w:hyperlink>
    </w:p>
    <w:p w14:paraId="33E5CC5D" w14:textId="46BCB299" w:rsidR="00E35069" w:rsidRDefault="00000000">
      <w:pPr>
        <w:pStyle w:val="TOC3"/>
        <w:rPr>
          <w:bCs w:val="0"/>
          <w:color w:val="auto"/>
          <w:kern w:val="2"/>
          <w:sz w:val="24"/>
          <w:szCs w:val="24"/>
          <w14:ligatures w14:val="standardContextual"/>
        </w:rPr>
      </w:pPr>
      <w:hyperlink w:anchor="_Toc173851142" w:history="1">
        <w:r w:rsidR="00E35069" w:rsidRPr="00C211A7">
          <w:rPr>
            <w:rStyle w:val="Hyperlink"/>
          </w:rPr>
          <w:t>Time to review sentinel events</w:t>
        </w:r>
        <w:r w:rsidR="00E35069">
          <w:rPr>
            <w:webHidden/>
          </w:rPr>
          <w:tab/>
        </w:r>
        <w:r w:rsidR="00E35069">
          <w:rPr>
            <w:webHidden/>
          </w:rPr>
          <w:fldChar w:fldCharType="begin"/>
        </w:r>
        <w:r w:rsidR="00E35069">
          <w:rPr>
            <w:webHidden/>
          </w:rPr>
          <w:instrText xml:space="preserve"> PAGEREF _Toc173851142 \h </w:instrText>
        </w:r>
        <w:r w:rsidR="00E35069">
          <w:rPr>
            <w:webHidden/>
          </w:rPr>
        </w:r>
        <w:r w:rsidR="00E35069">
          <w:rPr>
            <w:webHidden/>
          </w:rPr>
          <w:fldChar w:fldCharType="separate"/>
        </w:r>
        <w:r w:rsidR="00E35069">
          <w:rPr>
            <w:webHidden/>
          </w:rPr>
          <w:t>57</w:t>
        </w:r>
        <w:r w:rsidR="00E35069">
          <w:rPr>
            <w:webHidden/>
          </w:rPr>
          <w:fldChar w:fldCharType="end"/>
        </w:r>
      </w:hyperlink>
    </w:p>
    <w:p w14:paraId="11DDD91D" w14:textId="79613ABB" w:rsidR="00E35069" w:rsidRDefault="00000000">
      <w:pPr>
        <w:pStyle w:val="TOC1"/>
        <w:rPr>
          <w:b w:val="0"/>
          <w:kern w:val="2"/>
          <w:sz w:val="24"/>
          <w:szCs w:val="24"/>
          <w:lang w:eastAsia="en-AU"/>
          <w14:ligatures w14:val="standardContextual"/>
        </w:rPr>
      </w:pPr>
      <w:hyperlink w:anchor="_Toc173851143" w:history="1">
        <w:r w:rsidR="00E35069" w:rsidRPr="00C211A7">
          <w:rPr>
            <w:rStyle w:val="Hyperlink"/>
          </w:rPr>
          <w:t>Appendix 1: Guide to strength of recommendations</w:t>
        </w:r>
        <w:r w:rsidR="00E35069">
          <w:rPr>
            <w:webHidden/>
          </w:rPr>
          <w:tab/>
        </w:r>
        <w:r w:rsidR="00E35069">
          <w:rPr>
            <w:webHidden/>
          </w:rPr>
          <w:fldChar w:fldCharType="begin"/>
        </w:r>
        <w:r w:rsidR="00E35069">
          <w:rPr>
            <w:webHidden/>
          </w:rPr>
          <w:instrText xml:space="preserve"> PAGEREF _Toc173851143 \h </w:instrText>
        </w:r>
        <w:r w:rsidR="00E35069">
          <w:rPr>
            <w:webHidden/>
          </w:rPr>
        </w:r>
        <w:r w:rsidR="00E35069">
          <w:rPr>
            <w:webHidden/>
          </w:rPr>
          <w:fldChar w:fldCharType="separate"/>
        </w:r>
        <w:r w:rsidR="00E35069">
          <w:rPr>
            <w:webHidden/>
          </w:rPr>
          <w:t>59</w:t>
        </w:r>
        <w:r w:rsidR="00E35069">
          <w:rPr>
            <w:webHidden/>
          </w:rPr>
          <w:fldChar w:fldCharType="end"/>
        </w:r>
      </w:hyperlink>
    </w:p>
    <w:p w14:paraId="545F9B24" w14:textId="06DEF266" w:rsidR="005318B6" w:rsidRDefault="007753EA" w:rsidP="00C96A69">
      <w:pPr>
        <w:pStyle w:val="SCVbody"/>
      </w:pPr>
      <w:r>
        <w:rPr>
          <w:b/>
          <w:bCs/>
          <w:noProof/>
          <w:color w:val="000000" w:themeColor="text1"/>
          <w:lang w:eastAsia="en-US"/>
        </w:rPr>
        <w:fldChar w:fldCharType="end"/>
      </w:r>
      <w:r w:rsidR="005318B6">
        <w:br w:type="page"/>
      </w:r>
    </w:p>
    <w:p w14:paraId="4D8C9D76" w14:textId="406DEE66" w:rsidR="00152EC1" w:rsidRDefault="00152EC1" w:rsidP="005318B6">
      <w:pPr>
        <w:pStyle w:val="Heading1"/>
      </w:pPr>
      <w:bookmarkStart w:id="4" w:name="_Toc173851102"/>
      <w:r>
        <w:lastRenderedPageBreak/>
        <w:t>Introduction</w:t>
      </w:r>
      <w:bookmarkEnd w:id="4"/>
      <w:r>
        <w:t xml:space="preserve"> </w:t>
      </w:r>
    </w:p>
    <w:p w14:paraId="26818618" w14:textId="77777777" w:rsidR="00152EC1" w:rsidRDefault="00152EC1" w:rsidP="005318B6">
      <w:pPr>
        <w:pStyle w:val="SCVintroductorytext"/>
      </w:pPr>
      <w:r>
        <w:t xml:space="preserve">This report provides an overview of the trends that we have identified through the sentinel event notification process across the 2022–2023 financial year. The purpose of this report is to drive improvement in the safety of Victorian healthcare. We want health services to understand the factors that are leading to patient harm and provide them with the tools and solutions to reduce the risk of recurrence. </w:t>
      </w:r>
    </w:p>
    <w:p w14:paraId="52021278" w14:textId="77777777" w:rsidR="00152EC1" w:rsidRDefault="00152EC1" w:rsidP="00C96A69">
      <w:pPr>
        <w:pStyle w:val="SCVbody"/>
      </w:pPr>
      <w:r>
        <w:t xml:space="preserve">This year’s report contains sections relating to three specific sentinel event themes: </w:t>
      </w:r>
    </w:p>
    <w:p w14:paraId="348B77EF" w14:textId="77777777" w:rsidR="00152EC1" w:rsidRDefault="00152EC1" w:rsidP="005318B6">
      <w:pPr>
        <w:pStyle w:val="SCVbullet1"/>
      </w:pPr>
      <w:r>
        <w:t xml:space="preserve">paediatric sentinel events </w:t>
      </w:r>
    </w:p>
    <w:p w14:paraId="6584ECB4" w14:textId="77777777" w:rsidR="00152EC1" w:rsidRDefault="00152EC1" w:rsidP="005318B6">
      <w:pPr>
        <w:pStyle w:val="SCVbullet1"/>
      </w:pPr>
      <w:r>
        <w:t xml:space="preserve">medication safety-related events </w:t>
      </w:r>
    </w:p>
    <w:p w14:paraId="3779B046" w14:textId="77777777" w:rsidR="00152EC1" w:rsidRDefault="00152EC1" w:rsidP="005318B6">
      <w:pPr>
        <w:pStyle w:val="SCVbullet1"/>
      </w:pPr>
      <w:r>
        <w:t xml:space="preserve">perioperative events. </w:t>
      </w:r>
    </w:p>
    <w:p w14:paraId="526C4312" w14:textId="77777777" w:rsidR="00152EC1" w:rsidRDefault="00152EC1" w:rsidP="00C96A69">
      <w:pPr>
        <w:pStyle w:val="SCVbody"/>
      </w:pPr>
      <w:r>
        <w:t xml:space="preserve">This report also covers topics related to the review of sentinel events: </w:t>
      </w:r>
    </w:p>
    <w:p w14:paraId="1E55FAFC" w14:textId="77777777" w:rsidR="00152EC1" w:rsidRDefault="00152EC1" w:rsidP="005318B6">
      <w:pPr>
        <w:pStyle w:val="SCVbullet1"/>
      </w:pPr>
      <w:r>
        <w:t xml:space="preserve">engaging with patients, families, and carers </w:t>
      </w:r>
    </w:p>
    <w:p w14:paraId="638A492C" w14:textId="77777777" w:rsidR="00152EC1" w:rsidRDefault="00152EC1" w:rsidP="005318B6">
      <w:pPr>
        <w:pStyle w:val="SCVbullet1"/>
      </w:pPr>
      <w:r>
        <w:t xml:space="preserve">Statutory Duty of Candour </w:t>
      </w:r>
    </w:p>
    <w:p w14:paraId="4B25FC98" w14:textId="77777777" w:rsidR="00152EC1" w:rsidRDefault="00152EC1" w:rsidP="005318B6">
      <w:pPr>
        <w:pStyle w:val="SCVbullet1"/>
      </w:pPr>
      <w:r>
        <w:t xml:space="preserve">recommendations from event reviews. </w:t>
      </w:r>
    </w:p>
    <w:p w14:paraId="0B58245F" w14:textId="77777777" w:rsidR="00152EC1" w:rsidRDefault="00152EC1" w:rsidP="00C96A69">
      <w:pPr>
        <w:pStyle w:val="SCVbody"/>
      </w:pPr>
      <w:r>
        <w:t xml:space="preserve">This report contains a high-level summary of key insights from real events, including lessons learnt, and service level and system-wide improvements that are being actioned, which health services may be able to learn from. </w:t>
      </w:r>
    </w:p>
    <w:p w14:paraId="4F77F91F" w14:textId="77777777" w:rsidR="00152EC1" w:rsidRDefault="00152EC1" w:rsidP="00C96A69">
      <w:pPr>
        <w:pStyle w:val="SCVbody"/>
      </w:pPr>
      <w:r>
        <w:t xml:space="preserve">We want this report to be accessible and relevant to consumers and health services. To make this easier, some of the key things contained in the report include: </w:t>
      </w:r>
    </w:p>
    <w:p w14:paraId="489D0556" w14:textId="77777777" w:rsidR="00152EC1" w:rsidRDefault="00152EC1" w:rsidP="005318B6">
      <w:pPr>
        <w:pStyle w:val="SCVbullet1"/>
      </w:pPr>
      <w:r>
        <w:t xml:space="preserve">actions that health services may wish to take in response to the information provided </w:t>
      </w:r>
    </w:p>
    <w:p w14:paraId="4AE27D5F" w14:textId="77777777" w:rsidR="00152EC1" w:rsidRDefault="00152EC1" w:rsidP="005318B6">
      <w:pPr>
        <w:pStyle w:val="SCVbullet1"/>
      </w:pPr>
      <w:r>
        <w:t xml:space="preserve">actions that consumers may wish to take </w:t>
      </w:r>
    </w:p>
    <w:p w14:paraId="6DF08A23" w14:textId="77777777" w:rsidR="00152EC1" w:rsidRDefault="00152EC1" w:rsidP="005318B6">
      <w:pPr>
        <w:pStyle w:val="SCVbullet1"/>
      </w:pPr>
      <w:r>
        <w:t xml:space="preserve">links to further resources and a resources list at the end of the report, to help drive awareness of our Sentinel Events Program </w:t>
      </w:r>
    </w:p>
    <w:p w14:paraId="3FF05EBF" w14:textId="77777777" w:rsidR="00152EC1" w:rsidRDefault="00152EC1" w:rsidP="005318B6">
      <w:pPr>
        <w:pStyle w:val="SCVbullet1"/>
      </w:pPr>
      <w:r>
        <w:t xml:space="preserve">areas of significant health service improvement </w:t>
      </w:r>
    </w:p>
    <w:p w14:paraId="036F8CF2" w14:textId="77777777" w:rsidR="00152EC1" w:rsidRDefault="00152EC1" w:rsidP="005318B6">
      <w:pPr>
        <w:pStyle w:val="SCVbullet1"/>
      </w:pPr>
      <w:r>
        <w:t xml:space="preserve">a glossary at the end of the report. </w:t>
      </w:r>
    </w:p>
    <w:p w14:paraId="697EE54C" w14:textId="795E73C1" w:rsidR="00152EC1" w:rsidRDefault="00152EC1" w:rsidP="00C96A69">
      <w:pPr>
        <w:pStyle w:val="SCVbody"/>
      </w:pPr>
      <w:r>
        <w:t>Throughout this report, names and clinical details have been changed to protect patient privacy. The data presented is primarily descriptive. Data has been rounded to the nearest percentage and where multiple categories are displayed in infographics data may be cut of at 80% of responses to make it clearer.</w:t>
      </w:r>
      <w:r w:rsidR="00FB5F78">
        <w:t xml:space="preserve"> </w:t>
      </w:r>
    </w:p>
    <w:tbl>
      <w:tblPr>
        <w:tblStyle w:val="SCVpulloutbox"/>
        <w:tblW w:w="0" w:type="auto"/>
        <w:tblLook w:val="0600" w:firstRow="0" w:lastRow="0" w:firstColumn="0" w:lastColumn="0" w:noHBand="1" w:noVBand="1"/>
      </w:tblPr>
      <w:tblGrid>
        <w:gridCol w:w="10204"/>
      </w:tblGrid>
      <w:tr w:rsidR="005318B6" w14:paraId="1D2A297B" w14:textId="77777777" w:rsidTr="009C7708">
        <w:tc>
          <w:tcPr>
            <w:tcW w:w="10204" w:type="dxa"/>
          </w:tcPr>
          <w:p w14:paraId="0FC71563" w14:textId="77777777" w:rsidR="00B566A0" w:rsidRDefault="00B566A0" w:rsidP="000F68D9">
            <w:pPr>
              <w:pStyle w:val="SCVboxheading"/>
            </w:pPr>
            <w:r>
              <w:lastRenderedPageBreak/>
              <w:t xml:space="preserve">FEEDBACK AND FUTURE REPORTS </w:t>
            </w:r>
          </w:p>
          <w:p w14:paraId="638C3FDE" w14:textId="77777777" w:rsidR="00B566A0" w:rsidRPr="009C7708" w:rsidRDefault="00B566A0" w:rsidP="005F474C">
            <w:pPr>
              <w:pStyle w:val="Heading4"/>
            </w:pPr>
            <w:r w:rsidRPr="009C7708">
              <w:t xml:space="preserve">How did we do? </w:t>
            </w:r>
          </w:p>
          <w:p w14:paraId="167B1DBD" w14:textId="72F5C782" w:rsidR="00B566A0" w:rsidRPr="009C7708" w:rsidRDefault="00B566A0" w:rsidP="009C7708">
            <w:pPr>
              <w:pStyle w:val="SCVbody"/>
            </w:pPr>
            <w:r w:rsidRPr="009C7708">
              <w:t xml:space="preserve">When you have finished reading this report, we would value your feedback. Please </w:t>
            </w:r>
            <w:hyperlink r:id="rId25" w:history="1">
              <w:r w:rsidRPr="0071451B">
                <w:rPr>
                  <w:rStyle w:val="Hyperlink"/>
                </w:rPr>
                <w:t>complete our quick online survey</w:t>
              </w:r>
            </w:hyperlink>
            <w:r w:rsidRPr="009C7708">
              <w:t xml:space="preserve"> &lt;https://tinyurl.com/SCVreports&gt; or use the QR code below to access it. </w:t>
            </w:r>
          </w:p>
          <w:p w14:paraId="0C309954" w14:textId="77777777" w:rsidR="00B566A0" w:rsidRPr="009C7708" w:rsidRDefault="00B566A0" w:rsidP="009C7708">
            <w:pPr>
              <w:pStyle w:val="SCVbody"/>
            </w:pPr>
            <w:r w:rsidRPr="009C7708">
              <w:rPr>
                <w:noProof/>
              </w:rPr>
              <w:drawing>
                <wp:inline distT="0" distB="0" distL="0" distR="0" wp14:anchorId="6156FADC" wp14:editId="7B4FD28A">
                  <wp:extent cx="1356360" cy="1373584"/>
                  <wp:effectExtent l="0" t="0" r="0" b="0"/>
                  <wp:docPr id="1313370581" name="Picture 10"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70581" name="Picture 10" descr="QR cod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8284" cy="1375532"/>
                          </a:xfrm>
                          <a:prstGeom prst="rect">
                            <a:avLst/>
                          </a:prstGeom>
                          <a:noFill/>
                          <a:ln>
                            <a:noFill/>
                          </a:ln>
                        </pic:spPr>
                      </pic:pic>
                    </a:graphicData>
                  </a:graphic>
                </wp:inline>
              </w:drawing>
            </w:r>
          </w:p>
          <w:p w14:paraId="3F76F1CC" w14:textId="77777777" w:rsidR="00B566A0" w:rsidRPr="009C7708" w:rsidRDefault="00B566A0" w:rsidP="005F474C">
            <w:pPr>
              <w:pStyle w:val="Heading4"/>
            </w:pPr>
            <w:r w:rsidRPr="009C7708">
              <w:t xml:space="preserve">Do you have a consumer or health service story to share? </w:t>
            </w:r>
          </w:p>
          <w:p w14:paraId="54E981EC" w14:textId="08435A32" w:rsidR="005318B6" w:rsidRDefault="00B566A0" w:rsidP="009C7708">
            <w:pPr>
              <w:pStyle w:val="SCVbody"/>
            </w:pPr>
            <w:r w:rsidRPr="009C7708">
              <w:t xml:space="preserve">If you would like to be involved in the development of future reports and share your story, please provide your contact details at the end of the survey or </w:t>
            </w:r>
            <w:hyperlink r:id="rId27" w:history="1">
              <w:r w:rsidRPr="001D6275">
                <w:rPr>
                  <w:rStyle w:val="Hyperlink"/>
                </w:rPr>
                <w:t>email SCV</w:t>
              </w:r>
            </w:hyperlink>
            <w:r w:rsidRPr="009C7708">
              <w:t xml:space="preserve"> &lt;sentinel.events@safercare.vic.gov.au&gt;.</w:t>
            </w:r>
            <w:r>
              <w:t xml:space="preserve"> </w:t>
            </w:r>
          </w:p>
        </w:tc>
      </w:tr>
    </w:tbl>
    <w:p w14:paraId="19DC3176" w14:textId="717867F9" w:rsidR="00152EC1" w:rsidRDefault="00202D14" w:rsidP="00B566A0">
      <w:pPr>
        <w:pStyle w:val="Heading2"/>
      </w:pPr>
      <w:bookmarkStart w:id="5" w:name="_Toc173851103"/>
      <w:r>
        <w:t>What is a sentinel event?</w:t>
      </w:r>
      <w:bookmarkEnd w:id="5"/>
      <w:r>
        <w:t xml:space="preserve"> </w:t>
      </w:r>
    </w:p>
    <w:p w14:paraId="2F623C9B" w14:textId="77777777" w:rsidR="00152EC1" w:rsidRDefault="00152EC1" w:rsidP="00C96A69">
      <w:pPr>
        <w:pStyle w:val="SCVbody"/>
      </w:pPr>
      <w:r>
        <w:t xml:space="preserve">Sentinel events are unexpected and adverse events that occur infrequently in a health service entity and result in the death of, or serious physical or psychological harm to, a patient because of system and process deficiencies. </w:t>
      </w:r>
    </w:p>
    <w:p w14:paraId="66BBDDBF" w14:textId="77777777" w:rsidR="00152EC1" w:rsidRDefault="00152EC1" w:rsidP="00C96A69">
      <w:pPr>
        <w:pStyle w:val="SCVbody"/>
      </w:pPr>
      <w:r>
        <w:t xml:space="preserve">Serious harm is considered to have occurred when the patient has: </w:t>
      </w:r>
    </w:p>
    <w:p w14:paraId="5036E79D" w14:textId="77777777" w:rsidR="00152EC1" w:rsidRDefault="00152EC1" w:rsidP="00B566A0">
      <w:pPr>
        <w:pStyle w:val="SCVbullet1"/>
      </w:pPr>
      <w:r>
        <w:t xml:space="preserve">required life-saving surgical or medical intervention </w:t>
      </w:r>
    </w:p>
    <w:p w14:paraId="65605C35" w14:textId="77777777" w:rsidR="00152EC1" w:rsidRDefault="00152EC1" w:rsidP="00B566A0">
      <w:pPr>
        <w:pStyle w:val="SCVbullet1"/>
      </w:pPr>
      <w:r>
        <w:t xml:space="preserve">shortened life expectancy </w:t>
      </w:r>
    </w:p>
    <w:p w14:paraId="3CBE45DB" w14:textId="77777777" w:rsidR="00152EC1" w:rsidRDefault="00152EC1" w:rsidP="00B566A0">
      <w:pPr>
        <w:pStyle w:val="SCVbullet1"/>
      </w:pPr>
      <w:r>
        <w:t xml:space="preserve">experienced permanent or long-term physical harm </w:t>
      </w:r>
    </w:p>
    <w:p w14:paraId="6A8AABE9" w14:textId="77777777" w:rsidR="00152EC1" w:rsidRDefault="00152EC1" w:rsidP="00B566A0">
      <w:pPr>
        <w:pStyle w:val="SCVbullet1"/>
      </w:pPr>
      <w:r>
        <w:t xml:space="preserve">experienced permanent or long-term loss of function. </w:t>
      </w:r>
    </w:p>
    <w:p w14:paraId="64F2032D" w14:textId="77777777" w:rsidR="00152EC1" w:rsidRDefault="00152EC1" w:rsidP="00C96A69">
      <w:pPr>
        <w:pStyle w:val="SCVbody"/>
      </w:pPr>
      <w:r>
        <w:t xml:space="preserve">Life-saving surgical and medical treatments can include, but are not limited to, advanced life support measures, such as intubation or emergency surgery. </w:t>
      </w:r>
    </w:p>
    <w:p w14:paraId="088FACFD" w14:textId="1A0D5AF7" w:rsidR="00152EC1" w:rsidRDefault="00202D14" w:rsidP="00B566A0">
      <w:pPr>
        <w:pStyle w:val="Heading2"/>
      </w:pPr>
      <w:bookmarkStart w:id="6" w:name="_Toc173851104"/>
      <w:r>
        <w:t>Which events are notifiable in Victoria</w:t>
      </w:r>
      <w:r w:rsidR="00152EC1">
        <w:t>?</w:t>
      </w:r>
      <w:bookmarkEnd w:id="6"/>
      <w:r w:rsidR="00152EC1">
        <w:t xml:space="preserve"> </w:t>
      </w:r>
    </w:p>
    <w:p w14:paraId="0AEC12CC" w14:textId="77777777" w:rsidR="00152EC1" w:rsidRDefault="00152EC1" w:rsidP="00C96A69">
      <w:pPr>
        <w:pStyle w:val="SCVbody"/>
      </w:pPr>
      <w:r>
        <w:t xml:space="preserve">Victorian health services must notify and review sentinel events that meet the criteria for both the Australian sentinel event categories (1–10) set out by the Australian Commission on Safety and Quality in Healthcare (the Commission), and those that fall under the Victorian-only Category 11: All other adverse patient safety events resulting in serious harm or death. </w:t>
      </w:r>
    </w:p>
    <w:p w14:paraId="1D99C805" w14:textId="54415801" w:rsidR="00152EC1" w:rsidRDefault="00152EC1" w:rsidP="00C96A69">
      <w:pPr>
        <w:pStyle w:val="SCVbody"/>
      </w:pPr>
      <w:r>
        <w:lastRenderedPageBreak/>
        <w:t xml:space="preserve">The Commission defines sentinel events as a subset of adverse patient safety events that are preventable and result in serious harm to, or death of, a patient. For details on national categories, </w:t>
      </w:r>
      <w:hyperlink r:id="rId28" w:history="1">
        <w:r w:rsidRPr="001D6275">
          <w:rPr>
            <w:rStyle w:val="Hyperlink"/>
          </w:rPr>
          <w:t>visit Incident management and sentinel events</w:t>
        </w:r>
      </w:hyperlink>
      <w:r>
        <w:t xml:space="preserve"> &lt;https://www.safetyandquality.gov.au/our-work/ indicators-measurement-and-reporting/incident</w:t>
      </w:r>
      <w:r w:rsidR="001D6275">
        <w:t>&gt;</w:t>
      </w:r>
      <w:r>
        <w:t>.</w:t>
      </w:r>
    </w:p>
    <w:p w14:paraId="2F9B2C3A" w14:textId="77777777" w:rsidR="00152EC1" w:rsidRDefault="00152EC1" w:rsidP="00C96A69">
      <w:pPr>
        <w:pStyle w:val="SCVbody"/>
      </w:pPr>
      <w:r>
        <w:t xml:space="preserve">Category 11 was established in Victoria to capture all other adverse events that result in serious harm. This brings us into alignment with other states that report events of this nature through different mechanisms. This inclusion ensures we have greater visibility of risks that lie within our system and provides a learning opportunity as a state. Category 11 does not require that the event be ‘wholly preventable’ for it to be notified. </w:t>
      </w:r>
    </w:p>
    <w:tbl>
      <w:tblPr>
        <w:tblStyle w:val="SCVpulloutbox"/>
        <w:tblW w:w="0" w:type="auto"/>
        <w:tblLook w:val="0600" w:firstRow="0" w:lastRow="0" w:firstColumn="0" w:lastColumn="0" w:noHBand="1" w:noVBand="1"/>
      </w:tblPr>
      <w:tblGrid>
        <w:gridCol w:w="10204"/>
      </w:tblGrid>
      <w:tr w:rsidR="00B566A0" w14:paraId="09C460D9" w14:textId="77777777" w:rsidTr="001D6275">
        <w:tc>
          <w:tcPr>
            <w:tcW w:w="10204" w:type="dxa"/>
          </w:tcPr>
          <w:p w14:paraId="021F044F" w14:textId="72EB069C" w:rsidR="00B566A0" w:rsidRPr="00B566A0" w:rsidRDefault="00B566A0" w:rsidP="000F68D9">
            <w:pPr>
              <w:pStyle w:val="SCVboxheading"/>
            </w:pPr>
            <w:r w:rsidRPr="00B566A0">
              <w:t xml:space="preserve">NEW RESOURCE </w:t>
            </w:r>
          </w:p>
          <w:p w14:paraId="7AF4F3C2" w14:textId="77777777" w:rsidR="00B566A0" w:rsidRPr="00B566A0" w:rsidRDefault="00B566A0" w:rsidP="001D6275">
            <w:pPr>
              <w:pStyle w:val="Heading4"/>
            </w:pPr>
            <w:r w:rsidRPr="00B566A0">
              <w:t xml:space="preserve">Updated sentinel events guide </w:t>
            </w:r>
          </w:p>
          <w:p w14:paraId="22384800" w14:textId="74687CF7" w:rsidR="00B566A0" w:rsidRPr="001D6275" w:rsidRDefault="00B566A0" w:rsidP="001D6275">
            <w:pPr>
              <w:pStyle w:val="SCVbody"/>
            </w:pPr>
            <w:r w:rsidRPr="001D6275">
              <w:t xml:space="preserve">An updated version of the </w:t>
            </w:r>
            <w:hyperlink r:id="rId29" w:history="1">
              <w:r w:rsidRPr="001D6275">
                <w:rPr>
                  <w:rStyle w:val="Hyperlink"/>
                </w:rPr>
                <w:t>Victorian sentinel events guide</w:t>
              </w:r>
            </w:hyperlink>
            <w:r w:rsidRPr="001D6275">
              <w:t xml:space="preserve"> &lt;https://www.safercare.vic.gov.au/best-practice-improvement/publications/sentinel-events-guide&gt; was released in February 2024. This guide was revised to help health services in Victoria fulfil their obligations when notifying and managing sentinel events. </w:t>
            </w:r>
          </w:p>
          <w:p w14:paraId="642EEF68" w14:textId="77777777" w:rsidR="00B566A0" w:rsidRPr="001D6275" w:rsidRDefault="00B566A0" w:rsidP="001D6275">
            <w:pPr>
              <w:pStyle w:val="SCVbody"/>
            </w:pPr>
            <w:r w:rsidRPr="001D6275">
              <w:t xml:space="preserve">This resource contains: </w:t>
            </w:r>
          </w:p>
          <w:p w14:paraId="77A34697" w14:textId="77777777" w:rsidR="00B566A0" w:rsidRPr="001D6275" w:rsidRDefault="00B566A0" w:rsidP="001D6275">
            <w:pPr>
              <w:pStyle w:val="SCVbullet1"/>
            </w:pPr>
            <w:r w:rsidRPr="001D6275">
              <w:t xml:space="preserve">updated guidance for notifiable sentinel events, including psychological harm, falls, self-harm and healthcare-associated infection events </w:t>
            </w:r>
          </w:p>
          <w:p w14:paraId="530BE105" w14:textId="2C456EC1" w:rsidR="00B566A0" w:rsidRPr="000F68D9" w:rsidRDefault="00B566A0" w:rsidP="001D6275">
            <w:pPr>
              <w:pStyle w:val="SCVbullet1"/>
            </w:pPr>
            <w:r w:rsidRPr="001D6275">
              <w:t>guidance on the Victoria-only sentinel event Category 11 and the Statutory Duty of Candour, including case studies.</w:t>
            </w:r>
            <w:r w:rsidRPr="00B566A0">
              <w:t xml:space="preserve"> </w:t>
            </w:r>
          </w:p>
        </w:tc>
      </w:tr>
    </w:tbl>
    <w:p w14:paraId="7FAA53C3" w14:textId="2A7B23C0" w:rsidR="00152EC1" w:rsidRDefault="00202D14" w:rsidP="00B566A0">
      <w:pPr>
        <w:pStyle w:val="Heading2"/>
      </w:pPr>
      <w:bookmarkStart w:id="7" w:name="_Toc173851105"/>
      <w:r>
        <w:t>The sentinel events process</w:t>
      </w:r>
      <w:bookmarkEnd w:id="7"/>
      <w:r>
        <w:t xml:space="preserve"> </w:t>
      </w:r>
    </w:p>
    <w:p w14:paraId="445C57CD" w14:textId="1ABCB390" w:rsidR="00152EC1" w:rsidRDefault="00152EC1" w:rsidP="00C96A69">
      <w:pPr>
        <w:pStyle w:val="SCVbody"/>
      </w:pPr>
      <w:r>
        <w:t xml:space="preserve">Figure 1 outlines the sentinel events process. For more information, </w:t>
      </w:r>
      <w:hyperlink r:id="rId30" w:anchor="goto-download" w:history="1">
        <w:r w:rsidRPr="001D6275">
          <w:rPr>
            <w:rStyle w:val="Hyperlink"/>
          </w:rPr>
          <w:t>visit Notify and review a sentinel event</w:t>
        </w:r>
      </w:hyperlink>
      <w:r>
        <w:t xml:space="preserve"> &lt;https://www.safercare.vic.gov.au/ report-manage-issues/sentinel-events/notify-and-review-a-sentinel-event#goto-download&gt;. </w:t>
      </w:r>
    </w:p>
    <w:p w14:paraId="25A125F8" w14:textId="77777777" w:rsidR="00152EC1" w:rsidRDefault="00152EC1" w:rsidP="00B566A0">
      <w:pPr>
        <w:pStyle w:val="SCVfigurecaption"/>
      </w:pPr>
      <w:r>
        <w:t xml:space="preserve">Figure 1. The sentinel events process in Victoria </w:t>
      </w:r>
    </w:p>
    <w:p w14:paraId="5372EA4A" w14:textId="77777777" w:rsidR="00152EC1" w:rsidRDefault="00152EC1" w:rsidP="00C96A69">
      <w:pPr>
        <w:pStyle w:val="SCVbody"/>
      </w:pPr>
      <w:r>
        <w:t xml:space="preserve">In Victoria, the sentinel event process starts when harm occurs to a patient and concludes with Safer Care Victoria (SCV) sharing lessons learnt with the health care sector to prevent that harm from occurring elsewhere. This report is a critical part of that process. </w:t>
      </w:r>
    </w:p>
    <w:p w14:paraId="1C68C88A" w14:textId="4E3B2476" w:rsidR="009815FF" w:rsidRDefault="009815FF" w:rsidP="00C96A69">
      <w:pPr>
        <w:pStyle w:val="SCVbody"/>
      </w:pPr>
      <w:r>
        <w:t>[END OF FIGURE]</w:t>
      </w:r>
    </w:p>
    <w:p w14:paraId="76140B3C" w14:textId="77777777" w:rsidR="00152EC1" w:rsidRDefault="00152EC1" w:rsidP="00EF24D6">
      <w:pPr>
        <w:pStyle w:val="Heading1"/>
      </w:pPr>
      <w:bookmarkStart w:id="8" w:name="_Toc173851106"/>
      <w:r>
        <w:lastRenderedPageBreak/>
        <w:t xml:space="preserve">2022–2023 </w:t>
      </w:r>
      <w:proofErr w:type="gramStart"/>
      <w:r>
        <w:t>at a glance</w:t>
      </w:r>
      <w:bookmarkEnd w:id="8"/>
      <w:proofErr w:type="gramEnd"/>
      <w:r>
        <w:t xml:space="preserve"> </w:t>
      </w:r>
    </w:p>
    <w:p w14:paraId="79FFE5EB" w14:textId="77777777" w:rsidR="00152EC1" w:rsidRDefault="00152EC1" w:rsidP="00B566A0">
      <w:pPr>
        <w:pStyle w:val="SCVfigurecaption"/>
      </w:pPr>
      <w:r>
        <w:t xml:space="preserve">Figure 2. An overview of 2022–2023 sentinel events </w:t>
      </w:r>
    </w:p>
    <w:p w14:paraId="69246294" w14:textId="77777777" w:rsidR="00152EC1" w:rsidRDefault="00152EC1" w:rsidP="00C96A69">
      <w:pPr>
        <w:pStyle w:val="SCVbody"/>
      </w:pPr>
      <w:r>
        <w:t xml:space="preserve">245 events reported </w:t>
      </w:r>
    </w:p>
    <w:p w14:paraId="33E6AB7F" w14:textId="02A21C40" w:rsidR="00152EC1" w:rsidRDefault="00152EC1" w:rsidP="00C96A69">
      <w:pPr>
        <w:pStyle w:val="SCVbody"/>
      </w:pPr>
      <w:r>
        <w:t>2% increase on 2021–22</w:t>
      </w:r>
      <w:r w:rsidR="00FB5F78">
        <w:t xml:space="preserve"> </w:t>
      </w:r>
    </w:p>
    <w:p w14:paraId="334DF7E9" w14:textId="5AFDAEDF" w:rsidR="00152EC1" w:rsidRPr="00FB5F78" w:rsidRDefault="00152EC1" w:rsidP="00FB5F78">
      <w:pPr>
        <w:pStyle w:val="SCVbullet1"/>
      </w:pPr>
      <w:r w:rsidRPr="00FB5F78">
        <w:t xml:space="preserve">Breakdown of </w:t>
      </w:r>
      <w:r w:rsidR="00FB5F78">
        <w:t>s</w:t>
      </w:r>
      <w:r w:rsidRPr="00FB5F78">
        <w:t xml:space="preserve">entinel events top 7 categories or sub-categories at notiﬁcation </w:t>
      </w:r>
    </w:p>
    <w:p w14:paraId="512C7824" w14:textId="6235EC08" w:rsidR="00152EC1" w:rsidRDefault="00152EC1" w:rsidP="00FB5F78">
      <w:pPr>
        <w:pStyle w:val="SCVbullet1"/>
      </w:pPr>
      <w:r>
        <w:t>Recognising and responding to clinical deterioration</w:t>
      </w:r>
      <w:r w:rsidR="00FB5F78">
        <w:t>:</w:t>
      </w:r>
      <w:r>
        <w:t xml:space="preserve"> 29%</w:t>
      </w:r>
    </w:p>
    <w:p w14:paraId="3209D665" w14:textId="08C5A936" w:rsidR="00152EC1" w:rsidRDefault="00152EC1" w:rsidP="00FB5F78">
      <w:pPr>
        <w:pStyle w:val="SCVbullet1"/>
      </w:pPr>
      <w:r>
        <w:t>Clinical process or procedure</w:t>
      </w:r>
      <w:r w:rsidR="00FB5F78">
        <w:t>:</w:t>
      </w:r>
      <w:r>
        <w:t xml:space="preserve"> 24%</w:t>
      </w:r>
    </w:p>
    <w:p w14:paraId="3E72A7F3" w14:textId="0A5CC54A" w:rsidR="00152EC1" w:rsidRDefault="00152EC1" w:rsidP="00FB5F78">
      <w:pPr>
        <w:pStyle w:val="SCVbullet1"/>
      </w:pPr>
      <w:r>
        <w:t>Medication error</w:t>
      </w:r>
      <w:r w:rsidR="00FB5F78">
        <w:t xml:space="preserve">: </w:t>
      </w:r>
      <w:r>
        <w:t>9%</w:t>
      </w:r>
    </w:p>
    <w:p w14:paraId="4FA1E526" w14:textId="187DED84" w:rsidR="00152EC1" w:rsidRDefault="00152EC1" w:rsidP="00FB5F78">
      <w:pPr>
        <w:pStyle w:val="SCVbullet1"/>
      </w:pPr>
      <w:r>
        <w:t>Falls</w:t>
      </w:r>
      <w:r w:rsidR="00FB5F78">
        <w:t>:</w:t>
      </w:r>
      <w:r>
        <w:t xml:space="preserve"> 8%</w:t>
      </w:r>
    </w:p>
    <w:p w14:paraId="10E0D4C6" w14:textId="4F712135" w:rsidR="00152EC1" w:rsidRDefault="00152EC1" w:rsidP="00FB5F78">
      <w:pPr>
        <w:pStyle w:val="SCVbullet1"/>
      </w:pPr>
      <w:r>
        <w:t>Healthcare associated infection</w:t>
      </w:r>
      <w:r w:rsidR="00FB5F78">
        <w:t>:</w:t>
      </w:r>
      <w:r>
        <w:t xml:space="preserve"> 7%</w:t>
      </w:r>
    </w:p>
    <w:p w14:paraId="1C4F6DF9" w14:textId="686E57F5" w:rsidR="00152EC1" w:rsidRDefault="00152EC1" w:rsidP="00FB5F78">
      <w:pPr>
        <w:pStyle w:val="SCVbullet1"/>
      </w:pPr>
      <w:r>
        <w:t>Self-harm</w:t>
      </w:r>
      <w:r w:rsidR="00FB5F78">
        <w:t xml:space="preserve">: </w:t>
      </w:r>
      <w:r>
        <w:t>6%</w:t>
      </w:r>
    </w:p>
    <w:p w14:paraId="2E3AAC38" w14:textId="37A215AA" w:rsidR="00152EC1" w:rsidRDefault="00152EC1" w:rsidP="00FB5F78">
      <w:pPr>
        <w:pStyle w:val="SCVbullet1"/>
      </w:pPr>
      <w:r>
        <w:t>Communication of clinical information</w:t>
      </w:r>
      <w:r w:rsidR="00FB5F78">
        <w:t>:</w:t>
      </w:r>
      <w:r>
        <w:t xml:space="preserve"> 5%</w:t>
      </w:r>
    </w:p>
    <w:p w14:paraId="0923993A" w14:textId="77777777" w:rsidR="00152EC1" w:rsidRPr="00FB5F78" w:rsidRDefault="00152EC1" w:rsidP="00C96A69">
      <w:pPr>
        <w:pStyle w:val="SCVbody"/>
        <w:rPr>
          <w:b/>
          <w:bCs/>
        </w:rPr>
      </w:pPr>
      <w:r w:rsidRPr="00FB5F78">
        <w:rPr>
          <w:b/>
          <w:bCs/>
        </w:rPr>
        <w:t xml:space="preserve">Sentinel events by top 5 admitting specialties </w:t>
      </w:r>
    </w:p>
    <w:p w14:paraId="35B9EDA2" w14:textId="2E73FADB" w:rsidR="00152EC1" w:rsidRDefault="00152EC1" w:rsidP="00FB5F78">
      <w:pPr>
        <w:pStyle w:val="SCVbullet1"/>
      </w:pPr>
      <w:r>
        <w:t>General Medical</w:t>
      </w:r>
      <w:r w:rsidR="00FB5F78">
        <w:t>:</w:t>
      </w:r>
      <w:r>
        <w:t xml:space="preserve"> 18%</w:t>
      </w:r>
    </w:p>
    <w:p w14:paraId="38DE3618" w14:textId="5C838B19" w:rsidR="00152EC1" w:rsidRDefault="00152EC1" w:rsidP="00FB5F78">
      <w:pPr>
        <w:pStyle w:val="SCVbullet1"/>
      </w:pPr>
      <w:r>
        <w:t>Emergency Medicine</w:t>
      </w:r>
      <w:r w:rsidR="00FB5F78">
        <w:t>:</w:t>
      </w:r>
      <w:r>
        <w:t xml:space="preserve"> 13%</w:t>
      </w:r>
    </w:p>
    <w:p w14:paraId="3FCE132E" w14:textId="5C442F31" w:rsidR="00152EC1" w:rsidRDefault="00152EC1" w:rsidP="00FB5F78">
      <w:pPr>
        <w:pStyle w:val="SCVbullet1"/>
      </w:pPr>
      <w:r>
        <w:t>General Surgical</w:t>
      </w:r>
      <w:r w:rsidR="00FB5F78">
        <w:t>:</w:t>
      </w:r>
      <w:r>
        <w:t xml:space="preserve"> 7%</w:t>
      </w:r>
    </w:p>
    <w:p w14:paraId="5FC2AB18" w14:textId="49C67BB5" w:rsidR="00152EC1" w:rsidRDefault="00152EC1" w:rsidP="00FB5F78">
      <w:pPr>
        <w:pStyle w:val="SCVbullet1"/>
      </w:pPr>
      <w:r>
        <w:t>Obstetric/Maternity</w:t>
      </w:r>
      <w:r w:rsidR="00FB5F78">
        <w:t>:</w:t>
      </w:r>
      <w:r>
        <w:t xml:space="preserve"> 7%</w:t>
      </w:r>
    </w:p>
    <w:p w14:paraId="4A2A9A53" w14:textId="226FBEF4" w:rsidR="00152EC1" w:rsidRDefault="00152EC1" w:rsidP="00FB5F78">
      <w:pPr>
        <w:pStyle w:val="SCVbullet1"/>
      </w:pPr>
      <w:r>
        <w:t>Other (specialist)</w:t>
      </w:r>
      <w:r w:rsidR="00FB5F78">
        <w:t>:</w:t>
      </w:r>
      <w:r>
        <w:t xml:space="preserve"> 6%</w:t>
      </w:r>
    </w:p>
    <w:p w14:paraId="4996CE5C" w14:textId="641ABBCA" w:rsidR="00152EC1" w:rsidRDefault="00152EC1" w:rsidP="00C96A69">
      <w:pPr>
        <w:pStyle w:val="SCVbody"/>
      </w:pPr>
      <w:r>
        <w:t>89% of review teams had a consumer representative, compared to 70% in 2021–22</w:t>
      </w:r>
      <w:r w:rsidR="00FB5F78">
        <w:t xml:space="preserve"> </w:t>
      </w:r>
    </w:p>
    <w:p w14:paraId="3977731E" w14:textId="3A70F1DD" w:rsidR="00152EC1" w:rsidRDefault="00152EC1" w:rsidP="00C96A69">
      <w:pPr>
        <w:pStyle w:val="SCVbody"/>
      </w:pPr>
      <w:r>
        <w:t>95% of review teams had an external, independent team member, compared</w:t>
      </w:r>
      <w:r w:rsidR="00FB5F78">
        <w:t xml:space="preserve"> </w:t>
      </w:r>
      <w:r>
        <w:t>to 94% in 2021–22</w:t>
      </w:r>
    </w:p>
    <w:p w14:paraId="36881B9E" w14:textId="5EAB0B44" w:rsidR="00152EC1" w:rsidRDefault="00152EC1" w:rsidP="00C96A69">
      <w:pPr>
        <w:pStyle w:val="SCVbody"/>
      </w:pPr>
      <w:r>
        <w:t>59% of reviews involved contributions from patients, their families or carers, compared to 47% in 2021–22</w:t>
      </w:r>
      <w:r w:rsidR="00FB5F78">
        <w:t xml:space="preserve"> </w:t>
      </w:r>
    </w:p>
    <w:p w14:paraId="1E984E73" w14:textId="1BF56A00" w:rsidR="00152EC1" w:rsidRDefault="00152EC1" w:rsidP="00C96A69">
      <w:pPr>
        <w:pStyle w:val="SCVbody"/>
      </w:pPr>
      <w:r>
        <w:t>786 ﬁndings</w:t>
      </w:r>
      <w:r w:rsidR="00FB5F78">
        <w:t xml:space="preserve"> </w:t>
      </w:r>
      <w:r>
        <w:t>591 lessons learnt</w:t>
      </w:r>
      <w:r w:rsidR="00FB5F78">
        <w:t xml:space="preserve"> </w:t>
      </w:r>
      <w:r>
        <w:t>1,159 recommendations were made</w:t>
      </w:r>
      <w:r w:rsidR="00FB5F78">
        <w:t xml:space="preserve"> </w:t>
      </w:r>
    </w:p>
    <w:p w14:paraId="54064148" w14:textId="09AF1EFD" w:rsidR="00152EC1" w:rsidRDefault="00FB5F78" w:rsidP="00C96A69">
      <w:pPr>
        <w:pStyle w:val="SCVbody"/>
      </w:pPr>
      <w:r>
        <w:t>[END OF FIGURE]</w:t>
      </w:r>
    </w:p>
    <w:p w14:paraId="0F034725" w14:textId="77777777" w:rsidR="00152EC1" w:rsidRDefault="00152EC1" w:rsidP="00B566A0">
      <w:pPr>
        <w:pStyle w:val="Heading1"/>
      </w:pPr>
      <w:bookmarkStart w:id="9" w:name="_Toc173851107"/>
      <w:r>
        <w:lastRenderedPageBreak/>
        <w:t>Sentinel events reporting</w:t>
      </w:r>
      <w:bookmarkEnd w:id="9"/>
      <w:r>
        <w:t xml:space="preserve"> </w:t>
      </w:r>
    </w:p>
    <w:p w14:paraId="0BCCFDB5" w14:textId="77777777" w:rsidR="00152EC1" w:rsidRDefault="00152EC1" w:rsidP="00C96A69">
      <w:pPr>
        <w:pStyle w:val="SCVbody"/>
      </w:pPr>
      <w:r w:rsidRPr="00214D14">
        <w:t>In 2022–23, sentinel event notifications to SCV increased two per cent from the previous year. This increase is consistent with the upward trend over the past decade, as shown in Figure 3. Increased recognition, notification and review of sentinel events show ongoing and increasing transparency from the health sector.</w:t>
      </w:r>
    </w:p>
    <w:p w14:paraId="522DC31F" w14:textId="77777777" w:rsidR="00152EC1" w:rsidRDefault="00152EC1" w:rsidP="00C96A69">
      <w:pPr>
        <w:pStyle w:val="SCVbody"/>
      </w:pPr>
      <w:r w:rsidRPr="00214D14">
        <w:t xml:space="preserve">Most notifications continue to be made under the Victorian-only Category 11. Category 11 events made up 86 per cent of notifications in 2022–23 and 88 per cent of notifications in 2021–22. </w:t>
      </w:r>
    </w:p>
    <w:p w14:paraId="40A36935" w14:textId="77777777" w:rsidR="00152EC1" w:rsidRDefault="00152EC1" w:rsidP="00B566A0">
      <w:pPr>
        <w:pStyle w:val="SCVfigurecaption"/>
      </w:pPr>
      <w:r w:rsidRPr="00A977F1">
        <w:t>Figure 3. Sentinel event notifications 1 July 2010 to 30 June 2023</w:t>
      </w:r>
      <w:r>
        <w:t xml:space="preserve"> </w:t>
      </w:r>
    </w:p>
    <w:tbl>
      <w:tblPr>
        <w:tblStyle w:val="TableGrid"/>
        <w:tblW w:w="10206" w:type="dxa"/>
        <w:tblLayout w:type="fixed"/>
        <w:tblLook w:val="0620" w:firstRow="1" w:lastRow="0" w:firstColumn="0" w:lastColumn="0" w:noHBand="1" w:noVBand="1"/>
      </w:tblPr>
      <w:tblGrid>
        <w:gridCol w:w="2610"/>
        <w:gridCol w:w="1519"/>
        <w:gridCol w:w="1519"/>
        <w:gridCol w:w="1519"/>
        <w:gridCol w:w="1519"/>
        <w:gridCol w:w="1520"/>
      </w:tblGrid>
      <w:tr w:rsidR="00A977F1" w:rsidRPr="009815FF" w14:paraId="418D955E" w14:textId="77777777" w:rsidTr="00A977F1">
        <w:trPr>
          <w:cnfStyle w:val="100000000000" w:firstRow="1" w:lastRow="0" w:firstColumn="0" w:lastColumn="0" w:oddVBand="0" w:evenVBand="0" w:oddHBand="0" w:evenHBand="0" w:firstRowFirstColumn="0" w:firstRowLastColumn="0" w:lastRowFirstColumn="0" w:lastRowLastColumn="0"/>
          <w:trHeight w:val="300"/>
          <w:tblHeader/>
        </w:trPr>
        <w:tc>
          <w:tcPr>
            <w:tcW w:w="2610" w:type="dxa"/>
            <w:noWrap/>
            <w:hideMark/>
          </w:tcPr>
          <w:p w14:paraId="399F23C8" w14:textId="33B3F2A3" w:rsidR="009815FF" w:rsidRPr="009815FF" w:rsidRDefault="00A977F1" w:rsidP="00724197">
            <w:pPr>
              <w:pStyle w:val="SCVtablecolhead"/>
            </w:pPr>
            <w:r>
              <w:t>Year</w:t>
            </w:r>
          </w:p>
        </w:tc>
        <w:tc>
          <w:tcPr>
            <w:tcW w:w="1519" w:type="dxa"/>
            <w:noWrap/>
            <w:hideMark/>
          </w:tcPr>
          <w:p w14:paraId="292C800E" w14:textId="2982882D" w:rsidR="009815FF" w:rsidRPr="009815FF" w:rsidRDefault="009815FF" w:rsidP="00724197">
            <w:pPr>
              <w:pStyle w:val="SCVtablecolhead"/>
            </w:pPr>
            <w:r w:rsidRPr="009815FF">
              <w:t>Total sentinel event</w:t>
            </w:r>
            <w:r w:rsidR="00A977F1">
              <w:t>s</w:t>
            </w:r>
            <w:r w:rsidRPr="009815FF">
              <w:t xml:space="preserve"> </w:t>
            </w:r>
          </w:p>
        </w:tc>
        <w:tc>
          <w:tcPr>
            <w:tcW w:w="1519" w:type="dxa"/>
            <w:noWrap/>
            <w:hideMark/>
          </w:tcPr>
          <w:p w14:paraId="2B396F1B" w14:textId="77777777" w:rsidR="009815FF" w:rsidRPr="009815FF" w:rsidRDefault="009815FF" w:rsidP="00724197">
            <w:pPr>
              <w:pStyle w:val="SCVtablecolhead"/>
            </w:pPr>
            <w:r w:rsidRPr="009815FF">
              <w:t>Private</w:t>
            </w:r>
          </w:p>
        </w:tc>
        <w:tc>
          <w:tcPr>
            <w:tcW w:w="1519" w:type="dxa"/>
            <w:noWrap/>
            <w:hideMark/>
          </w:tcPr>
          <w:p w14:paraId="5568265D" w14:textId="77777777" w:rsidR="009815FF" w:rsidRPr="009815FF" w:rsidRDefault="009815FF" w:rsidP="00724197">
            <w:pPr>
              <w:pStyle w:val="SCVtablecolhead"/>
            </w:pPr>
            <w:r w:rsidRPr="009815FF">
              <w:t>Public</w:t>
            </w:r>
          </w:p>
        </w:tc>
        <w:tc>
          <w:tcPr>
            <w:tcW w:w="1519" w:type="dxa"/>
            <w:noWrap/>
            <w:hideMark/>
          </w:tcPr>
          <w:p w14:paraId="1794A989" w14:textId="77777777" w:rsidR="009815FF" w:rsidRPr="009815FF" w:rsidRDefault="009815FF" w:rsidP="00724197">
            <w:pPr>
              <w:pStyle w:val="SCVtablecolhead"/>
            </w:pPr>
            <w:r w:rsidRPr="009815FF">
              <w:t>Category 11</w:t>
            </w:r>
          </w:p>
        </w:tc>
        <w:tc>
          <w:tcPr>
            <w:tcW w:w="1520" w:type="dxa"/>
            <w:noWrap/>
            <w:hideMark/>
          </w:tcPr>
          <w:p w14:paraId="3D38A7E3" w14:textId="7E962908" w:rsidR="009815FF" w:rsidRPr="009815FF" w:rsidRDefault="009815FF" w:rsidP="00724197">
            <w:pPr>
              <w:pStyle w:val="SCVtablecolhead"/>
            </w:pPr>
            <w:r w:rsidRPr="009815FF">
              <w:t>Categor</w:t>
            </w:r>
            <w:r w:rsidR="00A977F1">
              <w:t>ies</w:t>
            </w:r>
            <w:r w:rsidRPr="009815FF">
              <w:t xml:space="preserve"> 1 to 10</w:t>
            </w:r>
          </w:p>
        </w:tc>
      </w:tr>
      <w:tr w:rsidR="009815FF" w:rsidRPr="009815FF" w14:paraId="4F08F229" w14:textId="77777777" w:rsidTr="00A977F1">
        <w:trPr>
          <w:trHeight w:val="300"/>
        </w:trPr>
        <w:tc>
          <w:tcPr>
            <w:tcW w:w="2610" w:type="dxa"/>
            <w:noWrap/>
            <w:hideMark/>
          </w:tcPr>
          <w:p w14:paraId="6FA8122F" w14:textId="4C913229" w:rsidR="009815FF" w:rsidRPr="009815FF" w:rsidRDefault="009815FF" w:rsidP="00724197">
            <w:pPr>
              <w:pStyle w:val="SCVtablebody"/>
            </w:pPr>
            <w:r w:rsidRPr="009815FF">
              <w:t>2010</w:t>
            </w:r>
            <w:r w:rsidR="00724197">
              <w:t>–</w:t>
            </w:r>
            <w:r w:rsidRPr="009815FF">
              <w:t>11</w:t>
            </w:r>
          </w:p>
        </w:tc>
        <w:tc>
          <w:tcPr>
            <w:tcW w:w="1519" w:type="dxa"/>
            <w:noWrap/>
            <w:hideMark/>
          </w:tcPr>
          <w:p w14:paraId="1DCE8984" w14:textId="77777777" w:rsidR="009815FF" w:rsidRPr="009815FF" w:rsidRDefault="009815FF" w:rsidP="00724197">
            <w:pPr>
              <w:pStyle w:val="SCVtablebody"/>
            </w:pPr>
            <w:r w:rsidRPr="009815FF">
              <w:t>58</w:t>
            </w:r>
          </w:p>
        </w:tc>
        <w:tc>
          <w:tcPr>
            <w:tcW w:w="1519" w:type="dxa"/>
            <w:noWrap/>
            <w:hideMark/>
          </w:tcPr>
          <w:p w14:paraId="177E4AEC" w14:textId="77777777" w:rsidR="009815FF" w:rsidRPr="009815FF" w:rsidRDefault="009815FF" w:rsidP="00724197">
            <w:pPr>
              <w:pStyle w:val="SCVtablebody"/>
            </w:pPr>
          </w:p>
        </w:tc>
        <w:tc>
          <w:tcPr>
            <w:tcW w:w="1519" w:type="dxa"/>
            <w:noWrap/>
            <w:hideMark/>
          </w:tcPr>
          <w:p w14:paraId="630CFB86" w14:textId="77777777" w:rsidR="009815FF" w:rsidRPr="009815FF" w:rsidRDefault="009815FF" w:rsidP="00724197">
            <w:pPr>
              <w:pStyle w:val="SCVtablebody"/>
            </w:pPr>
            <w:r w:rsidRPr="009815FF">
              <w:t>58</w:t>
            </w:r>
          </w:p>
        </w:tc>
        <w:tc>
          <w:tcPr>
            <w:tcW w:w="1519" w:type="dxa"/>
            <w:noWrap/>
            <w:hideMark/>
          </w:tcPr>
          <w:p w14:paraId="041A41F0" w14:textId="77777777" w:rsidR="009815FF" w:rsidRPr="009815FF" w:rsidRDefault="009815FF" w:rsidP="00724197">
            <w:pPr>
              <w:pStyle w:val="SCVtablebody"/>
            </w:pPr>
          </w:p>
        </w:tc>
        <w:tc>
          <w:tcPr>
            <w:tcW w:w="1520" w:type="dxa"/>
            <w:noWrap/>
            <w:hideMark/>
          </w:tcPr>
          <w:p w14:paraId="7E604A22" w14:textId="77777777" w:rsidR="009815FF" w:rsidRPr="009815FF" w:rsidRDefault="009815FF" w:rsidP="00724197">
            <w:pPr>
              <w:pStyle w:val="SCVtablebody"/>
              <w:rPr>
                <w:rFonts w:ascii="Times New Roman" w:hAnsi="Times New Roman"/>
              </w:rPr>
            </w:pPr>
          </w:p>
        </w:tc>
      </w:tr>
      <w:tr w:rsidR="009815FF" w:rsidRPr="009815FF" w14:paraId="4783F606" w14:textId="77777777" w:rsidTr="00A977F1">
        <w:trPr>
          <w:trHeight w:val="300"/>
        </w:trPr>
        <w:tc>
          <w:tcPr>
            <w:tcW w:w="2610" w:type="dxa"/>
            <w:noWrap/>
            <w:hideMark/>
          </w:tcPr>
          <w:p w14:paraId="253EF9D2" w14:textId="642B7DBF" w:rsidR="009815FF" w:rsidRPr="009815FF" w:rsidRDefault="009815FF" w:rsidP="00724197">
            <w:pPr>
              <w:pStyle w:val="SCVtablebody"/>
            </w:pPr>
            <w:r w:rsidRPr="009815FF">
              <w:t>2011</w:t>
            </w:r>
            <w:r w:rsidR="00724197">
              <w:t>–</w:t>
            </w:r>
            <w:r w:rsidRPr="009815FF">
              <w:t>12</w:t>
            </w:r>
          </w:p>
        </w:tc>
        <w:tc>
          <w:tcPr>
            <w:tcW w:w="1519" w:type="dxa"/>
            <w:noWrap/>
            <w:hideMark/>
          </w:tcPr>
          <w:p w14:paraId="7C02A87B" w14:textId="77777777" w:rsidR="009815FF" w:rsidRPr="009815FF" w:rsidRDefault="009815FF" w:rsidP="00724197">
            <w:pPr>
              <w:pStyle w:val="SCVtablebody"/>
            </w:pPr>
            <w:r w:rsidRPr="009815FF">
              <w:t>41</w:t>
            </w:r>
          </w:p>
        </w:tc>
        <w:tc>
          <w:tcPr>
            <w:tcW w:w="1519" w:type="dxa"/>
            <w:noWrap/>
            <w:hideMark/>
          </w:tcPr>
          <w:p w14:paraId="0D06638F" w14:textId="77777777" w:rsidR="009815FF" w:rsidRPr="009815FF" w:rsidRDefault="009815FF" w:rsidP="00724197">
            <w:pPr>
              <w:pStyle w:val="SCVtablebody"/>
            </w:pPr>
          </w:p>
        </w:tc>
        <w:tc>
          <w:tcPr>
            <w:tcW w:w="1519" w:type="dxa"/>
            <w:noWrap/>
            <w:hideMark/>
          </w:tcPr>
          <w:p w14:paraId="49261594" w14:textId="77777777" w:rsidR="009815FF" w:rsidRPr="009815FF" w:rsidRDefault="009815FF" w:rsidP="00724197">
            <w:pPr>
              <w:pStyle w:val="SCVtablebody"/>
            </w:pPr>
            <w:r w:rsidRPr="009815FF">
              <w:t>41</w:t>
            </w:r>
          </w:p>
        </w:tc>
        <w:tc>
          <w:tcPr>
            <w:tcW w:w="1519" w:type="dxa"/>
            <w:noWrap/>
            <w:hideMark/>
          </w:tcPr>
          <w:p w14:paraId="5516A42F" w14:textId="77777777" w:rsidR="009815FF" w:rsidRPr="009815FF" w:rsidRDefault="009815FF" w:rsidP="00724197">
            <w:pPr>
              <w:pStyle w:val="SCVtablebody"/>
            </w:pPr>
          </w:p>
        </w:tc>
        <w:tc>
          <w:tcPr>
            <w:tcW w:w="1520" w:type="dxa"/>
            <w:noWrap/>
            <w:hideMark/>
          </w:tcPr>
          <w:p w14:paraId="60A57B9C" w14:textId="77777777" w:rsidR="009815FF" w:rsidRPr="009815FF" w:rsidRDefault="009815FF" w:rsidP="00724197">
            <w:pPr>
              <w:pStyle w:val="SCVtablebody"/>
              <w:rPr>
                <w:rFonts w:ascii="Times New Roman" w:hAnsi="Times New Roman"/>
              </w:rPr>
            </w:pPr>
          </w:p>
        </w:tc>
      </w:tr>
      <w:tr w:rsidR="009815FF" w:rsidRPr="009815FF" w14:paraId="208B9050" w14:textId="77777777" w:rsidTr="00A977F1">
        <w:trPr>
          <w:trHeight w:val="300"/>
        </w:trPr>
        <w:tc>
          <w:tcPr>
            <w:tcW w:w="2610" w:type="dxa"/>
            <w:noWrap/>
            <w:hideMark/>
          </w:tcPr>
          <w:p w14:paraId="2C8222AA" w14:textId="28E33634" w:rsidR="009815FF" w:rsidRPr="009815FF" w:rsidRDefault="009815FF" w:rsidP="00724197">
            <w:pPr>
              <w:pStyle w:val="SCVtablebody"/>
            </w:pPr>
            <w:r w:rsidRPr="009815FF">
              <w:t>2012</w:t>
            </w:r>
            <w:r w:rsidR="00724197">
              <w:t>–</w:t>
            </w:r>
            <w:r w:rsidRPr="009815FF">
              <w:t>13</w:t>
            </w:r>
          </w:p>
        </w:tc>
        <w:tc>
          <w:tcPr>
            <w:tcW w:w="1519" w:type="dxa"/>
            <w:noWrap/>
            <w:hideMark/>
          </w:tcPr>
          <w:p w14:paraId="1778AF79" w14:textId="77777777" w:rsidR="009815FF" w:rsidRPr="009815FF" w:rsidRDefault="009815FF" w:rsidP="00724197">
            <w:pPr>
              <w:pStyle w:val="SCVtablebody"/>
            </w:pPr>
            <w:r w:rsidRPr="009815FF">
              <w:t>34</w:t>
            </w:r>
          </w:p>
        </w:tc>
        <w:tc>
          <w:tcPr>
            <w:tcW w:w="1519" w:type="dxa"/>
            <w:noWrap/>
            <w:hideMark/>
          </w:tcPr>
          <w:p w14:paraId="0BF07506" w14:textId="77777777" w:rsidR="009815FF" w:rsidRPr="009815FF" w:rsidRDefault="009815FF" w:rsidP="00724197">
            <w:pPr>
              <w:pStyle w:val="SCVtablebody"/>
            </w:pPr>
          </w:p>
        </w:tc>
        <w:tc>
          <w:tcPr>
            <w:tcW w:w="1519" w:type="dxa"/>
            <w:noWrap/>
            <w:hideMark/>
          </w:tcPr>
          <w:p w14:paraId="22C62645" w14:textId="77777777" w:rsidR="009815FF" w:rsidRPr="009815FF" w:rsidRDefault="009815FF" w:rsidP="00724197">
            <w:pPr>
              <w:pStyle w:val="SCVtablebody"/>
            </w:pPr>
            <w:r w:rsidRPr="009815FF">
              <w:t>34</w:t>
            </w:r>
          </w:p>
        </w:tc>
        <w:tc>
          <w:tcPr>
            <w:tcW w:w="1519" w:type="dxa"/>
            <w:noWrap/>
            <w:hideMark/>
          </w:tcPr>
          <w:p w14:paraId="26B6FCA9" w14:textId="77777777" w:rsidR="009815FF" w:rsidRPr="009815FF" w:rsidRDefault="009815FF" w:rsidP="00724197">
            <w:pPr>
              <w:pStyle w:val="SCVtablebody"/>
            </w:pPr>
          </w:p>
        </w:tc>
        <w:tc>
          <w:tcPr>
            <w:tcW w:w="1520" w:type="dxa"/>
            <w:noWrap/>
            <w:hideMark/>
          </w:tcPr>
          <w:p w14:paraId="55079FD5" w14:textId="77777777" w:rsidR="009815FF" w:rsidRPr="009815FF" w:rsidRDefault="009815FF" w:rsidP="00724197">
            <w:pPr>
              <w:pStyle w:val="SCVtablebody"/>
              <w:rPr>
                <w:rFonts w:ascii="Times New Roman" w:hAnsi="Times New Roman"/>
              </w:rPr>
            </w:pPr>
          </w:p>
        </w:tc>
      </w:tr>
      <w:tr w:rsidR="009815FF" w:rsidRPr="009815FF" w14:paraId="530895B2" w14:textId="77777777" w:rsidTr="00A977F1">
        <w:trPr>
          <w:trHeight w:val="300"/>
        </w:trPr>
        <w:tc>
          <w:tcPr>
            <w:tcW w:w="2610" w:type="dxa"/>
            <w:noWrap/>
            <w:hideMark/>
          </w:tcPr>
          <w:p w14:paraId="252C100D" w14:textId="25215329" w:rsidR="009815FF" w:rsidRPr="009815FF" w:rsidRDefault="009815FF" w:rsidP="00724197">
            <w:pPr>
              <w:pStyle w:val="SCVtablebody"/>
            </w:pPr>
            <w:r w:rsidRPr="009815FF">
              <w:t>2013</w:t>
            </w:r>
            <w:r w:rsidR="00724197">
              <w:t>–</w:t>
            </w:r>
            <w:r w:rsidRPr="009815FF">
              <w:t>14</w:t>
            </w:r>
          </w:p>
        </w:tc>
        <w:tc>
          <w:tcPr>
            <w:tcW w:w="1519" w:type="dxa"/>
            <w:noWrap/>
            <w:hideMark/>
          </w:tcPr>
          <w:p w14:paraId="26708509" w14:textId="77777777" w:rsidR="009815FF" w:rsidRPr="009815FF" w:rsidRDefault="009815FF" w:rsidP="00724197">
            <w:pPr>
              <w:pStyle w:val="SCVtablebody"/>
            </w:pPr>
            <w:r w:rsidRPr="009815FF">
              <w:t>54</w:t>
            </w:r>
          </w:p>
        </w:tc>
        <w:tc>
          <w:tcPr>
            <w:tcW w:w="1519" w:type="dxa"/>
            <w:noWrap/>
            <w:hideMark/>
          </w:tcPr>
          <w:p w14:paraId="45AC7A98" w14:textId="77777777" w:rsidR="009815FF" w:rsidRPr="009815FF" w:rsidRDefault="009815FF" w:rsidP="00724197">
            <w:pPr>
              <w:pStyle w:val="SCVtablebody"/>
            </w:pPr>
          </w:p>
        </w:tc>
        <w:tc>
          <w:tcPr>
            <w:tcW w:w="1519" w:type="dxa"/>
            <w:noWrap/>
            <w:hideMark/>
          </w:tcPr>
          <w:p w14:paraId="04E7E846" w14:textId="77777777" w:rsidR="009815FF" w:rsidRPr="009815FF" w:rsidRDefault="009815FF" w:rsidP="00724197">
            <w:pPr>
              <w:pStyle w:val="SCVtablebody"/>
            </w:pPr>
            <w:r w:rsidRPr="009815FF">
              <w:t>54</w:t>
            </w:r>
          </w:p>
        </w:tc>
        <w:tc>
          <w:tcPr>
            <w:tcW w:w="1519" w:type="dxa"/>
            <w:noWrap/>
            <w:hideMark/>
          </w:tcPr>
          <w:p w14:paraId="4FC66ABE" w14:textId="77777777" w:rsidR="009815FF" w:rsidRPr="009815FF" w:rsidRDefault="009815FF" w:rsidP="00724197">
            <w:pPr>
              <w:pStyle w:val="SCVtablebody"/>
            </w:pPr>
          </w:p>
        </w:tc>
        <w:tc>
          <w:tcPr>
            <w:tcW w:w="1520" w:type="dxa"/>
            <w:noWrap/>
            <w:hideMark/>
          </w:tcPr>
          <w:p w14:paraId="09F9E666" w14:textId="77777777" w:rsidR="009815FF" w:rsidRPr="009815FF" w:rsidRDefault="009815FF" w:rsidP="00724197">
            <w:pPr>
              <w:pStyle w:val="SCVtablebody"/>
              <w:rPr>
                <w:rFonts w:ascii="Times New Roman" w:hAnsi="Times New Roman"/>
              </w:rPr>
            </w:pPr>
          </w:p>
        </w:tc>
      </w:tr>
      <w:tr w:rsidR="009815FF" w:rsidRPr="009815FF" w14:paraId="0883281C" w14:textId="77777777" w:rsidTr="00A977F1">
        <w:trPr>
          <w:trHeight w:val="300"/>
        </w:trPr>
        <w:tc>
          <w:tcPr>
            <w:tcW w:w="2610" w:type="dxa"/>
            <w:noWrap/>
            <w:hideMark/>
          </w:tcPr>
          <w:p w14:paraId="0B63A1D0" w14:textId="6D0CDED1" w:rsidR="009815FF" w:rsidRPr="009815FF" w:rsidRDefault="009815FF" w:rsidP="00724197">
            <w:pPr>
              <w:pStyle w:val="SCVtablebody"/>
            </w:pPr>
            <w:r w:rsidRPr="009815FF">
              <w:t>2014</w:t>
            </w:r>
            <w:r w:rsidR="00724197">
              <w:t>–</w:t>
            </w:r>
            <w:r w:rsidRPr="009815FF">
              <w:t>15</w:t>
            </w:r>
          </w:p>
        </w:tc>
        <w:tc>
          <w:tcPr>
            <w:tcW w:w="1519" w:type="dxa"/>
            <w:noWrap/>
            <w:hideMark/>
          </w:tcPr>
          <w:p w14:paraId="08435B5E" w14:textId="77777777" w:rsidR="009815FF" w:rsidRPr="009815FF" w:rsidRDefault="009815FF" w:rsidP="00724197">
            <w:pPr>
              <w:pStyle w:val="SCVtablebody"/>
            </w:pPr>
            <w:r w:rsidRPr="009815FF">
              <w:t>42</w:t>
            </w:r>
          </w:p>
        </w:tc>
        <w:tc>
          <w:tcPr>
            <w:tcW w:w="1519" w:type="dxa"/>
            <w:noWrap/>
            <w:hideMark/>
          </w:tcPr>
          <w:p w14:paraId="1B14DE79" w14:textId="77777777" w:rsidR="009815FF" w:rsidRPr="009815FF" w:rsidRDefault="009815FF" w:rsidP="00724197">
            <w:pPr>
              <w:pStyle w:val="SCVtablebody"/>
            </w:pPr>
          </w:p>
        </w:tc>
        <w:tc>
          <w:tcPr>
            <w:tcW w:w="1519" w:type="dxa"/>
            <w:noWrap/>
            <w:hideMark/>
          </w:tcPr>
          <w:p w14:paraId="0AA779B7" w14:textId="77777777" w:rsidR="009815FF" w:rsidRPr="009815FF" w:rsidRDefault="009815FF" w:rsidP="00724197">
            <w:pPr>
              <w:pStyle w:val="SCVtablebody"/>
            </w:pPr>
            <w:r w:rsidRPr="009815FF">
              <w:t>42</w:t>
            </w:r>
          </w:p>
        </w:tc>
        <w:tc>
          <w:tcPr>
            <w:tcW w:w="1519" w:type="dxa"/>
            <w:noWrap/>
            <w:hideMark/>
          </w:tcPr>
          <w:p w14:paraId="55F505F8" w14:textId="77777777" w:rsidR="009815FF" w:rsidRPr="009815FF" w:rsidRDefault="009815FF" w:rsidP="00724197">
            <w:pPr>
              <w:pStyle w:val="SCVtablebody"/>
            </w:pPr>
          </w:p>
        </w:tc>
        <w:tc>
          <w:tcPr>
            <w:tcW w:w="1520" w:type="dxa"/>
            <w:noWrap/>
            <w:hideMark/>
          </w:tcPr>
          <w:p w14:paraId="33F2E68B" w14:textId="77777777" w:rsidR="009815FF" w:rsidRPr="009815FF" w:rsidRDefault="009815FF" w:rsidP="00724197">
            <w:pPr>
              <w:pStyle w:val="SCVtablebody"/>
              <w:rPr>
                <w:rFonts w:ascii="Times New Roman" w:hAnsi="Times New Roman"/>
              </w:rPr>
            </w:pPr>
          </w:p>
        </w:tc>
      </w:tr>
      <w:tr w:rsidR="009815FF" w:rsidRPr="009815FF" w14:paraId="52CA4939" w14:textId="77777777" w:rsidTr="00A977F1">
        <w:trPr>
          <w:trHeight w:val="300"/>
        </w:trPr>
        <w:tc>
          <w:tcPr>
            <w:tcW w:w="2610" w:type="dxa"/>
            <w:noWrap/>
            <w:hideMark/>
          </w:tcPr>
          <w:p w14:paraId="2AA663D5" w14:textId="4DD0ED53" w:rsidR="009815FF" w:rsidRPr="009815FF" w:rsidRDefault="009815FF" w:rsidP="00724197">
            <w:pPr>
              <w:pStyle w:val="SCVtablebody"/>
            </w:pPr>
            <w:r w:rsidRPr="009815FF">
              <w:t>2015</w:t>
            </w:r>
            <w:r w:rsidR="00724197">
              <w:t>–</w:t>
            </w:r>
            <w:r w:rsidRPr="009815FF">
              <w:t>16</w:t>
            </w:r>
          </w:p>
        </w:tc>
        <w:tc>
          <w:tcPr>
            <w:tcW w:w="1519" w:type="dxa"/>
            <w:noWrap/>
            <w:hideMark/>
          </w:tcPr>
          <w:p w14:paraId="4C50BBEB" w14:textId="77777777" w:rsidR="009815FF" w:rsidRPr="009815FF" w:rsidRDefault="009815FF" w:rsidP="00724197">
            <w:pPr>
              <w:pStyle w:val="SCVtablebody"/>
            </w:pPr>
            <w:r w:rsidRPr="009815FF">
              <w:t>47</w:t>
            </w:r>
          </w:p>
        </w:tc>
        <w:tc>
          <w:tcPr>
            <w:tcW w:w="1519" w:type="dxa"/>
            <w:noWrap/>
            <w:hideMark/>
          </w:tcPr>
          <w:p w14:paraId="50460288" w14:textId="77777777" w:rsidR="009815FF" w:rsidRPr="009815FF" w:rsidRDefault="009815FF" w:rsidP="00724197">
            <w:pPr>
              <w:pStyle w:val="SCVtablebody"/>
            </w:pPr>
          </w:p>
        </w:tc>
        <w:tc>
          <w:tcPr>
            <w:tcW w:w="1519" w:type="dxa"/>
            <w:noWrap/>
            <w:hideMark/>
          </w:tcPr>
          <w:p w14:paraId="28DC0548" w14:textId="77777777" w:rsidR="009815FF" w:rsidRPr="009815FF" w:rsidRDefault="009815FF" w:rsidP="00724197">
            <w:pPr>
              <w:pStyle w:val="SCVtablebody"/>
            </w:pPr>
            <w:r w:rsidRPr="009815FF">
              <w:t>47</w:t>
            </w:r>
          </w:p>
        </w:tc>
        <w:tc>
          <w:tcPr>
            <w:tcW w:w="1519" w:type="dxa"/>
            <w:noWrap/>
            <w:hideMark/>
          </w:tcPr>
          <w:p w14:paraId="1BC367E3" w14:textId="77777777" w:rsidR="009815FF" w:rsidRPr="009815FF" w:rsidRDefault="009815FF" w:rsidP="00724197">
            <w:pPr>
              <w:pStyle w:val="SCVtablebody"/>
            </w:pPr>
          </w:p>
        </w:tc>
        <w:tc>
          <w:tcPr>
            <w:tcW w:w="1520" w:type="dxa"/>
            <w:noWrap/>
            <w:hideMark/>
          </w:tcPr>
          <w:p w14:paraId="327522F1" w14:textId="77777777" w:rsidR="009815FF" w:rsidRPr="009815FF" w:rsidRDefault="009815FF" w:rsidP="00724197">
            <w:pPr>
              <w:pStyle w:val="SCVtablebody"/>
              <w:rPr>
                <w:rFonts w:ascii="Times New Roman" w:hAnsi="Times New Roman"/>
              </w:rPr>
            </w:pPr>
          </w:p>
        </w:tc>
      </w:tr>
      <w:tr w:rsidR="009815FF" w:rsidRPr="009815FF" w14:paraId="57466644" w14:textId="77777777" w:rsidTr="00A977F1">
        <w:trPr>
          <w:trHeight w:val="300"/>
        </w:trPr>
        <w:tc>
          <w:tcPr>
            <w:tcW w:w="2610" w:type="dxa"/>
            <w:noWrap/>
            <w:hideMark/>
          </w:tcPr>
          <w:p w14:paraId="3567E919" w14:textId="07752D09" w:rsidR="009815FF" w:rsidRPr="009815FF" w:rsidRDefault="009815FF" w:rsidP="00724197">
            <w:pPr>
              <w:pStyle w:val="SCVtablebody"/>
            </w:pPr>
            <w:r w:rsidRPr="009815FF">
              <w:t>2016</w:t>
            </w:r>
            <w:r w:rsidR="00724197">
              <w:t>–</w:t>
            </w:r>
            <w:r w:rsidRPr="009815FF">
              <w:t>17</w:t>
            </w:r>
          </w:p>
        </w:tc>
        <w:tc>
          <w:tcPr>
            <w:tcW w:w="1519" w:type="dxa"/>
            <w:noWrap/>
            <w:hideMark/>
          </w:tcPr>
          <w:p w14:paraId="6E66324E" w14:textId="77777777" w:rsidR="009815FF" w:rsidRPr="009815FF" w:rsidRDefault="009815FF" w:rsidP="00724197">
            <w:pPr>
              <w:pStyle w:val="SCVtablebody"/>
            </w:pPr>
            <w:r w:rsidRPr="009815FF">
              <w:t>72</w:t>
            </w:r>
          </w:p>
        </w:tc>
        <w:tc>
          <w:tcPr>
            <w:tcW w:w="1519" w:type="dxa"/>
            <w:noWrap/>
            <w:hideMark/>
          </w:tcPr>
          <w:p w14:paraId="61A4CC73" w14:textId="77777777" w:rsidR="009815FF" w:rsidRPr="009815FF" w:rsidRDefault="009815FF" w:rsidP="00724197">
            <w:pPr>
              <w:pStyle w:val="SCVtablebody"/>
            </w:pPr>
          </w:p>
        </w:tc>
        <w:tc>
          <w:tcPr>
            <w:tcW w:w="1519" w:type="dxa"/>
            <w:noWrap/>
            <w:hideMark/>
          </w:tcPr>
          <w:p w14:paraId="0A444A32" w14:textId="77777777" w:rsidR="009815FF" w:rsidRPr="009815FF" w:rsidRDefault="009815FF" w:rsidP="00724197">
            <w:pPr>
              <w:pStyle w:val="SCVtablebody"/>
            </w:pPr>
            <w:r w:rsidRPr="009815FF">
              <w:t>72</w:t>
            </w:r>
          </w:p>
        </w:tc>
        <w:tc>
          <w:tcPr>
            <w:tcW w:w="1519" w:type="dxa"/>
            <w:noWrap/>
            <w:hideMark/>
          </w:tcPr>
          <w:p w14:paraId="78DF21A6" w14:textId="77777777" w:rsidR="009815FF" w:rsidRPr="009815FF" w:rsidRDefault="009815FF" w:rsidP="00724197">
            <w:pPr>
              <w:pStyle w:val="SCVtablebody"/>
            </w:pPr>
          </w:p>
        </w:tc>
        <w:tc>
          <w:tcPr>
            <w:tcW w:w="1520" w:type="dxa"/>
            <w:noWrap/>
            <w:hideMark/>
          </w:tcPr>
          <w:p w14:paraId="231AD411" w14:textId="77777777" w:rsidR="009815FF" w:rsidRPr="009815FF" w:rsidRDefault="009815FF" w:rsidP="00724197">
            <w:pPr>
              <w:pStyle w:val="SCVtablebody"/>
              <w:rPr>
                <w:rFonts w:ascii="Times New Roman" w:hAnsi="Times New Roman"/>
              </w:rPr>
            </w:pPr>
          </w:p>
        </w:tc>
      </w:tr>
      <w:tr w:rsidR="009815FF" w:rsidRPr="009815FF" w14:paraId="2F3D5FE0" w14:textId="77777777" w:rsidTr="00A977F1">
        <w:trPr>
          <w:trHeight w:val="300"/>
        </w:trPr>
        <w:tc>
          <w:tcPr>
            <w:tcW w:w="2610" w:type="dxa"/>
            <w:noWrap/>
            <w:hideMark/>
          </w:tcPr>
          <w:p w14:paraId="42CE3397" w14:textId="461133A6" w:rsidR="009815FF" w:rsidRPr="009815FF" w:rsidRDefault="009815FF" w:rsidP="00724197">
            <w:pPr>
              <w:pStyle w:val="SCVtablebody"/>
            </w:pPr>
            <w:r w:rsidRPr="009815FF">
              <w:t>2017</w:t>
            </w:r>
            <w:r w:rsidR="00724197">
              <w:t>–</w:t>
            </w:r>
            <w:r w:rsidRPr="009815FF">
              <w:t>18</w:t>
            </w:r>
          </w:p>
        </w:tc>
        <w:tc>
          <w:tcPr>
            <w:tcW w:w="1519" w:type="dxa"/>
            <w:noWrap/>
            <w:hideMark/>
          </w:tcPr>
          <w:p w14:paraId="7B9E0F7A" w14:textId="77777777" w:rsidR="009815FF" w:rsidRPr="009815FF" w:rsidRDefault="009815FF" w:rsidP="00724197">
            <w:pPr>
              <w:pStyle w:val="SCVtablebody"/>
            </w:pPr>
            <w:r w:rsidRPr="009815FF">
              <w:t>122</w:t>
            </w:r>
          </w:p>
        </w:tc>
        <w:tc>
          <w:tcPr>
            <w:tcW w:w="1519" w:type="dxa"/>
            <w:noWrap/>
            <w:hideMark/>
          </w:tcPr>
          <w:p w14:paraId="79C4C389" w14:textId="77777777" w:rsidR="009815FF" w:rsidRPr="009815FF" w:rsidRDefault="009815FF" w:rsidP="00724197">
            <w:pPr>
              <w:pStyle w:val="SCVtablebody"/>
            </w:pPr>
            <w:r w:rsidRPr="009815FF">
              <w:t>8</w:t>
            </w:r>
          </w:p>
        </w:tc>
        <w:tc>
          <w:tcPr>
            <w:tcW w:w="1519" w:type="dxa"/>
            <w:noWrap/>
            <w:hideMark/>
          </w:tcPr>
          <w:p w14:paraId="0C8E67AB" w14:textId="77777777" w:rsidR="009815FF" w:rsidRPr="009815FF" w:rsidRDefault="009815FF" w:rsidP="00724197">
            <w:pPr>
              <w:pStyle w:val="SCVtablebody"/>
            </w:pPr>
            <w:r w:rsidRPr="009815FF">
              <w:t>114</w:t>
            </w:r>
          </w:p>
        </w:tc>
        <w:tc>
          <w:tcPr>
            <w:tcW w:w="1519" w:type="dxa"/>
            <w:noWrap/>
            <w:hideMark/>
          </w:tcPr>
          <w:p w14:paraId="4E2BB934" w14:textId="77777777" w:rsidR="009815FF" w:rsidRPr="009815FF" w:rsidRDefault="009815FF" w:rsidP="00724197">
            <w:pPr>
              <w:pStyle w:val="SCVtablebody"/>
            </w:pPr>
          </w:p>
        </w:tc>
        <w:tc>
          <w:tcPr>
            <w:tcW w:w="1520" w:type="dxa"/>
            <w:noWrap/>
            <w:hideMark/>
          </w:tcPr>
          <w:p w14:paraId="7E6CCE90" w14:textId="77777777" w:rsidR="009815FF" w:rsidRPr="009815FF" w:rsidRDefault="009815FF" w:rsidP="00724197">
            <w:pPr>
              <w:pStyle w:val="SCVtablebody"/>
              <w:rPr>
                <w:rFonts w:ascii="Times New Roman" w:hAnsi="Times New Roman"/>
              </w:rPr>
            </w:pPr>
          </w:p>
        </w:tc>
      </w:tr>
      <w:tr w:rsidR="009815FF" w:rsidRPr="009815FF" w14:paraId="6C3B7B4E" w14:textId="77777777" w:rsidTr="00A977F1">
        <w:trPr>
          <w:trHeight w:val="300"/>
        </w:trPr>
        <w:tc>
          <w:tcPr>
            <w:tcW w:w="2610" w:type="dxa"/>
            <w:noWrap/>
            <w:hideMark/>
          </w:tcPr>
          <w:p w14:paraId="6093EE10" w14:textId="549399B9" w:rsidR="009815FF" w:rsidRPr="009815FF" w:rsidRDefault="009815FF" w:rsidP="00724197">
            <w:pPr>
              <w:pStyle w:val="SCVtablebody"/>
            </w:pPr>
            <w:r w:rsidRPr="009815FF">
              <w:t>2018</w:t>
            </w:r>
            <w:r w:rsidR="00724197">
              <w:t>–</w:t>
            </w:r>
            <w:r w:rsidRPr="009815FF">
              <w:t>19</w:t>
            </w:r>
          </w:p>
        </w:tc>
        <w:tc>
          <w:tcPr>
            <w:tcW w:w="1519" w:type="dxa"/>
            <w:noWrap/>
            <w:hideMark/>
          </w:tcPr>
          <w:p w14:paraId="2620C5EA" w14:textId="77777777" w:rsidR="009815FF" w:rsidRPr="009815FF" w:rsidRDefault="009815FF" w:rsidP="00724197">
            <w:pPr>
              <w:pStyle w:val="SCVtablebody"/>
            </w:pPr>
            <w:r w:rsidRPr="009815FF">
              <w:t>121</w:t>
            </w:r>
          </w:p>
        </w:tc>
        <w:tc>
          <w:tcPr>
            <w:tcW w:w="1519" w:type="dxa"/>
            <w:noWrap/>
            <w:hideMark/>
          </w:tcPr>
          <w:p w14:paraId="52555D46" w14:textId="77777777" w:rsidR="009815FF" w:rsidRPr="009815FF" w:rsidRDefault="009815FF" w:rsidP="00724197">
            <w:pPr>
              <w:pStyle w:val="SCVtablebody"/>
            </w:pPr>
            <w:r w:rsidRPr="009815FF">
              <w:t>22</w:t>
            </w:r>
          </w:p>
        </w:tc>
        <w:tc>
          <w:tcPr>
            <w:tcW w:w="1519" w:type="dxa"/>
            <w:noWrap/>
            <w:hideMark/>
          </w:tcPr>
          <w:p w14:paraId="2FE83A45" w14:textId="77777777" w:rsidR="009815FF" w:rsidRPr="009815FF" w:rsidRDefault="009815FF" w:rsidP="00724197">
            <w:pPr>
              <w:pStyle w:val="SCVtablebody"/>
            </w:pPr>
            <w:r w:rsidRPr="009815FF">
              <w:t>99</w:t>
            </w:r>
          </w:p>
        </w:tc>
        <w:tc>
          <w:tcPr>
            <w:tcW w:w="1519" w:type="dxa"/>
            <w:noWrap/>
            <w:hideMark/>
          </w:tcPr>
          <w:p w14:paraId="7B103BDC" w14:textId="77777777" w:rsidR="009815FF" w:rsidRPr="009815FF" w:rsidRDefault="009815FF" w:rsidP="00724197">
            <w:pPr>
              <w:pStyle w:val="SCVtablebody"/>
            </w:pPr>
          </w:p>
        </w:tc>
        <w:tc>
          <w:tcPr>
            <w:tcW w:w="1520" w:type="dxa"/>
            <w:noWrap/>
            <w:hideMark/>
          </w:tcPr>
          <w:p w14:paraId="38D55C1C" w14:textId="77777777" w:rsidR="009815FF" w:rsidRPr="009815FF" w:rsidRDefault="009815FF" w:rsidP="00724197">
            <w:pPr>
              <w:pStyle w:val="SCVtablebody"/>
              <w:rPr>
                <w:rFonts w:ascii="Times New Roman" w:hAnsi="Times New Roman"/>
              </w:rPr>
            </w:pPr>
          </w:p>
        </w:tc>
      </w:tr>
      <w:tr w:rsidR="009815FF" w:rsidRPr="009815FF" w14:paraId="08D83116" w14:textId="77777777" w:rsidTr="00A977F1">
        <w:trPr>
          <w:trHeight w:val="300"/>
        </w:trPr>
        <w:tc>
          <w:tcPr>
            <w:tcW w:w="2610" w:type="dxa"/>
            <w:noWrap/>
            <w:hideMark/>
          </w:tcPr>
          <w:p w14:paraId="40F65712" w14:textId="094A59EF" w:rsidR="009815FF" w:rsidRPr="009815FF" w:rsidRDefault="009815FF" w:rsidP="00724197">
            <w:pPr>
              <w:pStyle w:val="SCVtablebody"/>
            </w:pPr>
            <w:r w:rsidRPr="009815FF">
              <w:t>2019</w:t>
            </w:r>
            <w:r w:rsidR="00724197">
              <w:t>–</w:t>
            </w:r>
            <w:r w:rsidRPr="009815FF">
              <w:t>20</w:t>
            </w:r>
          </w:p>
        </w:tc>
        <w:tc>
          <w:tcPr>
            <w:tcW w:w="1519" w:type="dxa"/>
            <w:noWrap/>
            <w:hideMark/>
          </w:tcPr>
          <w:p w14:paraId="45773191" w14:textId="77777777" w:rsidR="009815FF" w:rsidRPr="009815FF" w:rsidRDefault="009815FF" w:rsidP="00724197">
            <w:pPr>
              <w:pStyle w:val="SCVtablebody"/>
            </w:pPr>
            <w:r w:rsidRPr="009815FF">
              <w:t>186</w:t>
            </w:r>
          </w:p>
        </w:tc>
        <w:tc>
          <w:tcPr>
            <w:tcW w:w="1519" w:type="dxa"/>
            <w:noWrap/>
            <w:hideMark/>
          </w:tcPr>
          <w:p w14:paraId="08B57453" w14:textId="77777777" w:rsidR="009815FF" w:rsidRPr="009815FF" w:rsidRDefault="009815FF" w:rsidP="00724197">
            <w:pPr>
              <w:pStyle w:val="SCVtablebody"/>
            </w:pPr>
            <w:r w:rsidRPr="009815FF">
              <w:t>20</w:t>
            </w:r>
          </w:p>
        </w:tc>
        <w:tc>
          <w:tcPr>
            <w:tcW w:w="1519" w:type="dxa"/>
            <w:noWrap/>
            <w:hideMark/>
          </w:tcPr>
          <w:p w14:paraId="343C562A" w14:textId="77777777" w:rsidR="009815FF" w:rsidRPr="009815FF" w:rsidRDefault="009815FF" w:rsidP="00724197">
            <w:pPr>
              <w:pStyle w:val="SCVtablebody"/>
            </w:pPr>
            <w:r w:rsidRPr="009815FF">
              <w:t>166</w:t>
            </w:r>
          </w:p>
        </w:tc>
        <w:tc>
          <w:tcPr>
            <w:tcW w:w="1519" w:type="dxa"/>
            <w:noWrap/>
            <w:hideMark/>
          </w:tcPr>
          <w:p w14:paraId="09C26413" w14:textId="77777777" w:rsidR="009815FF" w:rsidRPr="009815FF" w:rsidRDefault="009815FF" w:rsidP="00724197">
            <w:pPr>
              <w:pStyle w:val="SCVtablebody"/>
            </w:pPr>
            <w:r w:rsidRPr="009815FF">
              <w:t>163</w:t>
            </w:r>
          </w:p>
        </w:tc>
        <w:tc>
          <w:tcPr>
            <w:tcW w:w="1520" w:type="dxa"/>
            <w:noWrap/>
            <w:hideMark/>
          </w:tcPr>
          <w:p w14:paraId="0185E614" w14:textId="77777777" w:rsidR="009815FF" w:rsidRPr="009815FF" w:rsidRDefault="009815FF" w:rsidP="00724197">
            <w:pPr>
              <w:pStyle w:val="SCVtablebody"/>
            </w:pPr>
            <w:r w:rsidRPr="009815FF">
              <w:t>23</w:t>
            </w:r>
          </w:p>
        </w:tc>
      </w:tr>
      <w:tr w:rsidR="009815FF" w:rsidRPr="009815FF" w14:paraId="417544EC" w14:textId="77777777" w:rsidTr="00A977F1">
        <w:trPr>
          <w:trHeight w:val="300"/>
        </w:trPr>
        <w:tc>
          <w:tcPr>
            <w:tcW w:w="2610" w:type="dxa"/>
            <w:noWrap/>
            <w:hideMark/>
          </w:tcPr>
          <w:p w14:paraId="68DFC5B9" w14:textId="477338FA" w:rsidR="009815FF" w:rsidRPr="009815FF" w:rsidRDefault="009815FF" w:rsidP="00724197">
            <w:pPr>
              <w:pStyle w:val="SCVtablebody"/>
            </w:pPr>
            <w:r w:rsidRPr="009815FF">
              <w:t>2020</w:t>
            </w:r>
            <w:r w:rsidR="00724197">
              <w:t>–</w:t>
            </w:r>
            <w:r w:rsidRPr="009815FF">
              <w:t>21</w:t>
            </w:r>
          </w:p>
        </w:tc>
        <w:tc>
          <w:tcPr>
            <w:tcW w:w="1519" w:type="dxa"/>
            <w:noWrap/>
            <w:hideMark/>
          </w:tcPr>
          <w:p w14:paraId="6BB14067" w14:textId="77777777" w:rsidR="009815FF" w:rsidRPr="009815FF" w:rsidRDefault="009815FF" w:rsidP="00724197">
            <w:pPr>
              <w:pStyle w:val="SCVtablebody"/>
            </w:pPr>
            <w:r w:rsidRPr="009815FF">
              <w:t>168</w:t>
            </w:r>
          </w:p>
        </w:tc>
        <w:tc>
          <w:tcPr>
            <w:tcW w:w="1519" w:type="dxa"/>
            <w:noWrap/>
            <w:hideMark/>
          </w:tcPr>
          <w:p w14:paraId="0A00B10C" w14:textId="77777777" w:rsidR="009815FF" w:rsidRPr="009815FF" w:rsidRDefault="009815FF" w:rsidP="00724197">
            <w:pPr>
              <w:pStyle w:val="SCVtablebody"/>
            </w:pPr>
            <w:r w:rsidRPr="009815FF">
              <w:t>28</w:t>
            </w:r>
          </w:p>
        </w:tc>
        <w:tc>
          <w:tcPr>
            <w:tcW w:w="1519" w:type="dxa"/>
            <w:noWrap/>
            <w:hideMark/>
          </w:tcPr>
          <w:p w14:paraId="5794D620" w14:textId="77777777" w:rsidR="009815FF" w:rsidRPr="009815FF" w:rsidRDefault="009815FF" w:rsidP="00724197">
            <w:pPr>
              <w:pStyle w:val="SCVtablebody"/>
            </w:pPr>
            <w:r w:rsidRPr="009815FF">
              <w:t>140</w:t>
            </w:r>
          </w:p>
        </w:tc>
        <w:tc>
          <w:tcPr>
            <w:tcW w:w="1519" w:type="dxa"/>
            <w:noWrap/>
            <w:hideMark/>
          </w:tcPr>
          <w:p w14:paraId="03E76F62" w14:textId="77777777" w:rsidR="009815FF" w:rsidRPr="009815FF" w:rsidRDefault="009815FF" w:rsidP="00724197">
            <w:pPr>
              <w:pStyle w:val="SCVtablebody"/>
            </w:pPr>
            <w:r w:rsidRPr="009815FF">
              <w:t>144</w:t>
            </w:r>
          </w:p>
        </w:tc>
        <w:tc>
          <w:tcPr>
            <w:tcW w:w="1520" w:type="dxa"/>
            <w:noWrap/>
            <w:hideMark/>
          </w:tcPr>
          <w:p w14:paraId="60A8A956" w14:textId="77777777" w:rsidR="009815FF" w:rsidRPr="009815FF" w:rsidRDefault="009815FF" w:rsidP="00724197">
            <w:pPr>
              <w:pStyle w:val="SCVtablebody"/>
            </w:pPr>
            <w:r w:rsidRPr="009815FF">
              <w:t>24</w:t>
            </w:r>
          </w:p>
        </w:tc>
      </w:tr>
      <w:tr w:rsidR="009815FF" w:rsidRPr="009815FF" w14:paraId="1D0998EA" w14:textId="77777777" w:rsidTr="00A977F1">
        <w:trPr>
          <w:trHeight w:val="300"/>
        </w:trPr>
        <w:tc>
          <w:tcPr>
            <w:tcW w:w="2610" w:type="dxa"/>
            <w:noWrap/>
            <w:hideMark/>
          </w:tcPr>
          <w:p w14:paraId="4AE1F52A" w14:textId="6801F735" w:rsidR="009815FF" w:rsidRPr="009815FF" w:rsidRDefault="009815FF" w:rsidP="00724197">
            <w:pPr>
              <w:pStyle w:val="SCVtablebody"/>
            </w:pPr>
            <w:r w:rsidRPr="009815FF">
              <w:t>2021</w:t>
            </w:r>
            <w:r w:rsidR="00724197">
              <w:t>–</w:t>
            </w:r>
            <w:r w:rsidRPr="009815FF">
              <w:t>22</w:t>
            </w:r>
          </w:p>
        </w:tc>
        <w:tc>
          <w:tcPr>
            <w:tcW w:w="1519" w:type="dxa"/>
            <w:noWrap/>
            <w:hideMark/>
          </w:tcPr>
          <w:p w14:paraId="59872785" w14:textId="77777777" w:rsidR="009815FF" w:rsidRPr="009815FF" w:rsidRDefault="009815FF" w:rsidP="00724197">
            <w:pPr>
              <w:pStyle w:val="SCVtablebody"/>
            </w:pPr>
            <w:r w:rsidRPr="009815FF">
              <w:t>240</w:t>
            </w:r>
          </w:p>
        </w:tc>
        <w:tc>
          <w:tcPr>
            <w:tcW w:w="1519" w:type="dxa"/>
            <w:noWrap/>
            <w:hideMark/>
          </w:tcPr>
          <w:p w14:paraId="3103FC4C" w14:textId="77777777" w:rsidR="009815FF" w:rsidRPr="009815FF" w:rsidRDefault="009815FF" w:rsidP="00724197">
            <w:pPr>
              <w:pStyle w:val="SCVtablebody"/>
            </w:pPr>
            <w:r w:rsidRPr="009815FF">
              <w:t>43</w:t>
            </w:r>
          </w:p>
        </w:tc>
        <w:tc>
          <w:tcPr>
            <w:tcW w:w="1519" w:type="dxa"/>
            <w:noWrap/>
            <w:hideMark/>
          </w:tcPr>
          <w:p w14:paraId="00F2C76E" w14:textId="77777777" w:rsidR="009815FF" w:rsidRPr="009815FF" w:rsidRDefault="009815FF" w:rsidP="00724197">
            <w:pPr>
              <w:pStyle w:val="SCVtablebody"/>
            </w:pPr>
            <w:r w:rsidRPr="009815FF">
              <w:t>197</w:t>
            </w:r>
          </w:p>
        </w:tc>
        <w:tc>
          <w:tcPr>
            <w:tcW w:w="1519" w:type="dxa"/>
            <w:noWrap/>
            <w:hideMark/>
          </w:tcPr>
          <w:p w14:paraId="7CD975F0" w14:textId="77777777" w:rsidR="009815FF" w:rsidRPr="009815FF" w:rsidRDefault="009815FF" w:rsidP="00724197">
            <w:pPr>
              <w:pStyle w:val="SCVtablebody"/>
            </w:pPr>
            <w:r w:rsidRPr="009815FF">
              <w:t>212</w:t>
            </w:r>
          </w:p>
        </w:tc>
        <w:tc>
          <w:tcPr>
            <w:tcW w:w="1520" w:type="dxa"/>
            <w:noWrap/>
            <w:hideMark/>
          </w:tcPr>
          <w:p w14:paraId="3D8E741F" w14:textId="77777777" w:rsidR="009815FF" w:rsidRPr="009815FF" w:rsidRDefault="009815FF" w:rsidP="00724197">
            <w:pPr>
              <w:pStyle w:val="SCVtablebody"/>
            </w:pPr>
            <w:r w:rsidRPr="009815FF">
              <w:t>28</w:t>
            </w:r>
          </w:p>
        </w:tc>
      </w:tr>
      <w:tr w:rsidR="009815FF" w:rsidRPr="009815FF" w14:paraId="0BBBB700" w14:textId="77777777" w:rsidTr="00A977F1">
        <w:trPr>
          <w:trHeight w:val="300"/>
        </w:trPr>
        <w:tc>
          <w:tcPr>
            <w:tcW w:w="2610" w:type="dxa"/>
            <w:noWrap/>
            <w:hideMark/>
          </w:tcPr>
          <w:p w14:paraId="143BFFB5" w14:textId="7271812A" w:rsidR="009815FF" w:rsidRPr="009815FF" w:rsidRDefault="009815FF" w:rsidP="00724197">
            <w:pPr>
              <w:pStyle w:val="SCVtablebody"/>
            </w:pPr>
            <w:r w:rsidRPr="009815FF">
              <w:t>2022</w:t>
            </w:r>
            <w:r w:rsidR="00724197">
              <w:t>–</w:t>
            </w:r>
            <w:r w:rsidRPr="009815FF">
              <w:t>23</w:t>
            </w:r>
          </w:p>
        </w:tc>
        <w:tc>
          <w:tcPr>
            <w:tcW w:w="1519" w:type="dxa"/>
            <w:noWrap/>
            <w:hideMark/>
          </w:tcPr>
          <w:p w14:paraId="5CCD8D28" w14:textId="77777777" w:rsidR="009815FF" w:rsidRPr="009815FF" w:rsidRDefault="009815FF" w:rsidP="00724197">
            <w:pPr>
              <w:pStyle w:val="SCVtablebody"/>
            </w:pPr>
            <w:r w:rsidRPr="009815FF">
              <w:t>245</w:t>
            </w:r>
          </w:p>
        </w:tc>
        <w:tc>
          <w:tcPr>
            <w:tcW w:w="1519" w:type="dxa"/>
            <w:noWrap/>
            <w:hideMark/>
          </w:tcPr>
          <w:p w14:paraId="54AD1F88" w14:textId="77777777" w:rsidR="009815FF" w:rsidRPr="009815FF" w:rsidRDefault="009815FF" w:rsidP="00724197">
            <w:pPr>
              <w:pStyle w:val="SCVtablebody"/>
            </w:pPr>
            <w:r w:rsidRPr="009815FF">
              <w:t>24</w:t>
            </w:r>
          </w:p>
        </w:tc>
        <w:tc>
          <w:tcPr>
            <w:tcW w:w="1519" w:type="dxa"/>
            <w:noWrap/>
            <w:hideMark/>
          </w:tcPr>
          <w:p w14:paraId="109F82BF" w14:textId="77777777" w:rsidR="009815FF" w:rsidRPr="009815FF" w:rsidRDefault="009815FF" w:rsidP="00724197">
            <w:pPr>
              <w:pStyle w:val="SCVtablebody"/>
            </w:pPr>
            <w:r w:rsidRPr="009815FF">
              <w:t>221</w:t>
            </w:r>
          </w:p>
        </w:tc>
        <w:tc>
          <w:tcPr>
            <w:tcW w:w="1519" w:type="dxa"/>
            <w:noWrap/>
            <w:hideMark/>
          </w:tcPr>
          <w:p w14:paraId="526780CC" w14:textId="77777777" w:rsidR="009815FF" w:rsidRPr="009815FF" w:rsidRDefault="009815FF" w:rsidP="00724197">
            <w:pPr>
              <w:pStyle w:val="SCVtablebody"/>
            </w:pPr>
            <w:r w:rsidRPr="009815FF">
              <w:t>210</w:t>
            </w:r>
          </w:p>
        </w:tc>
        <w:tc>
          <w:tcPr>
            <w:tcW w:w="1520" w:type="dxa"/>
            <w:noWrap/>
            <w:hideMark/>
          </w:tcPr>
          <w:p w14:paraId="67C500C7" w14:textId="77777777" w:rsidR="009815FF" w:rsidRPr="009815FF" w:rsidRDefault="009815FF" w:rsidP="00724197">
            <w:pPr>
              <w:pStyle w:val="SCVtablebody"/>
            </w:pPr>
            <w:r w:rsidRPr="009815FF">
              <w:t>35</w:t>
            </w:r>
          </w:p>
        </w:tc>
      </w:tr>
    </w:tbl>
    <w:p w14:paraId="5807F423" w14:textId="7612B2F5" w:rsidR="00152EC1" w:rsidRDefault="00152EC1" w:rsidP="00706267">
      <w:pPr>
        <w:pStyle w:val="SCVtablefigurenote"/>
      </w:pPr>
      <w:r>
        <w:t xml:space="preserve">On 1 July 2017, SCV took ownership of the Sentinel Event Program from the Department of Health. </w:t>
      </w:r>
    </w:p>
    <w:p w14:paraId="2D141DD1" w14:textId="7B40AF58" w:rsidR="00152EC1" w:rsidRDefault="00202D14" w:rsidP="00B566A0">
      <w:pPr>
        <w:pStyle w:val="Heading2"/>
      </w:pPr>
      <w:bookmarkStart w:id="10" w:name="_Toc173851108"/>
      <w:r>
        <w:t>Services notifying events</w:t>
      </w:r>
      <w:bookmarkEnd w:id="10"/>
      <w:r>
        <w:t xml:space="preserve"> </w:t>
      </w:r>
    </w:p>
    <w:p w14:paraId="77C89704" w14:textId="77777777" w:rsidR="00152EC1" w:rsidRDefault="00152EC1" w:rsidP="00C96A69">
      <w:pPr>
        <w:pStyle w:val="SCVbody"/>
      </w:pPr>
      <w:r>
        <w:t xml:space="preserve">While we saw an increase in events notified, as shown in Figure 4, there was a reduction in the number of health services notifying events in 2022–23. This was most notable for private hospitals, with a reduction in both events notified and the number of services notifying a sentinel event. </w:t>
      </w:r>
    </w:p>
    <w:p w14:paraId="65566837" w14:textId="77777777" w:rsidR="00152EC1" w:rsidRDefault="00152EC1" w:rsidP="00C96A69">
      <w:pPr>
        <w:pStyle w:val="SCVbody"/>
      </w:pPr>
      <w:r>
        <w:t xml:space="preserve">Figure 4. Number of sentinel events notified by public and private health services 1 July Note: sentinel events reporting became mandatory for private hospitals in 2018–2019 </w:t>
      </w:r>
    </w:p>
    <w:p w14:paraId="3EE8F83F" w14:textId="77777777" w:rsidR="00152EC1" w:rsidRDefault="00152EC1" w:rsidP="00C96A69">
      <w:pPr>
        <w:pStyle w:val="SCVbody"/>
      </w:pPr>
      <w:r w:rsidRPr="00805D32">
        <w:lastRenderedPageBreak/>
        <w:t xml:space="preserve">The Private Hospitals Unit in the Department of Health ensures that private services are aware of their sentinel events reporting requirements, and prompt onboarding to the sentinel events reporting portal, as part of their regular regulatory visits. </w:t>
      </w:r>
    </w:p>
    <w:p w14:paraId="6AA22C2B" w14:textId="61E2F4AF" w:rsidR="00706267" w:rsidRDefault="00152EC1" w:rsidP="00706267">
      <w:pPr>
        <w:pStyle w:val="SCVtablecaption"/>
      </w:pPr>
      <w:r>
        <w:t xml:space="preserve">Table 1. Health services notifying sentinel events 2021–22 and 2022–23 </w:t>
      </w:r>
    </w:p>
    <w:tbl>
      <w:tblPr>
        <w:tblStyle w:val="TableGrid"/>
        <w:tblW w:w="0" w:type="auto"/>
        <w:tblLook w:val="04A0" w:firstRow="1" w:lastRow="0" w:firstColumn="1" w:lastColumn="0" w:noHBand="0" w:noVBand="1"/>
      </w:tblPr>
      <w:tblGrid>
        <w:gridCol w:w="7290"/>
        <w:gridCol w:w="1457"/>
        <w:gridCol w:w="1457"/>
      </w:tblGrid>
      <w:tr w:rsidR="00706267" w14:paraId="78B2983D" w14:textId="77777777" w:rsidTr="00C24140">
        <w:trPr>
          <w:cnfStyle w:val="100000000000" w:firstRow="1" w:lastRow="0" w:firstColumn="0" w:lastColumn="0" w:oddVBand="0" w:evenVBand="0" w:oddHBand="0" w:evenHBand="0" w:firstRowFirstColumn="0" w:firstRowLastColumn="0" w:lastRowFirstColumn="0" w:lastRowLastColumn="0"/>
          <w:tblHeader/>
        </w:trPr>
        <w:tc>
          <w:tcPr>
            <w:tcW w:w="7290" w:type="dxa"/>
          </w:tcPr>
          <w:p w14:paraId="6A8555FE" w14:textId="7997410E" w:rsidR="00706267" w:rsidRDefault="00706267" w:rsidP="00C24140">
            <w:pPr>
              <w:pStyle w:val="SCVtablecolhead"/>
            </w:pPr>
            <w:r>
              <w:t>Health services notifications</w:t>
            </w:r>
          </w:p>
        </w:tc>
        <w:tc>
          <w:tcPr>
            <w:tcW w:w="1457" w:type="dxa"/>
          </w:tcPr>
          <w:p w14:paraId="1840F274" w14:textId="5039B8EC" w:rsidR="00706267" w:rsidRDefault="00706267" w:rsidP="00C24140">
            <w:pPr>
              <w:pStyle w:val="SCVtablecolhead"/>
            </w:pPr>
            <w:r>
              <w:t>2021–22</w:t>
            </w:r>
          </w:p>
        </w:tc>
        <w:tc>
          <w:tcPr>
            <w:tcW w:w="1457" w:type="dxa"/>
          </w:tcPr>
          <w:p w14:paraId="0EA20550" w14:textId="04BB3A6F" w:rsidR="00706267" w:rsidRDefault="00706267" w:rsidP="00C24140">
            <w:pPr>
              <w:pStyle w:val="SCVtablecolhead"/>
            </w:pPr>
            <w:r>
              <w:t xml:space="preserve">2022–23 </w:t>
            </w:r>
          </w:p>
        </w:tc>
      </w:tr>
      <w:tr w:rsidR="00706267" w14:paraId="2916C8EE" w14:textId="77777777" w:rsidTr="00C24140">
        <w:tc>
          <w:tcPr>
            <w:tcW w:w="7290" w:type="dxa"/>
          </w:tcPr>
          <w:p w14:paraId="7687559E" w14:textId="74CD0F43" w:rsidR="00706267" w:rsidRDefault="00706267" w:rsidP="00C24140">
            <w:pPr>
              <w:pStyle w:val="SCVtablebody"/>
            </w:pPr>
            <w:r>
              <w:t>Number of sentinel events</w:t>
            </w:r>
          </w:p>
        </w:tc>
        <w:tc>
          <w:tcPr>
            <w:tcW w:w="1457" w:type="dxa"/>
          </w:tcPr>
          <w:p w14:paraId="40EC792C" w14:textId="7985517A" w:rsidR="00706267" w:rsidRDefault="00706267" w:rsidP="00C24140">
            <w:pPr>
              <w:pStyle w:val="SCVtablebody"/>
            </w:pPr>
            <w:r>
              <w:t>240</w:t>
            </w:r>
          </w:p>
        </w:tc>
        <w:tc>
          <w:tcPr>
            <w:tcW w:w="1457" w:type="dxa"/>
          </w:tcPr>
          <w:p w14:paraId="4AF160AE" w14:textId="1E89B40F" w:rsidR="00706267" w:rsidRDefault="00706267" w:rsidP="00C24140">
            <w:pPr>
              <w:pStyle w:val="SCVtablebody"/>
            </w:pPr>
            <w:r>
              <w:t>245</w:t>
            </w:r>
          </w:p>
        </w:tc>
      </w:tr>
      <w:tr w:rsidR="00706267" w14:paraId="4C03AC17" w14:textId="77777777" w:rsidTr="00C24140">
        <w:tc>
          <w:tcPr>
            <w:tcW w:w="7290" w:type="dxa"/>
          </w:tcPr>
          <w:p w14:paraId="6A272481" w14:textId="48C36F9F" w:rsidR="00706267" w:rsidRDefault="00706267" w:rsidP="00C24140">
            <w:pPr>
              <w:pStyle w:val="SCVtablebody"/>
            </w:pPr>
            <w:r>
              <w:t>Number of health services notifying events</w:t>
            </w:r>
          </w:p>
        </w:tc>
        <w:tc>
          <w:tcPr>
            <w:tcW w:w="1457" w:type="dxa"/>
          </w:tcPr>
          <w:p w14:paraId="7AB06517" w14:textId="19473FDB" w:rsidR="00706267" w:rsidRDefault="00706267" w:rsidP="00C24140">
            <w:pPr>
              <w:pStyle w:val="SCVtablebody"/>
            </w:pPr>
            <w:r>
              <w:t>64</w:t>
            </w:r>
          </w:p>
        </w:tc>
        <w:tc>
          <w:tcPr>
            <w:tcW w:w="1457" w:type="dxa"/>
          </w:tcPr>
          <w:p w14:paraId="5C2329B3" w14:textId="1DE5BA02" w:rsidR="00706267" w:rsidRDefault="00706267" w:rsidP="00C24140">
            <w:pPr>
              <w:pStyle w:val="SCVtablebody"/>
            </w:pPr>
            <w:r>
              <w:t>54</w:t>
            </w:r>
          </w:p>
        </w:tc>
      </w:tr>
      <w:tr w:rsidR="00706267" w14:paraId="29952A17" w14:textId="77777777" w:rsidTr="00C24140">
        <w:tc>
          <w:tcPr>
            <w:tcW w:w="7290" w:type="dxa"/>
          </w:tcPr>
          <w:p w14:paraId="43EDD60E" w14:textId="726FE4AF" w:rsidR="00706267" w:rsidRDefault="00706267" w:rsidP="00C24140">
            <w:pPr>
              <w:pStyle w:val="SCVtablebody"/>
            </w:pPr>
            <w:r>
              <w:t xml:space="preserve">Number of public services notifying sentinel events </w:t>
            </w:r>
            <w:r>
              <w:br/>
              <w:t xml:space="preserve">(total public services = 77) </w:t>
            </w:r>
          </w:p>
        </w:tc>
        <w:tc>
          <w:tcPr>
            <w:tcW w:w="1457" w:type="dxa"/>
          </w:tcPr>
          <w:p w14:paraId="1639BFEA" w14:textId="3A898F02" w:rsidR="00706267" w:rsidRDefault="00706267" w:rsidP="00C24140">
            <w:pPr>
              <w:pStyle w:val="SCVtablebody"/>
            </w:pPr>
            <w:r>
              <w:t>44</w:t>
            </w:r>
          </w:p>
        </w:tc>
        <w:tc>
          <w:tcPr>
            <w:tcW w:w="1457" w:type="dxa"/>
          </w:tcPr>
          <w:p w14:paraId="40842BE8" w14:textId="18977C0C" w:rsidR="00706267" w:rsidRDefault="00706267" w:rsidP="00C24140">
            <w:pPr>
              <w:pStyle w:val="SCVtablebody"/>
            </w:pPr>
            <w:r>
              <w:t>39</w:t>
            </w:r>
          </w:p>
        </w:tc>
      </w:tr>
      <w:tr w:rsidR="00706267" w14:paraId="268CFE6F" w14:textId="77777777" w:rsidTr="00C24140">
        <w:tc>
          <w:tcPr>
            <w:tcW w:w="7290" w:type="dxa"/>
          </w:tcPr>
          <w:p w14:paraId="5A7C80C8" w14:textId="7865A73E" w:rsidR="00706267" w:rsidRDefault="00706267" w:rsidP="00C24140">
            <w:pPr>
              <w:pStyle w:val="SCVtablebody"/>
            </w:pPr>
            <w:r>
              <w:t>Number of private hospitals notifying sentinel events</w:t>
            </w:r>
            <w:r>
              <w:br/>
              <w:t xml:space="preserve">(total private health services = 78) </w:t>
            </w:r>
          </w:p>
        </w:tc>
        <w:tc>
          <w:tcPr>
            <w:tcW w:w="1457" w:type="dxa"/>
          </w:tcPr>
          <w:p w14:paraId="75655CFB" w14:textId="4322DBBF" w:rsidR="00706267" w:rsidRDefault="00706267" w:rsidP="00C24140">
            <w:pPr>
              <w:pStyle w:val="SCVtablebody"/>
            </w:pPr>
            <w:r>
              <w:t>20</w:t>
            </w:r>
          </w:p>
        </w:tc>
        <w:tc>
          <w:tcPr>
            <w:tcW w:w="1457" w:type="dxa"/>
          </w:tcPr>
          <w:p w14:paraId="4CAD11B4" w14:textId="7768D367" w:rsidR="00706267" w:rsidRDefault="00706267" w:rsidP="00C24140">
            <w:pPr>
              <w:pStyle w:val="SCVtablebody"/>
            </w:pPr>
            <w:r>
              <w:t>15</w:t>
            </w:r>
          </w:p>
        </w:tc>
      </w:tr>
      <w:tr w:rsidR="00706267" w14:paraId="62550B02" w14:textId="77777777" w:rsidTr="00C24140">
        <w:tc>
          <w:tcPr>
            <w:tcW w:w="7290" w:type="dxa"/>
          </w:tcPr>
          <w:p w14:paraId="0A09AC36" w14:textId="255BD6D0" w:rsidR="00706267" w:rsidRDefault="00706267" w:rsidP="00C24140">
            <w:pPr>
              <w:pStyle w:val="SCVtablebody"/>
            </w:pPr>
            <w:r>
              <w:t>Number of day procedure centres notifying events</w:t>
            </w:r>
            <w:r>
              <w:br/>
              <w:t xml:space="preserve">(total day procedure centres = 96) </w:t>
            </w:r>
          </w:p>
        </w:tc>
        <w:tc>
          <w:tcPr>
            <w:tcW w:w="1457" w:type="dxa"/>
          </w:tcPr>
          <w:p w14:paraId="30205CD3" w14:textId="0B831DBE" w:rsidR="00706267" w:rsidRDefault="00706267" w:rsidP="00C24140">
            <w:pPr>
              <w:pStyle w:val="SCVtablebody"/>
            </w:pPr>
            <w:r>
              <w:t>0</w:t>
            </w:r>
          </w:p>
        </w:tc>
        <w:tc>
          <w:tcPr>
            <w:tcW w:w="1457" w:type="dxa"/>
          </w:tcPr>
          <w:p w14:paraId="6495CFE2" w14:textId="4018B74C" w:rsidR="00706267" w:rsidRDefault="00706267" w:rsidP="00C24140">
            <w:pPr>
              <w:pStyle w:val="SCVtablebody"/>
            </w:pPr>
            <w:r>
              <w:t>0</w:t>
            </w:r>
          </w:p>
        </w:tc>
      </w:tr>
    </w:tbl>
    <w:p w14:paraId="3FA75996" w14:textId="77777777" w:rsidR="00152EC1" w:rsidRDefault="00152EC1" w:rsidP="00C96A69">
      <w:pPr>
        <w:pStyle w:val="SCVbody"/>
      </w:pPr>
      <w:r>
        <w:t xml:space="preserve">Throughout 2024, SCV will be doing targeted work with services that are not engaged with the Sentinel Events Program. This includes services yet to notify a sentinel event and those that have not reported an event for an extended </w:t>
      </w:r>
      <w:proofErr w:type="gramStart"/>
      <w:r>
        <w:t>period of time</w:t>
      </w:r>
      <w:proofErr w:type="gramEnd"/>
      <w:r>
        <w:t xml:space="preserve"> (based on the size of the health service). </w:t>
      </w:r>
    </w:p>
    <w:tbl>
      <w:tblPr>
        <w:tblStyle w:val="SCVpulloutbox"/>
        <w:tblW w:w="0" w:type="auto"/>
        <w:tblLook w:val="0600" w:firstRow="0" w:lastRow="0" w:firstColumn="0" w:lastColumn="0" w:noHBand="1" w:noVBand="1"/>
      </w:tblPr>
      <w:tblGrid>
        <w:gridCol w:w="10204"/>
      </w:tblGrid>
      <w:tr w:rsidR="00630DB6" w14:paraId="77CEA08D" w14:textId="77777777" w:rsidTr="00630DB6">
        <w:tc>
          <w:tcPr>
            <w:tcW w:w="10204" w:type="dxa"/>
          </w:tcPr>
          <w:p w14:paraId="72BE1F0B" w14:textId="77777777" w:rsidR="00630DB6" w:rsidRPr="00630DB6" w:rsidRDefault="00630DB6" w:rsidP="000F68D9">
            <w:pPr>
              <w:pStyle w:val="SCVboxheading"/>
            </w:pPr>
            <w:r w:rsidRPr="00630DB6">
              <w:t>ADVICE FOR HEALTH SERVICES</w:t>
            </w:r>
          </w:p>
          <w:p w14:paraId="2A32BECE" w14:textId="6BD01CB4" w:rsidR="00630DB6" w:rsidRDefault="00630DB6" w:rsidP="00C96A69">
            <w:pPr>
              <w:pStyle w:val="SCVbody"/>
            </w:pPr>
            <w:r>
              <w:t xml:space="preserve">If you are working in quality and safety at a health service, you can learn more about your reporting requirements by visiting </w:t>
            </w:r>
            <w:hyperlink r:id="rId31" w:history="1">
              <w:r w:rsidRPr="001D6275">
                <w:rPr>
                  <w:rStyle w:val="Hyperlink"/>
                </w:rPr>
                <w:t>Notify and review a sentinel event</w:t>
              </w:r>
            </w:hyperlink>
            <w:r>
              <w:t xml:space="preserve"> &lt;https://www.safercare.vic.gov.au/report-manage-issues/sentinel-events&gt;. If you need assistance to ensure you are onboarded to the sentinel events reporting portal or would like more information, please </w:t>
            </w:r>
            <w:hyperlink r:id="rId32" w:history="1">
              <w:r w:rsidRPr="0071451B">
                <w:rPr>
                  <w:rStyle w:val="Hyperlink"/>
                </w:rPr>
                <w:t>email the Sentinel Events Program</w:t>
              </w:r>
            </w:hyperlink>
            <w:r>
              <w:t xml:space="preserve"> &lt;sentinel.events@safercare.vic.gov.au&gt;.</w:t>
            </w:r>
          </w:p>
        </w:tc>
      </w:tr>
    </w:tbl>
    <w:p w14:paraId="61A57C58" w14:textId="1E4478E6" w:rsidR="00152EC1" w:rsidRDefault="00152EC1" w:rsidP="00C96A69">
      <w:pPr>
        <w:pStyle w:val="SCVbody"/>
      </w:pPr>
    </w:p>
    <w:tbl>
      <w:tblPr>
        <w:tblStyle w:val="SCVInformationTable"/>
        <w:tblW w:w="0" w:type="auto"/>
        <w:tblLook w:val="0600" w:firstRow="0" w:lastRow="0" w:firstColumn="0" w:lastColumn="0" w:noHBand="1" w:noVBand="1"/>
      </w:tblPr>
      <w:tblGrid>
        <w:gridCol w:w="10204"/>
      </w:tblGrid>
      <w:tr w:rsidR="00630DB6" w14:paraId="10832364" w14:textId="77777777" w:rsidTr="00630DB6">
        <w:tc>
          <w:tcPr>
            <w:tcW w:w="10204" w:type="dxa"/>
          </w:tcPr>
          <w:p w14:paraId="54575B0D" w14:textId="77777777" w:rsidR="00630DB6" w:rsidRDefault="00630DB6" w:rsidP="000F68D9">
            <w:pPr>
              <w:pStyle w:val="SCVboxheading"/>
            </w:pPr>
            <w:r w:rsidRPr="00805D32">
              <w:lastRenderedPageBreak/>
              <w:t>ADVICE FOR CONSUMERS</w:t>
            </w:r>
          </w:p>
          <w:p w14:paraId="364CF5B6" w14:textId="77777777" w:rsidR="00630DB6" w:rsidRDefault="00630DB6" w:rsidP="00C96A69">
            <w:pPr>
              <w:pStyle w:val="SCVbody"/>
            </w:pPr>
            <w:r>
              <w:t xml:space="preserve">If you are interested in working with your health service to improve quality and safety, there are ways to get involved. You could become a consumer representative and join the panels that review adverse events, or join a committee focused on improving safety or patient care. Contact your local health service or for more information, visit: </w:t>
            </w:r>
          </w:p>
          <w:p w14:paraId="417B27DA" w14:textId="06E3AA78" w:rsidR="00630DB6" w:rsidRDefault="00000000" w:rsidP="00630DB6">
            <w:pPr>
              <w:pStyle w:val="SCVbullet1"/>
            </w:pPr>
            <w:hyperlink r:id="rId33" w:history="1">
              <w:r w:rsidR="00630DB6" w:rsidRPr="001D6275">
                <w:rPr>
                  <w:rStyle w:val="Hyperlink"/>
                </w:rPr>
                <w:t>Guides to consumer representatives on adverse event reviews</w:t>
              </w:r>
            </w:hyperlink>
            <w:r w:rsidR="00630DB6">
              <w:t xml:space="preserve"> &lt;https://www.safercare.vic.gov.au/best-practice-improvement/publications/guides-to-consumer-representatives-on-adverse-event-reviews&gt; </w:t>
            </w:r>
          </w:p>
          <w:p w14:paraId="1AAD96E9" w14:textId="64FFAB84" w:rsidR="00630DB6" w:rsidRDefault="00000000" w:rsidP="00630DB6">
            <w:pPr>
              <w:pStyle w:val="SCVbullet1"/>
            </w:pPr>
            <w:hyperlink r:id="rId34" w:history="1">
              <w:r w:rsidR="00630DB6" w:rsidRPr="001D6275">
                <w:rPr>
                  <w:rStyle w:val="Hyperlink"/>
                </w:rPr>
                <w:t>Partnering with Consumers: A guide for consumers</w:t>
              </w:r>
            </w:hyperlink>
            <w:r w:rsidR="00630DB6">
              <w:t xml:space="preserve"> &lt;https://www.safetyandquality.gov.au/publications-and-resources/ resource-library/partnering-consumers-guide-consumers&gt;. </w:t>
            </w:r>
          </w:p>
        </w:tc>
      </w:tr>
    </w:tbl>
    <w:p w14:paraId="46A2B02A" w14:textId="4A116881" w:rsidR="00152EC1" w:rsidRDefault="00202D14" w:rsidP="00630DB6">
      <w:pPr>
        <w:pStyle w:val="Heading2"/>
      </w:pPr>
      <w:bookmarkStart w:id="11" w:name="_Toc173851109"/>
      <w:r>
        <w:t>Understanding reporting culture</w:t>
      </w:r>
      <w:bookmarkEnd w:id="11"/>
      <w:r>
        <w:t xml:space="preserve"> </w:t>
      </w:r>
    </w:p>
    <w:p w14:paraId="6A4D2415" w14:textId="77777777" w:rsidR="00152EC1" w:rsidRDefault="00152EC1" w:rsidP="00C96A69">
      <w:pPr>
        <w:pStyle w:val="SCVbody"/>
      </w:pPr>
      <w:r>
        <w:t xml:space="preserve">We know that health services with a good safety culture have better patient outcomes. A good reporting culture is a key element of a robust safety culture. It is seen when staff are valued, enabled and encouraged to report all adverse patient safety events to support learning for improvement. </w:t>
      </w:r>
    </w:p>
    <w:p w14:paraId="2C6E17E4" w14:textId="77777777" w:rsidR="00152EC1" w:rsidRDefault="00152EC1" w:rsidP="00C96A69">
      <w:pPr>
        <w:pStyle w:val="SCVbody"/>
      </w:pPr>
      <w:r>
        <w:t xml:space="preserve">In 2023, SCV completed a study to understand adverse event reporting and the reporting culture in Victoria. </w:t>
      </w:r>
    </w:p>
    <w:p w14:paraId="16974CA3" w14:textId="77777777" w:rsidR="00152EC1" w:rsidRDefault="00152EC1" w:rsidP="00C96A69">
      <w:pPr>
        <w:pStyle w:val="SCVbody"/>
      </w:pPr>
      <w:r>
        <w:t xml:space="preserve">There were 35 health services approached to participate, with 25 services taking part, including public and private services. There were 1,549 healthcare workers who participated in a survey, providing information on barriers and enablers to sentinel events and other adverse event reporting. They provided personal experience of sentinel event notifications and the corresponding review processes. </w:t>
      </w:r>
    </w:p>
    <w:p w14:paraId="4563D5A4" w14:textId="77777777" w:rsidR="00152EC1" w:rsidRDefault="00152EC1" w:rsidP="00C96A69">
      <w:pPr>
        <w:pStyle w:val="SCVbody"/>
      </w:pPr>
      <w:r>
        <w:t xml:space="preserve">Respondents represented 132 distinct roles and 16 different departments. There were 23 per cent of respondents in management roles. </w:t>
      </w:r>
    </w:p>
    <w:p w14:paraId="2207D8E9" w14:textId="77777777" w:rsidR="00152EC1" w:rsidRDefault="00152EC1" w:rsidP="00C96A69">
      <w:pPr>
        <w:pStyle w:val="SCVbody"/>
      </w:pPr>
      <w:r>
        <w:t xml:space="preserve">During data analysis, responses for those in non-management and management roles (including quality and safety roles) were compared. Analysis of results showed variance in the responses and perceptions of the management group, when compared to other respondents. </w:t>
      </w:r>
    </w:p>
    <w:p w14:paraId="22191E71" w14:textId="77777777" w:rsidR="00152EC1" w:rsidRDefault="00152EC1" w:rsidP="00C96A69">
      <w:pPr>
        <w:pStyle w:val="SCVbody"/>
      </w:pPr>
      <w:r>
        <w:t xml:space="preserve">Key findings included that: </w:t>
      </w:r>
    </w:p>
    <w:p w14:paraId="38B18694" w14:textId="77777777" w:rsidR="00152EC1" w:rsidRDefault="00152EC1" w:rsidP="00630DB6">
      <w:pPr>
        <w:pStyle w:val="SCVbullet1"/>
      </w:pPr>
      <w:r>
        <w:t xml:space="preserve">most respondents were aware of the appropriate channels to direct questions regarding patient safety in their unit </w:t>
      </w:r>
    </w:p>
    <w:p w14:paraId="0D84B815" w14:textId="77777777" w:rsidR="00152EC1" w:rsidRDefault="00152EC1" w:rsidP="00630DB6">
      <w:pPr>
        <w:pStyle w:val="SCVbullet1"/>
      </w:pPr>
      <w:r>
        <w:t xml:space="preserve">there was variance in respondents feeling that they were informed about adverse events that happen in their unit. </w:t>
      </w:r>
    </w:p>
    <w:p w14:paraId="3796A8B7" w14:textId="77777777" w:rsidR="00152EC1" w:rsidRDefault="00152EC1" w:rsidP="00C96A69">
      <w:pPr>
        <w:pStyle w:val="SCVbody"/>
      </w:pPr>
      <w:r>
        <w:t xml:space="preserve">This study found two key opportunities to improve: </w:t>
      </w:r>
    </w:p>
    <w:p w14:paraId="29D338F7" w14:textId="77777777" w:rsidR="00152EC1" w:rsidRDefault="00152EC1" w:rsidP="00630DB6">
      <w:pPr>
        <w:pStyle w:val="SCVbullet1"/>
      </w:pPr>
      <w:r>
        <w:t xml:space="preserve">communication and feedback between staff, unit managers, quality staff and executive </w:t>
      </w:r>
    </w:p>
    <w:p w14:paraId="273D3652" w14:textId="77777777" w:rsidR="00152EC1" w:rsidRDefault="00152EC1" w:rsidP="00630DB6">
      <w:pPr>
        <w:pStyle w:val="SCVbullet1"/>
      </w:pPr>
      <w:r>
        <w:lastRenderedPageBreak/>
        <w:t xml:space="preserve">awareness and understanding about all types of adverse event reporting at all levels of health organisations. </w:t>
      </w:r>
    </w:p>
    <w:p w14:paraId="761E8969" w14:textId="77777777" w:rsidR="00152EC1" w:rsidRDefault="00152EC1" w:rsidP="00630DB6">
      <w:pPr>
        <w:pStyle w:val="SCVfigurecaption"/>
      </w:pPr>
      <w:r>
        <w:t xml:space="preserve">Figure 5. Survey results for questions relating to sentinel event notifications </w:t>
      </w:r>
    </w:p>
    <w:p w14:paraId="0C8A798F" w14:textId="77777777" w:rsidR="00152EC1" w:rsidRPr="009545F7" w:rsidRDefault="00152EC1" w:rsidP="00C96A69">
      <w:pPr>
        <w:pStyle w:val="SCVbody"/>
        <w:rPr>
          <w:b/>
          <w:bCs/>
        </w:rPr>
      </w:pPr>
      <w:r w:rsidRPr="009545F7">
        <w:t>Most people completing the survey responded positively to the statement</w:t>
      </w:r>
      <w:r w:rsidRPr="009545F7">
        <w:rPr>
          <w:b/>
          <w:bCs/>
        </w:rPr>
        <w:t xml:space="preserve"> “I know the proper channels to direct questions regarding patient safety in this clinical area” </w:t>
      </w:r>
    </w:p>
    <w:p w14:paraId="37661288" w14:textId="77777777" w:rsidR="00152EC1" w:rsidRDefault="00152EC1" w:rsidP="00C96A69">
      <w:pPr>
        <w:pStyle w:val="SCVbody"/>
      </w:pPr>
      <w:r>
        <w:t xml:space="preserve">Agree or strongly agree: </w:t>
      </w:r>
    </w:p>
    <w:p w14:paraId="61E1ABFE" w14:textId="01B2E66A" w:rsidR="00152EC1" w:rsidRDefault="00152EC1" w:rsidP="009545F7">
      <w:pPr>
        <w:pStyle w:val="SCVbullet1"/>
      </w:pPr>
      <w:r>
        <w:t>Managers</w:t>
      </w:r>
      <w:r w:rsidR="009545F7">
        <w:t>: 96%</w:t>
      </w:r>
      <w:r>
        <w:t xml:space="preserve"> </w:t>
      </w:r>
    </w:p>
    <w:p w14:paraId="29901F25" w14:textId="10F9512D" w:rsidR="00152EC1" w:rsidRDefault="00152EC1" w:rsidP="009545F7">
      <w:pPr>
        <w:pStyle w:val="SCVbullet1"/>
      </w:pPr>
      <w:r>
        <w:t>Non-managers</w:t>
      </w:r>
      <w:r w:rsidR="009545F7">
        <w:t>: 85%</w:t>
      </w:r>
      <w:r>
        <w:t xml:space="preserve"> </w:t>
      </w:r>
    </w:p>
    <w:p w14:paraId="5126B97F" w14:textId="77777777" w:rsidR="00152EC1" w:rsidRDefault="00152EC1" w:rsidP="00C96A69">
      <w:pPr>
        <w:pStyle w:val="SCVbody"/>
      </w:pPr>
      <w:r>
        <w:t xml:space="preserve">There was a difference in responses from managers and non-managers for the statement </w:t>
      </w:r>
      <w:r w:rsidRPr="009545F7">
        <w:rPr>
          <w:b/>
          <w:bCs/>
        </w:rPr>
        <w:t xml:space="preserve">“We are informed about adverse events that happen in this unit” </w:t>
      </w:r>
    </w:p>
    <w:p w14:paraId="55A72CC7" w14:textId="77777777" w:rsidR="00152EC1" w:rsidRDefault="00152EC1" w:rsidP="00C96A69">
      <w:pPr>
        <w:pStyle w:val="SCVbody"/>
      </w:pPr>
      <w:r>
        <w:t xml:space="preserve">Agree or strongly agree: </w:t>
      </w:r>
    </w:p>
    <w:p w14:paraId="096DC0DD" w14:textId="590EFD19" w:rsidR="00152EC1" w:rsidRDefault="00152EC1" w:rsidP="009545F7">
      <w:pPr>
        <w:pStyle w:val="SCVbullet1"/>
      </w:pPr>
      <w:r>
        <w:t>Managers</w:t>
      </w:r>
      <w:r w:rsidR="009545F7">
        <w:t>: 83%</w:t>
      </w:r>
      <w:r>
        <w:t xml:space="preserve"> </w:t>
      </w:r>
    </w:p>
    <w:p w14:paraId="528C8758" w14:textId="5360CB03" w:rsidR="00152EC1" w:rsidRDefault="00152EC1" w:rsidP="009545F7">
      <w:pPr>
        <w:pStyle w:val="SCVbullet1"/>
      </w:pPr>
      <w:r>
        <w:t>Non-managers</w:t>
      </w:r>
      <w:r w:rsidR="009545F7">
        <w:t>: 54%</w:t>
      </w:r>
      <w:r>
        <w:t xml:space="preserve"> </w:t>
      </w:r>
    </w:p>
    <w:p w14:paraId="1D11772E" w14:textId="77777777" w:rsidR="00152EC1" w:rsidRDefault="00152EC1" w:rsidP="00C96A69">
      <w:pPr>
        <w:pStyle w:val="SCVbody"/>
      </w:pPr>
      <w:r>
        <w:t xml:space="preserve">Do you know how to notify or escalate a sentinel event within your health service? </w:t>
      </w:r>
    </w:p>
    <w:p w14:paraId="367B9E67" w14:textId="5FA122B0" w:rsidR="009545F7" w:rsidRDefault="009545F7" w:rsidP="009545F7">
      <w:pPr>
        <w:pStyle w:val="SCVbullet1"/>
      </w:pPr>
      <w:r>
        <w:t>Management</w:t>
      </w:r>
    </w:p>
    <w:p w14:paraId="1AD88928" w14:textId="47789BA7" w:rsidR="009545F7" w:rsidRDefault="009545F7" w:rsidP="009545F7">
      <w:pPr>
        <w:pStyle w:val="SCVbullet2"/>
      </w:pPr>
      <w:r>
        <w:t>Yes: 90%</w:t>
      </w:r>
    </w:p>
    <w:p w14:paraId="1DB77383" w14:textId="298D5677" w:rsidR="009545F7" w:rsidRDefault="009545F7" w:rsidP="009545F7">
      <w:pPr>
        <w:pStyle w:val="SCVbullet2"/>
      </w:pPr>
      <w:r>
        <w:t>No: 2%</w:t>
      </w:r>
    </w:p>
    <w:p w14:paraId="4D99AC56" w14:textId="6DDC207A" w:rsidR="009545F7" w:rsidRDefault="009545F7" w:rsidP="009545F7">
      <w:pPr>
        <w:pStyle w:val="SCVbullet2"/>
      </w:pPr>
      <w:r>
        <w:t>Uncertain: 8%</w:t>
      </w:r>
    </w:p>
    <w:p w14:paraId="361358BB" w14:textId="35DCBC37" w:rsidR="009545F7" w:rsidRDefault="009545F7" w:rsidP="009545F7">
      <w:pPr>
        <w:pStyle w:val="SCVbullet1"/>
      </w:pPr>
      <w:r>
        <w:t>Non-management</w:t>
      </w:r>
    </w:p>
    <w:p w14:paraId="50E97DFB" w14:textId="2768B7BB" w:rsidR="009545F7" w:rsidRDefault="009545F7" w:rsidP="009545F7">
      <w:pPr>
        <w:pStyle w:val="SCVbullet2"/>
      </w:pPr>
      <w:r>
        <w:t>Yes: 64%</w:t>
      </w:r>
    </w:p>
    <w:p w14:paraId="2892F90D" w14:textId="788D5E42" w:rsidR="009545F7" w:rsidRDefault="009545F7" w:rsidP="009545F7">
      <w:pPr>
        <w:pStyle w:val="SCVbullet2"/>
      </w:pPr>
      <w:r>
        <w:t>No: 13%</w:t>
      </w:r>
    </w:p>
    <w:p w14:paraId="29692CA9" w14:textId="09B08AE7" w:rsidR="009545F7" w:rsidRDefault="009545F7" w:rsidP="009545F7">
      <w:pPr>
        <w:pStyle w:val="SCVbullet2"/>
      </w:pPr>
      <w:r>
        <w:t>Uncertain: 23%</w:t>
      </w:r>
    </w:p>
    <w:p w14:paraId="4215E060" w14:textId="77777777" w:rsidR="00152EC1" w:rsidRDefault="00152EC1" w:rsidP="00C96A69">
      <w:pPr>
        <w:pStyle w:val="SCVbody"/>
      </w:pPr>
      <w:r>
        <w:t xml:space="preserve">Do you know how to notify a sentinel event to SCV? </w:t>
      </w:r>
    </w:p>
    <w:p w14:paraId="2172198C" w14:textId="77777777" w:rsidR="009545F7" w:rsidRDefault="009545F7" w:rsidP="009545F7">
      <w:pPr>
        <w:pStyle w:val="SCVbullet1"/>
      </w:pPr>
      <w:r>
        <w:t>Management</w:t>
      </w:r>
    </w:p>
    <w:p w14:paraId="314ACC2E" w14:textId="6B52D02C" w:rsidR="009545F7" w:rsidRDefault="009545F7" w:rsidP="009545F7">
      <w:pPr>
        <w:pStyle w:val="SCVbullet2"/>
      </w:pPr>
      <w:r>
        <w:t>Yes: 46%</w:t>
      </w:r>
    </w:p>
    <w:p w14:paraId="1D87BCA8" w14:textId="60742254" w:rsidR="009545F7" w:rsidRDefault="009545F7" w:rsidP="009545F7">
      <w:pPr>
        <w:pStyle w:val="SCVbullet2"/>
      </w:pPr>
      <w:r>
        <w:t>No: 30%</w:t>
      </w:r>
    </w:p>
    <w:p w14:paraId="7B5D387E" w14:textId="3269D855" w:rsidR="009545F7" w:rsidRDefault="009545F7" w:rsidP="009545F7">
      <w:pPr>
        <w:pStyle w:val="SCVbullet2"/>
      </w:pPr>
      <w:r>
        <w:t>Uncertain: 24%</w:t>
      </w:r>
    </w:p>
    <w:p w14:paraId="424D3435" w14:textId="77777777" w:rsidR="009545F7" w:rsidRDefault="009545F7" w:rsidP="009545F7">
      <w:pPr>
        <w:pStyle w:val="SCVbullet1"/>
      </w:pPr>
      <w:r>
        <w:t>Non-management</w:t>
      </w:r>
    </w:p>
    <w:p w14:paraId="26D8A79A" w14:textId="58EFB1DD" w:rsidR="009545F7" w:rsidRDefault="009545F7" w:rsidP="009545F7">
      <w:pPr>
        <w:pStyle w:val="SCVbullet2"/>
      </w:pPr>
      <w:r>
        <w:t>Yes: 18%</w:t>
      </w:r>
    </w:p>
    <w:p w14:paraId="60A28A52" w14:textId="14875EB4" w:rsidR="009545F7" w:rsidRDefault="009545F7" w:rsidP="009545F7">
      <w:pPr>
        <w:pStyle w:val="SCVbullet2"/>
      </w:pPr>
      <w:r>
        <w:t>No: 44%</w:t>
      </w:r>
    </w:p>
    <w:p w14:paraId="56A161A6" w14:textId="53B34B8F" w:rsidR="009545F7" w:rsidRDefault="009545F7" w:rsidP="009545F7">
      <w:pPr>
        <w:pStyle w:val="SCVbullet2"/>
      </w:pPr>
      <w:r>
        <w:t>Uncertain: 38%</w:t>
      </w:r>
    </w:p>
    <w:p w14:paraId="781F7D83" w14:textId="2941B66F" w:rsidR="009545F7" w:rsidRDefault="009545F7" w:rsidP="00C96A69">
      <w:pPr>
        <w:pStyle w:val="SCVbody"/>
      </w:pPr>
      <w:r>
        <w:t>[END OF FIGURE]</w:t>
      </w:r>
    </w:p>
    <w:p w14:paraId="55FAE3E9" w14:textId="77777777" w:rsidR="00EF24D6" w:rsidRDefault="00EF24D6" w:rsidP="00C96A69">
      <w:pPr>
        <w:pStyle w:val="SCVbody"/>
      </w:pPr>
    </w:p>
    <w:tbl>
      <w:tblPr>
        <w:tblStyle w:val="SCVpulloutbox"/>
        <w:tblW w:w="0" w:type="auto"/>
        <w:tblLook w:val="0600" w:firstRow="0" w:lastRow="0" w:firstColumn="0" w:lastColumn="0" w:noHBand="1" w:noVBand="1"/>
      </w:tblPr>
      <w:tblGrid>
        <w:gridCol w:w="10204"/>
      </w:tblGrid>
      <w:tr w:rsidR="00630DB6" w14:paraId="45F96098" w14:textId="77777777" w:rsidTr="00630DB6">
        <w:tc>
          <w:tcPr>
            <w:tcW w:w="10204" w:type="dxa"/>
          </w:tcPr>
          <w:p w14:paraId="16A0EF6B" w14:textId="77777777" w:rsidR="00630DB6" w:rsidRDefault="00630DB6" w:rsidP="000F68D9">
            <w:pPr>
              <w:pStyle w:val="SCVboxheading"/>
            </w:pPr>
            <w:r w:rsidRPr="00805D32">
              <w:lastRenderedPageBreak/>
              <w:t>ADVICE FOR HEALTH SERVICES</w:t>
            </w:r>
          </w:p>
          <w:p w14:paraId="370D9FC2" w14:textId="77777777" w:rsidR="00630DB6" w:rsidRDefault="00630DB6" w:rsidP="00C96A69">
            <w:pPr>
              <w:pStyle w:val="SCVbody"/>
            </w:pPr>
            <w:r>
              <w:t xml:space="preserve">Non-management staff indicated they were not always aware of harm events, reporting and outcomes. Understanding previous harm events is pivotal in supporting change, improvements and safety culture in the effort to reduce future harm. Sharing the lessons learnt from previous adverse events and near misses by unit managers and quality and safety staff would improve quality and safety outcomes. </w:t>
            </w:r>
          </w:p>
          <w:p w14:paraId="20B69EAF" w14:textId="66D977A3" w:rsidR="00630DB6" w:rsidRDefault="00630DB6" w:rsidP="00C96A69">
            <w:pPr>
              <w:pStyle w:val="SCVbody"/>
            </w:pPr>
            <w:r>
              <w:t xml:space="preserve">To access the range of tools that SCV provides to support health services to improve staff awareness and understanding of adverse event reporting, </w:t>
            </w:r>
            <w:hyperlink r:id="rId35" w:history="1">
              <w:r w:rsidRPr="001D6275">
                <w:rPr>
                  <w:rStyle w:val="Hyperlink"/>
                </w:rPr>
                <w:t>visit Managing adverse events</w:t>
              </w:r>
            </w:hyperlink>
            <w:r>
              <w:t xml:space="preserve"> &lt;https://www.safercare.vic.gov.au/report-manage-issues/managing-adverse-events&gt;. </w:t>
            </w:r>
          </w:p>
          <w:p w14:paraId="18F264D0" w14:textId="77777777" w:rsidR="00630DB6" w:rsidRDefault="00630DB6" w:rsidP="00C96A69">
            <w:pPr>
              <w:pStyle w:val="SCVbody"/>
            </w:pPr>
            <w:r>
              <w:t xml:space="preserve">Health services can also improve their leadership of safety by taking part in one of the Board and Executive clinical governance leadership programs offered by SCV. </w:t>
            </w:r>
          </w:p>
          <w:p w14:paraId="1FD192CC" w14:textId="131AE1FD" w:rsidR="00630DB6" w:rsidRDefault="00630DB6" w:rsidP="00C96A69">
            <w:pPr>
              <w:pStyle w:val="SCVbody"/>
            </w:pPr>
            <w:r>
              <w:t xml:space="preserve">For more information, please </w:t>
            </w:r>
            <w:hyperlink r:id="rId36" w:history="1">
              <w:r w:rsidRPr="001D6275">
                <w:rPr>
                  <w:rStyle w:val="Hyperlink"/>
                </w:rPr>
                <w:t>email SCV</w:t>
              </w:r>
            </w:hyperlink>
            <w:r>
              <w:t xml:space="preserve"> &lt;culture.capability@safercare.vic.gov.au&gt;. </w:t>
            </w:r>
          </w:p>
        </w:tc>
      </w:tr>
    </w:tbl>
    <w:p w14:paraId="5C4D9359" w14:textId="77777777" w:rsidR="00152EC1" w:rsidRDefault="00152EC1" w:rsidP="00C96A69">
      <w:pPr>
        <w:pStyle w:val="SCVbody"/>
      </w:pPr>
    </w:p>
    <w:tbl>
      <w:tblPr>
        <w:tblStyle w:val="SCVpulloutbox"/>
        <w:tblW w:w="0" w:type="auto"/>
        <w:tblLook w:val="0600" w:firstRow="0" w:lastRow="0" w:firstColumn="0" w:lastColumn="0" w:noHBand="1" w:noVBand="1"/>
      </w:tblPr>
      <w:tblGrid>
        <w:gridCol w:w="10204"/>
      </w:tblGrid>
      <w:tr w:rsidR="00630DB6" w14:paraId="4770D750" w14:textId="77777777" w:rsidTr="00630DB6">
        <w:tc>
          <w:tcPr>
            <w:tcW w:w="10204" w:type="dxa"/>
          </w:tcPr>
          <w:p w14:paraId="1E9824EE" w14:textId="4FD9776E" w:rsidR="00630DB6" w:rsidRDefault="00630DB6" w:rsidP="000F68D9">
            <w:pPr>
              <w:pStyle w:val="SCVboxheading"/>
            </w:pPr>
            <w:r>
              <w:t>NEW RESOURCE</w:t>
            </w:r>
          </w:p>
          <w:p w14:paraId="4DCD790E" w14:textId="77777777" w:rsidR="00630DB6" w:rsidRDefault="00630DB6" w:rsidP="000F68D9">
            <w:pPr>
              <w:pStyle w:val="Heading4"/>
            </w:pPr>
            <w:r>
              <w:t xml:space="preserve">Victorian Safety Culture Guide </w:t>
            </w:r>
          </w:p>
          <w:p w14:paraId="5EA9E992" w14:textId="77777777" w:rsidR="00630DB6" w:rsidRDefault="00630DB6" w:rsidP="00C96A69">
            <w:pPr>
              <w:pStyle w:val="SCVbody"/>
            </w:pPr>
            <w:r>
              <w:t xml:space="preserve">SCV has developed an inaugural Victorian Safety Culture Guide. This guide is designed to support healthcare boards, CEOs, and executives in measuring and monitoring their organisation’s safety culture. </w:t>
            </w:r>
          </w:p>
          <w:p w14:paraId="37727DED" w14:textId="77777777" w:rsidR="00630DB6" w:rsidRDefault="00630DB6" w:rsidP="00C96A69">
            <w:pPr>
              <w:pStyle w:val="SCVbody"/>
            </w:pPr>
            <w:r>
              <w:t xml:space="preserve">It offers actionable strategies, practical approaches, and best practices for improving safety culture across all Victorian healthcare services, utilising existing methods widely available. </w:t>
            </w:r>
          </w:p>
          <w:p w14:paraId="3E55B88D" w14:textId="33EA8CB2" w:rsidR="00630DB6" w:rsidRDefault="00630DB6" w:rsidP="00C96A69">
            <w:pPr>
              <w:pStyle w:val="SCVbody"/>
            </w:pPr>
            <w:r>
              <w:t xml:space="preserve">If you would like an advanced copy of the </w:t>
            </w:r>
            <w:proofErr w:type="gramStart"/>
            <w:r>
              <w:t>guide</w:t>
            </w:r>
            <w:proofErr w:type="gramEnd"/>
            <w:r>
              <w:t xml:space="preserve"> please </w:t>
            </w:r>
            <w:hyperlink r:id="rId37" w:history="1">
              <w:r w:rsidRPr="004B2F2A">
                <w:rPr>
                  <w:rStyle w:val="Hyperlink"/>
                </w:rPr>
                <w:t>contact SCV</w:t>
              </w:r>
            </w:hyperlink>
            <w:r>
              <w:t xml:space="preserve"> &lt;culture.capability@safercare.vic.gov.au&gt;</w:t>
            </w:r>
            <w:r w:rsidR="004B2F2A">
              <w:t>.</w:t>
            </w:r>
          </w:p>
          <w:p w14:paraId="36A3DD62" w14:textId="295695A6" w:rsidR="00630DB6" w:rsidRDefault="00630DB6" w:rsidP="00C96A69">
            <w:pPr>
              <w:pStyle w:val="SCVbody"/>
            </w:pPr>
            <w:r>
              <w:t xml:space="preserve">The guide will be available from September via the SCV website. </w:t>
            </w:r>
          </w:p>
        </w:tc>
      </w:tr>
    </w:tbl>
    <w:p w14:paraId="41D31000" w14:textId="77777777" w:rsidR="00152EC1" w:rsidRDefault="00152EC1" w:rsidP="00630DB6">
      <w:pPr>
        <w:pStyle w:val="Heading1"/>
      </w:pPr>
      <w:bookmarkStart w:id="12" w:name="_Toc173851110"/>
      <w:r>
        <w:lastRenderedPageBreak/>
        <w:t>Key sentinel event themes 2022–2023</w:t>
      </w:r>
      <w:bookmarkEnd w:id="12"/>
      <w:r>
        <w:t xml:space="preserve"> </w:t>
      </w:r>
    </w:p>
    <w:p w14:paraId="59199B74" w14:textId="77777777" w:rsidR="00152EC1" w:rsidRDefault="00152EC1" w:rsidP="00C96A69">
      <w:pPr>
        <w:pStyle w:val="SCVbody"/>
      </w:pPr>
      <w:r>
        <w:t xml:space="preserve">To maximise learning and improvement opportunities, we are focusing on key sentinel event themes that are frequently reported or provide a key learning for the state. </w:t>
      </w:r>
    </w:p>
    <w:p w14:paraId="466D879C" w14:textId="77777777" w:rsidR="00152EC1" w:rsidRDefault="00152EC1" w:rsidP="00C96A69">
      <w:pPr>
        <w:pStyle w:val="SCVbody"/>
      </w:pPr>
      <w:r>
        <w:t xml:space="preserve">This year’s report contains sections relating to three specific sentinel event themes, being: </w:t>
      </w:r>
    </w:p>
    <w:p w14:paraId="72F836AC" w14:textId="77777777" w:rsidR="00152EC1" w:rsidRDefault="00152EC1" w:rsidP="00630DB6">
      <w:pPr>
        <w:pStyle w:val="SCVbullet1"/>
      </w:pPr>
      <w:r>
        <w:t xml:space="preserve">paediatric sentinel events – demonstrating progress to address this key theme, which was included in the 2021–22 annual report </w:t>
      </w:r>
    </w:p>
    <w:p w14:paraId="37565DDE" w14:textId="77777777" w:rsidR="00152EC1" w:rsidRDefault="00152EC1" w:rsidP="00630DB6">
      <w:pPr>
        <w:pStyle w:val="SCVbullet1"/>
      </w:pPr>
      <w:r>
        <w:t xml:space="preserve">medication safety events – revisiting this area of focus from the 2019–20 annual report and highlighting some new initiatives </w:t>
      </w:r>
    </w:p>
    <w:p w14:paraId="075BF162" w14:textId="77777777" w:rsidR="00152EC1" w:rsidRDefault="00152EC1" w:rsidP="00630DB6">
      <w:pPr>
        <w:pStyle w:val="SCVbullet1"/>
      </w:pPr>
      <w:r>
        <w:t xml:space="preserve">perioperative events – a new area of focus for this report. </w:t>
      </w:r>
    </w:p>
    <w:p w14:paraId="7A763095" w14:textId="139A895B" w:rsidR="00152EC1" w:rsidRDefault="00202D14" w:rsidP="00630DB6">
      <w:pPr>
        <w:pStyle w:val="Heading2"/>
      </w:pPr>
      <w:bookmarkStart w:id="13" w:name="_Toc173851111"/>
      <w:r>
        <w:t>Paediatric sentinel events</w:t>
      </w:r>
      <w:bookmarkEnd w:id="13"/>
      <w:r>
        <w:t xml:space="preserve"> </w:t>
      </w:r>
    </w:p>
    <w:p w14:paraId="2332C3E2" w14:textId="77777777" w:rsidR="00152EC1" w:rsidRDefault="00152EC1" w:rsidP="00C96A69">
      <w:pPr>
        <w:pStyle w:val="SCVbody"/>
      </w:pPr>
      <w:r>
        <w:t xml:space="preserve">In 2022–23, 14 per cent of sentinel events (35) impacted paediatric patients, compared to 16 per cent of sentinel events (38) occurring in 2021–22. SCV notes that this difference is not statistically significant and the proportion of paediatric sentinel events is comparative to the volume of healthcare provided to paediatric patients. In 2022–23, admitted paediatric patient episodes of care (known as separations) and emergency department presentations to Victorian hospitals for public and private services made up 14.7 per cent of total separations and presentations. </w:t>
      </w:r>
    </w:p>
    <w:p w14:paraId="6D918366" w14:textId="77777777" w:rsidR="00152EC1" w:rsidRDefault="00152EC1" w:rsidP="00C96A69">
      <w:pPr>
        <w:pStyle w:val="SCVbody"/>
      </w:pPr>
      <w:r>
        <w:t xml:space="preserve">In 2022–23, the most common theme for paediatric sentinel events continued to be the recognition and response to clinical deterioration (49 per cent of events), as indicated in Figure 6. </w:t>
      </w:r>
    </w:p>
    <w:p w14:paraId="026AD925" w14:textId="77777777" w:rsidR="00152EC1" w:rsidRDefault="00152EC1" w:rsidP="00630DB6">
      <w:pPr>
        <w:pStyle w:val="SCVfigurecaption"/>
      </w:pPr>
      <w:r>
        <w:t xml:space="preserve">Figure 6. Paediatric sentinel events by category and subcategory 2022–23 </w:t>
      </w:r>
    </w:p>
    <w:p w14:paraId="581901EF" w14:textId="7937EF85" w:rsidR="00152EC1" w:rsidRDefault="00152EC1" w:rsidP="00E25417">
      <w:pPr>
        <w:pStyle w:val="SCVbullet1"/>
      </w:pPr>
      <w:r>
        <w:t>Recognising and responding to clinical deterioration</w:t>
      </w:r>
      <w:r w:rsidR="0011640C">
        <w:t>:</w:t>
      </w:r>
      <w:r>
        <w:t xml:space="preserve"> 49</w:t>
      </w:r>
    </w:p>
    <w:p w14:paraId="526C0F15" w14:textId="2466CA71" w:rsidR="00152EC1" w:rsidRDefault="00152EC1" w:rsidP="00E25417">
      <w:pPr>
        <w:pStyle w:val="SCVbullet1"/>
      </w:pPr>
      <w:r>
        <w:t>Clinical process and procedure</w:t>
      </w:r>
      <w:r w:rsidR="0011640C">
        <w:t>:</w:t>
      </w:r>
      <w:r>
        <w:t xml:space="preserve"> 26</w:t>
      </w:r>
    </w:p>
    <w:p w14:paraId="168B80A2" w14:textId="4481933C" w:rsidR="00152EC1" w:rsidRDefault="00152EC1" w:rsidP="00E25417">
      <w:pPr>
        <w:pStyle w:val="SCVbullet1"/>
      </w:pPr>
      <w:r>
        <w:t>Healthcare associated infection</w:t>
      </w:r>
      <w:r w:rsidR="0011640C">
        <w:t xml:space="preserve">: </w:t>
      </w:r>
      <w:r>
        <w:t>11</w:t>
      </w:r>
    </w:p>
    <w:p w14:paraId="00D27ED4" w14:textId="022661CD" w:rsidR="00152EC1" w:rsidRDefault="00152EC1" w:rsidP="00E25417">
      <w:pPr>
        <w:pStyle w:val="SCVbullet1"/>
      </w:pPr>
      <w:r>
        <w:t>Resource or organisational management</w:t>
      </w:r>
      <w:r w:rsidR="0011640C">
        <w:t xml:space="preserve">: </w:t>
      </w:r>
      <w:r>
        <w:t>6</w:t>
      </w:r>
    </w:p>
    <w:p w14:paraId="2658326E" w14:textId="1BC2E261" w:rsidR="00152EC1" w:rsidRDefault="00152EC1" w:rsidP="00E25417">
      <w:pPr>
        <w:pStyle w:val="SCVbullet1"/>
      </w:pPr>
      <w:r>
        <w:t>Self-harm</w:t>
      </w:r>
      <w:r w:rsidR="0011640C">
        <w:t xml:space="preserve">: </w:t>
      </w:r>
      <w:r>
        <w:t>3</w:t>
      </w:r>
    </w:p>
    <w:p w14:paraId="20936E45" w14:textId="088C92F7" w:rsidR="00152EC1" w:rsidRDefault="00152EC1" w:rsidP="00E25417">
      <w:pPr>
        <w:pStyle w:val="SCVbullet1"/>
      </w:pPr>
      <w:r>
        <w:t xml:space="preserve">Incorrectly positioned </w:t>
      </w:r>
      <w:proofErr w:type="spellStart"/>
      <w:r>
        <w:t>oro</w:t>
      </w:r>
      <w:proofErr w:type="spellEnd"/>
      <w:r>
        <w:t xml:space="preserve">- or </w:t>
      </w:r>
      <w:proofErr w:type="spellStart"/>
      <w:r>
        <w:t>naso</w:t>
      </w:r>
      <w:proofErr w:type="spellEnd"/>
      <w:r>
        <w:t>-gastric tube</w:t>
      </w:r>
      <w:r w:rsidR="0011640C">
        <w:t xml:space="preserve">: </w:t>
      </w:r>
      <w:r>
        <w:t>3</w:t>
      </w:r>
    </w:p>
    <w:p w14:paraId="52FA16E8" w14:textId="4A73B5D7" w:rsidR="00152EC1" w:rsidRDefault="00152EC1" w:rsidP="00E25417">
      <w:pPr>
        <w:pStyle w:val="SCVbullet1"/>
      </w:pPr>
      <w:r>
        <w:t>Communication of clinical information</w:t>
      </w:r>
      <w:r w:rsidR="0011640C">
        <w:t xml:space="preserve">: </w:t>
      </w:r>
      <w:r>
        <w:t>3</w:t>
      </w:r>
    </w:p>
    <w:p w14:paraId="5F4DAF90" w14:textId="77777777" w:rsidR="00152EC1" w:rsidRDefault="00152EC1" w:rsidP="00C96A69">
      <w:pPr>
        <w:pStyle w:val="SCVbody"/>
      </w:pPr>
      <w:r>
        <w:t xml:space="preserve">Note: Total &gt;100 per cent due to rounding </w:t>
      </w:r>
    </w:p>
    <w:p w14:paraId="42551169" w14:textId="438815A6" w:rsidR="00152EC1" w:rsidRDefault="008B4221" w:rsidP="00C96A69">
      <w:pPr>
        <w:pStyle w:val="SCVbody"/>
      </w:pPr>
      <w:r w:rsidRPr="008B4221">
        <w:t>[END OF FIGURE]</w:t>
      </w:r>
    </w:p>
    <w:p w14:paraId="453501C5" w14:textId="2D0A9FDD" w:rsidR="00152EC1" w:rsidRDefault="00152EC1" w:rsidP="00EF24D6">
      <w:pPr>
        <w:pStyle w:val="SCVintroductorytext"/>
      </w:pPr>
      <w:r>
        <w:t>The following examples of service and system-level improvements focus on improving the identification and response to clinical deterioration.</w:t>
      </w:r>
    </w:p>
    <w:p w14:paraId="1D91B55D" w14:textId="17DED7B5" w:rsidR="00152EC1" w:rsidRDefault="00202D14" w:rsidP="00630DB6">
      <w:pPr>
        <w:pStyle w:val="Heading2"/>
      </w:pPr>
      <w:bookmarkStart w:id="14" w:name="_Toc173851112"/>
      <w:r>
        <w:lastRenderedPageBreak/>
        <w:t>Improving system safety: Safer Care for Kids</w:t>
      </w:r>
      <w:bookmarkEnd w:id="14"/>
      <w:r>
        <w:t xml:space="preserve"> </w:t>
      </w:r>
    </w:p>
    <w:p w14:paraId="79E77F9B" w14:textId="77777777" w:rsidR="00152EC1" w:rsidRDefault="00152EC1" w:rsidP="00C96A69">
      <w:pPr>
        <w:pStyle w:val="SCVbody"/>
      </w:pPr>
      <w:r>
        <w:t xml:space="preserve">In November 2022, SCV held a roundtable event focused on improving the care of acutely unwell children and young people. Over 100 clinicians, managers, family members and carers shared their experiences, which supported the development of three recommendations to improve the safety of care. </w:t>
      </w:r>
    </w:p>
    <w:p w14:paraId="411760CF" w14:textId="77777777" w:rsidR="00152EC1" w:rsidRDefault="00152EC1" w:rsidP="00C96A69">
      <w:pPr>
        <w:pStyle w:val="SCVbody"/>
      </w:pPr>
      <w:r>
        <w:t xml:space="preserve">These were: </w:t>
      </w:r>
    </w:p>
    <w:p w14:paraId="38E9B6A6" w14:textId="77777777" w:rsidR="00152EC1" w:rsidRDefault="00152EC1" w:rsidP="00C96A69">
      <w:pPr>
        <w:pStyle w:val="SCVbody"/>
      </w:pPr>
      <w:r>
        <w:t xml:space="preserve">1. Deliver a statewide family and carer escalation of patient deterioration process. </w:t>
      </w:r>
    </w:p>
    <w:p w14:paraId="7910C2C9" w14:textId="77777777" w:rsidR="00152EC1" w:rsidRDefault="00152EC1" w:rsidP="00C96A69">
      <w:pPr>
        <w:pStyle w:val="SCVbody"/>
      </w:pPr>
      <w:r>
        <w:t xml:space="preserve">2. Implement a 24/7 system of virtual paediatric emergency consultation. </w:t>
      </w:r>
    </w:p>
    <w:p w14:paraId="130D99F9" w14:textId="77777777" w:rsidR="00152EC1" w:rsidRDefault="00152EC1" w:rsidP="00C96A69">
      <w:pPr>
        <w:pStyle w:val="SCVbody"/>
      </w:pPr>
      <w:r>
        <w:t>3. Mandate the use of the Victorian Children’s Tool for Observation and Response (</w:t>
      </w:r>
      <w:proofErr w:type="spellStart"/>
      <w:r>
        <w:t>ViCTOR</w:t>
      </w:r>
      <w:proofErr w:type="spellEnd"/>
      <w:r>
        <w:t xml:space="preserve">) chart, wherever children and young people have vital signs recorded. </w:t>
      </w:r>
    </w:p>
    <w:p w14:paraId="0BD8B02A" w14:textId="77777777" w:rsidR="00152EC1" w:rsidRDefault="00152EC1" w:rsidP="00C96A69">
      <w:pPr>
        <w:pStyle w:val="SCVbody"/>
      </w:pPr>
      <w:r>
        <w:t xml:space="preserve">In 2023, the Safer Care for Kids project was established to codesign and implement these recommendations, in close partnership with affected families, the health sector and the Department of Health. The following provides an update on the progress of each of these recommendations. </w:t>
      </w:r>
    </w:p>
    <w:p w14:paraId="12EAF268" w14:textId="77777777" w:rsidR="00152EC1" w:rsidRDefault="00152EC1" w:rsidP="00630DB6">
      <w:pPr>
        <w:pStyle w:val="Heading3"/>
      </w:pPr>
      <w:bookmarkStart w:id="15" w:name="_Toc173851113"/>
      <w:r>
        <w:t>Deliver a statewide family and carer escalation of patient deterioration process</w:t>
      </w:r>
      <w:bookmarkEnd w:id="15"/>
      <w:r>
        <w:t xml:space="preserve"> </w:t>
      </w:r>
    </w:p>
    <w:p w14:paraId="5A624DA1" w14:textId="77777777" w:rsidR="00152EC1" w:rsidRDefault="00152EC1" w:rsidP="00C96A69">
      <w:pPr>
        <w:pStyle w:val="SCVbody"/>
      </w:pPr>
      <w:r>
        <w:t xml:space="preserve">In February 2024, SCV completed the scoping phase of this project, engaging over 30 clinicians and 15 lived-experience experts to identify the essential elements of the family and carer escalation process. </w:t>
      </w:r>
    </w:p>
    <w:p w14:paraId="08490F21" w14:textId="77777777" w:rsidR="00152EC1" w:rsidRDefault="00152EC1" w:rsidP="00C96A69">
      <w:pPr>
        <w:pStyle w:val="SCVbody"/>
      </w:pPr>
      <w:r>
        <w:t xml:space="preserve">As a result, a family and carer escalation phone line will commence as a targeted pilot across four Victorian health services, led by the Victorian Virtual Emergency Department (VVED) via Northern Health, with an aim to launch statewide in March 2025. This escalation process will not replace local health service escalation processes, but will instead provide an extra point of contact for advocacy and support when local responses have been exhausted. </w:t>
      </w:r>
    </w:p>
    <w:p w14:paraId="75D61F34" w14:textId="77777777" w:rsidR="00152EC1" w:rsidRDefault="00152EC1" w:rsidP="00630DB6">
      <w:pPr>
        <w:pStyle w:val="Heading3"/>
      </w:pPr>
      <w:bookmarkStart w:id="16" w:name="_Toc173851114"/>
      <w:r>
        <w:t>Implement a 24/7 system of virtual paediatric emergency consultation</w:t>
      </w:r>
      <w:bookmarkEnd w:id="16"/>
      <w:r>
        <w:t xml:space="preserve"> </w:t>
      </w:r>
    </w:p>
    <w:p w14:paraId="32781344" w14:textId="77777777" w:rsidR="00152EC1" w:rsidRDefault="00152EC1" w:rsidP="00C96A69">
      <w:pPr>
        <w:pStyle w:val="SCVbody"/>
      </w:pPr>
      <w:r>
        <w:t xml:space="preserve">There are two services that already provide 24/7 virtual care: the Paediatric Infant Perinatal Emergency Retrieval (PIPER) service and the VVED. PIPER is available to provide 24/7 expert, urgent paediatric consultation and retrieval to acutely unwell children in hospitals, emergency departments and urgent care centres. </w:t>
      </w:r>
    </w:p>
    <w:p w14:paraId="4387D778" w14:textId="59344978" w:rsidR="00152EC1" w:rsidRDefault="00152EC1" w:rsidP="00C96A69">
      <w:pPr>
        <w:pStyle w:val="SCVbody"/>
      </w:pPr>
      <w:r>
        <w:t xml:space="preserve">The VVED provides 24/7 virtual access to healthcare for non-life-threatening conditions. Any person in Victoria can access the VVED for specialised paediatric clinical support. This includes healthcare providers, families and carers seeking assistance. To access and learn more, </w:t>
      </w:r>
      <w:hyperlink r:id="rId38" w:history="1">
        <w:r w:rsidRPr="004B2F2A">
          <w:rPr>
            <w:rStyle w:val="Hyperlink"/>
          </w:rPr>
          <w:t>visit the VVED</w:t>
        </w:r>
      </w:hyperlink>
      <w:r>
        <w:t xml:space="preserve"> &lt;https://www.vved.org.au&gt;. </w:t>
      </w:r>
    </w:p>
    <w:p w14:paraId="4D61E02C" w14:textId="77777777" w:rsidR="00152EC1" w:rsidRDefault="00152EC1" w:rsidP="00C96A69">
      <w:pPr>
        <w:pStyle w:val="SCVbody"/>
      </w:pPr>
      <w:r>
        <w:t xml:space="preserve">Strengthening awareness of these 24/7 paediatric consultation options within the healthcare sector and the public is a priority in 2024. </w:t>
      </w:r>
    </w:p>
    <w:p w14:paraId="3EE1E00F" w14:textId="77777777" w:rsidR="00152EC1" w:rsidRDefault="00152EC1" w:rsidP="00630DB6">
      <w:pPr>
        <w:pStyle w:val="Heading3"/>
      </w:pPr>
      <w:bookmarkStart w:id="17" w:name="_Toc173851115"/>
      <w:r>
        <w:t xml:space="preserve">Mandate the use of the </w:t>
      </w:r>
      <w:proofErr w:type="spellStart"/>
      <w:r>
        <w:t>ViCTOR</w:t>
      </w:r>
      <w:proofErr w:type="spellEnd"/>
      <w:r>
        <w:t xml:space="preserve"> chart, wherever children and young people have vital signs recorded</w:t>
      </w:r>
      <w:bookmarkEnd w:id="17"/>
      <w:r>
        <w:t xml:space="preserve"> </w:t>
      </w:r>
    </w:p>
    <w:p w14:paraId="7A5D84C0" w14:textId="77777777" w:rsidR="00152EC1" w:rsidRDefault="00152EC1" w:rsidP="00C96A69">
      <w:pPr>
        <w:pStyle w:val="SCVbody"/>
      </w:pPr>
      <w:r>
        <w:t xml:space="preserve">Most Victorian health services use </w:t>
      </w:r>
      <w:proofErr w:type="spellStart"/>
      <w:r>
        <w:t>ViCTOR</w:t>
      </w:r>
      <w:proofErr w:type="spellEnd"/>
      <w:r>
        <w:t xml:space="preserve"> charts when recording vital signs. Services yet to implement use of the charts were expected to have shown progress against this by 30 June 2024. SCV has refined </w:t>
      </w:r>
      <w:r>
        <w:lastRenderedPageBreak/>
        <w:t xml:space="preserve">the </w:t>
      </w:r>
      <w:proofErr w:type="spellStart"/>
      <w:r>
        <w:t>ViCTOR</w:t>
      </w:r>
      <w:proofErr w:type="spellEnd"/>
      <w:r>
        <w:t xml:space="preserve"> charts to emphasise assessment of parental and carer concern when recording vital sign observations. </w:t>
      </w:r>
    </w:p>
    <w:p w14:paraId="440FB352" w14:textId="59025AF8" w:rsidR="00152EC1" w:rsidRDefault="00152EC1" w:rsidP="00630DB6">
      <w:pPr>
        <w:pStyle w:val="Heading2"/>
      </w:pPr>
      <w:bookmarkStart w:id="18" w:name="_Toc173851116"/>
      <w:r>
        <w:t>I</w:t>
      </w:r>
      <w:r w:rsidR="00202D14">
        <w:t>mproving system safety</w:t>
      </w:r>
      <w:r>
        <w:t xml:space="preserve">: </w:t>
      </w:r>
      <w:proofErr w:type="spellStart"/>
      <w:r>
        <w:t>oneTEAM</w:t>
      </w:r>
      <w:proofErr w:type="spellEnd"/>
      <w:r>
        <w:t xml:space="preserve">, </w:t>
      </w:r>
      <w:r w:rsidR="00202D14">
        <w:t>a</w:t>
      </w:r>
      <w:r>
        <w:t xml:space="preserve"> </w:t>
      </w:r>
      <w:r w:rsidR="00202D14">
        <w:t xml:space="preserve">Royal Children’s Hospital </w:t>
      </w:r>
      <w:r>
        <w:t xml:space="preserve">(RCH) </w:t>
      </w:r>
      <w:r w:rsidR="00202D14">
        <w:t>initiative</w:t>
      </w:r>
      <w:bookmarkEnd w:id="18"/>
      <w:r w:rsidR="00202D14">
        <w:t xml:space="preserve"> </w:t>
      </w:r>
    </w:p>
    <w:p w14:paraId="295F3904" w14:textId="470B4ECD" w:rsidR="00152EC1" w:rsidRDefault="00152EC1" w:rsidP="00C96A69">
      <w:pPr>
        <w:pStyle w:val="SCVbody"/>
      </w:pPr>
      <w:r>
        <w:t xml:space="preserve">In response to harm across the sector from failure to escalate care, the RCH in Melbourne codesigned a new initiative called </w:t>
      </w:r>
      <w:hyperlink r:id="rId39" w:history="1">
        <w:r w:rsidRPr="00904DFF">
          <w:rPr>
            <w:rStyle w:val="Hyperlink"/>
          </w:rPr>
          <w:t>oneTEAM</w:t>
        </w:r>
      </w:hyperlink>
      <w:r>
        <w:t xml:space="preserve"> &lt;https://www.rch.org.au/oneteam/&gt;. </w:t>
      </w:r>
      <w:proofErr w:type="spellStart"/>
      <w:r>
        <w:t>oneTEAM</w:t>
      </w:r>
      <w:proofErr w:type="spellEnd"/>
      <w:r>
        <w:t xml:space="preserve"> invites the parents and carers of the patient to be part of their clinical team and aims to improve the early recognition of clinical deterioration. </w:t>
      </w:r>
      <w:proofErr w:type="spellStart"/>
      <w:r>
        <w:t>oneTEAM</w:t>
      </w:r>
      <w:proofErr w:type="spellEnd"/>
      <w:r>
        <w:t xml:space="preserve"> recognises that parents and carers are experts where their child is concerned, and notice changes that may be missed by clinicians. It provides a simple consumer pathway for escalation, one that consumers feel confident to use and clinicians know how to respond to. </w:t>
      </w:r>
    </w:p>
    <w:p w14:paraId="451B1B54" w14:textId="77777777" w:rsidR="00152EC1" w:rsidRDefault="00152EC1" w:rsidP="00C96A69">
      <w:pPr>
        <w:pStyle w:val="SCVbody"/>
      </w:pPr>
      <w:proofErr w:type="spellStart"/>
      <w:r>
        <w:t>oneTEAM</w:t>
      </w:r>
      <w:proofErr w:type="spellEnd"/>
      <w:r>
        <w:t xml:space="preserve"> has two components. Parents or carers are invited to share their concerns during nursing observations and medical ward rounds by asking them ‘Do you have any concerns about your child at the moment?’. Parents and carers have multiple opportunities each day to inform staff of any concerns by answering this question. </w:t>
      </w:r>
    </w:p>
    <w:p w14:paraId="3BF44D4B" w14:textId="77777777" w:rsidR="00152EC1" w:rsidRDefault="00152EC1" w:rsidP="00C96A69">
      <w:pPr>
        <w:pStyle w:val="SCVbody"/>
      </w:pPr>
      <w:r>
        <w:t xml:space="preserve">The second component is an escalation pathway aligned to RCH’s clinical escalation process, which now allows parents to escalate their concerns by asking for a rapid review. This can be done by using the orange Rapid Review card to ask for a rapid review. The card is an innovative consumer-led design, which, along with posters and translated resources, as shown in Figure 7, are displayed in every inpatient room. Parents and carers are informed about the process on admission. </w:t>
      </w:r>
    </w:p>
    <w:p w14:paraId="2645FFAD" w14:textId="77777777" w:rsidR="00152EC1" w:rsidRDefault="00152EC1" w:rsidP="00C96A69">
      <w:pPr>
        <w:pStyle w:val="SCVbody"/>
      </w:pPr>
      <w:r>
        <w:t xml:space="preserve">Piloted in 2023, </w:t>
      </w:r>
      <w:proofErr w:type="spellStart"/>
      <w:r>
        <w:t>oneTEAM</w:t>
      </w:r>
      <w:proofErr w:type="spellEnd"/>
      <w:r>
        <w:t xml:space="preserve"> has now been rolled out to eight inpatient wards at RCH. The project is supported by the collection of accurate and timely data through the electronic medical record. This information is then shared with teams to drive improvement. </w:t>
      </w:r>
    </w:p>
    <w:p w14:paraId="666E69FC" w14:textId="77777777" w:rsidR="00152EC1" w:rsidRDefault="00152EC1" w:rsidP="00C96A69">
      <w:pPr>
        <w:pStyle w:val="SCVbody"/>
      </w:pPr>
      <w:r>
        <w:t xml:space="preserve">Results have shown that parents and carers are confident to use the process and are relieved to have a way to ensure their voices are heard. Junior nursing staff reported that proactively asking parents about concerns helped support their own clinical decision-making. </w:t>
      </w:r>
    </w:p>
    <w:p w14:paraId="34E4D618" w14:textId="77777777" w:rsidR="00152EC1" w:rsidRDefault="00152EC1" w:rsidP="00C96A69">
      <w:pPr>
        <w:pStyle w:val="SCVbody"/>
      </w:pPr>
      <w:r>
        <w:t xml:space="preserve">Next steps involve better understanding potential cultural barriers impacting how the initiative is received by culturally diverse communities and developing strategies to lower access barriers. </w:t>
      </w:r>
    </w:p>
    <w:p w14:paraId="49F61FA0" w14:textId="77777777" w:rsidR="00152EC1" w:rsidRPr="00EF24D6" w:rsidRDefault="00152EC1" w:rsidP="00C96A69">
      <w:pPr>
        <w:pStyle w:val="SCVbody"/>
        <w:rPr>
          <w:b/>
          <w:bCs/>
        </w:rPr>
      </w:pPr>
      <w:r w:rsidRPr="00EF24D6">
        <w:rPr>
          <w:b/>
          <w:bCs/>
        </w:rPr>
        <w:t xml:space="preserve">Prepared by Dr Annie Moulden, Paediatrician and Emily McGuigan, Improvement Manager </w:t>
      </w:r>
    </w:p>
    <w:p w14:paraId="02280CDA" w14:textId="77777777" w:rsidR="00152EC1" w:rsidRDefault="00152EC1" w:rsidP="00630DB6">
      <w:pPr>
        <w:pStyle w:val="SCVfigurecaption"/>
      </w:pPr>
      <w:r>
        <w:lastRenderedPageBreak/>
        <w:t xml:space="preserve">Figure 7. </w:t>
      </w:r>
      <w:proofErr w:type="spellStart"/>
      <w:r>
        <w:t>oneTEAM’s</w:t>
      </w:r>
      <w:proofErr w:type="spellEnd"/>
      <w:r>
        <w:t xml:space="preserve"> consumer escalation poster </w:t>
      </w:r>
    </w:p>
    <w:p w14:paraId="5581C4DC" w14:textId="13CBA89A" w:rsidR="00152EC1" w:rsidRDefault="008B4221" w:rsidP="00C96A69">
      <w:pPr>
        <w:pStyle w:val="SCVbody"/>
      </w:pPr>
      <w:r w:rsidRPr="008B4221">
        <w:rPr>
          <w:noProof/>
        </w:rPr>
        <w:drawing>
          <wp:inline distT="0" distB="0" distL="0" distR="0" wp14:anchorId="15BC4032" wp14:editId="7AB0854A">
            <wp:extent cx="3627120" cy="5128260"/>
            <wp:effectExtent l="0" t="0" r="0" b="0"/>
            <wp:docPr id="2010095835" name="Picture 12" descr="Graphic of oneTEAM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095835" name="Picture 12" descr="Graphic of oneTEAM post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27120" cy="5128260"/>
                    </a:xfrm>
                    <a:prstGeom prst="rect">
                      <a:avLst/>
                    </a:prstGeom>
                    <a:noFill/>
                    <a:ln>
                      <a:noFill/>
                    </a:ln>
                  </pic:spPr>
                </pic:pic>
              </a:graphicData>
            </a:graphic>
          </wp:inline>
        </w:drawing>
      </w:r>
    </w:p>
    <w:p w14:paraId="1D5B8882" w14:textId="77777777" w:rsidR="00997165" w:rsidRDefault="00997165" w:rsidP="00C96A69">
      <w:pPr>
        <w:pStyle w:val="SCVbody"/>
      </w:pPr>
    </w:p>
    <w:tbl>
      <w:tblPr>
        <w:tblStyle w:val="SCVpulloutbox"/>
        <w:tblW w:w="0" w:type="auto"/>
        <w:tblLook w:val="0600" w:firstRow="0" w:lastRow="0" w:firstColumn="0" w:lastColumn="0" w:noHBand="1" w:noVBand="1"/>
      </w:tblPr>
      <w:tblGrid>
        <w:gridCol w:w="10204"/>
      </w:tblGrid>
      <w:tr w:rsidR="00997165" w14:paraId="255DD33A" w14:textId="77777777" w:rsidTr="00997165">
        <w:tc>
          <w:tcPr>
            <w:tcW w:w="10204" w:type="dxa"/>
          </w:tcPr>
          <w:p w14:paraId="1EC0CB31" w14:textId="77777777" w:rsidR="00997165" w:rsidRDefault="00997165" w:rsidP="000F68D9">
            <w:pPr>
              <w:pStyle w:val="SCVboxheading"/>
            </w:pPr>
            <w:r>
              <w:lastRenderedPageBreak/>
              <w:t>Consumer stories:</w:t>
            </w:r>
          </w:p>
          <w:p w14:paraId="653FD6B6" w14:textId="77777777" w:rsidR="00997165" w:rsidRDefault="00997165" w:rsidP="00C96A69">
            <w:pPr>
              <w:pStyle w:val="SCVbody"/>
            </w:pPr>
            <w:r>
              <w:t xml:space="preserve"> </w:t>
            </w:r>
            <w:r w:rsidRPr="00805D32">
              <w:t xml:space="preserve">After using </w:t>
            </w:r>
            <w:proofErr w:type="spellStart"/>
            <w:r w:rsidRPr="00805D32">
              <w:t>oneTEAM</w:t>
            </w:r>
            <w:proofErr w:type="spellEnd"/>
            <w:r w:rsidRPr="00805D32">
              <w:t>: In that moment, I could just focus on being Macy’s mum, comforting her through her distress. I didn’t have to worry about how to best advocate for her: how to make myself feel heard. The nurses took charge of that and I was confident that my concerns were taken seriously. It was seamless. Kate, Macy’s mum.</w:t>
            </w:r>
          </w:p>
          <w:p w14:paraId="5D1D01FF" w14:textId="77777777" w:rsidR="00997165" w:rsidRDefault="00997165" w:rsidP="00C96A69">
            <w:pPr>
              <w:pStyle w:val="SCVbody"/>
            </w:pPr>
            <w:r>
              <w:t xml:space="preserve">After seeing </w:t>
            </w:r>
            <w:proofErr w:type="spellStart"/>
            <w:r>
              <w:t>oneTEAM</w:t>
            </w:r>
            <w:proofErr w:type="spellEnd"/>
            <w:r>
              <w:t xml:space="preserve"> promoted: My name is </w:t>
            </w:r>
            <w:proofErr w:type="gramStart"/>
            <w:r>
              <w:t>Phoebe</w:t>
            </w:r>
            <w:proofErr w:type="gramEnd"/>
            <w:r>
              <w:t xml:space="preserve"> and I am the parent of a child that deteriorated in the emergency department a few years ago. Thankfully, she was ok (eventually) and now that horrible experience is just a memory. I was recently in the hospital again when my daughter was admitted, and I saw the new ‘</w:t>
            </w:r>
            <w:proofErr w:type="spellStart"/>
            <w:r>
              <w:t>oneTEAM</w:t>
            </w:r>
            <w:proofErr w:type="spellEnd"/>
            <w:r>
              <w:t xml:space="preserve"> speak up and feel heard’ poster in the room along with the corresponding language translations poster.</w:t>
            </w:r>
          </w:p>
          <w:p w14:paraId="3CE27378" w14:textId="77777777" w:rsidR="00997165" w:rsidRDefault="00997165" w:rsidP="00C96A69">
            <w:pPr>
              <w:pStyle w:val="SCVbody"/>
            </w:pPr>
            <w:r>
              <w:t>I wanted to say a huge thank you for implementing this and how wonderful it was to see. It honestly brought tears to my eyes as soon as I saw it, knowing how much that will help someone one day. Thanks so much for all your efforts in all the steps I imagine it took to get those posters on the wall, to all the committees and quality and safety staff, all the people behind the scenes and to all the doctors and nurses who will follow those new steps to hear parents’ concerns via that method.</w:t>
            </w:r>
          </w:p>
          <w:p w14:paraId="5674A8A5" w14:textId="77777777" w:rsidR="00997165" w:rsidRDefault="00997165" w:rsidP="00C96A69">
            <w:pPr>
              <w:pStyle w:val="SCVbody"/>
            </w:pPr>
            <w:r>
              <w:t xml:space="preserve">Knowing that the parent-led internal Medical Emergency Team (MET) call is an option is fantastic should it come to that. The card especially is a </w:t>
            </w:r>
            <w:proofErr w:type="gramStart"/>
            <w:r>
              <w:t>really practical</w:t>
            </w:r>
            <w:proofErr w:type="gramEnd"/>
            <w:r>
              <w:t>, achievable solution to helping parents feel empowered to speak up.</w:t>
            </w:r>
          </w:p>
          <w:p w14:paraId="51903C15" w14:textId="41FEFD39" w:rsidR="00997165" w:rsidRDefault="00997165" w:rsidP="00C96A69">
            <w:pPr>
              <w:pStyle w:val="SCVbody"/>
            </w:pPr>
            <w:r>
              <w:t>I just wanted to say a heartfelt thank you for putting those cards and the clear information on the walls.</w:t>
            </w:r>
          </w:p>
        </w:tc>
      </w:tr>
    </w:tbl>
    <w:p w14:paraId="55FDB40A" w14:textId="77777777" w:rsidR="00997165" w:rsidRDefault="00997165" w:rsidP="00C96A69">
      <w:pPr>
        <w:pStyle w:val="SCVbody"/>
      </w:pPr>
    </w:p>
    <w:tbl>
      <w:tblPr>
        <w:tblStyle w:val="SCVInformationTable"/>
        <w:tblW w:w="0" w:type="auto"/>
        <w:tblLook w:val="0600" w:firstRow="0" w:lastRow="0" w:firstColumn="0" w:lastColumn="0" w:noHBand="1" w:noVBand="1"/>
      </w:tblPr>
      <w:tblGrid>
        <w:gridCol w:w="10204"/>
      </w:tblGrid>
      <w:tr w:rsidR="00997165" w14:paraId="114E966F" w14:textId="77777777" w:rsidTr="00997165">
        <w:tc>
          <w:tcPr>
            <w:tcW w:w="10204" w:type="dxa"/>
          </w:tcPr>
          <w:p w14:paraId="77F12F4E" w14:textId="77777777" w:rsidR="00997165" w:rsidRDefault="00997165" w:rsidP="000F68D9">
            <w:pPr>
              <w:pStyle w:val="SCVboxheading"/>
            </w:pPr>
            <w:r w:rsidRPr="00805D32">
              <w:lastRenderedPageBreak/>
              <w:t>ADVICE FOR CONSUMERS</w:t>
            </w:r>
          </w:p>
          <w:p w14:paraId="2EB92F0B" w14:textId="664B04EB" w:rsidR="00997165" w:rsidRDefault="00997165" w:rsidP="00C96A69">
            <w:pPr>
              <w:pStyle w:val="SCVbody"/>
            </w:pPr>
            <w:r>
              <w:t xml:space="preserve">All health service organisations are required to have a process for patients, carers or families to directly escalate any care concerns. Patients, carers and families should receive written and verbal information about the system for escalation on admission, and have details about when and how to use the system displayed in public areas. If you don’t see or receive this information, please ask for it. </w:t>
            </w:r>
          </w:p>
        </w:tc>
      </w:tr>
    </w:tbl>
    <w:p w14:paraId="43A731FE" w14:textId="46BDCC74" w:rsidR="00152EC1" w:rsidRDefault="00202D14" w:rsidP="00997165">
      <w:pPr>
        <w:pStyle w:val="Heading2"/>
      </w:pPr>
      <w:bookmarkStart w:id="19" w:name="_Toc173851117"/>
      <w:r>
        <w:t>Medication safety sentinel events</w:t>
      </w:r>
      <w:bookmarkEnd w:id="19"/>
      <w:r>
        <w:t xml:space="preserve"> </w:t>
      </w:r>
    </w:p>
    <w:p w14:paraId="0035C8F3" w14:textId="77777777" w:rsidR="00152EC1" w:rsidRDefault="00152EC1" w:rsidP="00997165">
      <w:pPr>
        <w:pStyle w:val="SCVfigurecaption"/>
      </w:pPr>
      <w:r>
        <w:t xml:space="preserve">Figure 8. Event categories/subcategories, patient outcomes and event type </w:t>
      </w:r>
    </w:p>
    <w:p w14:paraId="2A6AC66E" w14:textId="62B8815E" w:rsidR="00152EC1" w:rsidRPr="008B4221" w:rsidRDefault="008B4221" w:rsidP="00C96A69">
      <w:pPr>
        <w:pStyle w:val="SCVbody"/>
        <w:rPr>
          <w:b/>
          <w:bCs/>
        </w:rPr>
      </w:pPr>
      <w:r w:rsidRPr="008B4221">
        <w:rPr>
          <w:b/>
          <w:bCs/>
        </w:rPr>
        <w:t xml:space="preserve">Event category/subcategory </w:t>
      </w:r>
    </w:p>
    <w:p w14:paraId="5D4B2D9F" w14:textId="77777777" w:rsidR="00152EC1" w:rsidRDefault="00152EC1" w:rsidP="000F68D9">
      <w:pPr>
        <w:pStyle w:val="SCVbullet1"/>
      </w:pPr>
      <w:r>
        <w:t xml:space="preserve">Category 7: Medication error resulting in serious harm or death (22) </w:t>
      </w:r>
    </w:p>
    <w:p w14:paraId="282215D0" w14:textId="77777777" w:rsidR="00152EC1" w:rsidRDefault="00152EC1" w:rsidP="000F68D9">
      <w:pPr>
        <w:pStyle w:val="SCVbullet1"/>
      </w:pPr>
      <w:r>
        <w:t xml:space="preserve">Category 11: All other adverse patient safety events resulting in serious harm or death (9) </w:t>
      </w:r>
    </w:p>
    <w:p w14:paraId="3EAB995D" w14:textId="77777777" w:rsidR="00152EC1" w:rsidRDefault="00152EC1" w:rsidP="000F68D9">
      <w:pPr>
        <w:pStyle w:val="SCVbullet2"/>
      </w:pPr>
      <w:r>
        <w:t xml:space="preserve">Recognising and responding to clinical deterioration (4) </w:t>
      </w:r>
    </w:p>
    <w:p w14:paraId="58276597" w14:textId="77777777" w:rsidR="00152EC1" w:rsidRDefault="00152EC1" w:rsidP="000F68D9">
      <w:pPr>
        <w:pStyle w:val="SCVbullet2"/>
      </w:pPr>
      <w:r>
        <w:t xml:space="preserve">Clinical process or procedure (3) </w:t>
      </w:r>
    </w:p>
    <w:p w14:paraId="7A7145C4" w14:textId="77777777" w:rsidR="00152EC1" w:rsidRDefault="00152EC1" w:rsidP="000F68D9">
      <w:pPr>
        <w:pStyle w:val="SCVbullet2"/>
      </w:pPr>
      <w:r>
        <w:t xml:space="preserve">Communication of clinical information (2) </w:t>
      </w:r>
    </w:p>
    <w:p w14:paraId="017837BD" w14:textId="6D562EA8" w:rsidR="00152EC1" w:rsidRPr="008B4221" w:rsidRDefault="008B4221" w:rsidP="00C96A69">
      <w:pPr>
        <w:pStyle w:val="SCVbody"/>
        <w:rPr>
          <w:b/>
          <w:bCs/>
        </w:rPr>
      </w:pPr>
      <w:r w:rsidRPr="008B4221">
        <w:rPr>
          <w:b/>
          <w:bCs/>
        </w:rPr>
        <w:t xml:space="preserve">Patient outcome </w:t>
      </w:r>
    </w:p>
    <w:p w14:paraId="7BFEEC61" w14:textId="5EA67BF4" w:rsidR="00152EC1" w:rsidRDefault="00152EC1" w:rsidP="00665B09">
      <w:pPr>
        <w:pStyle w:val="SCVbullet1"/>
      </w:pPr>
      <w:r>
        <w:t>Death</w:t>
      </w:r>
      <w:r w:rsidR="00665B09">
        <w:t>:</w:t>
      </w:r>
      <w:r>
        <w:tab/>
        <w:t xml:space="preserve">18 </w:t>
      </w:r>
    </w:p>
    <w:p w14:paraId="7DBF3135" w14:textId="547625C3" w:rsidR="00152EC1" w:rsidRDefault="00152EC1" w:rsidP="00665B09">
      <w:pPr>
        <w:pStyle w:val="SCVbullet1"/>
      </w:pPr>
      <w:r>
        <w:t>Required life-saving surgical or medical intervention</w:t>
      </w:r>
      <w:r w:rsidR="00665B09">
        <w:t>:</w:t>
      </w:r>
      <w:r>
        <w:t xml:space="preserve"> 8</w:t>
      </w:r>
    </w:p>
    <w:p w14:paraId="2ACFC042" w14:textId="6B1A0D72" w:rsidR="00152EC1" w:rsidRDefault="00152EC1" w:rsidP="00665B09">
      <w:pPr>
        <w:pStyle w:val="SCVbullet1"/>
      </w:pPr>
      <w:r>
        <w:t>Experienced permanent or long-term loss of function</w:t>
      </w:r>
      <w:r w:rsidR="00665B09">
        <w:t xml:space="preserve">: </w:t>
      </w:r>
      <w:r>
        <w:t>3</w:t>
      </w:r>
    </w:p>
    <w:p w14:paraId="7F0F5D25" w14:textId="7A472693" w:rsidR="00152EC1" w:rsidRDefault="00152EC1" w:rsidP="00665B09">
      <w:pPr>
        <w:pStyle w:val="SCVbullet1"/>
      </w:pPr>
      <w:r>
        <w:t>Shortened life expectancy</w:t>
      </w:r>
      <w:r w:rsidR="00665B09">
        <w:t xml:space="preserve">: </w:t>
      </w:r>
      <w:r>
        <w:t>1</w:t>
      </w:r>
    </w:p>
    <w:p w14:paraId="0B7544FD" w14:textId="6B7C4DAC" w:rsidR="00152EC1" w:rsidRDefault="00152EC1" w:rsidP="00665B09">
      <w:pPr>
        <w:pStyle w:val="SCVbullet1"/>
      </w:pPr>
      <w:r>
        <w:t>Unknown at time of notiﬁcation</w:t>
      </w:r>
      <w:r w:rsidR="00665B09">
        <w:t xml:space="preserve">: </w:t>
      </w:r>
      <w:r>
        <w:t>1</w:t>
      </w:r>
    </w:p>
    <w:p w14:paraId="4D162004" w14:textId="6AD282AE" w:rsidR="00152EC1" w:rsidRPr="008B4221" w:rsidRDefault="008B4221" w:rsidP="00C96A69">
      <w:pPr>
        <w:pStyle w:val="SCVbody"/>
        <w:rPr>
          <w:b/>
          <w:bCs/>
        </w:rPr>
      </w:pPr>
      <w:r w:rsidRPr="008B4221">
        <w:rPr>
          <w:b/>
          <w:bCs/>
        </w:rPr>
        <w:t xml:space="preserve">Point where medication event occurred </w:t>
      </w:r>
    </w:p>
    <w:p w14:paraId="64D72439" w14:textId="55F2F608" w:rsidR="00152EC1" w:rsidRDefault="00152EC1" w:rsidP="00665B09">
      <w:pPr>
        <w:pStyle w:val="SCVbullet1"/>
      </w:pPr>
      <w:r>
        <w:t>Prescribing</w:t>
      </w:r>
      <w:r w:rsidR="00665B09">
        <w:t>:</w:t>
      </w:r>
      <w:r>
        <w:t xml:space="preserve"> 19</w:t>
      </w:r>
    </w:p>
    <w:p w14:paraId="2C9598B1" w14:textId="1819CAF9" w:rsidR="00152EC1" w:rsidRDefault="00152EC1" w:rsidP="00665B09">
      <w:pPr>
        <w:pStyle w:val="SCVbullet1"/>
      </w:pPr>
      <w:r>
        <w:t>Administration</w:t>
      </w:r>
      <w:r w:rsidR="00665B09">
        <w:t xml:space="preserve">: </w:t>
      </w:r>
      <w:r>
        <w:t>17</w:t>
      </w:r>
    </w:p>
    <w:p w14:paraId="020F8D0E" w14:textId="7436A462" w:rsidR="00152EC1" w:rsidRDefault="00152EC1" w:rsidP="00665B09">
      <w:pPr>
        <w:pStyle w:val="SCVbullet1"/>
      </w:pPr>
      <w:r>
        <w:t>Documentation</w:t>
      </w:r>
      <w:r w:rsidR="00665B09">
        <w:t xml:space="preserve">: </w:t>
      </w:r>
      <w:r>
        <w:t>7</w:t>
      </w:r>
    </w:p>
    <w:p w14:paraId="29A301E4" w14:textId="513D9449" w:rsidR="00152EC1" w:rsidRDefault="00152EC1" w:rsidP="00665B09">
      <w:pPr>
        <w:pStyle w:val="SCVbullet1"/>
      </w:pPr>
      <w:r>
        <w:t>Monitoring</w:t>
      </w:r>
      <w:r w:rsidR="00665B09">
        <w:t xml:space="preserve">: </w:t>
      </w:r>
      <w:r>
        <w:t>6</w:t>
      </w:r>
    </w:p>
    <w:p w14:paraId="6D8C5D52" w14:textId="77777777" w:rsidR="00152EC1" w:rsidRDefault="00152EC1" w:rsidP="00C96A69">
      <w:pPr>
        <w:pStyle w:val="SCVbody"/>
      </w:pPr>
      <w:r>
        <w:t xml:space="preserve">Note: more than one option can be selected per event </w:t>
      </w:r>
    </w:p>
    <w:p w14:paraId="3A3BF5DA" w14:textId="0A7163B5" w:rsidR="00152EC1" w:rsidRPr="008B4221" w:rsidRDefault="008B4221" w:rsidP="00C96A69">
      <w:pPr>
        <w:pStyle w:val="SCVbody"/>
        <w:rPr>
          <w:b/>
          <w:bCs/>
        </w:rPr>
      </w:pPr>
      <w:r w:rsidRPr="008B4221">
        <w:rPr>
          <w:b/>
          <w:bCs/>
        </w:rPr>
        <w:t xml:space="preserve">Top 5 event issues </w:t>
      </w:r>
    </w:p>
    <w:p w14:paraId="29536C7C" w14:textId="1AD0DA7F" w:rsidR="00152EC1" w:rsidRDefault="00152EC1" w:rsidP="00665B09">
      <w:pPr>
        <w:pStyle w:val="SCVbullet1"/>
      </w:pPr>
      <w:r>
        <w:t>Wrong dose</w:t>
      </w:r>
      <w:r w:rsidR="00665B09">
        <w:t xml:space="preserve">: </w:t>
      </w:r>
      <w:r>
        <w:t>10</w:t>
      </w:r>
    </w:p>
    <w:p w14:paraId="0075A50C" w14:textId="1814E344" w:rsidR="00152EC1" w:rsidRDefault="00152EC1" w:rsidP="00665B09">
      <w:pPr>
        <w:pStyle w:val="SCVbullet1"/>
      </w:pPr>
      <w:r>
        <w:t>Contraindicated-blood serum levels too high/low</w:t>
      </w:r>
      <w:r w:rsidR="00665B09">
        <w:t xml:space="preserve">: </w:t>
      </w:r>
      <w:r>
        <w:t>6</w:t>
      </w:r>
    </w:p>
    <w:p w14:paraId="3C49623A" w14:textId="3B6638A0" w:rsidR="00152EC1" w:rsidRDefault="00152EC1" w:rsidP="00665B09">
      <w:pPr>
        <w:pStyle w:val="SCVbullet1"/>
      </w:pPr>
      <w:r>
        <w:t>Wrong medication</w:t>
      </w:r>
      <w:r w:rsidR="00665B09">
        <w:t xml:space="preserve">: </w:t>
      </w:r>
      <w:r>
        <w:t>4</w:t>
      </w:r>
    </w:p>
    <w:p w14:paraId="664A0CA2" w14:textId="4DFD9CC0" w:rsidR="00152EC1" w:rsidRDefault="00152EC1" w:rsidP="00665B09">
      <w:pPr>
        <w:pStyle w:val="SCVbullet1"/>
      </w:pPr>
      <w:r>
        <w:lastRenderedPageBreak/>
        <w:t>Known allergy</w:t>
      </w:r>
      <w:r w:rsidR="00665B09">
        <w:t>:</w:t>
      </w:r>
      <w:r>
        <w:t xml:space="preserve"> 3</w:t>
      </w:r>
    </w:p>
    <w:p w14:paraId="41D385AF" w14:textId="08D981DE" w:rsidR="00152EC1" w:rsidRDefault="00152EC1" w:rsidP="00665B09">
      <w:pPr>
        <w:pStyle w:val="SCVbullet1"/>
      </w:pPr>
      <w:r>
        <w:t>Required monitoring not completed</w:t>
      </w:r>
      <w:r w:rsidR="00665B09">
        <w:t xml:space="preserve">: </w:t>
      </w:r>
      <w:r>
        <w:t>2</w:t>
      </w:r>
    </w:p>
    <w:p w14:paraId="6ABC5474" w14:textId="77777777" w:rsidR="00152EC1" w:rsidRDefault="00152EC1" w:rsidP="00C96A69">
      <w:pPr>
        <w:pStyle w:val="SCVbody"/>
      </w:pPr>
      <w:r>
        <w:t xml:space="preserve">Note: categories selected less than 2 times not included </w:t>
      </w:r>
    </w:p>
    <w:p w14:paraId="5600C3BA" w14:textId="27FD9AC1" w:rsidR="00152EC1" w:rsidRDefault="008B4221" w:rsidP="00C96A69">
      <w:pPr>
        <w:pStyle w:val="SCVbody"/>
      </w:pPr>
      <w:r>
        <w:t>[END OF FIGURE]</w:t>
      </w:r>
    </w:p>
    <w:p w14:paraId="301EC356" w14:textId="77777777" w:rsidR="008B4221" w:rsidRDefault="008B4221" w:rsidP="00C96A69">
      <w:pPr>
        <w:pStyle w:val="SCVbody"/>
      </w:pPr>
    </w:p>
    <w:p w14:paraId="76618B63" w14:textId="77777777" w:rsidR="00152EC1" w:rsidRDefault="00152EC1" w:rsidP="00C96A69">
      <w:pPr>
        <w:pStyle w:val="SCVbody"/>
      </w:pPr>
      <w:r w:rsidRPr="003D0CE8">
        <w:t xml:space="preserve">In 2022–23, medication safety sentinel events were the third most-common category of sentinel event, with 31 events reported (13 per cent). Medication safety adverse events were also the third most-common type of event recorded in the Victorian Health Incident Management System, with most events reported as near misses or causing no harm. </w:t>
      </w:r>
    </w:p>
    <w:p w14:paraId="3EF5BDB7" w14:textId="77777777" w:rsidR="00152EC1" w:rsidRDefault="00152EC1" w:rsidP="00997165">
      <w:pPr>
        <w:pStyle w:val="SCVfigurecaption"/>
      </w:pPr>
      <w:r>
        <w:t xml:space="preserve">Figure 9. Analysis of medication safety sentinel events </w:t>
      </w:r>
    </w:p>
    <w:p w14:paraId="747BF7EF" w14:textId="0424FD11" w:rsidR="00152EC1" w:rsidRPr="00665B09" w:rsidRDefault="00665B09" w:rsidP="00C96A69">
      <w:pPr>
        <w:pStyle w:val="SCVbody"/>
        <w:rPr>
          <w:b/>
          <w:bCs/>
        </w:rPr>
      </w:pPr>
      <w:r w:rsidRPr="00665B09">
        <w:rPr>
          <w:b/>
          <w:bCs/>
        </w:rPr>
        <w:t xml:space="preserve">Type of medication involved </w:t>
      </w:r>
    </w:p>
    <w:p w14:paraId="52E37F96" w14:textId="4DBC82AA" w:rsidR="00152EC1" w:rsidRDefault="00152EC1" w:rsidP="00625300">
      <w:pPr>
        <w:pStyle w:val="SCVbullet1"/>
      </w:pPr>
      <w:r>
        <w:t>Heparin and other anticoagulants</w:t>
      </w:r>
      <w:r w:rsidR="00625300">
        <w:t xml:space="preserve">: </w:t>
      </w:r>
      <w:r>
        <w:t>9</w:t>
      </w:r>
    </w:p>
    <w:p w14:paraId="7CA28FC1" w14:textId="2374794C" w:rsidR="00152EC1" w:rsidRDefault="00152EC1" w:rsidP="00625300">
      <w:pPr>
        <w:pStyle w:val="SCVbullet1"/>
      </w:pPr>
      <w:r>
        <w:t>Non APINCH medication</w:t>
      </w:r>
      <w:r w:rsidR="00625300">
        <w:t xml:space="preserve">: </w:t>
      </w:r>
      <w:r>
        <w:t>8</w:t>
      </w:r>
    </w:p>
    <w:p w14:paraId="0371DF65" w14:textId="18FAC9D4" w:rsidR="00152EC1" w:rsidRDefault="00152EC1" w:rsidP="00625300">
      <w:pPr>
        <w:pStyle w:val="SCVbullet1"/>
      </w:pPr>
      <w:r>
        <w:t>Anti-infective</w:t>
      </w:r>
      <w:r w:rsidR="00625300">
        <w:t xml:space="preserve">: </w:t>
      </w:r>
      <w:r>
        <w:t>6</w:t>
      </w:r>
    </w:p>
    <w:p w14:paraId="4293D7F8" w14:textId="13B43108" w:rsidR="00152EC1" w:rsidRDefault="00152EC1" w:rsidP="00625300">
      <w:pPr>
        <w:pStyle w:val="SCVbullet1"/>
      </w:pPr>
      <w:r>
        <w:t>Sedatives including narcotics</w:t>
      </w:r>
      <w:r w:rsidR="00625300">
        <w:t xml:space="preserve">: </w:t>
      </w:r>
      <w:r>
        <w:t>4</w:t>
      </w:r>
    </w:p>
    <w:p w14:paraId="3CD11A5D" w14:textId="161E1A3E" w:rsidR="00152EC1" w:rsidRDefault="00152EC1" w:rsidP="00625300">
      <w:pPr>
        <w:pStyle w:val="SCVbullet1"/>
      </w:pPr>
      <w:r>
        <w:t>Chemotherapeutic agents</w:t>
      </w:r>
      <w:r w:rsidR="00625300">
        <w:t xml:space="preserve">: </w:t>
      </w:r>
      <w:r>
        <w:t>3</w:t>
      </w:r>
    </w:p>
    <w:p w14:paraId="3CED3063" w14:textId="7C934554" w:rsidR="00152EC1" w:rsidRDefault="00152EC1" w:rsidP="00625300">
      <w:pPr>
        <w:pStyle w:val="SCVbullet1"/>
      </w:pPr>
      <w:r>
        <w:t>Insulin</w:t>
      </w:r>
      <w:r w:rsidR="00625300">
        <w:t xml:space="preserve">: </w:t>
      </w:r>
      <w:r>
        <w:t>1</w:t>
      </w:r>
    </w:p>
    <w:p w14:paraId="72660E31" w14:textId="721FE246" w:rsidR="00152EC1" w:rsidRDefault="00625300" w:rsidP="00C96A69">
      <w:pPr>
        <w:pStyle w:val="SCVbody"/>
      </w:pPr>
      <w:r>
        <w:t xml:space="preserve">Note: </w:t>
      </w:r>
      <w:r w:rsidR="00152EC1">
        <w:t xml:space="preserve">Non-APINCH medications were Clozapine (2), Noradrenaline, </w:t>
      </w:r>
      <w:proofErr w:type="spellStart"/>
      <w:r w:rsidR="00152EC1">
        <w:t>Sulthiame</w:t>
      </w:r>
      <w:proofErr w:type="spellEnd"/>
      <w:r w:rsidR="00152EC1">
        <w:t xml:space="preserve">, Carbamazepine, Misoprostol, Metoprolol and Poly Tears </w:t>
      </w:r>
    </w:p>
    <w:p w14:paraId="138D6763" w14:textId="06DA54F7" w:rsidR="00152EC1" w:rsidRPr="00665B09" w:rsidRDefault="00665B09" w:rsidP="00C96A69">
      <w:pPr>
        <w:pStyle w:val="SCVbody"/>
        <w:rPr>
          <w:b/>
          <w:bCs/>
        </w:rPr>
      </w:pPr>
      <w:r w:rsidRPr="00665B09">
        <w:rPr>
          <w:b/>
          <w:bCs/>
        </w:rPr>
        <w:t xml:space="preserve">Type of medication chart </w:t>
      </w:r>
    </w:p>
    <w:p w14:paraId="32C40AD8" w14:textId="087A7AAB" w:rsidR="00152EC1" w:rsidRDefault="00152EC1" w:rsidP="00625300">
      <w:pPr>
        <w:pStyle w:val="SCVbullet1"/>
      </w:pPr>
      <w:r>
        <w:t>Electronic medical record</w:t>
      </w:r>
      <w:r w:rsidR="00625300">
        <w:t xml:space="preserve">: </w:t>
      </w:r>
      <w:r>
        <w:t>12</w:t>
      </w:r>
    </w:p>
    <w:p w14:paraId="25E0DE0E" w14:textId="76391D4A" w:rsidR="00152EC1" w:rsidRDefault="00152EC1" w:rsidP="00625300">
      <w:pPr>
        <w:pStyle w:val="SCVbullet1"/>
      </w:pPr>
      <w:r>
        <w:t>Paper</w:t>
      </w:r>
      <w:r w:rsidR="00625300">
        <w:t xml:space="preserve">: </w:t>
      </w:r>
      <w:r>
        <w:t>11</w:t>
      </w:r>
    </w:p>
    <w:p w14:paraId="3EB393E8" w14:textId="119DEE1E" w:rsidR="00152EC1" w:rsidRDefault="00152EC1" w:rsidP="00625300">
      <w:pPr>
        <w:pStyle w:val="SCVbullet1"/>
      </w:pPr>
      <w:r>
        <w:t>Not described</w:t>
      </w:r>
      <w:r w:rsidR="00625300">
        <w:t xml:space="preserve">: </w:t>
      </w:r>
      <w:r>
        <w:t>8</w:t>
      </w:r>
    </w:p>
    <w:p w14:paraId="0A3DF670" w14:textId="171E89A6" w:rsidR="00152EC1" w:rsidRDefault="00625300" w:rsidP="00C96A69">
      <w:pPr>
        <w:pStyle w:val="SCVbody"/>
      </w:pPr>
      <w:r>
        <w:t>[END OF FIGURE]</w:t>
      </w:r>
    </w:p>
    <w:p w14:paraId="759398E2" w14:textId="77777777" w:rsidR="00625300" w:rsidRDefault="00625300" w:rsidP="00C96A69">
      <w:pPr>
        <w:pStyle w:val="SCVbody"/>
      </w:pPr>
    </w:p>
    <w:p w14:paraId="0623E149" w14:textId="77777777" w:rsidR="00152EC1" w:rsidRDefault="00152EC1" w:rsidP="00C96A69">
      <w:pPr>
        <w:pStyle w:val="SCVbody"/>
      </w:pPr>
      <w:r>
        <w:t xml:space="preserve">The medication types involved in sentinel events have been classified according to the ‘APINCHS’ acronym, which outlines a group of medications acknowledged to have high potential for patient harm. Anticoagulants were the leading medication class associated with sentinel events. </w:t>
      </w:r>
    </w:p>
    <w:p w14:paraId="298662A5" w14:textId="11D70284" w:rsidR="00152EC1" w:rsidRDefault="00152EC1" w:rsidP="00C96A69">
      <w:pPr>
        <w:pStyle w:val="SCVbody"/>
      </w:pPr>
      <w:r>
        <w:t xml:space="preserve">For more information, </w:t>
      </w:r>
      <w:hyperlink r:id="rId41" w:history="1">
        <w:r w:rsidRPr="00904DFF">
          <w:rPr>
            <w:rStyle w:val="Hyperlink"/>
          </w:rPr>
          <w:t>visit APINCHS classification of high risk medicines</w:t>
        </w:r>
      </w:hyperlink>
      <w:r>
        <w:t xml:space="preserve"> &lt;https://tinyurl.com/37khkwn6&gt;. </w:t>
      </w:r>
    </w:p>
    <w:p w14:paraId="794111AE" w14:textId="0BA3B4C2" w:rsidR="00152EC1" w:rsidRDefault="00152EC1" w:rsidP="00C96A69">
      <w:pPr>
        <w:pStyle w:val="SCVbody"/>
      </w:pPr>
      <w:r>
        <w:t xml:space="preserve">As shown in Figure 10, the review of medication safety sentinel events identified 216 findings and lessons learnt that could be themed under 12 distinct categories. </w:t>
      </w:r>
    </w:p>
    <w:p w14:paraId="50503D0A" w14:textId="77777777" w:rsidR="00152EC1" w:rsidRDefault="00152EC1" w:rsidP="00997165">
      <w:pPr>
        <w:pStyle w:val="SCVfigurecaption"/>
      </w:pPr>
      <w:r>
        <w:lastRenderedPageBreak/>
        <w:t xml:space="preserve">Figure 10. Findings, lessons learnt and recommendation themes </w:t>
      </w:r>
    </w:p>
    <w:p w14:paraId="31429A27" w14:textId="1D871833" w:rsidR="00152EC1" w:rsidRPr="00D4366D" w:rsidRDefault="00D4366D" w:rsidP="00C96A69">
      <w:pPr>
        <w:pStyle w:val="SCVbody"/>
        <w:rPr>
          <w:b/>
          <w:bCs/>
        </w:rPr>
      </w:pPr>
      <w:r w:rsidRPr="00D4366D">
        <w:rPr>
          <w:b/>
          <w:bCs/>
        </w:rPr>
        <w:t xml:space="preserve">Findings and lessons learnt </w:t>
      </w:r>
    </w:p>
    <w:p w14:paraId="632084C3" w14:textId="77777777" w:rsidR="00152EC1" w:rsidRDefault="00152EC1" w:rsidP="00C96A69">
      <w:pPr>
        <w:pStyle w:val="SCVbody"/>
      </w:pPr>
      <w:r>
        <w:t xml:space="preserve">From the review of medication safety sentinel events, 216 ﬁndings and lessons learnt were identiﬁed. </w:t>
      </w:r>
    </w:p>
    <w:p w14:paraId="71920853" w14:textId="77777777" w:rsidR="00152EC1" w:rsidRDefault="00152EC1" w:rsidP="00C96A69">
      <w:pPr>
        <w:pStyle w:val="SCVbody"/>
      </w:pPr>
      <w:r>
        <w:t xml:space="preserve">Top 6 ﬁndings and lessons learnt </w:t>
      </w:r>
    </w:p>
    <w:p w14:paraId="0A56500B" w14:textId="0F5F9905" w:rsidR="00152EC1" w:rsidRDefault="00152EC1" w:rsidP="00D4366D">
      <w:pPr>
        <w:pStyle w:val="SCVbullet1"/>
      </w:pPr>
      <w:r>
        <w:t>Procedures and guidelines</w:t>
      </w:r>
      <w:r w:rsidR="00D4366D">
        <w:t>:</w:t>
      </w:r>
      <w:r>
        <w:t xml:space="preserve"> 46 </w:t>
      </w:r>
    </w:p>
    <w:p w14:paraId="2C495B16" w14:textId="3B2DB5A0" w:rsidR="00152EC1" w:rsidRDefault="00152EC1" w:rsidP="00D4366D">
      <w:pPr>
        <w:pStyle w:val="SCVbullet1"/>
      </w:pPr>
      <w:r>
        <w:t>Teamwork factors</w:t>
      </w:r>
      <w:r w:rsidR="00D4366D">
        <w:t>:</w:t>
      </w:r>
      <w:r>
        <w:t xml:space="preserve"> 40 </w:t>
      </w:r>
    </w:p>
    <w:p w14:paraId="15383176" w14:textId="2EEA1F18" w:rsidR="00152EC1" w:rsidRDefault="00152EC1" w:rsidP="00D4366D">
      <w:pPr>
        <w:pStyle w:val="SCVbullet1"/>
      </w:pPr>
      <w:r>
        <w:t>Staff factors</w:t>
      </w:r>
      <w:r w:rsidR="00D4366D">
        <w:t>:</w:t>
      </w:r>
      <w:r>
        <w:t xml:space="preserve"> 35 </w:t>
      </w:r>
    </w:p>
    <w:p w14:paraId="27CE46DF" w14:textId="2F195381" w:rsidR="00152EC1" w:rsidRDefault="00152EC1" w:rsidP="00D4366D">
      <w:pPr>
        <w:pStyle w:val="SCVbullet1"/>
      </w:pPr>
      <w:r>
        <w:t>Documentation, assessment and decision support</w:t>
      </w:r>
      <w:r w:rsidR="00D4366D">
        <w:t>:</w:t>
      </w:r>
      <w:r w:rsidR="00FB5F78">
        <w:t xml:space="preserve"> </w:t>
      </w:r>
      <w:r>
        <w:t xml:space="preserve">30 </w:t>
      </w:r>
    </w:p>
    <w:p w14:paraId="2F81AC09" w14:textId="54F2C1CA" w:rsidR="00152EC1" w:rsidRDefault="00152EC1" w:rsidP="00D4366D">
      <w:pPr>
        <w:pStyle w:val="SCVbullet1"/>
      </w:pPr>
      <w:r>
        <w:t>Systems and processes</w:t>
      </w:r>
      <w:r w:rsidR="00D4366D">
        <w:t>:</w:t>
      </w:r>
      <w:r>
        <w:t xml:space="preserve"> 20 </w:t>
      </w:r>
    </w:p>
    <w:p w14:paraId="1CB192A3" w14:textId="4AA9A5CB" w:rsidR="00152EC1" w:rsidRDefault="00152EC1" w:rsidP="00D4366D">
      <w:pPr>
        <w:pStyle w:val="SCVbullet1"/>
      </w:pPr>
      <w:r>
        <w:t>Workforce and work environmental factors</w:t>
      </w:r>
      <w:r w:rsidR="00D4366D">
        <w:t>:</w:t>
      </w:r>
      <w:r>
        <w:t xml:space="preserve"> 14</w:t>
      </w:r>
    </w:p>
    <w:p w14:paraId="0CFD8769" w14:textId="51BC1A39" w:rsidR="00152EC1" w:rsidRDefault="00152EC1" w:rsidP="00C96A69">
      <w:pPr>
        <w:pStyle w:val="SCVbody"/>
      </w:pPr>
      <w:r>
        <w:t xml:space="preserve">Note: categories selected less than 14 times not included </w:t>
      </w:r>
    </w:p>
    <w:p w14:paraId="75407A18" w14:textId="49E34CB1" w:rsidR="00152EC1" w:rsidRPr="00D4366D" w:rsidRDefault="00D4366D" w:rsidP="00C96A69">
      <w:pPr>
        <w:pStyle w:val="SCVbody"/>
        <w:rPr>
          <w:b/>
          <w:bCs/>
        </w:rPr>
      </w:pPr>
      <w:r w:rsidRPr="00D4366D">
        <w:rPr>
          <w:b/>
          <w:bCs/>
        </w:rPr>
        <w:t xml:space="preserve">Recommendation themes </w:t>
      </w:r>
    </w:p>
    <w:p w14:paraId="4598D857" w14:textId="77777777" w:rsidR="00152EC1" w:rsidRDefault="00152EC1" w:rsidP="00C96A69">
      <w:pPr>
        <w:pStyle w:val="SCVbody"/>
      </w:pPr>
      <w:r>
        <w:t xml:space="preserve">A total of 171 recommendations were developed to address these events. </w:t>
      </w:r>
    </w:p>
    <w:p w14:paraId="13B0518F" w14:textId="2A6762EF" w:rsidR="00152EC1" w:rsidRDefault="00152EC1" w:rsidP="00C96A69">
      <w:pPr>
        <w:pStyle w:val="SCVbody"/>
      </w:pPr>
      <w:r>
        <w:t>Top 8 recommendation themes</w:t>
      </w:r>
      <w:r w:rsidR="00D4366D">
        <w:t>:</w:t>
      </w:r>
      <w:r>
        <w:t xml:space="preserve"> </w:t>
      </w:r>
    </w:p>
    <w:p w14:paraId="6E358728" w14:textId="5E3142A1" w:rsidR="00152EC1" w:rsidRDefault="00152EC1" w:rsidP="00D4366D">
      <w:pPr>
        <w:pStyle w:val="SCVbullet1"/>
      </w:pPr>
      <w:r>
        <w:t>Standardised process</w:t>
      </w:r>
      <w:r w:rsidR="00D4366D">
        <w:t>:</w:t>
      </w:r>
      <w:r>
        <w:t xml:space="preserve"> 31</w:t>
      </w:r>
    </w:p>
    <w:p w14:paraId="168EE9D1" w14:textId="075851AE" w:rsidR="00152EC1" w:rsidRDefault="00152EC1" w:rsidP="00D4366D">
      <w:pPr>
        <w:pStyle w:val="SCVbullet1"/>
      </w:pPr>
      <w:r>
        <w:t>Share outcomes/educational reference</w:t>
      </w:r>
      <w:r w:rsidR="00D4366D">
        <w:t>:</w:t>
      </w:r>
      <w:r>
        <w:t xml:space="preserve"> 28</w:t>
      </w:r>
    </w:p>
    <w:p w14:paraId="03ACBA24" w14:textId="2094DACF" w:rsidR="00152EC1" w:rsidRDefault="00152EC1" w:rsidP="00D4366D">
      <w:pPr>
        <w:pStyle w:val="SCVbullet1"/>
      </w:pPr>
      <w:r>
        <w:t>Further review/develop action plan</w:t>
      </w:r>
      <w:r w:rsidR="00D4366D">
        <w:t>:</w:t>
      </w:r>
      <w:r>
        <w:t xml:space="preserve"> 21</w:t>
      </w:r>
    </w:p>
    <w:p w14:paraId="146DA7EF" w14:textId="1BD86A98" w:rsidR="00152EC1" w:rsidRDefault="00152EC1" w:rsidP="00D4366D">
      <w:pPr>
        <w:pStyle w:val="SCVbullet1"/>
      </w:pPr>
      <w:r>
        <w:t>Training</w:t>
      </w:r>
      <w:r w:rsidR="00D4366D">
        <w:t>:</w:t>
      </w:r>
      <w:r>
        <w:t xml:space="preserve"> 16</w:t>
      </w:r>
    </w:p>
    <w:p w14:paraId="4DD03FC9" w14:textId="75709D88" w:rsidR="00152EC1" w:rsidRDefault="00152EC1" w:rsidP="00D4366D">
      <w:pPr>
        <w:pStyle w:val="SCVbullet1"/>
      </w:pPr>
      <w:r>
        <w:t>New procedure/memorandum/policy</w:t>
      </w:r>
      <w:r w:rsidR="00D4366D">
        <w:t>:</w:t>
      </w:r>
      <w:r>
        <w:t xml:space="preserve"> 15</w:t>
      </w:r>
    </w:p>
    <w:p w14:paraId="492BD231" w14:textId="421C5D67" w:rsidR="00152EC1" w:rsidRDefault="00152EC1" w:rsidP="00D4366D">
      <w:pPr>
        <w:pStyle w:val="SCVbullet1"/>
      </w:pPr>
      <w:r>
        <w:t>Software enhancements or modiﬁcations</w:t>
      </w:r>
      <w:r w:rsidR="00D4366D">
        <w:t xml:space="preserve">: </w:t>
      </w:r>
      <w:r>
        <w:t>12</w:t>
      </w:r>
    </w:p>
    <w:p w14:paraId="312B8947" w14:textId="629D0598" w:rsidR="00152EC1" w:rsidRDefault="00152EC1" w:rsidP="00D4366D">
      <w:pPr>
        <w:pStyle w:val="SCVbullet1"/>
      </w:pPr>
      <w:r>
        <w:t>Checklist/cognitive aids</w:t>
      </w:r>
      <w:r w:rsidR="00D4366D">
        <w:t>:</w:t>
      </w:r>
      <w:r>
        <w:t xml:space="preserve"> 11</w:t>
      </w:r>
    </w:p>
    <w:p w14:paraId="6E3E3CB6" w14:textId="5B38BD90" w:rsidR="00152EC1" w:rsidRDefault="00152EC1" w:rsidP="00D4366D">
      <w:pPr>
        <w:pStyle w:val="SCVbullet1"/>
      </w:pPr>
      <w:r>
        <w:t>Tangible involvement by leadership</w:t>
      </w:r>
      <w:r w:rsidR="00D4366D">
        <w:t>:</w:t>
      </w:r>
      <w:r>
        <w:t xml:space="preserve"> 8</w:t>
      </w:r>
    </w:p>
    <w:p w14:paraId="64ABFCBD" w14:textId="77777777" w:rsidR="00152EC1" w:rsidRDefault="00152EC1" w:rsidP="00C96A69">
      <w:pPr>
        <w:pStyle w:val="SCVbody"/>
      </w:pPr>
      <w:r>
        <w:t xml:space="preserve">Note: categories selected less than 8 times not included </w:t>
      </w:r>
    </w:p>
    <w:p w14:paraId="350BCAC8" w14:textId="203345C9" w:rsidR="00152EC1" w:rsidRDefault="00FF62F4" w:rsidP="00C96A69">
      <w:pPr>
        <w:pStyle w:val="SCVbody"/>
      </w:pPr>
      <w:r w:rsidRPr="00FF62F4">
        <w:t>[END OF FIGURE]</w:t>
      </w:r>
    </w:p>
    <w:p w14:paraId="71C19FAB" w14:textId="77777777" w:rsidR="00FF62F4" w:rsidRDefault="00FF62F4" w:rsidP="00C96A69">
      <w:pPr>
        <w:pStyle w:val="SCVbody"/>
      </w:pPr>
    </w:p>
    <w:p w14:paraId="206F389E" w14:textId="77777777" w:rsidR="00152EC1" w:rsidRDefault="00152EC1" w:rsidP="00C96A69">
      <w:pPr>
        <w:pStyle w:val="SCVbody"/>
      </w:pPr>
      <w:r>
        <w:t xml:space="preserve">A total of 171 recommendations were developed to address these events, under 18 different themes. Recommendations are classified according to the level of tangible impact that the actions outlined in the recommendation will have within the health service. For more information, see Recommendations from sentinel event reviews in this document. </w:t>
      </w:r>
    </w:p>
    <w:p w14:paraId="3DC84793" w14:textId="77777777" w:rsidR="00152EC1" w:rsidRDefault="00152EC1" w:rsidP="00997165">
      <w:pPr>
        <w:pStyle w:val="SCVfigurecaption"/>
      </w:pPr>
      <w:r>
        <w:t xml:space="preserve">Figure 11. Medication safety recommendations </w:t>
      </w:r>
    </w:p>
    <w:p w14:paraId="476EB53C" w14:textId="1A0632B6" w:rsidR="00152EC1" w:rsidRPr="008A0C56" w:rsidRDefault="008A0C56" w:rsidP="00C96A69">
      <w:pPr>
        <w:pStyle w:val="SCVbody"/>
        <w:rPr>
          <w:b/>
          <w:bCs/>
        </w:rPr>
      </w:pPr>
      <w:r w:rsidRPr="008A0C56">
        <w:rPr>
          <w:b/>
          <w:bCs/>
        </w:rPr>
        <w:t>Recommendations from sentinel event reviews</w:t>
      </w:r>
    </w:p>
    <w:p w14:paraId="7D2B88AC" w14:textId="77777777" w:rsidR="00152EC1" w:rsidRDefault="00152EC1" w:rsidP="00C96A69">
      <w:pPr>
        <w:pStyle w:val="SCVbody"/>
      </w:pPr>
      <w:r>
        <w:t xml:space="preserve">Medication safety events 2022–23 </w:t>
      </w:r>
    </w:p>
    <w:p w14:paraId="0A273270" w14:textId="1C90B852" w:rsidR="00152EC1" w:rsidRDefault="00152EC1" w:rsidP="00C96A69">
      <w:pPr>
        <w:pStyle w:val="SCVbody"/>
      </w:pPr>
      <w:r>
        <w:lastRenderedPageBreak/>
        <w:t>171 recommendations were developed to address the 31 events</w:t>
      </w:r>
      <w:r w:rsidR="00AD6F0A">
        <w:t>:</w:t>
      </w:r>
      <w:r>
        <w:t xml:space="preserve"> </w:t>
      </w:r>
    </w:p>
    <w:p w14:paraId="1CC6A138" w14:textId="77777777" w:rsidR="00152EC1" w:rsidRDefault="00152EC1" w:rsidP="008A0C56">
      <w:pPr>
        <w:pStyle w:val="SCVbullet1"/>
      </w:pPr>
      <w:r>
        <w:t xml:space="preserve">Weak 48% </w:t>
      </w:r>
    </w:p>
    <w:p w14:paraId="0B23B378" w14:textId="77777777" w:rsidR="00152EC1" w:rsidRDefault="00152EC1" w:rsidP="008A0C56">
      <w:pPr>
        <w:pStyle w:val="SCVbullet1"/>
      </w:pPr>
      <w:r>
        <w:t xml:space="preserve">Moderate 40% </w:t>
      </w:r>
    </w:p>
    <w:p w14:paraId="73A8B910" w14:textId="77777777" w:rsidR="00152EC1" w:rsidRDefault="00152EC1" w:rsidP="008A0C56">
      <w:pPr>
        <w:pStyle w:val="SCVbullet1"/>
      </w:pPr>
      <w:r>
        <w:t xml:space="preserve">Strong 12% </w:t>
      </w:r>
    </w:p>
    <w:p w14:paraId="537F21CE" w14:textId="6922E189" w:rsidR="00152EC1" w:rsidRDefault="00152EC1" w:rsidP="00AD6F0A">
      <w:pPr>
        <w:pStyle w:val="SCVbody"/>
      </w:pPr>
      <w:r>
        <w:t xml:space="preserve">87% were written using SMART principles </w:t>
      </w:r>
      <w:r w:rsidR="008A0C56">
        <w:t>(</w:t>
      </w:r>
      <w:r>
        <w:t xml:space="preserve">SMART </w:t>
      </w:r>
      <w:r w:rsidR="008A0C56">
        <w:t xml:space="preserve">= </w:t>
      </w:r>
      <w:r>
        <w:t>Speciﬁc</w:t>
      </w:r>
      <w:r w:rsidR="008A0C56">
        <w:t>,</w:t>
      </w:r>
      <w:r>
        <w:t xml:space="preserve"> Measurable</w:t>
      </w:r>
      <w:r w:rsidR="008A0C56">
        <w:t>,</w:t>
      </w:r>
      <w:r>
        <w:t xml:space="preserve"> Achievable</w:t>
      </w:r>
      <w:r w:rsidR="008A0C56">
        <w:t>,</w:t>
      </w:r>
      <w:r>
        <w:t xml:space="preserve"> Realistic</w:t>
      </w:r>
      <w:r w:rsidR="008A0C56">
        <w:t>,</w:t>
      </w:r>
      <w:r>
        <w:t xml:space="preserve"> Timely</w:t>
      </w:r>
      <w:r w:rsidR="008A0C56">
        <w:t>)</w:t>
      </w:r>
      <w:r>
        <w:t xml:space="preserve"> </w:t>
      </w:r>
    </w:p>
    <w:p w14:paraId="4F40ABEF" w14:textId="77777777" w:rsidR="00152EC1" w:rsidRDefault="00152EC1" w:rsidP="00AD6F0A">
      <w:pPr>
        <w:pStyle w:val="SCVbody"/>
      </w:pPr>
      <w:r>
        <w:t xml:space="preserve">12% of recommendations focused on further reviewing protocols, workplans or other functions. These are weak actions. </w:t>
      </w:r>
    </w:p>
    <w:p w14:paraId="7F10D054" w14:textId="1110BD40" w:rsidR="00152EC1" w:rsidRDefault="008A0C56" w:rsidP="00C96A69">
      <w:pPr>
        <w:pStyle w:val="SCVbody"/>
      </w:pPr>
      <w:r w:rsidRPr="008A0C56">
        <w:t>[END OF FIGURE]</w:t>
      </w:r>
    </w:p>
    <w:p w14:paraId="047828EE" w14:textId="77777777" w:rsidR="008A0C56" w:rsidRDefault="008A0C56" w:rsidP="00C96A69">
      <w:pPr>
        <w:pStyle w:val="SCVbody"/>
      </w:pPr>
    </w:p>
    <w:p w14:paraId="431524EB" w14:textId="77777777" w:rsidR="00152EC1" w:rsidRDefault="00152EC1" w:rsidP="00997165">
      <w:pPr>
        <w:pStyle w:val="Heading3"/>
      </w:pPr>
      <w:bookmarkStart w:id="20" w:name="_Toc173851118"/>
      <w:r>
        <w:t>Comparison to previous analysis</w:t>
      </w:r>
      <w:bookmarkEnd w:id="20"/>
      <w:r>
        <w:t xml:space="preserve"> </w:t>
      </w:r>
    </w:p>
    <w:p w14:paraId="1D3635B2" w14:textId="77777777" w:rsidR="00152EC1" w:rsidRDefault="00152EC1" w:rsidP="00C96A69">
      <w:pPr>
        <w:pStyle w:val="SCVbody"/>
      </w:pPr>
      <w:r>
        <w:t xml:space="preserve">Analysis of medication safety sentinel events was included in the 2019–20 Sentinel Events Annual Report. </w:t>
      </w:r>
    </w:p>
    <w:p w14:paraId="43B6BDD6" w14:textId="77777777" w:rsidR="00152EC1" w:rsidRDefault="00152EC1" w:rsidP="00C96A69">
      <w:pPr>
        <w:pStyle w:val="SCVbody"/>
      </w:pPr>
      <w:r>
        <w:t xml:space="preserve">Key comparisons included that: </w:t>
      </w:r>
    </w:p>
    <w:p w14:paraId="549DA238" w14:textId="77777777" w:rsidR="00152EC1" w:rsidRDefault="00152EC1" w:rsidP="00997165">
      <w:pPr>
        <w:pStyle w:val="SCVbullet1"/>
      </w:pPr>
      <w:r>
        <w:t xml:space="preserve">anticoagulants were the </w:t>
      </w:r>
      <w:proofErr w:type="gramStart"/>
      <w:r>
        <w:t>most commonly involved</w:t>
      </w:r>
      <w:proofErr w:type="gramEnd"/>
      <w:r>
        <w:t xml:space="preserve"> medications in sentinel events across both 2019–20 and 2022–23 </w:t>
      </w:r>
    </w:p>
    <w:p w14:paraId="3E651244" w14:textId="77777777" w:rsidR="00152EC1" w:rsidRDefault="00152EC1" w:rsidP="00997165">
      <w:pPr>
        <w:pStyle w:val="SCVbullet1"/>
      </w:pPr>
      <w:r>
        <w:t xml:space="preserve">in 2019–20, human error was found to be the most common contributing factor to medication safety sentinel events, occurring in 18 per cent of events. This is compared to two per cent in 2022–23, providing evidence that the analysis of sentinel events is moving on from human behaviour to a just culture approach and understanding how the system influences the actions of those involved </w:t>
      </w:r>
    </w:p>
    <w:p w14:paraId="467A7EF6" w14:textId="77777777" w:rsidR="00152EC1" w:rsidRDefault="00152EC1" w:rsidP="00997165">
      <w:pPr>
        <w:pStyle w:val="SCVbullet1"/>
      </w:pPr>
      <w:r>
        <w:t xml:space="preserve">the recommendations from the review of these events have shown increasing recommendation strength. There were 51 per cent of recommendations rated as moderate or strong in 2022–23, increased from 13 per cent in 2019–20. </w:t>
      </w:r>
    </w:p>
    <w:p w14:paraId="273BAC80" w14:textId="77777777" w:rsidR="00152EC1" w:rsidRDefault="00152EC1" w:rsidP="00997165">
      <w:pPr>
        <w:pStyle w:val="SCVintroductorytext"/>
      </w:pPr>
      <w:r>
        <w:t xml:space="preserve">The following medication-related system improvement examples, resources and case study focus on the most common medication category in sentinel events – anticoagulants – and clozapine use, the most common non-APINCHS medication. </w:t>
      </w:r>
    </w:p>
    <w:tbl>
      <w:tblPr>
        <w:tblStyle w:val="SCVpulloutbox"/>
        <w:tblW w:w="0" w:type="auto"/>
        <w:tblLook w:val="0600" w:firstRow="0" w:lastRow="0" w:firstColumn="0" w:lastColumn="0" w:noHBand="1" w:noVBand="1"/>
      </w:tblPr>
      <w:tblGrid>
        <w:gridCol w:w="10204"/>
      </w:tblGrid>
      <w:tr w:rsidR="00997165" w14:paraId="05F359CD" w14:textId="77777777" w:rsidTr="00997165">
        <w:tc>
          <w:tcPr>
            <w:tcW w:w="10204" w:type="dxa"/>
          </w:tcPr>
          <w:p w14:paraId="5012777D" w14:textId="77777777" w:rsidR="00997165" w:rsidRDefault="00997165" w:rsidP="000F68D9">
            <w:pPr>
              <w:pStyle w:val="SCVboxheading"/>
            </w:pPr>
            <w:r>
              <w:lastRenderedPageBreak/>
              <w:t xml:space="preserve">NEW RESOURCE: </w:t>
            </w:r>
          </w:p>
          <w:p w14:paraId="6F7ED125" w14:textId="77777777" w:rsidR="00997165" w:rsidRDefault="00997165" w:rsidP="000F68D9">
            <w:pPr>
              <w:pStyle w:val="Heading4"/>
            </w:pPr>
            <w:r>
              <w:t xml:space="preserve">Venous Thromboembolism Guideline </w:t>
            </w:r>
          </w:p>
          <w:p w14:paraId="1DF2C81A" w14:textId="03EA312B" w:rsidR="00997165" w:rsidRDefault="00997165" w:rsidP="00C96A69">
            <w:pPr>
              <w:pStyle w:val="SCVbody"/>
            </w:pPr>
            <w:r>
              <w:t xml:space="preserve">In October 2023, SCV released the </w:t>
            </w:r>
            <w:hyperlink r:id="rId42" w:history="1">
              <w:r w:rsidRPr="00904DFF">
                <w:rPr>
                  <w:rStyle w:val="Hyperlink"/>
                </w:rPr>
                <w:t>Victorian Guideline for the Prevention of Venous Thromboembolism in Adult Hospitalised Patients</w:t>
              </w:r>
            </w:hyperlink>
            <w:r>
              <w:t xml:space="preserve"> &lt;https://www.safercare.vic.gov.au/venous-thromboembolism/victorian-guideline-for-the-prevention.of-venous-thromboembolism-in-adult.hospitalised-patients&gt;. This guideline provides information for use by all Victorian healthcare clinicians and health services. It is intended to guide the provision of venous thromboembolism prophylaxis aligned to the Commission’s clinical care standard for adult patients admitted to hospital. </w:t>
            </w:r>
          </w:p>
        </w:tc>
      </w:tr>
    </w:tbl>
    <w:p w14:paraId="3F4AD1F0" w14:textId="110355FA" w:rsidR="00152EC1" w:rsidRDefault="00202D14" w:rsidP="00997165">
      <w:pPr>
        <w:pStyle w:val="Heading2"/>
      </w:pPr>
      <w:bookmarkStart w:id="21" w:name="_Toc173851119"/>
      <w:r>
        <w:t>Improving system safety</w:t>
      </w:r>
      <w:r w:rsidR="00152EC1">
        <w:t xml:space="preserve">: </w:t>
      </w:r>
      <w:r>
        <w:t>Safer Together</w:t>
      </w:r>
      <w:bookmarkEnd w:id="21"/>
      <w:r>
        <w:t xml:space="preserve"> </w:t>
      </w:r>
    </w:p>
    <w:p w14:paraId="3464C585" w14:textId="77777777" w:rsidR="00152EC1" w:rsidRDefault="00152EC1" w:rsidP="00C96A69">
      <w:pPr>
        <w:pStyle w:val="SCVbody"/>
      </w:pPr>
      <w:r>
        <w:t xml:space="preserve">SCV’s statewide Safer Together program aims to improve safety in Victoria’s healthcare system through strengthening networks to proactively address systemic issues and create an environment for collaboration, sharing and learning. </w:t>
      </w:r>
    </w:p>
    <w:p w14:paraId="18FA5749" w14:textId="1DC7D8A8" w:rsidR="00152EC1" w:rsidRDefault="00152EC1" w:rsidP="00C96A69">
      <w:pPr>
        <w:pStyle w:val="SCVbody"/>
      </w:pPr>
      <w:r>
        <w:t xml:space="preserve">One of the priority areas within the program is reducing medication-related harm. This includes a focus on the management of anticoagulation medication in adults. For further information on the program, visit please </w:t>
      </w:r>
      <w:hyperlink r:id="rId43" w:history="1">
        <w:r w:rsidRPr="00904DFF">
          <w:rPr>
            <w:rStyle w:val="Hyperlink"/>
          </w:rPr>
          <w:t>contact SCV</w:t>
        </w:r>
      </w:hyperlink>
      <w:r>
        <w:t xml:space="preserve"> &lt;centreofclinicalexcellence@safercare.vic.gov.au&gt;</w:t>
      </w:r>
      <w:r w:rsidR="00904DFF">
        <w:t>.</w:t>
      </w:r>
    </w:p>
    <w:p w14:paraId="4E2EBE03" w14:textId="1FA6E724" w:rsidR="00152EC1" w:rsidRDefault="00202D14" w:rsidP="00997165">
      <w:pPr>
        <w:pStyle w:val="Heading2"/>
      </w:pPr>
      <w:bookmarkStart w:id="22" w:name="_Toc173851120"/>
      <w:r>
        <w:t>Improving system safety</w:t>
      </w:r>
      <w:r w:rsidR="00152EC1">
        <w:t xml:space="preserve">: </w:t>
      </w:r>
      <w:r>
        <w:t>Anticoagulation stewardship service at Monash Health</w:t>
      </w:r>
      <w:bookmarkEnd w:id="22"/>
      <w:r>
        <w:t xml:space="preserve"> </w:t>
      </w:r>
    </w:p>
    <w:p w14:paraId="723C644F" w14:textId="77777777" w:rsidR="00152EC1" w:rsidRDefault="00152EC1" w:rsidP="00C96A69">
      <w:pPr>
        <w:pStyle w:val="SCVbody"/>
      </w:pPr>
      <w:r>
        <w:t xml:space="preserve">Monash Health recognised the need for an Anticoagulation Stewardship Service following adverse patient safety event reviews, including sentinel events. This innovative service aims to promote and optimise the safe use of anticoagulants, improve patient outcomes by reducing adverse events and prevent hospital complications. </w:t>
      </w:r>
    </w:p>
    <w:p w14:paraId="11E12822" w14:textId="77777777" w:rsidR="00152EC1" w:rsidRDefault="00152EC1" w:rsidP="00C96A69">
      <w:pPr>
        <w:pStyle w:val="SCVbody"/>
      </w:pPr>
      <w:r>
        <w:t xml:space="preserve">The Anticoagulation Stewardship Service is a multidisciplinary partnership between the haematology and pharmacy departments to provide oversight of all adult inpatients, Hospital in the Home and perioperative patients. </w:t>
      </w:r>
    </w:p>
    <w:p w14:paraId="05CD5687" w14:textId="77777777" w:rsidR="00152EC1" w:rsidRDefault="00152EC1" w:rsidP="00C96A69">
      <w:pPr>
        <w:pStyle w:val="SCVbody"/>
      </w:pPr>
      <w:r>
        <w:t xml:space="preserve">Design of the service involved adaptation of national and international stewardship models, combined with local expertise, patient perspectives and technology. It aimed to specifically address the unique needs and challenges to providing care across six campuses and four emergency departments. </w:t>
      </w:r>
    </w:p>
    <w:p w14:paraId="317D3908" w14:textId="77777777" w:rsidR="00152EC1" w:rsidRDefault="00152EC1" w:rsidP="00C96A69">
      <w:pPr>
        <w:pStyle w:val="SCVbody"/>
      </w:pPr>
      <w:r>
        <w:t xml:space="preserve">With implementation of the service, patient safety is improved through three mechanisms of: </w:t>
      </w:r>
    </w:p>
    <w:p w14:paraId="2C01C664" w14:textId="77777777" w:rsidR="00152EC1" w:rsidRDefault="00152EC1" w:rsidP="00997165">
      <w:pPr>
        <w:pStyle w:val="SCVbullet1"/>
      </w:pPr>
      <w:r>
        <w:t xml:space="preserve">proactive identification and review of patients at risk of harm through a novel electronic dashboard </w:t>
      </w:r>
    </w:p>
    <w:p w14:paraId="5B24C60A" w14:textId="77777777" w:rsidR="00152EC1" w:rsidRDefault="00152EC1" w:rsidP="00997165">
      <w:pPr>
        <w:pStyle w:val="SCVbullet1"/>
      </w:pPr>
      <w:r>
        <w:t xml:space="preserve">a clinical referral service </w:t>
      </w:r>
    </w:p>
    <w:p w14:paraId="2CCE5410" w14:textId="77777777" w:rsidR="00152EC1" w:rsidRDefault="00152EC1" w:rsidP="00997165">
      <w:pPr>
        <w:pStyle w:val="SCVbullet1"/>
      </w:pPr>
      <w:r>
        <w:t xml:space="preserve">oversight of anticoagulant clinical guidelines. </w:t>
      </w:r>
    </w:p>
    <w:p w14:paraId="027BA8E8" w14:textId="77777777" w:rsidR="00152EC1" w:rsidRDefault="00152EC1" w:rsidP="00C96A69">
      <w:pPr>
        <w:pStyle w:val="SCVbody"/>
      </w:pPr>
      <w:r>
        <w:lastRenderedPageBreak/>
        <w:t xml:space="preserve">The service receives referrals from clinical teams. The program’s dashboard allows screening of patients with real-time data extraction from the electronic medical record. Data is filtered to identify those at risk of harm. </w:t>
      </w:r>
    </w:p>
    <w:p w14:paraId="5D0B7D82" w14:textId="77777777" w:rsidR="00152EC1" w:rsidRDefault="00152EC1" w:rsidP="00C96A69">
      <w:pPr>
        <w:pStyle w:val="SCVbody"/>
      </w:pPr>
      <w:r>
        <w:t xml:space="preserve">The service reviewed 11,500 patients between commencement in November 2022 and December 2023. Approximately 20 per cent of the patients required an intervention. These interventions involved providing a clinical recommendation to the treating team to optimise anticoagulant therapy, dosing or monitoring. Reviews were pharmacist-led with triaging and escalation of queries to the haematologists as required. </w:t>
      </w:r>
    </w:p>
    <w:p w14:paraId="1CDACB08" w14:textId="77777777" w:rsidR="00152EC1" w:rsidRDefault="00152EC1" w:rsidP="00C96A69">
      <w:pPr>
        <w:pStyle w:val="SCVbody"/>
      </w:pPr>
      <w:r>
        <w:t xml:space="preserve">There were 308 patients classified as high risk, requiring intervention to address: </w:t>
      </w:r>
    </w:p>
    <w:p w14:paraId="10ABC47B" w14:textId="77777777" w:rsidR="00152EC1" w:rsidRDefault="00152EC1" w:rsidP="00997165">
      <w:pPr>
        <w:pStyle w:val="SCVbullet1"/>
      </w:pPr>
      <w:r>
        <w:t xml:space="preserve">inappropriate duplicate prescribing of anticoagulants (41 per cent) </w:t>
      </w:r>
    </w:p>
    <w:p w14:paraId="289D5C9B" w14:textId="77777777" w:rsidR="00152EC1" w:rsidRDefault="00152EC1" w:rsidP="00997165">
      <w:pPr>
        <w:pStyle w:val="SCVbullet1"/>
      </w:pPr>
      <w:r>
        <w:t xml:space="preserve">renal impairment on therapeutic enoxaparin (33 per cent) </w:t>
      </w:r>
    </w:p>
    <w:p w14:paraId="37F66972" w14:textId="77777777" w:rsidR="00152EC1" w:rsidRDefault="00152EC1" w:rsidP="00997165">
      <w:pPr>
        <w:pStyle w:val="SCVbullet1"/>
      </w:pPr>
      <w:r>
        <w:t xml:space="preserve">reduced platelet count and on anticoagulant or antiplatelet agent (19 per cent) </w:t>
      </w:r>
    </w:p>
    <w:p w14:paraId="03380AAB" w14:textId="77777777" w:rsidR="00152EC1" w:rsidRDefault="00152EC1" w:rsidP="00997165">
      <w:pPr>
        <w:pStyle w:val="SCVbullet1"/>
      </w:pPr>
      <w:r>
        <w:t xml:space="preserve">levels of anticoagulant that were higher than the therapeutic range (6 per cent). </w:t>
      </w:r>
    </w:p>
    <w:p w14:paraId="17FDE3D7" w14:textId="77777777" w:rsidR="00152EC1" w:rsidRDefault="00152EC1" w:rsidP="00C96A69">
      <w:pPr>
        <w:pStyle w:val="SCVbody"/>
      </w:pPr>
      <w:r>
        <w:t xml:space="preserve">Feedback to the Anticoagulation Stewardship Service has been overwhelmingly positive. The Service Director of General Medicine Program stated that ‘This Anticoagulation Stewardship Service is a highly valuable service, being innovative, dynamic, proactive and contributing to a strong safety culture at Monash Health’. </w:t>
      </w:r>
    </w:p>
    <w:p w14:paraId="021A7EE9" w14:textId="77777777" w:rsidR="00152EC1" w:rsidRPr="00EF24D6" w:rsidRDefault="00152EC1" w:rsidP="00C96A69">
      <w:pPr>
        <w:pStyle w:val="SCVbody"/>
        <w:rPr>
          <w:b/>
          <w:bCs/>
        </w:rPr>
      </w:pPr>
      <w:r w:rsidRPr="00EF24D6">
        <w:rPr>
          <w:b/>
          <w:bCs/>
        </w:rPr>
        <w:t xml:space="preserve">Prepared on behalf of the Anticoagulation Stewardship Service by Wendy Ewing, Deputy Director of Pharmacy – Quality, Monash Health </w:t>
      </w:r>
    </w:p>
    <w:tbl>
      <w:tblPr>
        <w:tblStyle w:val="SCVInformationTable"/>
        <w:tblW w:w="0" w:type="auto"/>
        <w:tblLook w:val="0600" w:firstRow="0" w:lastRow="0" w:firstColumn="0" w:lastColumn="0" w:noHBand="1" w:noVBand="1"/>
      </w:tblPr>
      <w:tblGrid>
        <w:gridCol w:w="10204"/>
      </w:tblGrid>
      <w:tr w:rsidR="00997165" w14:paraId="17D59B71" w14:textId="77777777" w:rsidTr="000F68D9">
        <w:tc>
          <w:tcPr>
            <w:tcW w:w="10204" w:type="dxa"/>
          </w:tcPr>
          <w:p w14:paraId="308AA3E9" w14:textId="77777777" w:rsidR="00997165" w:rsidRDefault="00997165" w:rsidP="000F68D9">
            <w:pPr>
              <w:pStyle w:val="SCVboxheading"/>
            </w:pPr>
            <w:r w:rsidRPr="003D0CE8">
              <w:lastRenderedPageBreak/>
              <w:t>Case study – complications of antipsychotic medication</w:t>
            </w:r>
          </w:p>
          <w:p w14:paraId="51BEFA36" w14:textId="77777777" w:rsidR="00997165" w:rsidRDefault="00997165" w:rsidP="00C96A69">
            <w:pPr>
              <w:pStyle w:val="SCVbody"/>
            </w:pPr>
            <w:r>
              <w:t xml:space="preserve">Lily was admitted to the acute mental health unit as they had developed delusions and were at risk of deterioration. They had not been taking their medications, including clozapine, which was prescribed to treat their schizophrenia. Their treatment plan included titrating their clozapine dose. </w:t>
            </w:r>
          </w:p>
          <w:p w14:paraId="2691B7EB" w14:textId="77777777" w:rsidR="00997165" w:rsidRDefault="00997165" w:rsidP="00C96A69">
            <w:pPr>
              <w:pStyle w:val="SCVbody"/>
            </w:pPr>
            <w:r>
              <w:t xml:space="preserve">During their admission, Lily developed seizures and was transferred to the medical ward. They had episodes of poor oral intake, vomiting and nausea, and they had a distended abdomen. Lily required full nursing care and they stayed on the medical ward. </w:t>
            </w:r>
          </w:p>
          <w:p w14:paraId="3F498518" w14:textId="77777777" w:rsidR="00997165" w:rsidRDefault="00997165" w:rsidP="00C96A69">
            <w:pPr>
              <w:pStyle w:val="SCVbody"/>
            </w:pPr>
            <w:r>
              <w:t xml:space="preserve">Three weeks into their admission, a MET response was called due to low oxygen levels and Lily was transferred to the intensive care unit for intubation. Lily suffered massive regurgitation of fluid during the attempt to intubate them, followed by a cardiac arrest. They were unable to be resuscitated. </w:t>
            </w:r>
          </w:p>
          <w:p w14:paraId="0283B194" w14:textId="77777777" w:rsidR="00997165" w:rsidRDefault="00997165" w:rsidP="00C96A69">
            <w:pPr>
              <w:pStyle w:val="SCVbody"/>
            </w:pPr>
            <w:r>
              <w:t xml:space="preserve">Lily’s cause of death was determined to be due to a massive aspiration from a severe lack of movement (ileus) and blockage of the intestine. This is a known complication of clozapine, which can slow the movement of the intestine. </w:t>
            </w:r>
          </w:p>
          <w:p w14:paraId="114035AA" w14:textId="77777777" w:rsidR="00997165" w:rsidRDefault="00997165" w:rsidP="00C96A69">
            <w:pPr>
              <w:pStyle w:val="SCVbody"/>
            </w:pPr>
            <w:r>
              <w:t xml:space="preserve">Review of this event found that there was a lack of knowledge and procedures within the organisation to support management of bowel habits for patients receiving clozapine. The seriousness of the gastrointestinal complications of clozapine were not well known to staff outside the mental health unit. </w:t>
            </w:r>
          </w:p>
          <w:p w14:paraId="5EA26A51" w14:textId="134FFADA" w:rsidR="00997165" w:rsidRDefault="00997165" w:rsidP="00C96A69">
            <w:pPr>
              <w:pStyle w:val="SCVbody"/>
            </w:pPr>
            <w:r>
              <w:t xml:space="preserve">In response to this event, the health service has updated their clinical practise guideline and created a standardised bowel escalation plan for all patients receiving clozapine. An alert will prompt staff to commence using the bowel chart for anyone who is prescribed clozapine. They are exploring if this can be automated through their electronic medical record. </w:t>
            </w:r>
          </w:p>
        </w:tc>
      </w:tr>
    </w:tbl>
    <w:p w14:paraId="4D8365EB" w14:textId="77777777" w:rsidR="00152EC1" w:rsidRDefault="00152EC1" w:rsidP="00C96A69">
      <w:pPr>
        <w:pStyle w:val="SCVbody"/>
      </w:pPr>
    </w:p>
    <w:tbl>
      <w:tblPr>
        <w:tblStyle w:val="SCVpulloutbox"/>
        <w:tblW w:w="0" w:type="auto"/>
        <w:tblLook w:val="0600" w:firstRow="0" w:lastRow="0" w:firstColumn="0" w:lastColumn="0" w:noHBand="1" w:noVBand="1"/>
      </w:tblPr>
      <w:tblGrid>
        <w:gridCol w:w="10204"/>
      </w:tblGrid>
      <w:tr w:rsidR="00997165" w14:paraId="61EF8B94" w14:textId="77777777" w:rsidTr="000F68D9">
        <w:tc>
          <w:tcPr>
            <w:tcW w:w="10204" w:type="dxa"/>
          </w:tcPr>
          <w:p w14:paraId="0C89E781" w14:textId="77777777" w:rsidR="000F68D9" w:rsidRDefault="000F68D9" w:rsidP="000F68D9">
            <w:pPr>
              <w:pStyle w:val="SCVboxheading"/>
            </w:pPr>
            <w:r w:rsidRPr="003D0CE8">
              <w:t>ADVICE FOR HEALTH SERVICES</w:t>
            </w:r>
          </w:p>
          <w:p w14:paraId="74404DA4" w14:textId="218309BF" w:rsidR="00997165" w:rsidRDefault="000F68D9" w:rsidP="00C96A69">
            <w:pPr>
              <w:pStyle w:val="SCVbody"/>
            </w:pPr>
            <w:r>
              <w:t>Health services must ensure their procedures and processes include monitoring for gastrointestinal adverse effects from antipsychotic medications, including clozapine.</w:t>
            </w:r>
          </w:p>
        </w:tc>
      </w:tr>
    </w:tbl>
    <w:p w14:paraId="5F30B4B5" w14:textId="225A374B" w:rsidR="00152EC1" w:rsidRDefault="00152EC1" w:rsidP="00C96A69">
      <w:pPr>
        <w:pStyle w:val="SCVbody"/>
      </w:pPr>
    </w:p>
    <w:tbl>
      <w:tblPr>
        <w:tblStyle w:val="SCVInformationTable"/>
        <w:tblW w:w="0" w:type="auto"/>
        <w:tblLook w:val="0600" w:firstRow="0" w:lastRow="0" w:firstColumn="0" w:lastColumn="0" w:noHBand="1" w:noVBand="1"/>
      </w:tblPr>
      <w:tblGrid>
        <w:gridCol w:w="10204"/>
      </w:tblGrid>
      <w:tr w:rsidR="00997165" w14:paraId="1FDC33C3" w14:textId="77777777" w:rsidTr="000F68D9">
        <w:tc>
          <w:tcPr>
            <w:tcW w:w="10204" w:type="dxa"/>
          </w:tcPr>
          <w:p w14:paraId="60A87995" w14:textId="77777777" w:rsidR="000F68D9" w:rsidRDefault="000F68D9" w:rsidP="000F68D9">
            <w:pPr>
              <w:pStyle w:val="SCVboxheading"/>
            </w:pPr>
            <w:r>
              <w:lastRenderedPageBreak/>
              <w:t xml:space="preserve">High-Risk Medicines Education package </w:t>
            </w:r>
          </w:p>
          <w:p w14:paraId="3A4D21D8" w14:textId="77777777" w:rsidR="000F68D9" w:rsidRDefault="000F68D9" w:rsidP="00C96A69">
            <w:pPr>
              <w:pStyle w:val="SCVbody"/>
            </w:pPr>
            <w:r>
              <w:t xml:space="preserve">The Commission offers a series of online learning modules that focus on high-risk medicines. The modules cover medication safety topics and promote the safe management of: </w:t>
            </w:r>
          </w:p>
          <w:p w14:paraId="3C1837B5" w14:textId="77777777" w:rsidR="000F68D9" w:rsidRDefault="000F68D9" w:rsidP="000F68D9">
            <w:pPr>
              <w:pStyle w:val="SCVbullet1"/>
            </w:pPr>
            <w:r>
              <w:t xml:space="preserve">anticoagulants </w:t>
            </w:r>
          </w:p>
          <w:p w14:paraId="081DE53D" w14:textId="77777777" w:rsidR="000F68D9" w:rsidRDefault="000F68D9" w:rsidP="000F68D9">
            <w:pPr>
              <w:pStyle w:val="SCVbullet1"/>
            </w:pPr>
            <w:r>
              <w:t xml:space="preserve">clozapine </w:t>
            </w:r>
          </w:p>
          <w:p w14:paraId="7DEFF766" w14:textId="77777777" w:rsidR="000F68D9" w:rsidRDefault="000F68D9" w:rsidP="000F68D9">
            <w:pPr>
              <w:pStyle w:val="SCVbullet1"/>
            </w:pPr>
            <w:r>
              <w:t xml:space="preserve">insulin </w:t>
            </w:r>
          </w:p>
          <w:p w14:paraId="79F304A1" w14:textId="77777777" w:rsidR="000F68D9" w:rsidRDefault="000F68D9" w:rsidP="000F68D9">
            <w:pPr>
              <w:pStyle w:val="SCVbullet1"/>
            </w:pPr>
            <w:r>
              <w:t xml:space="preserve">opioid analgesics in acute settings </w:t>
            </w:r>
          </w:p>
          <w:p w14:paraId="7B058900" w14:textId="77777777" w:rsidR="000F68D9" w:rsidRDefault="000F68D9" w:rsidP="000F68D9">
            <w:pPr>
              <w:pStyle w:val="SCVbullet1"/>
            </w:pPr>
            <w:r>
              <w:t xml:space="preserve">psychotropic medicines </w:t>
            </w:r>
          </w:p>
          <w:p w14:paraId="1E65B03A" w14:textId="77777777" w:rsidR="000F68D9" w:rsidRDefault="000F68D9" w:rsidP="000F68D9">
            <w:pPr>
              <w:pStyle w:val="SCVbullet1"/>
            </w:pPr>
            <w:r>
              <w:t xml:space="preserve">anticancer medicines. </w:t>
            </w:r>
          </w:p>
          <w:p w14:paraId="5D304537" w14:textId="08EBA87A" w:rsidR="00997165" w:rsidRDefault="000F68D9" w:rsidP="00C96A69">
            <w:pPr>
              <w:pStyle w:val="SCVbody"/>
            </w:pPr>
            <w:r>
              <w:t xml:space="preserve">These learning modules are designed to support clinicians caring for patients prescribed high-risk medicines. They can be freely accessed by all Victorian public health service clinicians. To access the modules, </w:t>
            </w:r>
            <w:hyperlink r:id="rId44" w:history="1">
              <w:r w:rsidRPr="00904DFF">
                <w:rPr>
                  <w:rStyle w:val="Hyperlink"/>
                </w:rPr>
                <w:t>sign in to the Commission’s High Risk Medicines Education</w:t>
              </w:r>
            </w:hyperlink>
            <w:r>
              <w:t xml:space="preserve"> &lt;https://hrmeducation.health.gov.au/login&gt;. </w:t>
            </w:r>
          </w:p>
        </w:tc>
      </w:tr>
    </w:tbl>
    <w:p w14:paraId="6A915E44" w14:textId="77777777" w:rsidR="00152EC1" w:rsidRDefault="00152EC1" w:rsidP="00C96A69">
      <w:pPr>
        <w:pStyle w:val="SCVbody"/>
      </w:pPr>
    </w:p>
    <w:tbl>
      <w:tblPr>
        <w:tblStyle w:val="SCVpulloutbox"/>
        <w:tblW w:w="0" w:type="auto"/>
        <w:tblLook w:val="0600" w:firstRow="0" w:lastRow="0" w:firstColumn="0" w:lastColumn="0" w:noHBand="1" w:noVBand="1"/>
      </w:tblPr>
      <w:tblGrid>
        <w:gridCol w:w="10204"/>
      </w:tblGrid>
      <w:tr w:rsidR="000F68D9" w14:paraId="148FD313" w14:textId="77777777" w:rsidTr="000F68D9">
        <w:tc>
          <w:tcPr>
            <w:tcW w:w="10204" w:type="dxa"/>
          </w:tcPr>
          <w:p w14:paraId="1623DFA1" w14:textId="77777777" w:rsidR="000F68D9" w:rsidRDefault="000F68D9" w:rsidP="000F68D9">
            <w:pPr>
              <w:pStyle w:val="SCVboxheading"/>
            </w:pPr>
            <w:r>
              <w:t xml:space="preserve">RESOURCE: </w:t>
            </w:r>
          </w:p>
          <w:p w14:paraId="2C8980B9" w14:textId="77777777" w:rsidR="000F68D9" w:rsidRDefault="000F68D9" w:rsidP="000F68D9">
            <w:pPr>
              <w:pStyle w:val="Heading4"/>
            </w:pPr>
            <w:r>
              <w:t xml:space="preserve">IMPROVING SYSTEM SAFETY: VICTORIAN MEDICINES ROUNDTABLE </w:t>
            </w:r>
          </w:p>
          <w:p w14:paraId="321C1525" w14:textId="77777777" w:rsidR="000F68D9" w:rsidRDefault="000F68D9" w:rsidP="00C96A69">
            <w:pPr>
              <w:pStyle w:val="SCVbody"/>
            </w:pPr>
            <w:r>
              <w:t>This educational forum for clinicians who have an interest in medication safety, is held in partnership with the Victorian Therapeutics Advisory Group (</w:t>
            </w:r>
            <w:proofErr w:type="spellStart"/>
            <w:r>
              <w:t>VicTAG</w:t>
            </w:r>
            <w:proofErr w:type="spellEnd"/>
            <w:r>
              <w:t xml:space="preserve">) and SCV. It provides an opportunity to discuss key medicines issues and priorities, and analysis of sentinel event themes informs the agenda. </w:t>
            </w:r>
          </w:p>
          <w:p w14:paraId="7A640168" w14:textId="77777777" w:rsidR="000F68D9" w:rsidRDefault="000F68D9" w:rsidP="00C96A69">
            <w:pPr>
              <w:pStyle w:val="SCVbody"/>
            </w:pPr>
            <w:r>
              <w:t xml:space="preserve">The 2023 Roundtable was held on 5 October with the following key topics of: </w:t>
            </w:r>
          </w:p>
          <w:p w14:paraId="6996F23B" w14:textId="77777777" w:rsidR="000F68D9" w:rsidRDefault="000F68D9" w:rsidP="000F68D9">
            <w:pPr>
              <w:pStyle w:val="SCVbullet1"/>
            </w:pPr>
            <w:r>
              <w:t xml:space="preserve">anticoagulant safety and stewardship </w:t>
            </w:r>
          </w:p>
          <w:p w14:paraId="5ED7C096" w14:textId="77777777" w:rsidR="000F68D9" w:rsidRDefault="000F68D9" w:rsidP="000F68D9">
            <w:pPr>
              <w:pStyle w:val="SCVbullet1"/>
            </w:pPr>
            <w:r>
              <w:t xml:space="preserve">medication risks at transitions of care </w:t>
            </w:r>
          </w:p>
          <w:p w14:paraId="16041DB3" w14:textId="77777777" w:rsidR="000F68D9" w:rsidRDefault="000F68D9" w:rsidP="000F68D9">
            <w:pPr>
              <w:pStyle w:val="SCVbullet1"/>
            </w:pPr>
            <w:r>
              <w:t xml:space="preserve">managing critical medicines shortages </w:t>
            </w:r>
          </w:p>
          <w:p w14:paraId="36F42263" w14:textId="77777777" w:rsidR="000F68D9" w:rsidRDefault="000F68D9" w:rsidP="000F68D9">
            <w:pPr>
              <w:pStyle w:val="SCVbullet1"/>
            </w:pPr>
            <w:r>
              <w:t xml:space="preserve">high-cost medicines. </w:t>
            </w:r>
          </w:p>
          <w:p w14:paraId="0944196B" w14:textId="4E02B757" w:rsidR="000F68D9" w:rsidRDefault="000F68D9" w:rsidP="00C96A69">
            <w:pPr>
              <w:pStyle w:val="SCVbody"/>
            </w:pPr>
            <w:r>
              <w:t xml:space="preserve">For further information </w:t>
            </w:r>
            <w:hyperlink r:id="rId45" w:history="1">
              <w:r w:rsidRPr="00904DFF">
                <w:rPr>
                  <w:rStyle w:val="Hyperlink"/>
                </w:rPr>
                <w:t>visit VicTag’s Medicines Roundtable</w:t>
              </w:r>
            </w:hyperlink>
            <w:r>
              <w:t xml:space="preserve"> &lt;https://victag.org.au/events/medicines-roundtable&gt;. </w:t>
            </w:r>
          </w:p>
        </w:tc>
      </w:tr>
    </w:tbl>
    <w:p w14:paraId="26E9B518" w14:textId="77777777" w:rsidR="000F68D9" w:rsidRDefault="000F68D9" w:rsidP="00C96A69">
      <w:pPr>
        <w:pStyle w:val="SCVbody"/>
      </w:pPr>
    </w:p>
    <w:tbl>
      <w:tblPr>
        <w:tblStyle w:val="SCVInformationTable"/>
        <w:tblW w:w="0" w:type="auto"/>
        <w:tblLook w:val="0600" w:firstRow="0" w:lastRow="0" w:firstColumn="0" w:lastColumn="0" w:noHBand="1" w:noVBand="1"/>
      </w:tblPr>
      <w:tblGrid>
        <w:gridCol w:w="10204"/>
      </w:tblGrid>
      <w:tr w:rsidR="000F68D9" w14:paraId="3B99C170" w14:textId="77777777" w:rsidTr="000F68D9">
        <w:tc>
          <w:tcPr>
            <w:tcW w:w="10204" w:type="dxa"/>
          </w:tcPr>
          <w:p w14:paraId="1AF08345" w14:textId="77777777" w:rsidR="000F68D9" w:rsidRDefault="000F68D9" w:rsidP="000F68D9">
            <w:pPr>
              <w:pStyle w:val="SCVboxheading"/>
            </w:pPr>
            <w:r w:rsidRPr="003D0CE8">
              <w:lastRenderedPageBreak/>
              <w:t>ADVICE FOR CONSUMERS</w:t>
            </w:r>
          </w:p>
          <w:p w14:paraId="17E8A61E" w14:textId="77777777" w:rsidR="000F68D9" w:rsidRDefault="000F68D9" w:rsidP="00C96A69">
            <w:pPr>
              <w:pStyle w:val="SCVbody"/>
            </w:pPr>
            <w:r>
              <w:t xml:space="preserve">You can help ensure you get the care that is right for you by being actively involved and working in partnership with healthcare providers. It is important to keep a list of all the medications you are taking, including any vitamins and supplements. You can share this list with your healthcare providers. </w:t>
            </w:r>
          </w:p>
          <w:p w14:paraId="329FE826" w14:textId="38C7F279" w:rsidR="000F68D9" w:rsidRDefault="000F68D9" w:rsidP="00C96A69">
            <w:pPr>
              <w:pStyle w:val="SCVbody"/>
            </w:pPr>
            <w:r>
              <w:t xml:space="preserve">For more information, </w:t>
            </w:r>
            <w:hyperlink r:id="rId46" w:history="1">
              <w:r w:rsidRPr="00904DFF">
                <w:rPr>
                  <w:rStyle w:val="Hyperlink"/>
                </w:rPr>
                <w:t>visit Top tips for safe health Care</w:t>
              </w:r>
            </w:hyperlink>
            <w:r>
              <w:t xml:space="preserve"> &lt;https://www.safetyandquality.gov.au/publications-and-resources/resource-library/top-tips-safe-health-care&gt;. </w:t>
            </w:r>
          </w:p>
        </w:tc>
      </w:tr>
    </w:tbl>
    <w:p w14:paraId="485C3BEC" w14:textId="03327C46" w:rsidR="00152EC1" w:rsidRDefault="00202D14" w:rsidP="000F68D9">
      <w:pPr>
        <w:pStyle w:val="Heading2"/>
      </w:pPr>
      <w:bookmarkStart w:id="23" w:name="_Toc173851121"/>
      <w:r>
        <w:t>Perioperative sentinel events</w:t>
      </w:r>
      <w:bookmarkEnd w:id="23"/>
      <w:r>
        <w:t xml:space="preserve"> </w:t>
      </w:r>
    </w:p>
    <w:p w14:paraId="15739BC9" w14:textId="77777777" w:rsidR="00152EC1" w:rsidRDefault="00152EC1" w:rsidP="000F68D9">
      <w:pPr>
        <w:pStyle w:val="SCVfigurecaption"/>
      </w:pPr>
      <w:r>
        <w:t xml:space="preserve">Figure 12. Event categories/subcategories and patient outcomes </w:t>
      </w:r>
    </w:p>
    <w:p w14:paraId="0F2C39B3" w14:textId="03EB246F" w:rsidR="00152EC1" w:rsidRPr="00AD6F0A" w:rsidRDefault="00AD6F0A" w:rsidP="00C96A69">
      <w:pPr>
        <w:pStyle w:val="SCVbody"/>
        <w:rPr>
          <w:b/>
          <w:bCs/>
        </w:rPr>
      </w:pPr>
      <w:r w:rsidRPr="00AD6F0A">
        <w:rPr>
          <w:b/>
          <w:bCs/>
        </w:rPr>
        <w:t xml:space="preserve">Event category/subcategory </w:t>
      </w:r>
    </w:p>
    <w:p w14:paraId="2EAE4D0A" w14:textId="77777777" w:rsidR="00152EC1" w:rsidRDefault="00152EC1" w:rsidP="000F68D9">
      <w:pPr>
        <w:pStyle w:val="SCVbullet1"/>
      </w:pPr>
      <w:r>
        <w:t xml:space="preserve">Category 1: Surgery or other invasive procedure performed on the wrong site resulting in serious harm or death (3) </w:t>
      </w:r>
    </w:p>
    <w:p w14:paraId="6FCE3745" w14:textId="77777777" w:rsidR="00152EC1" w:rsidRDefault="00152EC1" w:rsidP="000F68D9">
      <w:pPr>
        <w:pStyle w:val="SCVbullet1"/>
      </w:pPr>
      <w:r>
        <w:t xml:space="preserve">Category 3: Wrong surgical or other invasive procedure performed on a patient resulting in serious harm or death (1) </w:t>
      </w:r>
    </w:p>
    <w:p w14:paraId="552B4C93" w14:textId="77777777" w:rsidR="00152EC1" w:rsidRDefault="00152EC1" w:rsidP="000F68D9">
      <w:pPr>
        <w:pStyle w:val="SCVbullet1"/>
      </w:pPr>
      <w:r>
        <w:t xml:space="preserve">Category 4: Unintended retention of a foreign object in a patient after surgery or other invasive procedure resulting in serious harm or death (4) </w:t>
      </w:r>
    </w:p>
    <w:p w14:paraId="79257CA4" w14:textId="5637CB14" w:rsidR="00152EC1" w:rsidRDefault="00152EC1" w:rsidP="000F68D9">
      <w:pPr>
        <w:pStyle w:val="SCVbullet1"/>
      </w:pPr>
      <w:r>
        <w:t>Category 10: Use of an i</w:t>
      </w:r>
      <w:r w:rsidR="00AD6F0A">
        <w:t>n</w:t>
      </w:r>
      <w:r>
        <w:t xml:space="preserve">correctly positioned </w:t>
      </w:r>
      <w:proofErr w:type="spellStart"/>
      <w:r>
        <w:t>oro</w:t>
      </w:r>
      <w:proofErr w:type="spellEnd"/>
      <w:r>
        <w:t xml:space="preserve">- or </w:t>
      </w:r>
      <w:proofErr w:type="spellStart"/>
      <w:r>
        <w:t>naso</w:t>
      </w:r>
      <w:proofErr w:type="spellEnd"/>
      <w:r>
        <w:t xml:space="preserve">-gastric tube resulting in serious harm or death (1) </w:t>
      </w:r>
    </w:p>
    <w:p w14:paraId="2E2B863B" w14:textId="77777777" w:rsidR="00152EC1" w:rsidRDefault="00152EC1" w:rsidP="000F68D9">
      <w:pPr>
        <w:pStyle w:val="SCVbullet1"/>
      </w:pPr>
      <w:r>
        <w:t xml:space="preserve">Category 11: All other adverse patient safety events resulting in serious harm or death (34) </w:t>
      </w:r>
    </w:p>
    <w:p w14:paraId="56C95994" w14:textId="77777777" w:rsidR="00152EC1" w:rsidRDefault="00152EC1" w:rsidP="000F68D9">
      <w:pPr>
        <w:pStyle w:val="SCVbullet2"/>
      </w:pPr>
      <w:r>
        <w:t xml:space="preserve">Clinical process or procedure (17) </w:t>
      </w:r>
    </w:p>
    <w:p w14:paraId="057E5BEF" w14:textId="77777777" w:rsidR="00152EC1" w:rsidRDefault="00152EC1" w:rsidP="000F68D9">
      <w:pPr>
        <w:pStyle w:val="SCVbullet2"/>
      </w:pPr>
      <w:r>
        <w:t xml:space="preserve">Recognising and responding to clinical deterioration (13) </w:t>
      </w:r>
    </w:p>
    <w:p w14:paraId="5B999925" w14:textId="77777777" w:rsidR="00152EC1" w:rsidRDefault="00152EC1" w:rsidP="000F68D9">
      <w:pPr>
        <w:pStyle w:val="SCVbullet2"/>
      </w:pPr>
      <w:r>
        <w:t xml:space="preserve">Communication of clinical information (3) </w:t>
      </w:r>
    </w:p>
    <w:p w14:paraId="2E94F88F" w14:textId="77777777" w:rsidR="00152EC1" w:rsidRDefault="00152EC1" w:rsidP="000F68D9">
      <w:pPr>
        <w:pStyle w:val="SCVbullet2"/>
      </w:pPr>
      <w:r>
        <w:t xml:space="preserve">Healthcare associated infection (1) </w:t>
      </w:r>
    </w:p>
    <w:p w14:paraId="20F8B3EC" w14:textId="7DC17EAA" w:rsidR="00152EC1" w:rsidRPr="00AD6F0A" w:rsidRDefault="00AD6F0A" w:rsidP="00C96A69">
      <w:pPr>
        <w:pStyle w:val="SCVbody"/>
        <w:rPr>
          <w:b/>
          <w:bCs/>
        </w:rPr>
      </w:pPr>
      <w:r w:rsidRPr="00AD6F0A">
        <w:rPr>
          <w:b/>
          <w:bCs/>
        </w:rPr>
        <w:t xml:space="preserve">Patient outcome </w:t>
      </w:r>
    </w:p>
    <w:p w14:paraId="001B2A59" w14:textId="438E7089" w:rsidR="00152EC1" w:rsidRDefault="00152EC1" w:rsidP="00AD6F0A">
      <w:pPr>
        <w:pStyle w:val="SCVbullet1"/>
      </w:pPr>
      <w:r>
        <w:t>Death</w:t>
      </w:r>
      <w:r w:rsidR="00AD6F0A">
        <w:t>:</w:t>
      </w:r>
      <w:r>
        <w:t xml:space="preserve"> 19 </w:t>
      </w:r>
    </w:p>
    <w:p w14:paraId="2D3441FE" w14:textId="3C8FF779" w:rsidR="00152EC1" w:rsidRDefault="00152EC1" w:rsidP="00AD6F0A">
      <w:pPr>
        <w:pStyle w:val="SCVbullet1"/>
      </w:pPr>
      <w:r>
        <w:t>Experienced permanent or long-term loss of function</w:t>
      </w:r>
      <w:r w:rsidR="00AD6F0A">
        <w:t xml:space="preserve">: </w:t>
      </w:r>
      <w:r>
        <w:t xml:space="preserve">8 </w:t>
      </w:r>
    </w:p>
    <w:p w14:paraId="48D486D0" w14:textId="2FA7CF8C" w:rsidR="00152EC1" w:rsidRDefault="00152EC1" w:rsidP="00AD6F0A">
      <w:pPr>
        <w:pStyle w:val="SCVbullet1"/>
      </w:pPr>
      <w:r>
        <w:t>Required life-saving surgical</w:t>
      </w:r>
      <w:r w:rsidR="00FB5F78">
        <w:t xml:space="preserve"> </w:t>
      </w:r>
      <w:r>
        <w:t>or medical intervention</w:t>
      </w:r>
      <w:r w:rsidR="00AD6F0A">
        <w:t>:</w:t>
      </w:r>
      <w:r>
        <w:t xml:space="preserve"> 7</w:t>
      </w:r>
    </w:p>
    <w:p w14:paraId="1C44C41D" w14:textId="3A983A0C" w:rsidR="00152EC1" w:rsidRDefault="00152EC1" w:rsidP="00AD6F0A">
      <w:pPr>
        <w:pStyle w:val="SCVbullet1"/>
      </w:pPr>
      <w:r>
        <w:t>Experienced permanent or long-term physical harm</w:t>
      </w:r>
      <w:r w:rsidR="00AD6F0A">
        <w:t>:</w:t>
      </w:r>
      <w:r>
        <w:t xml:space="preserve"> 4</w:t>
      </w:r>
    </w:p>
    <w:p w14:paraId="15244B41" w14:textId="43FB29E0" w:rsidR="00152EC1" w:rsidRDefault="00152EC1" w:rsidP="00AD6F0A">
      <w:pPr>
        <w:pStyle w:val="SCVbullet1"/>
      </w:pPr>
      <w:r>
        <w:t>Unknown at time of notiﬁcation</w:t>
      </w:r>
      <w:r w:rsidR="00AD6F0A">
        <w:t>:</w:t>
      </w:r>
      <w:r w:rsidR="00FB5F78">
        <w:t xml:space="preserve"> </w:t>
      </w:r>
      <w:r>
        <w:t>4</w:t>
      </w:r>
    </w:p>
    <w:p w14:paraId="2C67B15D" w14:textId="4329A134" w:rsidR="00152EC1" w:rsidRDefault="00152EC1" w:rsidP="00AD6F0A">
      <w:pPr>
        <w:pStyle w:val="SCVbullet1"/>
      </w:pPr>
      <w:r>
        <w:t>Shortened life expectancy</w:t>
      </w:r>
      <w:r w:rsidR="00AD6F0A">
        <w:t>:</w:t>
      </w:r>
      <w:r>
        <w:t xml:space="preserve"> 1</w:t>
      </w:r>
    </w:p>
    <w:p w14:paraId="210C11D5" w14:textId="75E25C07" w:rsidR="00152EC1" w:rsidRDefault="00EF24D6" w:rsidP="00C96A69">
      <w:pPr>
        <w:pStyle w:val="SCVbody"/>
      </w:pPr>
      <w:r>
        <w:t>[END OF FIGURE]</w:t>
      </w:r>
    </w:p>
    <w:p w14:paraId="54AF54C6" w14:textId="77777777" w:rsidR="00EF24D6" w:rsidRDefault="00EF24D6" w:rsidP="00C96A69">
      <w:pPr>
        <w:pStyle w:val="SCVbody"/>
      </w:pPr>
    </w:p>
    <w:p w14:paraId="6714D212" w14:textId="77777777" w:rsidR="00152EC1" w:rsidRDefault="00152EC1" w:rsidP="000F68D9">
      <w:pPr>
        <w:pStyle w:val="SCVfigurecaption"/>
      </w:pPr>
      <w:r>
        <w:t xml:space="preserve">Figure 13. Top 7 admitting specialities and event location </w:t>
      </w:r>
    </w:p>
    <w:p w14:paraId="24CBF780" w14:textId="1A25023E" w:rsidR="00152EC1" w:rsidRPr="00AD6F0A" w:rsidRDefault="00AD6F0A" w:rsidP="00C96A69">
      <w:pPr>
        <w:pStyle w:val="SCVbody"/>
        <w:rPr>
          <w:b/>
          <w:bCs/>
        </w:rPr>
      </w:pPr>
      <w:r w:rsidRPr="00AD6F0A">
        <w:rPr>
          <w:b/>
          <w:bCs/>
        </w:rPr>
        <w:t xml:space="preserve">Top 7 admitting specialties </w:t>
      </w:r>
    </w:p>
    <w:p w14:paraId="3FE29FC0" w14:textId="62787689" w:rsidR="00152EC1" w:rsidRDefault="00152EC1" w:rsidP="00AD6F0A">
      <w:pPr>
        <w:pStyle w:val="SCVbullet1"/>
      </w:pPr>
      <w:r>
        <w:t>General Surgical</w:t>
      </w:r>
      <w:r w:rsidR="00AD6F0A">
        <w:t>:</w:t>
      </w:r>
      <w:r>
        <w:t xml:space="preserve"> 15</w:t>
      </w:r>
    </w:p>
    <w:p w14:paraId="74174FB4" w14:textId="36489F3B" w:rsidR="00152EC1" w:rsidRDefault="00152EC1" w:rsidP="00AD6F0A">
      <w:pPr>
        <w:pStyle w:val="SCVbullet1"/>
      </w:pPr>
      <w:r>
        <w:t>Orthopaedic</w:t>
      </w:r>
      <w:r w:rsidR="00AD6F0A">
        <w:t>:</w:t>
      </w:r>
      <w:r>
        <w:t xml:space="preserve"> 4</w:t>
      </w:r>
    </w:p>
    <w:p w14:paraId="3D59AD1E" w14:textId="0575EC53" w:rsidR="00152EC1" w:rsidRDefault="00152EC1" w:rsidP="00AD6F0A">
      <w:pPr>
        <w:pStyle w:val="SCVbullet1"/>
      </w:pPr>
      <w:r>
        <w:t>Cardiology</w:t>
      </w:r>
      <w:r w:rsidR="00AD6F0A">
        <w:t>:</w:t>
      </w:r>
      <w:r>
        <w:tab/>
        <w:t>4</w:t>
      </w:r>
    </w:p>
    <w:p w14:paraId="34533423" w14:textId="1AEC196E" w:rsidR="00152EC1" w:rsidRDefault="00152EC1" w:rsidP="00AD6F0A">
      <w:pPr>
        <w:pStyle w:val="SCVbullet1"/>
      </w:pPr>
      <w:r>
        <w:t>Neurosurgery</w:t>
      </w:r>
      <w:r w:rsidR="00AD6F0A">
        <w:t>:</w:t>
      </w:r>
      <w:r>
        <w:t xml:space="preserve"> 3</w:t>
      </w:r>
    </w:p>
    <w:p w14:paraId="7703ED31" w14:textId="65970B0D" w:rsidR="00152EC1" w:rsidRDefault="00152EC1" w:rsidP="00AD6F0A">
      <w:pPr>
        <w:pStyle w:val="SCVbullet1"/>
      </w:pPr>
      <w:r>
        <w:t>Plastic/Reconstructive Surgery/Burns</w:t>
      </w:r>
      <w:r w:rsidR="00AD6F0A">
        <w:t>:</w:t>
      </w:r>
      <w:r>
        <w:t xml:space="preserve"> 3</w:t>
      </w:r>
    </w:p>
    <w:p w14:paraId="6CAF5FC4" w14:textId="21527904" w:rsidR="00152EC1" w:rsidRDefault="00152EC1" w:rsidP="00AD6F0A">
      <w:pPr>
        <w:pStyle w:val="SCVbullet1"/>
      </w:pPr>
      <w:r>
        <w:t>Urology</w:t>
      </w:r>
      <w:r w:rsidR="00AD6F0A">
        <w:t>:</w:t>
      </w:r>
      <w:r>
        <w:t xml:space="preserve"> 3</w:t>
      </w:r>
    </w:p>
    <w:p w14:paraId="1EF9E2DB" w14:textId="3B80152E" w:rsidR="00152EC1" w:rsidRDefault="00152EC1" w:rsidP="00AD6F0A">
      <w:pPr>
        <w:pStyle w:val="SCVbullet1"/>
      </w:pPr>
      <w:r>
        <w:t>Vascular</w:t>
      </w:r>
      <w:r w:rsidR="00AD6F0A">
        <w:t xml:space="preserve">: </w:t>
      </w:r>
      <w:r>
        <w:t>3</w:t>
      </w:r>
    </w:p>
    <w:p w14:paraId="7380C0C0" w14:textId="77777777" w:rsidR="00152EC1" w:rsidRDefault="00152EC1" w:rsidP="00C96A69">
      <w:pPr>
        <w:pStyle w:val="SCVbody"/>
      </w:pPr>
      <w:r>
        <w:t xml:space="preserve">Note: categories selected less than 3 times not included </w:t>
      </w:r>
    </w:p>
    <w:p w14:paraId="27B832BE" w14:textId="2541C04C" w:rsidR="00152EC1" w:rsidRPr="00AD6F0A" w:rsidRDefault="00AD6F0A" w:rsidP="00C96A69">
      <w:pPr>
        <w:pStyle w:val="SCVbody"/>
        <w:rPr>
          <w:b/>
          <w:bCs/>
        </w:rPr>
      </w:pPr>
      <w:r w:rsidRPr="00AD6F0A">
        <w:rPr>
          <w:b/>
          <w:bCs/>
        </w:rPr>
        <w:t xml:space="preserve">Event location </w:t>
      </w:r>
    </w:p>
    <w:p w14:paraId="607F5A05" w14:textId="2C47BA00" w:rsidR="00152EC1" w:rsidRDefault="00152EC1" w:rsidP="00AD6F0A">
      <w:pPr>
        <w:pStyle w:val="SCVbullet1"/>
      </w:pPr>
      <w:r>
        <w:t>Operating theatre</w:t>
      </w:r>
      <w:r w:rsidR="00AD6F0A">
        <w:t xml:space="preserve">: </w:t>
      </w:r>
      <w:r>
        <w:t>12</w:t>
      </w:r>
    </w:p>
    <w:p w14:paraId="10AD5819" w14:textId="53ED9D15" w:rsidR="00152EC1" w:rsidRDefault="00152EC1" w:rsidP="00AD6F0A">
      <w:pPr>
        <w:pStyle w:val="SCVbullet1"/>
      </w:pPr>
      <w:r>
        <w:t>Ward</w:t>
      </w:r>
      <w:r w:rsidR="00AD6F0A">
        <w:t>:</w:t>
      </w:r>
      <w:r>
        <w:t xml:space="preserve"> 9</w:t>
      </w:r>
    </w:p>
    <w:p w14:paraId="6519683C" w14:textId="446A1EF7" w:rsidR="00152EC1" w:rsidRDefault="00152EC1" w:rsidP="00AD6F0A">
      <w:pPr>
        <w:pStyle w:val="SCVbullet1"/>
      </w:pPr>
      <w:r>
        <w:t>Emergency department</w:t>
      </w:r>
      <w:r w:rsidR="00AD6F0A">
        <w:t>:</w:t>
      </w:r>
      <w:r>
        <w:t xml:space="preserve"> 8</w:t>
      </w:r>
    </w:p>
    <w:p w14:paraId="1AC0A5A2" w14:textId="54C7A6BC" w:rsidR="00152EC1" w:rsidRDefault="00152EC1" w:rsidP="00AD6F0A">
      <w:pPr>
        <w:pStyle w:val="SCVbullet1"/>
      </w:pPr>
      <w:r>
        <w:t>Intensive care unit</w:t>
      </w:r>
      <w:r w:rsidR="00AD6F0A">
        <w:t>:</w:t>
      </w:r>
      <w:r>
        <w:t xml:space="preserve"> 4</w:t>
      </w:r>
    </w:p>
    <w:p w14:paraId="6B9EF78A" w14:textId="6326521D" w:rsidR="00152EC1" w:rsidRDefault="00152EC1" w:rsidP="00AD6F0A">
      <w:pPr>
        <w:pStyle w:val="SCVbullet1"/>
      </w:pPr>
      <w:r>
        <w:t>Patient room</w:t>
      </w:r>
      <w:r w:rsidR="00AD6F0A">
        <w:t>:</w:t>
      </w:r>
      <w:r>
        <w:t xml:space="preserve"> 3</w:t>
      </w:r>
    </w:p>
    <w:p w14:paraId="4C8B521B" w14:textId="52663E04" w:rsidR="00152EC1" w:rsidRDefault="00152EC1" w:rsidP="00AD6F0A">
      <w:pPr>
        <w:pStyle w:val="SCVbullet1"/>
      </w:pPr>
      <w:r>
        <w:t>Cardiac catheter lab</w:t>
      </w:r>
      <w:r w:rsidR="00AD6F0A">
        <w:t>:</w:t>
      </w:r>
      <w:r>
        <w:t xml:space="preserve"> 2</w:t>
      </w:r>
    </w:p>
    <w:p w14:paraId="17D9C215" w14:textId="188BE1E7" w:rsidR="00152EC1" w:rsidRDefault="00152EC1" w:rsidP="00AD6F0A">
      <w:pPr>
        <w:pStyle w:val="SCVbullet1"/>
      </w:pPr>
      <w:r>
        <w:t>Outpatient clin</w:t>
      </w:r>
      <w:r w:rsidR="00AD6F0A">
        <w:t>i</w:t>
      </w:r>
      <w:r>
        <w:t>c</w:t>
      </w:r>
      <w:r w:rsidR="00AD6F0A">
        <w:t xml:space="preserve">: </w:t>
      </w:r>
      <w:r>
        <w:t>1</w:t>
      </w:r>
    </w:p>
    <w:p w14:paraId="17F7652A" w14:textId="6C87DBBF" w:rsidR="00152EC1" w:rsidRDefault="00152EC1" w:rsidP="00AD6F0A">
      <w:pPr>
        <w:pStyle w:val="SCVbullet1"/>
      </w:pPr>
      <w:r>
        <w:t>Recovery</w:t>
      </w:r>
      <w:r w:rsidR="00AD6F0A">
        <w:t>:</w:t>
      </w:r>
      <w:r w:rsidR="00FB5F78">
        <w:t xml:space="preserve"> </w:t>
      </w:r>
      <w:r>
        <w:t>1</w:t>
      </w:r>
    </w:p>
    <w:p w14:paraId="08F0C551" w14:textId="0E58D2A3" w:rsidR="00152EC1" w:rsidRDefault="00152EC1" w:rsidP="00AD6F0A">
      <w:pPr>
        <w:pStyle w:val="SCVbullet1"/>
      </w:pPr>
      <w:r>
        <w:t>Community or non-healthcare facility location</w:t>
      </w:r>
      <w:r w:rsidR="00AD6F0A">
        <w:t>:</w:t>
      </w:r>
      <w:r>
        <w:t xml:space="preserve"> 1</w:t>
      </w:r>
    </w:p>
    <w:p w14:paraId="17CE6BBA" w14:textId="02BFD0B9" w:rsidR="00152EC1" w:rsidRDefault="00152EC1" w:rsidP="00AD6F0A">
      <w:pPr>
        <w:pStyle w:val="SCVbullet1"/>
      </w:pPr>
      <w:r>
        <w:t>Private residence</w:t>
      </w:r>
      <w:r w:rsidR="00AD6F0A">
        <w:t>:</w:t>
      </w:r>
      <w:r>
        <w:t xml:space="preserve"> 1</w:t>
      </w:r>
    </w:p>
    <w:p w14:paraId="650773FE" w14:textId="30DC319F" w:rsidR="00152EC1" w:rsidRDefault="00E77F74" w:rsidP="00C96A69">
      <w:pPr>
        <w:pStyle w:val="SCVbody"/>
      </w:pPr>
      <w:r w:rsidRPr="00E77F74">
        <w:t>[END OF FIGURE]</w:t>
      </w:r>
    </w:p>
    <w:p w14:paraId="622C1A89" w14:textId="77777777" w:rsidR="00E77F74" w:rsidRDefault="00E77F74" w:rsidP="00C96A69">
      <w:pPr>
        <w:pStyle w:val="SCVbody"/>
      </w:pPr>
    </w:p>
    <w:p w14:paraId="69F9C4AB" w14:textId="77777777" w:rsidR="00152EC1" w:rsidRDefault="00152EC1" w:rsidP="00C96A69">
      <w:pPr>
        <w:pStyle w:val="SCVbody"/>
      </w:pPr>
      <w:r>
        <w:t xml:space="preserve">In 2022–23, there were 43 sentinel events (18 per cent) related to care in the perioperative period– immediately prior to surgery, during surgery or immediately after surgery. </w:t>
      </w:r>
    </w:p>
    <w:p w14:paraId="2DFAB574" w14:textId="77777777" w:rsidR="00152EC1" w:rsidRDefault="00152EC1" w:rsidP="00C96A69">
      <w:pPr>
        <w:pStyle w:val="SCVbody"/>
      </w:pPr>
      <w:r>
        <w:t xml:space="preserve">Public health services reported 34 events and nine were reported by private health services. </w:t>
      </w:r>
    </w:p>
    <w:p w14:paraId="060FFB1C" w14:textId="77777777" w:rsidR="00152EC1" w:rsidRDefault="00152EC1" w:rsidP="00C96A69">
      <w:pPr>
        <w:pStyle w:val="SCVbody"/>
      </w:pPr>
      <w:r>
        <w:t xml:space="preserve">Key event themes included: </w:t>
      </w:r>
    </w:p>
    <w:p w14:paraId="2E211E17" w14:textId="77777777" w:rsidR="00152EC1" w:rsidRDefault="00152EC1" w:rsidP="005C0AF3">
      <w:pPr>
        <w:pStyle w:val="SCVbullet1"/>
      </w:pPr>
      <w:r>
        <w:t xml:space="preserve">delayed diagnosis and intervention for a range of conditions (11), which included multiple cases of testicular torsion </w:t>
      </w:r>
    </w:p>
    <w:p w14:paraId="478C25AE" w14:textId="77777777" w:rsidR="00152EC1" w:rsidRDefault="00152EC1" w:rsidP="005C0AF3">
      <w:pPr>
        <w:pStyle w:val="SCVbullet1"/>
      </w:pPr>
      <w:r>
        <w:t xml:space="preserve">procedural complications for a range of procedures and clinical specialities (8) </w:t>
      </w:r>
    </w:p>
    <w:p w14:paraId="668E6F6E" w14:textId="77777777" w:rsidR="00152EC1" w:rsidRDefault="00152EC1" w:rsidP="005C0AF3">
      <w:pPr>
        <w:pStyle w:val="SCVbullet1"/>
      </w:pPr>
      <w:r>
        <w:t xml:space="preserve">unintended retention of surgical sponges and dressings (4) </w:t>
      </w:r>
    </w:p>
    <w:p w14:paraId="0155CC65" w14:textId="77777777" w:rsidR="00152EC1" w:rsidRDefault="00152EC1" w:rsidP="005C0AF3">
      <w:pPr>
        <w:pStyle w:val="SCVbullet1"/>
      </w:pPr>
      <w:r>
        <w:t xml:space="preserve">the prevention of venous thromboembolism in surgical patients (3). </w:t>
      </w:r>
    </w:p>
    <w:p w14:paraId="538EF4B7" w14:textId="77777777" w:rsidR="00152EC1" w:rsidRDefault="00152EC1" w:rsidP="00C96A69">
      <w:pPr>
        <w:pStyle w:val="SCVbody"/>
      </w:pPr>
    </w:p>
    <w:p w14:paraId="2E4EE8E6" w14:textId="77777777" w:rsidR="00152EC1" w:rsidRDefault="00152EC1" w:rsidP="005C0AF3">
      <w:pPr>
        <w:pStyle w:val="SCVfigurecaption"/>
      </w:pPr>
      <w:r>
        <w:t xml:space="preserve">Figure 14. Findings, lessons learnt and recommendation themes </w:t>
      </w:r>
    </w:p>
    <w:p w14:paraId="24498B62" w14:textId="331BF879" w:rsidR="00152EC1" w:rsidRPr="007B2F63" w:rsidRDefault="007B2F63" w:rsidP="00C96A69">
      <w:pPr>
        <w:pStyle w:val="SCVbody"/>
        <w:rPr>
          <w:b/>
          <w:bCs/>
        </w:rPr>
      </w:pPr>
      <w:r w:rsidRPr="007B2F63">
        <w:rPr>
          <w:b/>
          <w:bCs/>
        </w:rPr>
        <w:t xml:space="preserve">Findings and lessons learnt </w:t>
      </w:r>
    </w:p>
    <w:p w14:paraId="3475018C" w14:textId="69C3B6F6" w:rsidR="00152EC1" w:rsidRDefault="00152EC1" w:rsidP="00C96A69">
      <w:pPr>
        <w:pStyle w:val="SCVbody"/>
      </w:pPr>
      <w:r>
        <w:t>From the review of peri</w:t>
      </w:r>
      <w:r w:rsidR="007B2F63">
        <w:t>-</w:t>
      </w:r>
      <w:r>
        <w:t xml:space="preserve">operative sentinel events, 212 ﬁndings and lessons learnt were identiﬁed. </w:t>
      </w:r>
    </w:p>
    <w:p w14:paraId="07C934A0" w14:textId="53180FC0" w:rsidR="00152EC1" w:rsidRDefault="00152EC1" w:rsidP="00C96A69">
      <w:pPr>
        <w:pStyle w:val="SCVbody"/>
      </w:pPr>
      <w:r>
        <w:t>Top 6 ﬁndings and lessons learnt</w:t>
      </w:r>
      <w:r w:rsidR="007B2F63">
        <w:t>:</w:t>
      </w:r>
      <w:r>
        <w:t xml:space="preserve"> </w:t>
      </w:r>
    </w:p>
    <w:p w14:paraId="4CF48CA8" w14:textId="248D73BE" w:rsidR="00152EC1" w:rsidRDefault="00152EC1" w:rsidP="007B2F63">
      <w:pPr>
        <w:pStyle w:val="SCVbullet1"/>
      </w:pPr>
      <w:r>
        <w:t>Staff factors</w:t>
      </w:r>
      <w:r w:rsidR="00B17845">
        <w:t>:</w:t>
      </w:r>
      <w:r>
        <w:t xml:space="preserve"> 42 </w:t>
      </w:r>
    </w:p>
    <w:p w14:paraId="5CC4DB27" w14:textId="061A0A14" w:rsidR="00152EC1" w:rsidRDefault="00152EC1" w:rsidP="007B2F63">
      <w:pPr>
        <w:pStyle w:val="SCVbullet1"/>
      </w:pPr>
      <w:r>
        <w:t>Documentation, assessment and decision support</w:t>
      </w:r>
      <w:r w:rsidR="00B17845">
        <w:t>:</w:t>
      </w:r>
      <w:r>
        <w:t xml:space="preserve"> 40</w:t>
      </w:r>
    </w:p>
    <w:p w14:paraId="07184402" w14:textId="3D117AB9" w:rsidR="00152EC1" w:rsidRDefault="00152EC1" w:rsidP="007B2F63">
      <w:pPr>
        <w:pStyle w:val="SCVbullet1"/>
      </w:pPr>
      <w:r>
        <w:t>Procedures and guidelines</w:t>
      </w:r>
      <w:r w:rsidR="00B17845">
        <w:t>:</w:t>
      </w:r>
      <w:r>
        <w:t xml:space="preserve"> 34 </w:t>
      </w:r>
    </w:p>
    <w:p w14:paraId="48F5B63A" w14:textId="5E493074" w:rsidR="00152EC1" w:rsidRDefault="00152EC1" w:rsidP="007B2F63">
      <w:pPr>
        <w:pStyle w:val="SCVbullet1"/>
      </w:pPr>
      <w:r>
        <w:t>Teamwork factors</w:t>
      </w:r>
      <w:r w:rsidR="00B17845">
        <w:t>:</w:t>
      </w:r>
      <w:r>
        <w:t xml:space="preserve"> 32 </w:t>
      </w:r>
    </w:p>
    <w:p w14:paraId="155C9D13" w14:textId="52D0A29A" w:rsidR="00152EC1" w:rsidRDefault="00152EC1" w:rsidP="007B2F63">
      <w:pPr>
        <w:pStyle w:val="SCVbullet1"/>
      </w:pPr>
      <w:r>
        <w:t>Systems and processes</w:t>
      </w:r>
      <w:r w:rsidR="00B17845">
        <w:t>:</w:t>
      </w:r>
      <w:r>
        <w:t xml:space="preserve"> 15 </w:t>
      </w:r>
    </w:p>
    <w:p w14:paraId="1D0298C1" w14:textId="3B80F125" w:rsidR="00152EC1" w:rsidRDefault="00152EC1" w:rsidP="007B2F63">
      <w:pPr>
        <w:pStyle w:val="SCVbullet1"/>
      </w:pPr>
      <w:r>
        <w:t>Workforce and work environmental factors</w:t>
      </w:r>
      <w:r w:rsidR="00B17845">
        <w:t>:</w:t>
      </w:r>
      <w:r>
        <w:t xml:space="preserve"> 15</w:t>
      </w:r>
    </w:p>
    <w:p w14:paraId="07AAD618" w14:textId="77777777" w:rsidR="00152EC1" w:rsidRDefault="00152EC1" w:rsidP="00C96A69">
      <w:pPr>
        <w:pStyle w:val="SCVbody"/>
      </w:pPr>
      <w:r>
        <w:t xml:space="preserve">Note: categories selected less than 15 times not included </w:t>
      </w:r>
    </w:p>
    <w:p w14:paraId="2B4B079F" w14:textId="0FDE4652" w:rsidR="00152EC1" w:rsidRPr="007B2F63" w:rsidRDefault="007B2F63" w:rsidP="00C96A69">
      <w:pPr>
        <w:pStyle w:val="SCVbody"/>
        <w:rPr>
          <w:b/>
          <w:bCs/>
        </w:rPr>
      </w:pPr>
      <w:r w:rsidRPr="007B2F63">
        <w:rPr>
          <w:b/>
          <w:bCs/>
        </w:rPr>
        <w:t xml:space="preserve">Recommendation themes </w:t>
      </w:r>
    </w:p>
    <w:p w14:paraId="7870257E" w14:textId="77777777" w:rsidR="00152EC1" w:rsidRDefault="00152EC1" w:rsidP="00C96A69">
      <w:pPr>
        <w:pStyle w:val="SCVbody"/>
      </w:pPr>
      <w:r>
        <w:t xml:space="preserve">A total of 199 recommendations were developed to address these events. </w:t>
      </w:r>
    </w:p>
    <w:p w14:paraId="015B3E99" w14:textId="5D3C633F" w:rsidR="00152EC1" w:rsidRPr="007B2F63" w:rsidRDefault="00152EC1" w:rsidP="00C96A69">
      <w:pPr>
        <w:pStyle w:val="SCVbody"/>
      </w:pPr>
      <w:r w:rsidRPr="007B2F63">
        <w:t>Top 9 recommendation themes</w:t>
      </w:r>
      <w:r w:rsidR="007B2F63">
        <w:t>:</w:t>
      </w:r>
      <w:r w:rsidRPr="007B2F63">
        <w:t xml:space="preserve"> </w:t>
      </w:r>
    </w:p>
    <w:p w14:paraId="247D35BF" w14:textId="62E63D3C" w:rsidR="00152EC1" w:rsidRDefault="00152EC1" w:rsidP="007B2F63">
      <w:pPr>
        <w:pStyle w:val="SCVbullet1"/>
      </w:pPr>
      <w:r>
        <w:t>Share outcomes/educational reference</w:t>
      </w:r>
      <w:r w:rsidR="00B17845">
        <w:t>:</w:t>
      </w:r>
      <w:r>
        <w:t xml:space="preserve"> 37</w:t>
      </w:r>
    </w:p>
    <w:p w14:paraId="7283A2C6" w14:textId="5748824E" w:rsidR="00152EC1" w:rsidRDefault="00152EC1" w:rsidP="007B2F63">
      <w:pPr>
        <w:pStyle w:val="SCVbullet1"/>
      </w:pPr>
      <w:r>
        <w:t>Standardised process</w:t>
      </w:r>
      <w:r w:rsidR="00B17845">
        <w:t>:</w:t>
      </w:r>
      <w:r>
        <w:t xml:space="preserve"> 35</w:t>
      </w:r>
    </w:p>
    <w:p w14:paraId="3F0868B9" w14:textId="26CED399" w:rsidR="00152EC1" w:rsidRDefault="00152EC1" w:rsidP="007B2F63">
      <w:pPr>
        <w:pStyle w:val="SCVbullet1"/>
      </w:pPr>
      <w:r>
        <w:t>Further review/develop action plan</w:t>
      </w:r>
      <w:r w:rsidR="00B17845">
        <w:t>:</w:t>
      </w:r>
      <w:r>
        <w:t xml:space="preserve"> 21</w:t>
      </w:r>
    </w:p>
    <w:p w14:paraId="40A65AE5" w14:textId="5A0E023B" w:rsidR="00152EC1" w:rsidRDefault="00152EC1" w:rsidP="007B2F63">
      <w:pPr>
        <w:pStyle w:val="SCVbullet1"/>
      </w:pPr>
      <w:r>
        <w:t>New procedure/memorandum/policy</w:t>
      </w:r>
      <w:r w:rsidR="00B17845">
        <w:t>:</w:t>
      </w:r>
      <w:r>
        <w:t xml:space="preserve"> 17</w:t>
      </w:r>
    </w:p>
    <w:p w14:paraId="48F9ED4A" w14:textId="3492CFC9" w:rsidR="00152EC1" w:rsidRDefault="00152EC1" w:rsidP="007B2F63">
      <w:pPr>
        <w:pStyle w:val="SCVbullet1"/>
      </w:pPr>
      <w:r>
        <w:t>Standardised communication tools</w:t>
      </w:r>
      <w:r w:rsidR="00B17845">
        <w:t>:</w:t>
      </w:r>
      <w:r>
        <w:t xml:space="preserve"> 15</w:t>
      </w:r>
    </w:p>
    <w:p w14:paraId="37111184" w14:textId="7227F154" w:rsidR="00152EC1" w:rsidRDefault="00152EC1" w:rsidP="007B2F63">
      <w:pPr>
        <w:pStyle w:val="SCVbullet1"/>
      </w:pPr>
      <w:r>
        <w:t>Training</w:t>
      </w:r>
      <w:r w:rsidR="00B17845">
        <w:t>:</w:t>
      </w:r>
      <w:r>
        <w:t xml:space="preserve"> 15</w:t>
      </w:r>
    </w:p>
    <w:p w14:paraId="24D9C26E" w14:textId="545B609D" w:rsidR="00152EC1" w:rsidRDefault="00152EC1" w:rsidP="007B2F63">
      <w:pPr>
        <w:pStyle w:val="SCVbullet1"/>
      </w:pPr>
      <w:r>
        <w:t>Tangible involvement by leadership</w:t>
      </w:r>
      <w:r w:rsidR="0023360F">
        <w:t>:</w:t>
      </w:r>
      <w:r>
        <w:t xml:space="preserve"> 13</w:t>
      </w:r>
    </w:p>
    <w:p w14:paraId="5104C8C2" w14:textId="2DC8341F" w:rsidR="00152EC1" w:rsidRDefault="00152EC1" w:rsidP="007B2F63">
      <w:pPr>
        <w:pStyle w:val="SCVbullet1"/>
      </w:pPr>
      <w:r>
        <w:t>Checklist/cognitive aids</w:t>
      </w:r>
      <w:r w:rsidR="0023360F">
        <w:t>:</w:t>
      </w:r>
      <w:r>
        <w:t xml:space="preserve"> 9</w:t>
      </w:r>
    </w:p>
    <w:p w14:paraId="3F96894D" w14:textId="3B524D56" w:rsidR="00152EC1" w:rsidRDefault="00152EC1" w:rsidP="007B2F63">
      <w:pPr>
        <w:pStyle w:val="SCVbullet1"/>
      </w:pPr>
      <w:r>
        <w:t>Software enhancements or modiﬁcations</w:t>
      </w:r>
      <w:r w:rsidR="0023360F">
        <w:t>:</w:t>
      </w:r>
      <w:r w:rsidR="0095384B">
        <w:t xml:space="preserve"> </w:t>
      </w:r>
      <w:r>
        <w:t>9</w:t>
      </w:r>
    </w:p>
    <w:p w14:paraId="0D1E2C1D" w14:textId="77777777" w:rsidR="00152EC1" w:rsidRDefault="00152EC1" w:rsidP="00C96A69">
      <w:pPr>
        <w:pStyle w:val="SCVbody"/>
      </w:pPr>
      <w:r>
        <w:t xml:space="preserve">Note: categories selected less than 9 times not included </w:t>
      </w:r>
    </w:p>
    <w:p w14:paraId="598EFF8B" w14:textId="3B9136CC" w:rsidR="00152EC1" w:rsidRDefault="00E77F74" w:rsidP="00C96A69">
      <w:pPr>
        <w:pStyle w:val="SCVbody"/>
      </w:pPr>
      <w:r w:rsidRPr="00E77F74">
        <w:t>[END OF FIGURE]</w:t>
      </w:r>
    </w:p>
    <w:p w14:paraId="2DC65774" w14:textId="77777777" w:rsidR="00E77F74" w:rsidRDefault="00E77F74" w:rsidP="00C96A69">
      <w:pPr>
        <w:pStyle w:val="SCVbody"/>
      </w:pPr>
    </w:p>
    <w:p w14:paraId="5DEE5B60" w14:textId="77777777" w:rsidR="00152EC1" w:rsidRDefault="00152EC1" w:rsidP="00C96A69">
      <w:pPr>
        <w:pStyle w:val="SCVbody"/>
      </w:pPr>
      <w:r>
        <w:t>The review of perioperative sentinel events identified 212 findings and lessons learned that could be themed under 11 distinct categories.</w:t>
      </w:r>
    </w:p>
    <w:p w14:paraId="1E0454C0" w14:textId="6C61FB9F" w:rsidR="00152EC1" w:rsidRDefault="00152EC1" w:rsidP="00C96A69">
      <w:pPr>
        <w:pStyle w:val="SCVbody"/>
      </w:pPr>
      <w:r>
        <w:t>A total of 199 recommendations were developed to address these events under 16 different themes. For more information, see Recommendations from sentinel event reviews in this document.</w:t>
      </w:r>
    </w:p>
    <w:p w14:paraId="2733FD74" w14:textId="73EE0255" w:rsidR="00152EC1" w:rsidRDefault="00152EC1" w:rsidP="005C0AF3">
      <w:pPr>
        <w:pStyle w:val="SCVfigurecaption"/>
      </w:pPr>
      <w:r>
        <w:lastRenderedPageBreak/>
        <w:t>Figure 1</w:t>
      </w:r>
      <w:r w:rsidR="003A6793">
        <w:t>5</w:t>
      </w:r>
      <w:r>
        <w:t>. Perioperative recommendations</w:t>
      </w:r>
      <w:r w:rsidR="00FB5F78">
        <w:t xml:space="preserve"> </w:t>
      </w:r>
    </w:p>
    <w:p w14:paraId="108F0B5B" w14:textId="388F2D12" w:rsidR="00152EC1" w:rsidRPr="007B2F63" w:rsidRDefault="007B2F63" w:rsidP="00C96A69">
      <w:pPr>
        <w:pStyle w:val="SCVbody"/>
        <w:rPr>
          <w:b/>
          <w:bCs/>
        </w:rPr>
      </w:pPr>
      <w:r w:rsidRPr="007B2F63">
        <w:rPr>
          <w:b/>
          <w:bCs/>
        </w:rPr>
        <w:t>Recommendations from sentinel event reviews</w:t>
      </w:r>
    </w:p>
    <w:p w14:paraId="5AB36F15" w14:textId="70F5D7FA" w:rsidR="00152EC1" w:rsidRDefault="00152EC1" w:rsidP="00C96A69">
      <w:pPr>
        <w:pStyle w:val="SCVbody"/>
      </w:pPr>
      <w:r>
        <w:t>Perioperative events 2022–23</w:t>
      </w:r>
      <w:r w:rsidR="007B2F63">
        <w:t>:</w:t>
      </w:r>
      <w:r>
        <w:t xml:space="preserve"> </w:t>
      </w:r>
    </w:p>
    <w:p w14:paraId="30B96E58" w14:textId="77777777" w:rsidR="00152EC1" w:rsidRDefault="00152EC1" w:rsidP="007B2F63">
      <w:pPr>
        <w:pStyle w:val="SCVbullet1"/>
      </w:pPr>
      <w:r>
        <w:t xml:space="preserve">Weak 48% </w:t>
      </w:r>
    </w:p>
    <w:p w14:paraId="54CAE728" w14:textId="77777777" w:rsidR="00152EC1" w:rsidRDefault="00152EC1" w:rsidP="007B2F63">
      <w:pPr>
        <w:pStyle w:val="SCVbullet1"/>
      </w:pPr>
      <w:r>
        <w:t xml:space="preserve">Moderate 40% </w:t>
      </w:r>
    </w:p>
    <w:p w14:paraId="0712C46C" w14:textId="77777777" w:rsidR="00152EC1" w:rsidRDefault="00152EC1" w:rsidP="007B2F63">
      <w:pPr>
        <w:pStyle w:val="SCVbullet1"/>
      </w:pPr>
      <w:r>
        <w:t xml:space="preserve">Strong 12% </w:t>
      </w:r>
    </w:p>
    <w:p w14:paraId="7606235F" w14:textId="77777777" w:rsidR="00152EC1" w:rsidRDefault="00152EC1" w:rsidP="00C96A69">
      <w:pPr>
        <w:pStyle w:val="SCVbody"/>
      </w:pPr>
      <w:r>
        <w:t xml:space="preserve">199 recommendations were developed to address the 43 events </w:t>
      </w:r>
    </w:p>
    <w:p w14:paraId="536FAF4B" w14:textId="25BD79C9" w:rsidR="00152EC1" w:rsidRDefault="00152EC1" w:rsidP="00C96A69">
      <w:pPr>
        <w:pStyle w:val="SCVbody"/>
      </w:pPr>
      <w:r>
        <w:t xml:space="preserve">80% were written using SMART principles </w:t>
      </w:r>
      <w:r w:rsidR="007B2F63">
        <w:t>(</w:t>
      </w:r>
      <w:r>
        <w:t>SMART</w:t>
      </w:r>
      <w:r w:rsidR="007B2F63">
        <w:t xml:space="preserve"> = </w:t>
      </w:r>
      <w:r>
        <w:t>Speciﬁc</w:t>
      </w:r>
      <w:r w:rsidR="007B2F63">
        <w:t>,</w:t>
      </w:r>
      <w:r>
        <w:t xml:space="preserve"> Measurable</w:t>
      </w:r>
      <w:r w:rsidR="007B2F63">
        <w:t>,</w:t>
      </w:r>
      <w:r>
        <w:t xml:space="preserve"> Achievable</w:t>
      </w:r>
      <w:r w:rsidR="007B2F63">
        <w:t>,</w:t>
      </w:r>
      <w:r>
        <w:t xml:space="preserve"> Realistic</w:t>
      </w:r>
      <w:r w:rsidR="007B2F63">
        <w:t>,</w:t>
      </w:r>
      <w:r>
        <w:t xml:space="preserve"> Timely</w:t>
      </w:r>
      <w:r w:rsidR="007B2F63">
        <w:t>)</w:t>
      </w:r>
      <w:r>
        <w:t xml:space="preserve"> </w:t>
      </w:r>
    </w:p>
    <w:p w14:paraId="7EA4AA88" w14:textId="77777777" w:rsidR="00152EC1" w:rsidRDefault="00152EC1" w:rsidP="00C96A69">
      <w:pPr>
        <w:pStyle w:val="SCVbody"/>
      </w:pPr>
      <w:r>
        <w:t xml:space="preserve">11% of recommendations focused on further reviewing protocols, workplans or other functions. These are weak actions. </w:t>
      </w:r>
    </w:p>
    <w:p w14:paraId="0E2F1EE4" w14:textId="6105E117" w:rsidR="00152EC1" w:rsidRDefault="007B2F63" w:rsidP="00C96A69">
      <w:pPr>
        <w:pStyle w:val="SCVbody"/>
      </w:pPr>
      <w:r w:rsidRPr="007B2F63">
        <w:t>[END OF FIGURE]</w:t>
      </w:r>
    </w:p>
    <w:p w14:paraId="40C0D17E" w14:textId="77777777" w:rsidR="00152EC1" w:rsidRDefault="00152EC1" w:rsidP="005C0AF3">
      <w:pPr>
        <w:pStyle w:val="SCVintroductorytext"/>
      </w:pPr>
      <w:r>
        <w:t xml:space="preserve">The following system improvement examples, resources and case study focus on the most common themes of 2022–23 perioperative events. These include: </w:t>
      </w:r>
    </w:p>
    <w:p w14:paraId="40319F3F" w14:textId="77777777" w:rsidR="00152EC1" w:rsidRDefault="00152EC1" w:rsidP="005C0AF3">
      <w:pPr>
        <w:pStyle w:val="SCVintroductorytext"/>
        <w:numPr>
          <w:ilvl w:val="0"/>
          <w:numId w:val="79"/>
        </w:numPr>
        <w:spacing w:before="80" w:after="80"/>
      </w:pPr>
      <w:r>
        <w:t xml:space="preserve">how services have come together to look at testicular torsion events </w:t>
      </w:r>
    </w:p>
    <w:p w14:paraId="4AB710DF" w14:textId="77777777" w:rsidR="00152EC1" w:rsidRDefault="00152EC1" w:rsidP="005C0AF3">
      <w:pPr>
        <w:pStyle w:val="SCVintroductorytext"/>
        <w:numPr>
          <w:ilvl w:val="0"/>
          <w:numId w:val="79"/>
        </w:numPr>
        <w:spacing w:before="80" w:after="80"/>
      </w:pPr>
      <w:r>
        <w:t xml:space="preserve">the retention of foreign objects </w:t>
      </w:r>
    </w:p>
    <w:p w14:paraId="6C0F24CF" w14:textId="77777777" w:rsidR="00152EC1" w:rsidRDefault="00152EC1" w:rsidP="005C0AF3">
      <w:pPr>
        <w:pStyle w:val="SCVintroductorytext"/>
        <w:numPr>
          <w:ilvl w:val="0"/>
          <w:numId w:val="79"/>
        </w:numPr>
        <w:spacing w:before="80" w:after="80"/>
      </w:pPr>
      <w:r>
        <w:t xml:space="preserve">the prevention of venous </w:t>
      </w:r>
      <w:proofErr w:type="spellStart"/>
      <w:r>
        <w:t>thromboembolus</w:t>
      </w:r>
      <w:proofErr w:type="spellEnd"/>
      <w:r>
        <w:t xml:space="preserve"> (VTE) after surgery. </w:t>
      </w:r>
    </w:p>
    <w:p w14:paraId="614CF8D3" w14:textId="6ECC88C8" w:rsidR="00152EC1" w:rsidRDefault="00202D14" w:rsidP="00FB51B4">
      <w:pPr>
        <w:pStyle w:val="Heading2"/>
      </w:pPr>
      <w:bookmarkStart w:id="24" w:name="_Toc173851122"/>
      <w:r>
        <w:t>Improving system safety</w:t>
      </w:r>
      <w:r w:rsidR="00152EC1">
        <w:t xml:space="preserve">: </w:t>
      </w:r>
      <w:r>
        <w:t>Testicular Torsion Working Group</w:t>
      </w:r>
      <w:bookmarkEnd w:id="24"/>
      <w:r>
        <w:t xml:space="preserve"> </w:t>
      </w:r>
    </w:p>
    <w:p w14:paraId="60F28EEB" w14:textId="77777777" w:rsidR="00152EC1" w:rsidRDefault="00152EC1" w:rsidP="00C96A69">
      <w:pPr>
        <w:pStyle w:val="SCVbody"/>
      </w:pPr>
      <w:r>
        <w:t xml:space="preserve">Testicular torsion is a condition where the blood vessels to and from the testis twist, cutting off its blood supply. It presents with acute pain and requires emergency surgery to prevent permanent damage to the testicle. It can occur at any age, but it is most common in children, prepubescent adolescents and teenagers. The patient is usually first seen in the emergency department. When the condition is suspected, an immediate surgical referral should be made. </w:t>
      </w:r>
    </w:p>
    <w:p w14:paraId="5461A629" w14:textId="77777777" w:rsidR="00152EC1" w:rsidRDefault="00152EC1" w:rsidP="00C96A69">
      <w:pPr>
        <w:pStyle w:val="SCVbody"/>
      </w:pPr>
      <w:r>
        <w:t xml:space="preserve">In 2023, SCV identified several cases of missed testicular torsion resulting in serious harm that were notified as sentinel events. Each event involved adolescents and young boys presenting with acute abdominal pain to an emergency department. </w:t>
      </w:r>
    </w:p>
    <w:p w14:paraId="4130561A" w14:textId="12167E73" w:rsidR="00152EC1" w:rsidRDefault="00152EC1" w:rsidP="00C96A69">
      <w:pPr>
        <w:pStyle w:val="SCVbody"/>
      </w:pPr>
      <w:r>
        <w:t xml:space="preserve">In response, the Sentinel Event Program worked with SCV’s Acute Learning Health Network to release an alert to the health sector. This alert directed clinicians to the multistate paediatric improvement collaborative </w:t>
      </w:r>
      <w:hyperlink r:id="rId47" w:anchor="tab-T" w:history="1">
        <w:r w:rsidRPr="00904DFF">
          <w:rPr>
            <w:rStyle w:val="Hyperlink"/>
          </w:rPr>
          <w:t>Clinical Practice Guidelines</w:t>
        </w:r>
      </w:hyperlink>
      <w:r>
        <w:t xml:space="preserve"> &lt;https://www.rch.org.au/clinicalguide/#tab-T&gt;, published by The Royal Children’s Hospital. The alert noted that testicular torsion should always be considered when adolescents present with acute abdominal pain, and asked services to ensure staff were familiar with and had access to the guidelines. </w:t>
      </w:r>
    </w:p>
    <w:p w14:paraId="7663E9CD" w14:textId="77777777" w:rsidR="00152EC1" w:rsidRDefault="00152EC1" w:rsidP="00FB51B4">
      <w:pPr>
        <w:pStyle w:val="Heading4"/>
      </w:pPr>
      <w:r>
        <w:lastRenderedPageBreak/>
        <w:t xml:space="preserve">A health service perspective on the Testicular torsion working group: Peninsula Health </w:t>
      </w:r>
    </w:p>
    <w:p w14:paraId="720D4CD0" w14:textId="77777777" w:rsidR="00152EC1" w:rsidRDefault="00152EC1" w:rsidP="00C96A69">
      <w:pPr>
        <w:pStyle w:val="SCVbody"/>
      </w:pPr>
      <w:r>
        <w:t xml:space="preserve">The alert prompted Peninsula Health to review a sentinel event relating to testicular torsion, alongside the multistate guidelines. In this case, following the guidelines would not have prevented the adverse outcome. This prompted us to find out if this was a problem impacting other health services. We reached out to SCV, offering to lead an aggregated review of these events with representatives from other health services to see if there were common themes and opportunities for improvement. </w:t>
      </w:r>
    </w:p>
    <w:p w14:paraId="0348C4C6" w14:textId="77777777" w:rsidR="00152EC1" w:rsidRDefault="00152EC1" w:rsidP="00C96A69">
      <w:pPr>
        <w:pStyle w:val="SCVbody"/>
      </w:pPr>
      <w:r>
        <w:t xml:space="preserve">The working group we formed included medical (emergency), surgical (general and urology), nursing, and quality and safety staff representing a range of private and public health services, including tertiary and regional centres. Representatives from SCV, the Victorian Perioperative Consultative Council and the Victorian Audit of Surgical Mortality also participated. </w:t>
      </w:r>
    </w:p>
    <w:p w14:paraId="19B18120" w14:textId="77777777" w:rsidR="00152EC1" w:rsidRDefault="00152EC1" w:rsidP="00C96A69">
      <w:pPr>
        <w:pStyle w:val="SCVbody"/>
      </w:pPr>
      <w:r>
        <w:t xml:space="preserve">The group discussed the aligned sentinel events, key findings from their respective reviews and factors that contributed to delays in decision-making. Robust discussion about the location of care, skill mix and work as prescribed versus work as done followed. The group also reviewed data relating to these types of patient presentations. </w:t>
      </w:r>
    </w:p>
    <w:p w14:paraId="49B36E03" w14:textId="77777777" w:rsidR="00152EC1" w:rsidRDefault="00152EC1" w:rsidP="00C96A69">
      <w:pPr>
        <w:pStyle w:val="SCVbody"/>
      </w:pPr>
      <w:r>
        <w:t xml:space="preserve">The key findings of the working group were: </w:t>
      </w:r>
    </w:p>
    <w:p w14:paraId="03903B37" w14:textId="77777777" w:rsidR="00152EC1" w:rsidRDefault="00152EC1" w:rsidP="00FB51B4">
      <w:pPr>
        <w:pStyle w:val="SCVbullet1"/>
      </w:pPr>
      <w:r>
        <w:t xml:space="preserve">Signs of testicular torsion can be subtle and early diagnosis is key. </w:t>
      </w:r>
    </w:p>
    <w:p w14:paraId="4F3C6374" w14:textId="77777777" w:rsidR="00152EC1" w:rsidRDefault="00152EC1" w:rsidP="00FB51B4">
      <w:pPr>
        <w:pStyle w:val="SCVbullet1"/>
      </w:pPr>
      <w:r>
        <w:t xml:space="preserve">Early senior review assists with early diagnosis. </w:t>
      </w:r>
    </w:p>
    <w:p w14:paraId="5AC03500" w14:textId="77777777" w:rsidR="00152EC1" w:rsidRDefault="00152EC1" w:rsidP="00FB51B4">
      <w:pPr>
        <w:pStyle w:val="SCVbullet1"/>
      </w:pPr>
      <w:r>
        <w:t xml:space="preserve">The use of ultrasound may lead to missed or delayed diagnosis. </w:t>
      </w:r>
    </w:p>
    <w:p w14:paraId="1ABE355E" w14:textId="77777777" w:rsidR="00152EC1" w:rsidRDefault="00152EC1" w:rsidP="00FB51B4">
      <w:pPr>
        <w:pStyle w:val="SCVbullet1"/>
      </w:pPr>
      <w:r>
        <w:t xml:space="preserve">Appropriate clinical assessment is a sufficient indication for surgical exploration. </w:t>
      </w:r>
    </w:p>
    <w:p w14:paraId="0E120E00" w14:textId="77777777" w:rsidR="00152EC1" w:rsidRDefault="00152EC1" w:rsidP="00FB51B4">
      <w:pPr>
        <w:pStyle w:val="SCVbullet1"/>
      </w:pPr>
      <w:r>
        <w:t xml:space="preserve">Delayed surgical review impacts timely and accurate diagnosis. </w:t>
      </w:r>
    </w:p>
    <w:p w14:paraId="65AFC7FA" w14:textId="77777777" w:rsidR="00152EC1" w:rsidRDefault="00152EC1" w:rsidP="00FB51B4">
      <w:pPr>
        <w:pStyle w:val="SCVbullet1"/>
      </w:pPr>
      <w:r>
        <w:t xml:space="preserve">Adolescents are likely to ‘downplay’ their pain. This may contribute to the tendency for clinical staff to watch and wait, rather than progressing treatment. </w:t>
      </w:r>
    </w:p>
    <w:p w14:paraId="2397A195" w14:textId="77777777" w:rsidR="00152EC1" w:rsidRDefault="00152EC1" w:rsidP="00FB51B4">
      <w:pPr>
        <w:pStyle w:val="SCVbullet1"/>
      </w:pPr>
      <w:r>
        <w:t xml:space="preserve">Neurodivergent patients, who are commonly difficult to assess for pain levels, are at higher risk. </w:t>
      </w:r>
    </w:p>
    <w:p w14:paraId="0B1E89DA" w14:textId="77777777" w:rsidR="00152EC1" w:rsidRDefault="00152EC1" w:rsidP="00FB51B4">
      <w:pPr>
        <w:pStyle w:val="SCVbullet1"/>
      </w:pPr>
      <w:r>
        <w:t xml:space="preserve">There is a lack of consumer awareness of the condition, which contributes to late presentations. </w:t>
      </w:r>
    </w:p>
    <w:p w14:paraId="2D9B36EE" w14:textId="77777777" w:rsidR="00152EC1" w:rsidRDefault="00152EC1" w:rsidP="00C96A69">
      <w:pPr>
        <w:pStyle w:val="SCVbody"/>
      </w:pPr>
      <w:r>
        <w:t xml:space="preserve">The group worked well because participants communicated openly, and were driven to learn and improve patient safety. We have developed a set of recommendations that can be implemented at individual services and across the health system. We are exploring opportunities to improve public health messaging, including the introduction of education about testicular torsion for adolescents and parents. </w:t>
      </w:r>
    </w:p>
    <w:p w14:paraId="36970DEC" w14:textId="77777777" w:rsidR="00152EC1" w:rsidRPr="00EF24D6" w:rsidRDefault="00152EC1" w:rsidP="00C96A69">
      <w:pPr>
        <w:pStyle w:val="SCVbody"/>
        <w:rPr>
          <w:b/>
          <w:bCs/>
        </w:rPr>
      </w:pPr>
      <w:r w:rsidRPr="00EF24D6">
        <w:rPr>
          <w:b/>
          <w:bCs/>
        </w:rPr>
        <w:t xml:space="preserve">Prepared by Adjunct Associate Professor Shyaman Menon, Executive Director of Medical Services and Clinical Governance (Chief Medical Officer), Peninsula Health </w:t>
      </w:r>
    </w:p>
    <w:p w14:paraId="5BFDD8D2" w14:textId="77777777" w:rsidR="00152EC1" w:rsidRDefault="00152EC1" w:rsidP="00FB51B4">
      <w:pPr>
        <w:pStyle w:val="Heading4"/>
      </w:pPr>
      <w:r>
        <w:t xml:space="preserve">SCV’s perspective on the Testicular torsion working group </w:t>
      </w:r>
    </w:p>
    <w:p w14:paraId="3473D212" w14:textId="77777777" w:rsidR="00152EC1" w:rsidRDefault="00152EC1" w:rsidP="00C96A69">
      <w:pPr>
        <w:pStyle w:val="SCVbody"/>
      </w:pPr>
      <w:r>
        <w:t xml:space="preserve">This partnership with health services was an important and valuable opportunity for us to work together. It was important to get a variety of experts together to try and address a statewide risk. We ended up with a range of findings beyond what health services had identified in reviewing these events in isolation. This is a valuable approach and SCV aims to support this type of collaborative work in the future. </w:t>
      </w:r>
    </w:p>
    <w:tbl>
      <w:tblPr>
        <w:tblStyle w:val="SCVpulloutbox"/>
        <w:tblW w:w="0" w:type="auto"/>
        <w:tblLook w:val="0600" w:firstRow="0" w:lastRow="0" w:firstColumn="0" w:lastColumn="0" w:noHBand="1" w:noVBand="1"/>
      </w:tblPr>
      <w:tblGrid>
        <w:gridCol w:w="10204"/>
      </w:tblGrid>
      <w:tr w:rsidR="00FB51B4" w14:paraId="6675AA69" w14:textId="77777777" w:rsidTr="00FB51B4">
        <w:tc>
          <w:tcPr>
            <w:tcW w:w="10204" w:type="dxa"/>
          </w:tcPr>
          <w:p w14:paraId="62A017CA" w14:textId="77777777" w:rsidR="00FB51B4" w:rsidRDefault="00FB51B4" w:rsidP="00FB51B4">
            <w:pPr>
              <w:pStyle w:val="SCVboxheading"/>
            </w:pPr>
            <w:r w:rsidRPr="00FD232A">
              <w:lastRenderedPageBreak/>
              <w:t>ADVICE FOR HEALTH SERVICES</w:t>
            </w:r>
          </w:p>
          <w:p w14:paraId="7B82DD6D" w14:textId="7441C226" w:rsidR="00FB51B4" w:rsidRDefault="00FB51B4" w:rsidP="00C96A69">
            <w:pPr>
              <w:pStyle w:val="SCVbody"/>
            </w:pPr>
            <w:r>
              <w:t>If you have a safety issue that you think Is impacting patients across services that</w:t>
            </w:r>
            <w:r w:rsidR="00FB5F78">
              <w:t xml:space="preserve"> </w:t>
            </w:r>
            <w:r>
              <w:t xml:space="preserve">you would like to explore, please </w:t>
            </w:r>
            <w:hyperlink r:id="rId48" w:history="1">
              <w:r w:rsidRPr="00904DFF">
                <w:rPr>
                  <w:rStyle w:val="Hyperlink"/>
                </w:rPr>
                <w:t>email SCV</w:t>
              </w:r>
            </w:hyperlink>
            <w:r>
              <w:t xml:space="preserve"> &lt;sentinel.events@safercare.vic.gov.au&gt;. We may be able to link you in with current work happening at SCV or health services, or help to build connections with other services experiencing the same issue. </w:t>
            </w:r>
          </w:p>
        </w:tc>
      </w:tr>
    </w:tbl>
    <w:p w14:paraId="3468C7C1" w14:textId="77777777" w:rsidR="00152EC1" w:rsidRDefault="00152EC1" w:rsidP="00FB51B4">
      <w:pPr>
        <w:pStyle w:val="Heading4"/>
      </w:pPr>
      <w:r>
        <w:t xml:space="preserve">Unintended retention of foreign objects </w:t>
      </w:r>
    </w:p>
    <w:p w14:paraId="32C405A4" w14:textId="77777777" w:rsidR="00152EC1" w:rsidRDefault="00152EC1" w:rsidP="00C96A69">
      <w:pPr>
        <w:pStyle w:val="SCVbody"/>
      </w:pPr>
      <w:r>
        <w:t xml:space="preserve">In 2022–23, there were four sentinel events notified under the national Category 4: Unintended retention of a foreign object in a patient after surgery or other invasive procedure resulting in serious harm or death. </w:t>
      </w:r>
    </w:p>
    <w:p w14:paraId="251925D8" w14:textId="77777777" w:rsidR="00152EC1" w:rsidRDefault="00152EC1" w:rsidP="00C96A69">
      <w:pPr>
        <w:pStyle w:val="SCVbody"/>
      </w:pPr>
      <w:r>
        <w:t xml:space="preserve">Surgical sponges and dressings were retained after surgery in these events. A retained swab can lead to infection or cause injury to other internal structures. Swabs used in the operating theatre have a radiological marker so that they show up on x-ray. The risks of leaving a swab behind at surgery is mitigated by at least two swab counts towards and at the end of surgery. The surgical safety checklist, used in all Victorian operating theatres, requires a verified swab count to be checked off (by a second nurse) as correct at the end of every procedure and confirmed with the surgical team. Protocols are in place to x-ray patients if the swab count is known to be incorrect. </w:t>
      </w:r>
    </w:p>
    <w:p w14:paraId="50CD8AF6" w14:textId="77777777" w:rsidR="00152EC1" w:rsidRDefault="00152EC1" w:rsidP="00C96A69">
      <w:pPr>
        <w:pStyle w:val="SCVbody"/>
      </w:pPr>
      <w:r>
        <w:t xml:space="preserve">In the four events in 2022–23, all counts were documented as correct, so the x-ray process was not initiated after surgery. The most common finding of the review of these events was that health service policies and procedures were missing critical information to guide count processes when there was an increased risk of an incorrect count. Examples included when a dressing was cut or modified, when staff changed during a procedure and for two-stage surgical procedures. </w:t>
      </w:r>
    </w:p>
    <w:tbl>
      <w:tblPr>
        <w:tblStyle w:val="SCVpulloutbox"/>
        <w:tblW w:w="0" w:type="auto"/>
        <w:tblLook w:val="0600" w:firstRow="0" w:lastRow="0" w:firstColumn="0" w:lastColumn="0" w:noHBand="1" w:noVBand="1"/>
      </w:tblPr>
      <w:tblGrid>
        <w:gridCol w:w="10204"/>
      </w:tblGrid>
      <w:tr w:rsidR="00FB51B4" w14:paraId="57C3E01F" w14:textId="77777777" w:rsidTr="00FB51B4">
        <w:tc>
          <w:tcPr>
            <w:tcW w:w="10204" w:type="dxa"/>
          </w:tcPr>
          <w:p w14:paraId="41195641" w14:textId="77777777" w:rsidR="00FB51B4" w:rsidRDefault="00FB51B4" w:rsidP="00FB51B4">
            <w:pPr>
              <w:pStyle w:val="SCVboxheading"/>
            </w:pPr>
            <w:r w:rsidRPr="00FD232A">
              <w:lastRenderedPageBreak/>
              <w:t>ADVICE FOR HEALTH SERVICES</w:t>
            </w:r>
          </w:p>
          <w:p w14:paraId="040ED528" w14:textId="77777777" w:rsidR="00FB51B4" w:rsidRDefault="00FB51B4" w:rsidP="00C96A69">
            <w:pPr>
              <w:pStyle w:val="SCVbody"/>
            </w:pPr>
            <w:r>
              <w:t xml:space="preserve">Health services must consider </w:t>
            </w:r>
            <w:proofErr w:type="gramStart"/>
            <w:r>
              <w:t>a number of</w:t>
            </w:r>
            <w:proofErr w:type="gramEnd"/>
            <w:r>
              <w:t xml:space="preserve"> recommendations to reduce the risk of retained foreign objects following surgery: </w:t>
            </w:r>
          </w:p>
          <w:p w14:paraId="48141554" w14:textId="77777777" w:rsidR="00FB51B4" w:rsidRDefault="00FB51B4" w:rsidP="00FB51B4">
            <w:pPr>
              <w:pStyle w:val="SCVbullet1"/>
            </w:pPr>
            <w:r>
              <w:t xml:space="preserve">Ensure there is always a final swab, instrument and needle count after final skin closure, and that the correctness of this final count is signed off by the nursing and surgical teams. </w:t>
            </w:r>
          </w:p>
          <w:p w14:paraId="45832164" w14:textId="77777777" w:rsidR="00FB51B4" w:rsidRDefault="00FB51B4" w:rsidP="00FB51B4">
            <w:pPr>
              <w:pStyle w:val="SCVbullet1"/>
            </w:pPr>
            <w:r>
              <w:t xml:space="preserve">Material left in a wound or cavity at the end of an operation for later removal should be appropriately documented, supplemented by a verifiable confirmation of the items being removed on the ward or elsewhere. </w:t>
            </w:r>
          </w:p>
          <w:p w14:paraId="52A4C60E" w14:textId="77777777" w:rsidR="00FB51B4" w:rsidRDefault="00FB51B4" w:rsidP="00FB51B4">
            <w:pPr>
              <w:pStyle w:val="SCVbullet1"/>
            </w:pPr>
            <w:r>
              <w:t xml:space="preserve">Sign-out is an important part of the surgical safety checklist to ensure there is a plan of removal for any retained materials, that the intended pathology specimens are in the appropriate container and that the final swab count was correct. </w:t>
            </w:r>
          </w:p>
          <w:p w14:paraId="164EE0EE" w14:textId="77777777" w:rsidR="00FB51B4" w:rsidRDefault="00FB51B4" w:rsidP="00FB51B4">
            <w:pPr>
              <w:pStyle w:val="SCVbullet1"/>
            </w:pPr>
            <w:r>
              <w:t xml:space="preserve">There should be clear communication as to any retained materials to be later removed on the ward, whose responsibility it is to remove them and how their complete removal is verified. </w:t>
            </w:r>
          </w:p>
          <w:p w14:paraId="6B17B5C4" w14:textId="77777777" w:rsidR="00FB51B4" w:rsidRDefault="00FB51B4" w:rsidP="00FB51B4">
            <w:pPr>
              <w:pStyle w:val="SCVbullet1"/>
            </w:pPr>
            <w:r>
              <w:t xml:space="preserve">Staff education around the surgical safety checklist and unintended retained objects should include examples where these events have occurred despite a correct count, and list key learnings and opportunities for improvement. </w:t>
            </w:r>
          </w:p>
          <w:p w14:paraId="4E8ECFBA" w14:textId="561DF0D9" w:rsidR="00FB51B4" w:rsidRDefault="00FB51B4" w:rsidP="00FB51B4">
            <w:pPr>
              <w:pStyle w:val="SCVbullet1"/>
            </w:pPr>
            <w:r>
              <w:t xml:space="preserve">Health services should have processes in place to regularly conduct visual audits of staff conducting time-out and sign-out procedures, to consistently reiterate their importance and provide timely real-time feedback. </w:t>
            </w:r>
          </w:p>
        </w:tc>
      </w:tr>
    </w:tbl>
    <w:p w14:paraId="7858E1BF" w14:textId="77777777" w:rsidR="00152EC1" w:rsidRDefault="00152EC1" w:rsidP="00C96A69">
      <w:pPr>
        <w:pStyle w:val="SCVbody"/>
      </w:pPr>
    </w:p>
    <w:tbl>
      <w:tblPr>
        <w:tblStyle w:val="SCVInformationTable"/>
        <w:tblW w:w="0" w:type="auto"/>
        <w:tblLook w:val="0600" w:firstRow="0" w:lastRow="0" w:firstColumn="0" w:lastColumn="0" w:noHBand="1" w:noVBand="1"/>
      </w:tblPr>
      <w:tblGrid>
        <w:gridCol w:w="10204"/>
      </w:tblGrid>
      <w:tr w:rsidR="00FB51B4" w14:paraId="0B560635" w14:textId="77777777" w:rsidTr="00FB51B4">
        <w:tc>
          <w:tcPr>
            <w:tcW w:w="10204" w:type="dxa"/>
          </w:tcPr>
          <w:p w14:paraId="645F7E5C" w14:textId="77777777" w:rsidR="00FB51B4" w:rsidRDefault="00FB51B4" w:rsidP="00FB51B4">
            <w:pPr>
              <w:pStyle w:val="SCVboxheading"/>
            </w:pPr>
            <w:r>
              <w:lastRenderedPageBreak/>
              <w:t xml:space="preserve">NEW RESOURCE: </w:t>
            </w:r>
          </w:p>
          <w:p w14:paraId="3E7F7806" w14:textId="77777777" w:rsidR="00FB51B4" w:rsidRDefault="00FB51B4" w:rsidP="00FB51B4">
            <w:pPr>
              <w:pStyle w:val="Heading4"/>
            </w:pPr>
            <w:r>
              <w:t xml:space="preserve">My Surgical Journey </w:t>
            </w:r>
          </w:p>
          <w:p w14:paraId="3B2C4789" w14:textId="47532F2A" w:rsidR="00FB51B4" w:rsidRDefault="00FB51B4" w:rsidP="00C96A69">
            <w:pPr>
              <w:pStyle w:val="SCVbody"/>
            </w:pPr>
            <w:r>
              <w:t xml:space="preserve">If you’re thinking about having surgery or are on a planned surgery preparation list, there is a new resource available to support you. SCV, in collaboration with the Department of Health, clinicians and consumers, has codesigned the </w:t>
            </w:r>
            <w:hyperlink r:id="rId49" w:history="1">
              <w:r w:rsidRPr="00816796">
                <w:rPr>
                  <w:rStyle w:val="Hyperlink"/>
                </w:rPr>
                <w:t>My Surgical Journey resource</w:t>
              </w:r>
            </w:hyperlink>
            <w:r>
              <w:t xml:space="preserve"> &lt;https://www.safercare.vic.gov.au/consumer-resources/my-surgical-journey&gt;. This resource guides you through every stage of your surgical journey to help you achieve the best outcome.</w:t>
            </w:r>
            <w:r w:rsidR="00FB5F78">
              <w:t xml:space="preserve"> </w:t>
            </w:r>
          </w:p>
          <w:p w14:paraId="028A3669" w14:textId="08D959DB" w:rsidR="00FB51B4" w:rsidRDefault="00FB51B4" w:rsidP="00C96A69">
            <w:pPr>
              <w:pStyle w:val="SCVbody"/>
            </w:pPr>
            <w:r>
              <w:t xml:space="preserve">My Surgical Journey supports shared decision-making, using icons to prompt questions you can ask or questions you might be asked across your surgical journey. It focuses on informing you about what to expect and includes different elements to provide information, including videos, checklists and translations. </w:t>
            </w:r>
          </w:p>
        </w:tc>
      </w:tr>
    </w:tbl>
    <w:p w14:paraId="1270A8B8" w14:textId="77777777" w:rsidR="00152EC1" w:rsidRDefault="00152EC1" w:rsidP="00FB51B4">
      <w:pPr>
        <w:pStyle w:val="Heading4"/>
      </w:pPr>
      <w:r>
        <w:t xml:space="preserve">Prevention of venous </w:t>
      </w:r>
      <w:proofErr w:type="spellStart"/>
      <w:r>
        <w:t>thromboembolus</w:t>
      </w:r>
      <w:proofErr w:type="spellEnd"/>
      <w:r>
        <w:t xml:space="preserve"> (VTE) after surgery </w:t>
      </w:r>
    </w:p>
    <w:p w14:paraId="070558E3" w14:textId="77777777" w:rsidR="00152EC1" w:rsidRDefault="00152EC1" w:rsidP="00C96A69">
      <w:pPr>
        <w:pStyle w:val="SCVbody"/>
      </w:pPr>
      <w:r>
        <w:t xml:space="preserve">In 2022–23, three sentinel events related to the prevention of venous thromboembolism in surgical patients. The following case study demonstrates this issue. For more information, see Venous Thromboembolism Guideline in this document. </w:t>
      </w:r>
    </w:p>
    <w:tbl>
      <w:tblPr>
        <w:tblStyle w:val="SCVpulloutbox"/>
        <w:tblW w:w="0" w:type="auto"/>
        <w:tblLook w:val="0600" w:firstRow="0" w:lastRow="0" w:firstColumn="0" w:lastColumn="0" w:noHBand="1" w:noVBand="1"/>
      </w:tblPr>
      <w:tblGrid>
        <w:gridCol w:w="10204"/>
      </w:tblGrid>
      <w:tr w:rsidR="00FB51B4" w14:paraId="3F72401F" w14:textId="77777777" w:rsidTr="00FB51B4">
        <w:tc>
          <w:tcPr>
            <w:tcW w:w="10204" w:type="dxa"/>
          </w:tcPr>
          <w:p w14:paraId="44876F84" w14:textId="77777777" w:rsidR="00FB51B4" w:rsidRDefault="00FB51B4" w:rsidP="00FB51B4">
            <w:pPr>
              <w:pStyle w:val="SCVboxheading"/>
            </w:pPr>
            <w:r w:rsidRPr="00FD232A">
              <w:lastRenderedPageBreak/>
              <w:t>Case study – VTE after orthopaedic surgery</w:t>
            </w:r>
          </w:p>
          <w:p w14:paraId="1ACDE7D5" w14:textId="77777777" w:rsidR="00FB51B4" w:rsidRDefault="00FB51B4" w:rsidP="00C96A69">
            <w:pPr>
              <w:pStyle w:val="SCVbody"/>
            </w:pPr>
            <w:r>
              <w:t xml:space="preserve">Samira was admitted to Health Service A with an injury to her right leg after falling from a step. An x-ray showed a significantly displaced fracture of her ankle and she was admitted for surgery. She had a history of a blood clot in the lungs (pulmonary embolus) after surgery 12 years ago, but this was not documented during her admission and her body mass index (BMI) was greater than 35. </w:t>
            </w:r>
          </w:p>
          <w:p w14:paraId="684397CA" w14:textId="77777777" w:rsidR="00FB51B4" w:rsidRDefault="00FB51B4" w:rsidP="00C96A69">
            <w:pPr>
              <w:pStyle w:val="SCVbody"/>
            </w:pPr>
            <w:r>
              <w:t xml:space="preserve">She was given 60mg subcutaneous enoxaparin (an increased dose related to her BMI) the following morning and proceeded to surgery that evening. Postoperatively she was to be non-weight bearing, given 24 hours of intravenous antibiotics, and to continue enoxaparin. She received 60mg of subcutaneous enoxaparin daily for three days prior to her discharge. </w:t>
            </w:r>
          </w:p>
          <w:p w14:paraId="0423102E" w14:textId="77777777" w:rsidR="00FB51B4" w:rsidRDefault="00FB51B4" w:rsidP="00C96A69">
            <w:pPr>
              <w:pStyle w:val="SCVbody"/>
            </w:pPr>
            <w:r>
              <w:t xml:space="preserve">On her day of discharge, the pharmacist identified that Samira was at elevated risk of developing VTE when reviewing her medications for discharge. The plan to prescribe aspirin instead of enoxaparin was initially discussed with the intern, who then consulted with the registrar for advice. They decided to discharge her home with aspirin. </w:t>
            </w:r>
          </w:p>
          <w:p w14:paraId="5030687C" w14:textId="77777777" w:rsidR="00FB51B4" w:rsidRDefault="00FB51B4" w:rsidP="00C96A69">
            <w:pPr>
              <w:pStyle w:val="SCVbody"/>
            </w:pPr>
            <w:r>
              <w:t xml:space="preserve">Two weeks later, Samira returned to Health Service A via ambulance with left chest pain due to a massive pulmonary embolus. She deteriorated in the emergency department, requiring resuscitation, and was transferred to Health Service B for advanced life support. She survived, but spent the next four weeks in hospital, for much of the time requiring multiorgan support. </w:t>
            </w:r>
          </w:p>
          <w:p w14:paraId="6C254A97" w14:textId="77777777" w:rsidR="00FB51B4" w:rsidRDefault="00FB51B4" w:rsidP="00C96A69">
            <w:pPr>
              <w:pStyle w:val="SCVbody"/>
            </w:pPr>
            <w:r>
              <w:t xml:space="preserve">Aspirin may be a suitable agent for low risk patients with foot and ankle fractures. However, Samira had had a previous pulmonary embolus and a high BMI, both of which made her high risk. </w:t>
            </w:r>
          </w:p>
          <w:p w14:paraId="053438C3" w14:textId="344CEE73" w:rsidR="00FB51B4" w:rsidRDefault="00FB51B4" w:rsidP="00C96A69">
            <w:pPr>
              <w:pStyle w:val="SCVbody"/>
            </w:pPr>
            <w:r>
              <w:t xml:space="preserve">Health Service A s review of this event found that, despite being high risk, inadequate VTE prophylaxis was given to Samira to cover her after discharge. The organisation s care pathway was not followed, as she was not referred to the haematology team to discuss tailored VTE prophylaxis, as per their guidelines for higher-risk patients. There was a discrepancy between the organisational guideline and the advice on the local tool supporting VTE prophylaxis. These resources were difficult to access and there was no formal assessment tool for VTE risk at discharge. </w:t>
            </w:r>
          </w:p>
        </w:tc>
      </w:tr>
    </w:tbl>
    <w:p w14:paraId="133FA042" w14:textId="77777777" w:rsidR="00152EC1" w:rsidRDefault="00152EC1" w:rsidP="00FB51B4">
      <w:pPr>
        <w:pStyle w:val="Heading1"/>
      </w:pPr>
      <w:bookmarkStart w:id="25" w:name="_Toc173851123"/>
      <w:r>
        <w:lastRenderedPageBreak/>
        <w:t>Engaging with impacted patients, families and carers</w:t>
      </w:r>
      <w:bookmarkEnd w:id="25"/>
      <w:r>
        <w:t xml:space="preserve"> </w:t>
      </w:r>
    </w:p>
    <w:p w14:paraId="0AF3D068" w14:textId="77777777" w:rsidR="00152EC1" w:rsidRDefault="00152EC1" w:rsidP="00FB51B4">
      <w:pPr>
        <w:pStyle w:val="SCVintroductorytext"/>
      </w:pPr>
      <w:r>
        <w:t xml:space="preserve">When a sentinel event occurs, health services are required to invite the impacted patient, family or carer to provide their feedback on what occurred, and any concerns or questions they would like considered in the review. This information gives valuable insight into the circumstances of what happened and the factors contributing to the event, but most importantly, offers potential solutions or recommendations to reduce the likelihood of a similar event occurring in the future. </w:t>
      </w:r>
    </w:p>
    <w:p w14:paraId="468EE3BF" w14:textId="77777777" w:rsidR="00152EC1" w:rsidRDefault="00152EC1" w:rsidP="00C96A69">
      <w:pPr>
        <w:pStyle w:val="SCVbody"/>
      </w:pPr>
      <w:r>
        <w:t xml:space="preserve">In 2022–23, impacted patients, their families or carers contributed to 145 reviews (59 per cent), an increase from 47 per cent of sentinel event reviews in 2021–22. </w:t>
      </w:r>
    </w:p>
    <w:p w14:paraId="6322C463" w14:textId="4D8DD83A" w:rsidR="00152EC1" w:rsidRDefault="00202D14" w:rsidP="00FB51B4">
      <w:pPr>
        <w:pStyle w:val="Heading4"/>
      </w:pPr>
      <w:r>
        <w:t xml:space="preserve">The Healthcare Complaints Analysis Tool </w:t>
      </w:r>
      <w:r w:rsidR="00152EC1">
        <w:t xml:space="preserve">(HCAT) </w:t>
      </w:r>
    </w:p>
    <w:p w14:paraId="47D4E65A" w14:textId="543447F1" w:rsidR="00152EC1" w:rsidRDefault="00152EC1" w:rsidP="00C96A69">
      <w:pPr>
        <w:pStyle w:val="SCVbody"/>
      </w:pPr>
      <w:r>
        <w:t xml:space="preserve">The sentinel events portal has embedded the </w:t>
      </w:r>
      <w:hyperlink r:id="rId50" w:history="1">
        <w:r w:rsidRPr="00816796">
          <w:rPr>
            <w:rStyle w:val="Hyperlink"/>
          </w:rPr>
          <w:t>HCAT</w:t>
        </w:r>
      </w:hyperlink>
      <w:r>
        <w:t xml:space="preserve"> &lt;https://healthcarecomplaintsanalysis.com&gt; to capture the feedback consumers provide through this process. This evidence-based tool is used to code consumer feedback. We can capture this data in detail by breaking down the feedback into the HCAT domain and category. </w:t>
      </w:r>
    </w:p>
    <w:p w14:paraId="4D95E31C" w14:textId="77777777" w:rsidR="00152EC1" w:rsidRDefault="00152EC1" w:rsidP="00C96A69">
      <w:pPr>
        <w:pStyle w:val="SCVbody"/>
      </w:pPr>
      <w:r>
        <w:t xml:space="preserve">Of the 245 sentinel events in 2022–23, 112 (46 per cent) had documented patient, family or carer feedback into the review using the HCAT. </w:t>
      </w:r>
    </w:p>
    <w:p w14:paraId="0A368FE7" w14:textId="77777777" w:rsidR="00152EC1" w:rsidRDefault="00152EC1" w:rsidP="00C96A69">
      <w:pPr>
        <w:pStyle w:val="SCVbody"/>
      </w:pPr>
      <w:r>
        <w:t>There were 295 feedback items captured in sentinel event reviews in 2022–23, up from 210 feedback items in 2021–22.</w:t>
      </w:r>
    </w:p>
    <w:p w14:paraId="7EE6C66B" w14:textId="77777777" w:rsidR="00152EC1" w:rsidRDefault="00152EC1" w:rsidP="00FB51B4">
      <w:pPr>
        <w:pStyle w:val="SCVfigurecaption"/>
      </w:pPr>
      <w:r>
        <w:t xml:space="preserve">Figure 16. The Healthcare Complaints Analysis Tool (HCAT) </w:t>
      </w:r>
    </w:p>
    <w:p w14:paraId="76570588" w14:textId="77777777" w:rsidR="00152EC1" w:rsidRDefault="00152EC1" w:rsidP="00C96A69">
      <w:pPr>
        <w:pStyle w:val="SCVbody"/>
      </w:pPr>
      <w:r>
        <w:t xml:space="preserve">112 (46%) of the 245 sentinel events had documented patient, family or carer feedback into the review using the HCAT tool. </w:t>
      </w:r>
    </w:p>
    <w:p w14:paraId="037C2C9E" w14:textId="4593F116" w:rsidR="00152EC1" w:rsidRDefault="00152EC1" w:rsidP="00C96A69">
      <w:pPr>
        <w:pStyle w:val="SCVbody"/>
      </w:pPr>
      <w:r>
        <w:t>There were 295 feedback items documented in sentinel event reviews in 2022–23, up from 210 feedback items in 2021–22.</w:t>
      </w:r>
      <w:r w:rsidR="00FB5F78">
        <w:t xml:space="preserve"> </w:t>
      </w:r>
    </w:p>
    <w:p w14:paraId="1C1B3DFA" w14:textId="1C19ABB5" w:rsidR="00152EC1" w:rsidRDefault="0099798F" w:rsidP="00C96A69">
      <w:pPr>
        <w:pStyle w:val="SCVbody"/>
        <w:rPr>
          <w:b/>
          <w:bCs/>
        </w:rPr>
      </w:pPr>
      <w:r w:rsidRPr="0099798F">
        <w:rPr>
          <w:b/>
          <w:bCs/>
        </w:rPr>
        <w:t xml:space="preserve">Top five HCAT issues raised by consumers </w:t>
      </w:r>
    </w:p>
    <w:tbl>
      <w:tblPr>
        <w:tblStyle w:val="TableGrid"/>
        <w:tblW w:w="0" w:type="auto"/>
        <w:tblLook w:val="04A0" w:firstRow="1" w:lastRow="0" w:firstColumn="1" w:lastColumn="0" w:noHBand="0" w:noVBand="1"/>
      </w:tblPr>
      <w:tblGrid>
        <w:gridCol w:w="2790"/>
        <w:gridCol w:w="5732"/>
        <w:gridCol w:w="1682"/>
      </w:tblGrid>
      <w:tr w:rsidR="006D5BAE" w14:paraId="0124240A" w14:textId="77777777" w:rsidTr="006D5BAE">
        <w:trPr>
          <w:cnfStyle w:val="100000000000" w:firstRow="1" w:lastRow="0" w:firstColumn="0" w:lastColumn="0" w:oddVBand="0" w:evenVBand="0" w:oddHBand="0" w:evenHBand="0" w:firstRowFirstColumn="0" w:firstRowLastColumn="0" w:lastRowFirstColumn="0" w:lastRowLastColumn="0"/>
          <w:tblHeader/>
        </w:trPr>
        <w:tc>
          <w:tcPr>
            <w:tcW w:w="2790" w:type="dxa"/>
          </w:tcPr>
          <w:p w14:paraId="2D68B3F4" w14:textId="0B96E4A3" w:rsidR="006D5BAE" w:rsidRDefault="006D5BAE" w:rsidP="00C24140">
            <w:pPr>
              <w:pStyle w:val="SCVtablecolhead"/>
            </w:pPr>
            <w:r>
              <w:t>HCAT domain</w:t>
            </w:r>
          </w:p>
        </w:tc>
        <w:tc>
          <w:tcPr>
            <w:tcW w:w="5732" w:type="dxa"/>
          </w:tcPr>
          <w:p w14:paraId="24CC64BE" w14:textId="600EF649" w:rsidR="006D5BAE" w:rsidRDefault="006D5BAE" w:rsidP="00C24140">
            <w:pPr>
              <w:pStyle w:val="SCVtablecolhead"/>
            </w:pPr>
            <w:r>
              <w:t>Category</w:t>
            </w:r>
          </w:p>
        </w:tc>
        <w:tc>
          <w:tcPr>
            <w:tcW w:w="1682" w:type="dxa"/>
          </w:tcPr>
          <w:p w14:paraId="5041A357" w14:textId="322FE9DB" w:rsidR="006D5BAE" w:rsidRDefault="006D5BAE" w:rsidP="00C24140">
            <w:pPr>
              <w:pStyle w:val="SCVtablecolhead"/>
            </w:pPr>
            <w:r>
              <w:t>% of issues raised</w:t>
            </w:r>
          </w:p>
        </w:tc>
      </w:tr>
      <w:tr w:rsidR="006D5BAE" w14:paraId="1ED53F4A" w14:textId="77777777" w:rsidTr="006D5BAE">
        <w:tc>
          <w:tcPr>
            <w:tcW w:w="2790" w:type="dxa"/>
          </w:tcPr>
          <w:p w14:paraId="62874888" w14:textId="0DA046CD" w:rsidR="006D5BAE" w:rsidRDefault="006D5BAE" w:rsidP="00C24140">
            <w:pPr>
              <w:pStyle w:val="SCVtablebody"/>
            </w:pPr>
            <w:r>
              <w:t>Clinical problems</w:t>
            </w:r>
          </w:p>
        </w:tc>
        <w:tc>
          <w:tcPr>
            <w:tcW w:w="5732" w:type="dxa"/>
          </w:tcPr>
          <w:p w14:paraId="7AF66C62" w14:textId="6F05BDF4" w:rsidR="006D5BAE" w:rsidRPr="00381BCD" w:rsidRDefault="006D5BAE" w:rsidP="00C24140">
            <w:pPr>
              <w:pStyle w:val="SCVtablebody"/>
            </w:pPr>
            <w:r w:rsidRPr="00381BCD">
              <w:t>Safety</w:t>
            </w:r>
            <w:r w:rsidR="00257B2D" w:rsidRPr="00381BCD">
              <w:t>:</w:t>
            </w:r>
            <w:r w:rsidRPr="00381BCD">
              <w:t xml:space="preserve"> Errors, incidents, and staff competencies</w:t>
            </w:r>
          </w:p>
        </w:tc>
        <w:tc>
          <w:tcPr>
            <w:tcW w:w="1682" w:type="dxa"/>
          </w:tcPr>
          <w:p w14:paraId="5AA8F53E" w14:textId="41C75849" w:rsidR="006D5BAE" w:rsidRDefault="006D5BAE" w:rsidP="00C24140">
            <w:pPr>
              <w:pStyle w:val="SCVtablebody"/>
            </w:pPr>
            <w:r>
              <w:t>30%</w:t>
            </w:r>
          </w:p>
        </w:tc>
      </w:tr>
      <w:tr w:rsidR="006D5BAE" w14:paraId="15E6302B" w14:textId="77777777" w:rsidTr="006D5BAE">
        <w:tc>
          <w:tcPr>
            <w:tcW w:w="2790" w:type="dxa"/>
          </w:tcPr>
          <w:p w14:paraId="75E9C5B5" w14:textId="02AFDBCB" w:rsidR="006D5BAE" w:rsidRDefault="006D5BAE" w:rsidP="00C24140">
            <w:pPr>
              <w:pStyle w:val="SCVtablebody"/>
            </w:pPr>
            <w:r>
              <w:t>Clinical problems</w:t>
            </w:r>
          </w:p>
        </w:tc>
        <w:tc>
          <w:tcPr>
            <w:tcW w:w="5732" w:type="dxa"/>
          </w:tcPr>
          <w:p w14:paraId="2452AA11" w14:textId="48473695" w:rsidR="006D5BAE" w:rsidRPr="00381BCD" w:rsidRDefault="006D5BAE" w:rsidP="00C24140">
            <w:pPr>
              <w:pStyle w:val="SCVtablebody"/>
            </w:pPr>
            <w:r w:rsidRPr="00381BCD">
              <w:t>Quality</w:t>
            </w:r>
            <w:r w:rsidR="00257B2D" w:rsidRPr="00381BCD">
              <w:t>:</w:t>
            </w:r>
            <w:r w:rsidRPr="00381BCD">
              <w:t xml:space="preserve"> Clinical standards of healthcare staff behaviour</w:t>
            </w:r>
          </w:p>
        </w:tc>
        <w:tc>
          <w:tcPr>
            <w:tcW w:w="1682" w:type="dxa"/>
          </w:tcPr>
          <w:p w14:paraId="125304A7" w14:textId="359C0FA7" w:rsidR="006D5BAE" w:rsidRDefault="006D5BAE" w:rsidP="00C24140">
            <w:pPr>
              <w:pStyle w:val="SCVtablebody"/>
            </w:pPr>
            <w:r>
              <w:t>27%</w:t>
            </w:r>
          </w:p>
        </w:tc>
      </w:tr>
      <w:tr w:rsidR="006D5BAE" w14:paraId="1FE794DF" w14:textId="77777777" w:rsidTr="006D5BAE">
        <w:tc>
          <w:tcPr>
            <w:tcW w:w="2790" w:type="dxa"/>
          </w:tcPr>
          <w:p w14:paraId="3AD2AF9F" w14:textId="1701F5ED" w:rsidR="006D5BAE" w:rsidRDefault="006D5BAE" w:rsidP="00C24140">
            <w:pPr>
              <w:pStyle w:val="SCVtablebody"/>
            </w:pPr>
            <w:r>
              <w:t>Relationship problems</w:t>
            </w:r>
          </w:p>
        </w:tc>
        <w:tc>
          <w:tcPr>
            <w:tcW w:w="5732" w:type="dxa"/>
          </w:tcPr>
          <w:p w14:paraId="3FA843F9" w14:textId="11215F06" w:rsidR="006D5BAE" w:rsidRPr="00381BCD" w:rsidRDefault="006D5BAE" w:rsidP="00C24140">
            <w:pPr>
              <w:pStyle w:val="SCVtablebody"/>
            </w:pPr>
            <w:r w:rsidRPr="00381BCD">
              <w:t>Communication</w:t>
            </w:r>
            <w:r w:rsidR="00257B2D" w:rsidRPr="00381BCD">
              <w:t>:</w:t>
            </w:r>
            <w:r w:rsidRPr="00381BCD">
              <w:t xml:space="preserve"> Absent or incorrect communication from healthcare staff to patients</w:t>
            </w:r>
          </w:p>
        </w:tc>
        <w:tc>
          <w:tcPr>
            <w:tcW w:w="1682" w:type="dxa"/>
          </w:tcPr>
          <w:p w14:paraId="35447FCC" w14:textId="505CB19F" w:rsidR="006D5BAE" w:rsidRDefault="006D5BAE" w:rsidP="00C24140">
            <w:pPr>
              <w:pStyle w:val="SCVtablebody"/>
            </w:pPr>
            <w:r>
              <w:t>20%</w:t>
            </w:r>
          </w:p>
        </w:tc>
      </w:tr>
      <w:tr w:rsidR="006D5BAE" w14:paraId="02663E3D" w14:textId="77777777" w:rsidTr="006D5BAE">
        <w:tc>
          <w:tcPr>
            <w:tcW w:w="2790" w:type="dxa"/>
          </w:tcPr>
          <w:p w14:paraId="1246E7BC" w14:textId="676EC08C" w:rsidR="006D5BAE" w:rsidRDefault="006D5BAE" w:rsidP="00C24140">
            <w:pPr>
              <w:pStyle w:val="SCVtablebody"/>
            </w:pPr>
            <w:r>
              <w:t>Management problems</w:t>
            </w:r>
          </w:p>
        </w:tc>
        <w:tc>
          <w:tcPr>
            <w:tcW w:w="5732" w:type="dxa"/>
          </w:tcPr>
          <w:p w14:paraId="4534DE07" w14:textId="2F9563C6" w:rsidR="006D5BAE" w:rsidRPr="00381BCD" w:rsidRDefault="006D5BAE" w:rsidP="00C24140">
            <w:pPr>
              <w:pStyle w:val="SCVtablebody"/>
            </w:pPr>
            <w:r w:rsidRPr="00381BCD">
              <w:t>Institutional Processes</w:t>
            </w:r>
            <w:r w:rsidR="00257B2D" w:rsidRPr="00381BCD">
              <w:t>:</w:t>
            </w:r>
            <w:r w:rsidRPr="00381BCD">
              <w:t xml:space="preserve"> Problems in bureaucracy, waiting times, and accessing care </w:t>
            </w:r>
            <w:r w:rsidRPr="00381BCD">
              <w:tab/>
            </w:r>
          </w:p>
        </w:tc>
        <w:tc>
          <w:tcPr>
            <w:tcW w:w="1682" w:type="dxa"/>
          </w:tcPr>
          <w:p w14:paraId="18369E5E" w14:textId="230D3D2D" w:rsidR="006D5BAE" w:rsidRDefault="006D5BAE" w:rsidP="00C24140">
            <w:pPr>
              <w:pStyle w:val="SCVtablebody"/>
            </w:pPr>
            <w:r>
              <w:t>10%</w:t>
            </w:r>
          </w:p>
        </w:tc>
      </w:tr>
      <w:tr w:rsidR="006D5BAE" w14:paraId="06E11594" w14:textId="77777777" w:rsidTr="006D5BAE">
        <w:tc>
          <w:tcPr>
            <w:tcW w:w="2790" w:type="dxa"/>
          </w:tcPr>
          <w:p w14:paraId="276E6595" w14:textId="0BB43238" w:rsidR="006D5BAE" w:rsidRDefault="006D5BAE" w:rsidP="00C24140">
            <w:pPr>
              <w:pStyle w:val="SCVtablebody"/>
            </w:pPr>
            <w:r>
              <w:lastRenderedPageBreak/>
              <w:t>Relationship problems</w:t>
            </w:r>
          </w:p>
        </w:tc>
        <w:tc>
          <w:tcPr>
            <w:tcW w:w="5732" w:type="dxa"/>
          </w:tcPr>
          <w:p w14:paraId="513BBA2E" w14:textId="2E9F47E2" w:rsidR="006D5BAE" w:rsidRDefault="006D5BAE" w:rsidP="00C24140">
            <w:pPr>
              <w:pStyle w:val="SCVtablebody"/>
            </w:pPr>
            <w:r w:rsidRPr="00381BCD">
              <w:t>Listening</w:t>
            </w:r>
            <w:r w:rsidR="00257B2D" w:rsidRPr="00381BCD">
              <w:t>:</w:t>
            </w:r>
            <w:r>
              <w:t xml:space="preserve"> Healthcare staff disregard or do not acknowledge information from patients</w:t>
            </w:r>
          </w:p>
        </w:tc>
        <w:tc>
          <w:tcPr>
            <w:tcW w:w="1682" w:type="dxa"/>
          </w:tcPr>
          <w:p w14:paraId="7B625844" w14:textId="234AD87F" w:rsidR="006D5BAE" w:rsidRDefault="006D5BAE" w:rsidP="00C24140">
            <w:pPr>
              <w:pStyle w:val="SCVtablebody"/>
            </w:pPr>
            <w:r>
              <w:t>9%</w:t>
            </w:r>
          </w:p>
        </w:tc>
      </w:tr>
    </w:tbl>
    <w:p w14:paraId="141E15A2" w14:textId="3AB8A75D" w:rsidR="00152EC1" w:rsidRDefault="00166C00" w:rsidP="00C96A69">
      <w:pPr>
        <w:pStyle w:val="SCVbody"/>
      </w:pPr>
      <w:r w:rsidRPr="00166C00">
        <w:t>[END OF FIGURE]</w:t>
      </w:r>
    </w:p>
    <w:p w14:paraId="631906F8" w14:textId="77777777" w:rsidR="00EF24D6" w:rsidRDefault="00EF24D6" w:rsidP="00C96A69">
      <w:pPr>
        <w:pStyle w:val="SCVbody"/>
      </w:pPr>
    </w:p>
    <w:p w14:paraId="6130AA9C" w14:textId="77777777" w:rsidR="00152EC1" w:rsidRDefault="00152EC1" w:rsidP="00FB51B4">
      <w:pPr>
        <w:pStyle w:val="Heading4"/>
      </w:pPr>
      <w:r>
        <w:t xml:space="preserve">Responding to feedback </w:t>
      </w:r>
    </w:p>
    <w:p w14:paraId="230E1CCF" w14:textId="77777777" w:rsidR="00152EC1" w:rsidRDefault="00152EC1" w:rsidP="00C96A69">
      <w:pPr>
        <w:pStyle w:val="SCVbody"/>
      </w:pPr>
      <w:r>
        <w:t xml:space="preserve">In 70 per cent of sentinel events where consumers had input, their feedback contributed to the recognition of critical events, findings or lessons learnt. This measure is a slight reduction from 72 per cent in 2021–22, but continues to show the importance of including patients’ and families’ voices in the review process. </w:t>
      </w:r>
    </w:p>
    <w:p w14:paraId="6F73E785" w14:textId="77777777" w:rsidR="00152EC1" w:rsidRDefault="00152EC1" w:rsidP="00C96A69">
      <w:pPr>
        <w:pStyle w:val="SCVbody"/>
      </w:pPr>
      <w:r>
        <w:t xml:space="preserve">Through HCAT data collection, we can see which patient issues raised were most likely to contribute to a review finding or lesson learnt, as reflected in Figure 17. </w:t>
      </w:r>
    </w:p>
    <w:p w14:paraId="442D898D" w14:textId="77777777" w:rsidR="00152EC1" w:rsidRDefault="00152EC1" w:rsidP="00FB51B4">
      <w:pPr>
        <w:pStyle w:val="SCVfigurecaption"/>
      </w:pPr>
      <w:r>
        <w:t xml:space="preserve">Figure 17. Responding to feedback </w:t>
      </w:r>
    </w:p>
    <w:p w14:paraId="2202C2B0" w14:textId="00833133" w:rsidR="00152EC1" w:rsidRDefault="00152EC1" w:rsidP="00C96A69">
      <w:pPr>
        <w:pStyle w:val="SCVbody"/>
      </w:pPr>
      <w:r>
        <w:t>In 70% of sentinel events where consumers had input, their feedback contributed to the recognition of critical events, ﬁndings or lessons learnt. This measure is slight reduction from 72% in 2021–22.</w:t>
      </w:r>
      <w:r w:rsidR="00FB5F78">
        <w:t xml:space="preserve"> </w:t>
      </w:r>
    </w:p>
    <w:p w14:paraId="131DDDB6" w14:textId="20448922" w:rsidR="006D5BAE" w:rsidRDefault="006D5BAE" w:rsidP="006D5BAE">
      <w:pPr>
        <w:pStyle w:val="SCVbody"/>
        <w:rPr>
          <w:b/>
          <w:bCs/>
        </w:rPr>
      </w:pPr>
      <w:r w:rsidRPr="006D5BAE">
        <w:rPr>
          <w:b/>
          <w:bCs/>
        </w:rPr>
        <w:t xml:space="preserve">Top five </w:t>
      </w:r>
      <w:r w:rsidR="00152EC1" w:rsidRPr="006D5BAE">
        <w:rPr>
          <w:b/>
          <w:bCs/>
        </w:rPr>
        <w:t xml:space="preserve">HCAT </w:t>
      </w:r>
      <w:r w:rsidRPr="006D5BAE">
        <w:rPr>
          <w:b/>
          <w:bCs/>
        </w:rPr>
        <w:t xml:space="preserve">issues leading to a review finding or lesson learnt </w:t>
      </w:r>
    </w:p>
    <w:tbl>
      <w:tblPr>
        <w:tblStyle w:val="TableGrid"/>
        <w:tblW w:w="0" w:type="auto"/>
        <w:tblLook w:val="04A0" w:firstRow="1" w:lastRow="0" w:firstColumn="1" w:lastColumn="0" w:noHBand="0" w:noVBand="1"/>
      </w:tblPr>
      <w:tblGrid>
        <w:gridCol w:w="2790"/>
        <w:gridCol w:w="5732"/>
        <w:gridCol w:w="1682"/>
      </w:tblGrid>
      <w:tr w:rsidR="006D5BAE" w14:paraId="2D34654E" w14:textId="77777777" w:rsidTr="00C24140">
        <w:trPr>
          <w:cnfStyle w:val="100000000000" w:firstRow="1" w:lastRow="0" w:firstColumn="0" w:lastColumn="0" w:oddVBand="0" w:evenVBand="0" w:oddHBand="0" w:evenHBand="0" w:firstRowFirstColumn="0" w:firstRowLastColumn="0" w:lastRowFirstColumn="0" w:lastRowLastColumn="0"/>
          <w:tblHeader/>
        </w:trPr>
        <w:tc>
          <w:tcPr>
            <w:tcW w:w="2790" w:type="dxa"/>
          </w:tcPr>
          <w:p w14:paraId="36422B2E" w14:textId="77777777" w:rsidR="006D5BAE" w:rsidRDefault="006D5BAE" w:rsidP="00C24140">
            <w:pPr>
              <w:pStyle w:val="SCVtablecolhead"/>
            </w:pPr>
            <w:r>
              <w:t>HCAT domain</w:t>
            </w:r>
          </w:p>
        </w:tc>
        <w:tc>
          <w:tcPr>
            <w:tcW w:w="5732" w:type="dxa"/>
          </w:tcPr>
          <w:p w14:paraId="237F43B4" w14:textId="77777777" w:rsidR="006D5BAE" w:rsidRDefault="006D5BAE" w:rsidP="00C24140">
            <w:pPr>
              <w:pStyle w:val="SCVtablecolhead"/>
            </w:pPr>
            <w:r>
              <w:t>Category</w:t>
            </w:r>
          </w:p>
        </w:tc>
        <w:tc>
          <w:tcPr>
            <w:tcW w:w="1682" w:type="dxa"/>
          </w:tcPr>
          <w:p w14:paraId="64550883" w14:textId="77777777" w:rsidR="006D5BAE" w:rsidRDefault="006D5BAE" w:rsidP="00C24140">
            <w:pPr>
              <w:pStyle w:val="SCVtablecolhead"/>
            </w:pPr>
            <w:r>
              <w:t>% of times led to finding or lesson</w:t>
            </w:r>
          </w:p>
        </w:tc>
      </w:tr>
      <w:tr w:rsidR="006D5BAE" w14:paraId="368FC5BA" w14:textId="77777777" w:rsidTr="00C24140">
        <w:tc>
          <w:tcPr>
            <w:tcW w:w="2790" w:type="dxa"/>
          </w:tcPr>
          <w:p w14:paraId="4E1F2166" w14:textId="52F463A2" w:rsidR="006D5BAE" w:rsidRDefault="00381BCD" w:rsidP="00C24140">
            <w:pPr>
              <w:pStyle w:val="SCVtablebody"/>
            </w:pPr>
            <w:r>
              <w:t>Relationship problems</w:t>
            </w:r>
          </w:p>
        </w:tc>
        <w:tc>
          <w:tcPr>
            <w:tcW w:w="5732" w:type="dxa"/>
          </w:tcPr>
          <w:p w14:paraId="1B512B83" w14:textId="049F1F56" w:rsidR="006D5BAE" w:rsidRDefault="00381BCD" w:rsidP="00C24140">
            <w:pPr>
              <w:pStyle w:val="SCVtablebody"/>
            </w:pPr>
            <w:r>
              <w:t>Respect and patient rights: Disrespect or violations of patient rights by staff</w:t>
            </w:r>
          </w:p>
        </w:tc>
        <w:tc>
          <w:tcPr>
            <w:tcW w:w="1682" w:type="dxa"/>
          </w:tcPr>
          <w:p w14:paraId="13FEF1D2" w14:textId="3CFEF854" w:rsidR="006D5BAE" w:rsidRDefault="00381BCD" w:rsidP="00C24140">
            <w:pPr>
              <w:pStyle w:val="SCVtablebody"/>
            </w:pPr>
            <w:r>
              <w:t>83%</w:t>
            </w:r>
          </w:p>
        </w:tc>
      </w:tr>
      <w:tr w:rsidR="006D5BAE" w14:paraId="54328DA0" w14:textId="77777777" w:rsidTr="00C24140">
        <w:tc>
          <w:tcPr>
            <w:tcW w:w="2790" w:type="dxa"/>
          </w:tcPr>
          <w:p w14:paraId="44A15280" w14:textId="632D6CD3" w:rsidR="006D5BAE" w:rsidRDefault="00381BCD" w:rsidP="00C24140">
            <w:pPr>
              <w:pStyle w:val="SCVtablebody"/>
            </w:pPr>
            <w:r>
              <w:t>Relationship problems</w:t>
            </w:r>
          </w:p>
        </w:tc>
        <w:tc>
          <w:tcPr>
            <w:tcW w:w="5732" w:type="dxa"/>
          </w:tcPr>
          <w:p w14:paraId="7BE6E1D9" w14:textId="6781E5C7" w:rsidR="006D5BAE" w:rsidRDefault="00381BCD" w:rsidP="00C24140">
            <w:pPr>
              <w:pStyle w:val="SCVtablebody"/>
            </w:pPr>
            <w:r>
              <w:t>Listening: Healthcare staff disregard or do not acknowledge information from patients</w:t>
            </w:r>
          </w:p>
        </w:tc>
        <w:tc>
          <w:tcPr>
            <w:tcW w:w="1682" w:type="dxa"/>
          </w:tcPr>
          <w:p w14:paraId="63732A81" w14:textId="1514EBE4" w:rsidR="006D5BAE" w:rsidRDefault="00381BCD" w:rsidP="00C24140">
            <w:pPr>
              <w:pStyle w:val="SCVtablebody"/>
            </w:pPr>
            <w:r>
              <w:t>76%</w:t>
            </w:r>
          </w:p>
        </w:tc>
      </w:tr>
      <w:tr w:rsidR="006D5BAE" w14:paraId="77DF7A15" w14:textId="77777777" w:rsidTr="00C24140">
        <w:tc>
          <w:tcPr>
            <w:tcW w:w="2790" w:type="dxa"/>
          </w:tcPr>
          <w:p w14:paraId="32700925" w14:textId="0333F9B7" w:rsidR="006D5BAE" w:rsidRDefault="00381BCD" w:rsidP="00C24140">
            <w:pPr>
              <w:pStyle w:val="SCVtablebody"/>
            </w:pPr>
            <w:r>
              <w:t>Clinical problems</w:t>
            </w:r>
          </w:p>
        </w:tc>
        <w:tc>
          <w:tcPr>
            <w:tcW w:w="5732" w:type="dxa"/>
          </w:tcPr>
          <w:p w14:paraId="0F1B9800" w14:textId="7D5904B1" w:rsidR="006D5BAE" w:rsidRDefault="00381BCD" w:rsidP="00C24140">
            <w:pPr>
              <w:pStyle w:val="SCVtablebody"/>
            </w:pPr>
            <w:r>
              <w:t>Quality: Clinical standards of healthcare staff behaviour</w:t>
            </w:r>
          </w:p>
        </w:tc>
        <w:tc>
          <w:tcPr>
            <w:tcW w:w="1682" w:type="dxa"/>
          </w:tcPr>
          <w:p w14:paraId="30A2FD63" w14:textId="4CD5CAE3" w:rsidR="006D5BAE" w:rsidRDefault="00381BCD" w:rsidP="00C24140">
            <w:pPr>
              <w:pStyle w:val="SCVtablebody"/>
            </w:pPr>
            <w:r>
              <w:t>54%</w:t>
            </w:r>
          </w:p>
        </w:tc>
      </w:tr>
      <w:tr w:rsidR="006D5BAE" w14:paraId="278203BE" w14:textId="77777777" w:rsidTr="00C24140">
        <w:tc>
          <w:tcPr>
            <w:tcW w:w="2790" w:type="dxa"/>
          </w:tcPr>
          <w:p w14:paraId="535B5D88" w14:textId="16026819" w:rsidR="006D5BAE" w:rsidRDefault="00381BCD" w:rsidP="00C24140">
            <w:pPr>
              <w:pStyle w:val="SCVtablebody"/>
            </w:pPr>
            <w:r>
              <w:t>Relationship problems</w:t>
            </w:r>
          </w:p>
        </w:tc>
        <w:tc>
          <w:tcPr>
            <w:tcW w:w="5732" w:type="dxa"/>
          </w:tcPr>
          <w:p w14:paraId="73200571" w14:textId="5B15EEBD" w:rsidR="006D5BAE" w:rsidRDefault="00381BCD" w:rsidP="00C24140">
            <w:pPr>
              <w:pStyle w:val="SCVtablebody"/>
            </w:pPr>
            <w:r>
              <w:t>Communication: Absent or incorrect communication from healthcare staff to patients</w:t>
            </w:r>
          </w:p>
        </w:tc>
        <w:tc>
          <w:tcPr>
            <w:tcW w:w="1682" w:type="dxa"/>
          </w:tcPr>
          <w:p w14:paraId="2E7DB47E" w14:textId="50E657E8" w:rsidR="006D5BAE" w:rsidRDefault="00381BCD" w:rsidP="00C24140">
            <w:pPr>
              <w:pStyle w:val="SCVtablebody"/>
            </w:pPr>
            <w:r>
              <w:t>52%</w:t>
            </w:r>
          </w:p>
        </w:tc>
      </w:tr>
      <w:tr w:rsidR="006D5BAE" w14:paraId="14AF539C" w14:textId="77777777" w:rsidTr="00C24140">
        <w:tc>
          <w:tcPr>
            <w:tcW w:w="2790" w:type="dxa"/>
          </w:tcPr>
          <w:p w14:paraId="41D64BD1" w14:textId="7CE678FF" w:rsidR="006D5BAE" w:rsidRDefault="00381BCD" w:rsidP="00C24140">
            <w:pPr>
              <w:pStyle w:val="SCVtablebody"/>
            </w:pPr>
            <w:r>
              <w:t>Clinical problems</w:t>
            </w:r>
          </w:p>
        </w:tc>
        <w:tc>
          <w:tcPr>
            <w:tcW w:w="5732" w:type="dxa"/>
          </w:tcPr>
          <w:p w14:paraId="552768D1" w14:textId="7374ACFC" w:rsidR="006D5BAE" w:rsidRDefault="00381BCD" w:rsidP="00C24140">
            <w:pPr>
              <w:pStyle w:val="SCVtablebody"/>
            </w:pPr>
            <w:r>
              <w:t>Safety: Errors, incidents, and staff competencies</w:t>
            </w:r>
          </w:p>
        </w:tc>
        <w:tc>
          <w:tcPr>
            <w:tcW w:w="1682" w:type="dxa"/>
          </w:tcPr>
          <w:p w14:paraId="63ECF63C" w14:textId="78153313" w:rsidR="006D5BAE" w:rsidRDefault="00381BCD" w:rsidP="00C24140">
            <w:pPr>
              <w:pStyle w:val="SCVtablebody"/>
            </w:pPr>
            <w:r>
              <w:t>52%</w:t>
            </w:r>
          </w:p>
        </w:tc>
      </w:tr>
    </w:tbl>
    <w:p w14:paraId="589662E5" w14:textId="39832047" w:rsidR="00152EC1" w:rsidRDefault="00166C00" w:rsidP="00C96A69">
      <w:pPr>
        <w:pStyle w:val="SCVbody"/>
      </w:pPr>
      <w:r w:rsidRPr="00166C00">
        <w:t>[END OF FIGURE]</w:t>
      </w:r>
    </w:p>
    <w:p w14:paraId="42C1C4B3" w14:textId="77777777" w:rsidR="00166C00" w:rsidRDefault="00166C00" w:rsidP="00C96A69">
      <w:pPr>
        <w:pStyle w:val="SCVbody"/>
      </w:pPr>
    </w:p>
    <w:p w14:paraId="1C5CE34E" w14:textId="3F3113A4" w:rsidR="00152EC1" w:rsidRDefault="00152EC1" w:rsidP="00C96A69">
      <w:pPr>
        <w:pStyle w:val="SCVbody"/>
      </w:pPr>
      <w:r>
        <w:t xml:space="preserve">For more information about how SCV uses the HCAT in understanding consumer feedback, </w:t>
      </w:r>
      <w:hyperlink r:id="rId51" w:history="1">
        <w:r w:rsidRPr="00816796">
          <w:rPr>
            <w:rStyle w:val="Hyperlink"/>
          </w:rPr>
          <w:t>visit Thematic interrogation of patient complaints in the state of Victoria</w:t>
        </w:r>
      </w:hyperlink>
      <w:r>
        <w:t xml:space="preserve"> &lt;https://www.safercare.vic.gov.au/best-practice-improvement/publications/thematic-interrogation-of-patient-complaints-in-the-state-of-victoria&gt;. </w:t>
      </w:r>
    </w:p>
    <w:p w14:paraId="483943FC" w14:textId="1B500767" w:rsidR="00152EC1" w:rsidRDefault="00202D14" w:rsidP="00FB51B4">
      <w:pPr>
        <w:pStyle w:val="Heading2"/>
      </w:pPr>
      <w:bookmarkStart w:id="26" w:name="_Toc173851124"/>
      <w:r>
        <w:lastRenderedPageBreak/>
        <w:t xml:space="preserve">Statutory </w:t>
      </w:r>
      <w:r w:rsidR="002D15D2">
        <w:t>D</w:t>
      </w:r>
      <w:r>
        <w:t xml:space="preserve">uty of </w:t>
      </w:r>
      <w:r w:rsidR="002D15D2">
        <w:t>C</w:t>
      </w:r>
      <w:r>
        <w:t xml:space="preserve">andour </w:t>
      </w:r>
      <w:r w:rsidR="00152EC1">
        <w:t>(SDC)</w:t>
      </w:r>
      <w:bookmarkEnd w:id="26"/>
      <w:r w:rsidR="00152EC1">
        <w:t xml:space="preserve"> </w:t>
      </w:r>
    </w:p>
    <w:p w14:paraId="57F1E6AC" w14:textId="77777777" w:rsidR="00152EC1" w:rsidRDefault="00152EC1" w:rsidP="00C96A69">
      <w:pPr>
        <w:pStyle w:val="SCVbody"/>
      </w:pPr>
      <w:r>
        <w:t xml:space="preserve">From 30 November 2022, when a patient is harmed by a serious adverse patient safety event (SAPSE), including sentinel events, the health service responsible must, by law: </w:t>
      </w:r>
    </w:p>
    <w:p w14:paraId="762B434D" w14:textId="77777777" w:rsidR="00152EC1" w:rsidRDefault="00152EC1" w:rsidP="009B1988">
      <w:pPr>
        <w:pStyle w:val="SCVbullet1"/>
      </w:pPr>
      <w:r>
        <w:t xml:space="preserve">apologise to the affected consumer and/or their family, carer or significant others </w:t>
      </w:r>
    </w:p>
    <w:p w14:paraId="74C1D39C" w14:textId="77777777" w:rsidR="00152EC1" w:rsidRDefault="00152EC1" w:rsidP="009B1988">
      <w:pPr>
        <w:pStyle w:val="SCVbullet1"/>
      </w:pPr>
      <w:r>
        <w:t xml:space="preserve">explain what went wrong </w:t>
      </w:r>
    </w:p>
    <w:p w14:paraId="4AE00494" w14:textId="77777777" w:rsidR="00152EC1" w:rsidRDefault="00152EC1" w:rsidP="009B1988">
      <w:pPr>
        <w:pStyle w:val="SCVbullet1"/>
      </w:pPr>
      <w:r>
        <w:t xml:space="preserve">describe what action will be taken and what improvements will be put in place </w:t>
      </w:r>
    </w:p>
    <w:p w14:paraId="0F1C73D1" w14:textId="77777777" w:rsidR="00152EC1" w:rsidRDefault="00152EC1" w:rsidP="009B1988">
      <w:pPr>
        <w:pStyle w:val="SCVbullet1"/>
      </w:pPr>
      <w:r>
        <w:t xml:space="preserve">offer a copy of any report completed as part of a review of what happened. </w:t>
      </w:r>
    </w:p>
    <w:p w14:paraId="5193C86E" w14:textId="77777777" w:rsidR="00152EC1" w:rsidRDefault="00152EC1" w:rsidP="00C96A69">
      <w:pPr>
        <w:pStyle w:val="SCVbody"/>
      </w:pPr>
      <w:r>
        <w:t xml:space="preserve">This legal responsibility is called the SDC and there are key requirements and timelines health services must follow, as outlined within the Victorian Duty of Candour Guidelines. </w:t>
      </w:r>
    </w:p>
    <w:p w14:paraId="300D288B" w14:textId="182E184A" w:rsidR="00152EC1" w:rsidRDefault="00152EC1" w:rsidP="00C96A69">
      <w:pPr>
        <w:pStyle w:val="SCVbody"/>
      </w:pPr>
      <w:r>
        <w:t xml:space="preserve">For more information, </w:t>
      </w:r>
      <w:hyperlink r:id="rId52" w:history="1">
        <w:r w:rsidRPr="00816796">
          <w:rPr>
            <w:rStyle w:val="Hyperlink"/>
          </w:rPr>
          <w:t>visit Statutory Duty of Candour and protections for SAPSE reviews</w:t>
        </w:r>
      </w:hyperlink>
      <w:r>
        <w:t xml:space="preserve"> &lt;https://www.safercare.vic.gov.au/report-manage-issues/sentinel-events/adverse-event-review-and-response/duty-of-candour&gt;. </w:t>
      </w:r>
    </w:p>
    <w:p w14:paraId="03D916DF" w14:textId="77777777" w:rsidR="00152EC1" w:rsidRDefault="00152EC1" w:rsidP="009B1988">
      <w:pPr>
        <w:pStyle w:val="Heading4"/>
      </w:pPr>
      <w:r>
        <w:t xml:space="preserve">A health service perspective on SDC: The Royal Women’s Hospital (The Women’s) </w:t>
      </w:r>
    </w:p>
    <w:p w14:paraId="3A4F093B" w14:textId="77777777" w:rsidR="00152EC1" w:rsidRDefault="00152EC1" w:rsidP="00C96A69">
      <w:pPr>
        <w:pStyle w:val="SCVbody"/>
      </w:pPr>
      <w:r>
        <w:t xml:space="preserve">The SDC has been positive for The Women’s and it has guided us in making changes to the way we do things. </w:t>
      </w:r>
    </w:p>
    <w:p w14:paraId="0521FA53" w14:textId="77777777" w:rsidR="00152EC1" w:rsidRDefault="00152EC1" w:rsidP="00C96A69">
      <w:pPr>
        <w:pStyle w:val="SCVbody"/>
      </w:pPr>
      <w:r>
        <w:t xml:space="preserve">We developed our own internal SDC processes and documented these in a new guideline. </w:t>
      </w:r>
    </w:p>
    <w:p w14:paraId="038CE61F" w14:textId="77777777" w:rsidR="00152EC1" w:rsidRDefault="00152EC1" w:rsidP="00C96A69">
      <w:pPr>
        <w:pStyle w:val="SCVbody"/>
      </w:pPr>
      <w:r>
        <w:t xml:space="preserve">We established a SAPSE huddle that is called when an adverse event is identified. At the huddle, we decide what sort of review is required and if the SDC process must be followed. </w:t>
      </w:r>
    </w:p>
    <w:p w14:paraId="4F64EDEE" w14:textId="77777777" w:rsidR="00152EC1" w:rsidRDefault="00152EC1" w:rsidP="00C96A69">
      <w:pPr>
        <w:pStyle w:val="SCVbody"/>
      </w:pPr>
      <w:r>
        <w:t xml:space="preserve">We use the huddle to: </w:t>
      </w:r>
    </w:p>
    <w:p w14:paraId="6E08A5EA" w14:textId="77777777" w:rsidR="00152EC1" w:rsidRDefault="00152EC1" w:rsidP="009B1988">
      <w:pPr>
        <w:pStyle w:val="SCVbullet1"/>
      </w:pPr>
      <w:r>
        <w:t xml:space="preserve">ensure open disclosure has begun </w:t>
      </w:r>
    </w:p>
    <w:p w14:paraId="5CD1F5C5" w14:textId="77777777" w:rsidR="00152EC1" w:rsidRDefault="00152EC1" w:rsidP="009B1988">
      <w:pPr>
        <w:pStyle w:val="SCVbullet1"/>
      </w:pPr>
      <w:r>
        <w:t xml:space="preserve">alert our consumer liaison team to contact the patient, their family or carer </w:t>
      </w:r>
    </w:p>
    <w:p w14:paraId="7DCE78D4" w14:textId="77777777" w:rsidR="00152EC1" w:rsidRDefault="00152EC1" w:rsidP="009B1988">
      <w:pPr>
        <w:pStyle w:val="SCVbullet1"/>
      </w:pPr>
      <w:r>
        <w:t xml:space="preserve">determine who will be on the panel to review the event. </w:t>
      </w:r>
    </w:p>
    <w:p w14:paraId="74FE5D4A" w14:textId="77777777" w:rsidR="00152EC1" w:rsidRDefault="00152EC1" w:rsidP="00C96A69">
      <w:pPr>
        <w:pStyle w:val="SCVbody"/>
      </w:pPr>
      <w:r>
        <w:t xml:space="preserve">We ran a program of open disclosure training for 100 of our clinicians and senior clinical leaders. The training was aimed at improving our ability to have difficult conversations in a sensitive way. </w:t>
      </w:r>
    </w:p>
    <w:p w14:paraId="5D4DDEE3" w14:textId="77777777" w:rsidR="00152EC1" w:rsidRDefault="00152EC1" w:rsidP="00C96A69">
      <w:pPr>
        <w:pStyle w:val="SCVbody"/>
      </w:pPr>
      <w:r>
        <w:t xml:space="preserve">We have developed resources to support staff involved in a SAPSE with information about SDC, review processes and support available. We have also further developed our critical incident response processes, including how debriefing occurs. </w:t>
      </w:r>
    </w:p>
    <w:p w14:paraId="0F6C7FD0" w14:textId="77777777" w:rsidR="00152EC1" w:rsidRDefault="00152EC1" w:rsidP="00C96A69">
      <w:pPr>
        <w:pStyle w:val="SCVbody"/>
      </w:pPr>
      <w:r>
        <w:t xml:space="preserve">When an adverse event occurs and a patient has been harmed, rebuilding trust with the impacted patient and their family is critical. We do this through: </w:t>
      </w:r>
    </w:p>
    <w:p w14:paraId="506FFDC4" w14:textId="77777777" w:rsidR="00152EC1" w:rsidRDefault="00152EC1" w:rsidP="009B1988">
      <w:pPr>
        <w:pStyle w:val="SCVbullet1"/>
      </w:pPr>
      <w:r>
        <w:t xml:space="preserve">transparency: the SDC process has encouraged a cultural shift in our openness with patients and their families, and we see immense value in sharing our review findings with them. Where we believe it will be beneficial, we have also begun providing reports to patients who have experienced other types of adverse events, beyond the SDC requirements </w:t>
      </w:r>
    </w:p>
    <w:p w14:paraId="736732AC" w14:textId="77777777" w:rsidR="00152EC1" w:rsidRDefault="00152EC1" w:rsidP="009B1988">
      <w:pPr>
        <w:pStyle w:val="SCVbullet1"/>
      </w:pPr>
      <w:r>
        <w:t xml:space="preserve">robust review: feedback from our consumers tells us they are grateful for the seriousness with which the hospital handles adverse events and reassured by the thoroughness of our review processes. </w:t>
      </w:r>
    </w:p>
    <w:p w14:paraId="590FF4F5" w14:textId="77777777" w:rsidR="00152EC1" w:rsidRDefault="00152EC1" w:rsidP="009B1988">
      <w:pPr>
        <w:pStyle w:val="SCVbullet1"/>
      </w:pPr>
      <w:r>
        <w:lastRenderedPageBreak/>
        <w:t xml:space="preserve">involving consumers: one of the first steps in our SDC process is asking the impacted patients and their families what questions they would like answered through the review process. We have found that expanding the review to include questions asked by patients has added value to the process. </w:t>
      </w:r>
    </w:p>
    <w:p w14:paraId="54353A3D" w14:textId="77777777" w:rsidR="00152EC1" w:rsidRDefault="00152EC1" w:rsidP="00C96A69">
      <w:pPr>
        <w:pStyle w:val="SCVbody"/>
      </w:pPr>
      <w:r>
        <w:t xml:space="preserve">We have changed the way we draft our reports so they are more patient focused. We routinely meet with the patient and family to go through the report so they receive this information in a supported way. </w:t>
      </w:r>
    </w:p>
    <w:p w14:paraId="19080AD5" w14:textId="77777777" w:rsidR="00152EC1" w:rsidRDefault="00152EC1" w:rsidP="00C96A69">
      <w:pPr>
        <w:pStyle w:val="SCVbody"/>
      </w:pPr>
      <w:r>
        <w:t xml:space="preserve">The SDC process has presented some implementation challenges in sensitive and complex cases. </w:t>
      </w:r>
    </w:p>
    <w:p w14:paraId="64944A98" w14:textId="77777777" w:rsidR="00152EC1" w:rsidRDefault="00152EC1" w:rsidP="00C96A69">
      <w:pPr>
        <w:pStyle w:val="SCVbody"/>
      </w:pPr>
      <w:r>
        <w:t xml:space="preserve">The timeframes are a challenge. Not every family is ready to speak to staff within three business days of an event occurring. It can take weeks to arrange a review panel, which impacts on when reports are complete and ready to be shared with patients or their families. We always prioritise the patient and arrange the process around their needs and preferences. </w:t>
      </w:r>
    </w:p>
    <w:p w14:paraId="27FE926B" w14:textId="77777777" w:rsidR="00152EC1" w:rsidRDefault="00152EC1" w:rsidP="00C96A69">
      <w:pPr>
        <w:pStyle w:val="SCVbody"/>
      </w:pPr>
      <w:r>
        <w:t xml:space="preserve">The legislation requires the patient to sign a form to opt out of the SDC process. We have had situations where we have not been able to contact the patient. We aim to strike a balance between making reasonable attempts to contact them and being respectful of their grief and trauma. There is currently no way to capture our attempts to contact the patient in the data we submit to SCV to demonstrate our SDC compliance. </w:t>
      </w:r>
    </w:p>
    <w:p w14:paraId="6C43ED9B" w14:textId="77777777" w:rsidR="00152EC1" w:rsidRDefault="00152EC1" w:rsidP="00C96A69">
      <w:pPr>
        <w:pStyle w:val="SCVbody"/>
      </w:pPr>
      <w:r>
        <w:t xml:space="preserve">Our Board has made an explicit commitment to ensure the SDC process is patient centred and that all decisions are made in the best interests of the patient. </w:t>
      </w:r>
    </w:p>
    <w:p w14:paraId="04FF523E" w14:textId="77777777" w:rsidR="00152EC1" w:rsidRPr="00EF24D6" w:rsidRDefault="00152EC1" w:rsidP="00C96A69">
      <w:pPr>
        <w:pStyle w:val="SCVbody"/>
        <w:rPr>
          <w:b/>
          <w:bCs/>
        </w:rPr>
      </w:pPr>
      <w:r w:rsidRPr="00EF24D6">
        <w:rPr>
          <w:b/>
          <w:bCs/>
        </w:rPr>
        <w:t xml:space="preserve">Prepared by Catherine Jones. Director Quality and Safety, The Royal Women’s Hospital </w:t>
      </w:r>
    </w:p>
    <w:p w14:paraId="5202BC9C" w14:textId="77777777" w:rsidR="00152EC1" w:rsidRDefault="00152EC1" w:rsidP="009B1988">
      <w:pPr>
        <w:pStyle w:val="Heading4"/>
      </w:pPr>
      <w:r>
        <w:t xml:space="preserve">SDC reporting </w:t>
      </w:r>
    </w:p>
    <w:p w14:paraId="4E0A8D54" w14:textId="77777777" w:rsidR="00152EC1" w:rsidRDefault="00152EC1" w:rsidP="00C96A69">
      <w:pPr>
        <w:pStyle w:val="SCVbody"/>
      </w:pPr>
      <w:r>
        <w:t xml:space="preserve">The impact of SDC is being measured through data submitted by health services. At the time of writing this report, two quarters worth of data have been received, with 149 health services submitting data. </w:t>
      </w:r>
    </w:p>
    <w:p w14:paraId="05DCB57F" w14:textId="77777777" w:rsidR="00152EC1" w:rsidRDefault="00152EC1" w:rsidP="00C96A69">
      <w:pPr>
        <w:pStyle w:val="SCVbody"/>
      </w:pPr>
      <w:r>
        <w:t xml:space="preserve">These are new measures and we expect to see continuous improvement over time. SCV has engaged a university partner to formally evaluate the intent of the legislation. We will use the results of this evaluation, ongoing analysis of the data submitted, and feedback from services and consumers, to refine what we collect and to inform future amendments to the legislation. </w:t>
      </w:r>
    </w:p>
    <w:tbl>
      <w:tblPr>
        <w:tblStyle w:val="SCVpulloutbox"/>
        <w:tblW w:w="0" w:type="auto"/>
        <w:tblLook w:val="0600" w:firstRow="0" w:lastRow="0" w:firstColumn="0" w:lastColumn="0" w:noHBand="1" w:noVBand="1"/>
      </w:tblPr>
      <w:tblGrid>
        <w:gridCol w:w="10204"/>
      </w:tblGrid>
      <w:tr w:rsidR="009B1988" w14:paraId="7C0DB172" w14:textId="77777777" w:rsidTr="009B1988">
        <w:tc>
          <w:tcPr>
            <w:tcW w:w="10204" w:type="dxa"/>
          </w:tcPr>
          <w:p w14:paraId="34358AAF" w14:textId="77777777" w:rsidR="009B1988" w:rsidRDefault="009B1988" w:rsidP="009B1988">
            <w:pPr>
              <w:pStyle w:val="SCVboxheading"/>
            </w:pPr>
            <w:r w:rsidRPr="00FD232A">
              <w:t>ADVICE FOR HEALTH SERVICES</w:t>
            </w:r>
          </w:p>
          <w:p w14:paraId="05162622" w14:textId="77777777" w:rsidR="009B1988" w:rsidRDefault="009B1988" w:rsidP="00C96A69">
            <w:pPr>
              <w:pStyle w:val="SCVbody"/>
            </w:pPr>
            <w:r>
              <w:t xml:space="preserve">Ensure your service has an internal process for cases where you cannot obtain a signed opt-out statement, or it is difficult to contact the patient, and that this is documented. </w:t>
            </w:r>
          </w:p>
          <w:p w14:paraId="6D2D406E" w14:textId="45AD5D68" w:rsidR="009B1988" w:rsidRDefault="009B1988" w:rsidP="00C96A69">
            <w:pPr>
              <w:pStyle w:val="SCVbody"/>
            </w:pPr>
            <w:r>
              <w:t xml:space="preserve">Where there are delays in meeting key SDC timelines, ensure this is communicated to the patient and they have the details of a point of contact in your organisation. </w:t>
            </w:r>
          </w:p>
        </w:tc>
      </w:tr>
    </w:tbl>
    <w:p w14:paraId="7F2B84C7" w14:textId="77777777" w:rsidR="00152EC1" w:rsidRDefault="00152EC1" w:rsidP="00C96A69">
      <w:pPr>
        <w:pStyle w:val="SCVbody"/>
      </w:pPr>
    </w:p>
    <w:tbl>
      <w:tblPr>
        <w:tblStyle w:val="SCVInformationTable"/>
        <w:tblW w:w="0" w:type="auto"/>
        <w:tblLook w:val="0600" w:firstRow="0" w:lastRow="0" w:firstColumn="0" w:lastColumn="0" w:noHBand="1" w:noVBand="1"/>
      </w:tblPr>
      <w:tblGrid>
        <w:gridCol w:w="10204"/>
      </w:tblGrid>
      <w:tr w:rsidR="009B1988" w14:paraId="7E79C95F" w14:textId="77777777" w:rsidTr="009B1988">
        <w:tc>
          <w:tcPr>
            <w:tcW w:w="10204" w:type="dxa"/>
          </w:tcPr>
          <w:p w14:paraId="0999EBC8" w14:textId="77777777" w:rsidR="009B1988" w:rsidRDefault="009B1988" w:rsidP="009B1988">
            <w:pPr>
              <w:pStyle w:val="SCVboxheading"/>
            </w:pPr>
            <w:r>
              <w:lastRenderedPageBreak/>
              <w:t xml:space="preserve">NEW RESOURCE: </w:t>
            </w:r>
          </w:p>
          <w:p w14:paraId="70F71911" w14:textId="77777777" w:rsidR="009B1988" w:rsidRDefault="009B1988" w:rsidP="009B1988">
            <w:pPr>
              <w:pStyle w:val="Heading4"/>
            </w:pPr>
            <w:r>
              <w:t xml:space="preserve">Consumer resources for SDC </w:t>
            </w:r>
          </w:p>
          <w:p w14:paraId="2FC0473D" w14:textId="42E312E5" w:rsidR="009B1988" w:rsidRDefault="009B1988" w:rsidP="00C96A69">
            <w:pPr>
              <w:pStyle w:val="SCVbody"/>
            </w:pPr>
            <w:r>
              <w:t xml:space="preserve">SCV partnered with the Health Issues Centre to develop </w:t>
            </w:r>
            <w:hyperlink r:id="rId53" w:history="1">
              <w:r w:rsidRPr="00816796">
                <w:rPr>
                  <w:rStyle w:val="Hyperlink"/>
                </w:rPr>
                <w:t>Duty of Candour resources for patients, families and their carers</w:t>
              </w:r>
            </w:hyperlink>
            <w:r>
              <w:t xml:space="preserve"> &lt;https://www.safercare.vic.gov.au/consumer-resources/duty-of-candour-resources-for-patients-families-and-their-carers&gt;, which help in understanding the SDC and the key timelines health services must follow throughout the process. These were developed with a patient advisory group, including lived experience members, carers and impacted families. The resources have been translated into 10 languages. </w:t>
            </w:r>
          </w:p>
        </w:tc>
      </w:tr>
    </w:tbl>
    <w:p w14:paraId="5BC28BF8" w14:textId="5997943B" w:rsidR="00152EC1" w:rsidRDefault="00202D14" w:rsidP="009B1988">
      <w:pPr>
        <w:pStyle w:val="Heading2"/>
      </w:pPr>
      <w:bookmarkStart w:id="27" w:name="_Toc173851125"/>
      <w:r>
        <w:t>Open disclosure</w:t>
      </w:r>
      <w:bookmarkEnd w:id="27"/>
      <w:r>
        <w:t xml:space="preserve"> </w:t>
      </w:r>
    </w:p>
    <w:p w14:paraId="518089E6" w14:textId="77777777" w:rsidR="00152EC1" w:rsidRDefault="00152EC1" w:rsidP="00C96A69">
      <w:pPr>
        <w:pStyle w:val="SCVbody"/>
      </w:pPr>
      <w:r>
        <w:t xml:space="preserve">Open disclosure is the open and transparent discussion with a patient, their family and carers, which occurs after an adverse event. Open disclosure data for sentinel events in 2022–23 demonstrates significant improvement by health services and the intent of the SDC changes. </w:t>
      </w:r>
    </w:p>
    <w:p w14:paraId="4B373078" w14:textId="77777777" w:rsidR="00152EC1" w:rsidRDefault="00152EC1" w:rsidP="00C96A69">
      <w:pPr>
        <w:pStyle w:val="SCVbody"/>
      </w:pPr>
      <w:r>
        <w:t xml:space="preserve">For sentinel events notified in 2022–23, health services reported that they had completed open disclosure at six months for 58 per cent of events, up from 35 per cent in 2021–22. </w:t>
      </w:r>
    </w:p>
    <w:p w14:paraId="1F4B455C" w14:textId="77777777" w:rsidR="00152EC1" w:rsidRDefault="00152EC1" w:rsidP="00C96A69">
      <w:pPr>
        <w:pStyle w:val="SCVbody"/>
      </w:pPr>
      <w:r>
        <w:t xml:space="preserve">At the six-month update, following open disclosure, health services: </w:t>
      </w:r>
    </w:p>
    <w:p w14:paraId="25B0A521" w14:textId="77777777" w:rsidR="00152EC1" w:rsidRDefault="00152EC1" w:rsidP="009B1988">
      <w:pPr>
        <w:pStyle w:val="SCVbullet1"/>
      </w:pPr>
      <w:r>
        <w:t xml:space="preserve">had provided the patient, family or carer with a full copy of the review report in 46 per cent of events, up from 9 per cent in 2021–22. </w:t>
      </w:r>
    </w:p>
    <w:p w14:paraId="04BB9A24" w14:textId="77777777" w:rsidR="00152EC1" w:rsidRDefault="00152EC1" w:rsidP="009B1988">
      <w:pPr>
        <w:pStyle w:val="SCVbullet1"/>
      </w:pPr>
      <w:r>
        <w:t xml:space="preserve">reported that 91 per cent of patients, families or carers said they were satisfied with the outcome of the review. </w:t>
      </w:r>
    </w:p>
    <w:p w14:paraId="3C76CFF3" w14:textId="77777777" w:rsidR="00152EC1" w:rsidRDefault="00152EC1" w:rsidP="009B1988">
      <w:pPr>
        <w:pStyle w:val="Heading1"/>
      </w:pPr>
      <w:bookmarkStart w:id="28" w:name="_Toc173851126"/>
      <w:r>
        <w:lastRenderedPageBreak/>
        <w:t>Recommendations from sentinel event reviews</w:t>
      </w:r>
      <w:bookmarkEnd w:id="28"/>
      <w:r>
        <w:t xml:space="preserve"> </w:t>
      </w:r>
    </w:p>
    <w:p w14:paraId="35147DDC" w14:textId="77777777" w:rsidR="00152EC1" w:rsidRDefault="00152EC1" w:rsidP="009B1988">
      <w:pPr>
        <w:pStyle w:val="Heading2"/>
      </w:pPr>
      <w:bookmarkStart w:id="29" w:name="_Toc173851127"/>
      <w:r>
        <w:t>Developing recommendations</w:t>
      </w:r>
      <w:bookmarkEnd w:id="29"/>
      <w:r>
        <w:t xml:space="preserve"> </w:t>
      </w:r>
    </w:p>
    <w:p w14:paraId="6E2D3FEE" w14:textId="77777777" w:rsidR="00152EC1" w:rsidRDefault="00152EC1" w:rsidP="00C96A69">
      <w:pPr>
        <w:pStyle w:val="SCVbody"/>
      </w:pPr>
      <w:r>
        <w:t xml:space="preserve">Following a sentinel event review, the review panel develops recommendations and sets out an action plan for implementing these recommendations. These recommendations aim to reduce the risk of similar events recurring and to improve quality and safety of patient care. </w:t>
      </w:r>
    </w:p>
    <w:p w14:paraId="58FA7396" w14:textId="77777777" w:rsidR="00152EC1" w:rsidRDefault="00152EC1" w:rsidP="009B1988">
      <w:pPr>
        <w:pStyle w:val="Heading2"/>
      </w:pPr>
      <w:bookmarkStart w:id="30" w:name="_Toc173851128"/>
      <w:r>
        <w:t>Writing recommendations</w:t>
      </w:r>
      <w:bookmarkEnd w:id="30"/>
      <w:r>
        <w:t xml:space="preserve"> </w:t>
      </w:r>
    </w:p>
    <w:p w14:paraId="1B313183" w14:textId="77777777" w:rsidR="00152EC1" w:rsidRDefault="00152EC1" w:rsidP="00C96A69">
      <w:pPr>
        <w:pStyle w:val="SCVbody"/>
      </w:pPr>
      <w:r>
        <w:t xml:space="preserve">Recommendations should be written and developed in accordance with SMART (specific, measurable, achievable, realistic, timely) principles. When analysed, 83 per cent of overall recommendations were regarded as SMART recommendations. This is an increase from 61 per cent in 2021–22. </w:t>
      </w:r>
    </w:p>
    <w:p w14:paraId="49453745" w14:textId="77777777" w:rsidR="00152EC1" w:rsidRDefault="00152EC1" w:rsidP="009B1988">
      <w:pPr>
        <w:pStyle w:val="Heading2"/>
      </w:pPr>
      <w:bookmarkStart w:id="31" w:name="_Toc173851129"/>
      <w:r>
        <w:t>Recommendation strength</w:t>
      </w:r>
      <w:bookmarkEnd w:id="31"/>
      <w:r>
        <w:t xml:space="preserve"> </w:t>
      </w:r>
    </w:p>
    <w:p w14:paraId="7F66333F" w14:textId="77777777" w:rsidR="00152EC1" w:rsidRDefault="00152EC1" w:rsidP="00C96A69">
      <w:pPr>
        <w:pStyle w:val="SCVbody"/>
      </w:pPr>
      <w:r>
        <w:t xml:space="preserve">Recommendations are classified according to the level of tangible impact that the actions outlined in the recommendation will have within the health service. Moderate and strong recommendations focus on changing the design of systems to support human performance more effectively. </w:t>
      </w:r>
    </w:p>
    <w:p w14:paraId="4C83D751" w14:textId="77777777" w:rsidR="00152EC1" w:rsidRDefault="00152EC1" w:rsidP="009B1988">
      <w:pPr>
        <w:pStyle w:val="SCVfigurecaption"/>
      </w:pPr>
      <w:r>
        <w:t xml:space="preserve">Figure 18. Recommendations from sentinel event review 2022–23 </w:t>
      </w:r>
    </w:p>
    <w:p w14:paraId="78E80B00" w14:textId="29A2FD19" w:rsidR="00152EC1" w:rsidRDefault="00152EC1" w:rsidP="00C96A69">
      <w:pPr>
        <w:pStyle w:val="SCVbody"/>
      </w:pPr>
      <w:r>
        <w:t>1,159 recommendations</w:t>
      </w:r>
      <w:r w:rsidR="00972A76">
        <w:t>:</w:t>
      </w:r>
      <w:r>
        <w:t xml:space="preserve"> </w:t>
      </w:r>
    </w:p>
    <w:p w14:paraId="78FAF143" w14:textId="01419EAB" w:rsidR="00152EC1" w:rsidRDefault="00152EC1" w:rsidP="00972A76">
      <w:pPr>
        <w:pStyle w:val="SCVbullet1"/>
      </w:pPr>
      <w:r>
        <w:t>Weak</w:t>
      </w:r>
      <w:r w:rsidR="002E61E8">
        <w:t xml:space="preserve"> </w:t>
      </w:r>
      <w:r>
        <w:t xml:space="preserve">48% </w:t>
      </w:r>
    </w:p>
    <w:p w14:paraId="4E0697B1" w14:textId="77777777" w:rsidR="00152EC1" w:rsidRDefault="00152EC1" w:rsidP="00972A76">
      <w:pPr>
        <w:pStyle w:val="SCVbullet1"/>
      </w:pPr>
      <w:r>
        <w:t xml:space="preserve">Moderate 40% </w:t>
      </w:r>
    </w:p>
    <w:p w14:paraId="6DF640FB" w14:textId="77777777" w:rsidR="00152EC1" w:rsidRDefault="00152EC1" w:rsidP="00972A76">
      <w:pPr>
        <w:pStyle w:val="SCVbullet1"/>
      </w:pPr>
      <w:r>
        <w:t xml:space="preserve">Strong 12% </w:t>
      </w:r>
    </w:p>
    <w:p w14:paraId="1B27DBAA" w14:textId="77777777" w:rsidR="00152EC1" w:rsidRDefault="00152EC1" w:rsidP="00C96A69">
      <w:pPr>
        <w:pStyle w:val="SCVbody"/>
      </w:pPr>
      <w:r>
        <w:t xml:space="preserve">83% were written using SMART principles </w:t>
      </w:r>
    </w:p>
    <w:p w14:paraId="53A7B1DF" w14:textId="77777777" w:rsidR="00152EC1" w:rsidRDefault="00152EC1" w:rsidP="00C96A69">
      <w:pPr>
        <w:pStyle w:val="SCVbody"/>
      </w:pPr>
      <w:r>
        <w:t xml:space="preserve">11% of recommendations focused on further reviewing protocols, workplans or other functions. These are weak actions. </w:t>
      </w:r>
    </w:p>
    <w:p w14:paraId="635F8809" w14:textId="0776B940" w:rsidR="00152EC1" w:rsidRDefault="00972A76" w:rsidP="00C96A69">
      <w:pPr>
        <w:pStyle w:val="SCVbody"/>
      </w:pPr>
      <w:r w:rsidRPr="00972A76">
        <w:t>[END OF FIGURE]</w:t>
      </w:r>
    </w:p>
    <w:p w14:paraId="4C124858" w14:textId="77777777" w:rsidR="00972A76" w:rsidRDefault="00972A76" w:rsidP="00C96A69">
      <w:pPr>
        <w:pStyle w:val="SCVbody"/>
      </w:pPr>
    </w:p>
    <w:p w14:paraId="62F29ACF" w14:textId="77777777" w:rsidR="00152EC1" w:rsidRDefault="00152EC1" w:rsidP="00C96A69">
      <w:pPr>
        <w:pStyle w:val="SCVbody"/>
      </w:pPr>
      <w:r>
        <w:t xml:space="preserve">We have seen improvement over time in the strength of recommendations made by health services reviewing sentinel events. This year (2022–23), combined strong and moderate recommendations make up 52 per cent of the total. Combined strong and moderate recommendations made up 27 per cent of recommendations in 2018–19. </w:t>
      </w:r>
    </w:p>
    <w:p w14:paraId="1029D35D" w14:textId="77777777" w:rsidR="00152EC1" w:rsidRDefault="00152EC1" w:rsidP="00C96A69">
      <w:pPr>
        <w:pStyle w:val="SCVbody"/>
      </w:pPr>
      <w:r>
        <w:t xml:space="preserve">For more information, see Guide to strength of recommendations in this document. </w:t>
      </w:r>
    </w:p>
    <w:p w14:paraId="2F9E5A4C" w14:textId="77777777" w:rsidR="00152EC1" w:rsidRDefault="00152EC1" w:rsidP="002E61E8">
      <w:pPr>
        <w:pStyle w:val="Heading3"/>
      </w:pPr>
      <w:bookmarkStart w:id="32" w:name="_Toc173851130"/>
      <w:r>
        <w:lastRenderedPageBreak/>
        <w:t>Progress of recommendations</w:t>
      </w:r>
      <w:bookmarkEnd w:id="32"/>
      <w:r>
        <w:t xml:space="preserve"> </w:t>
      </w:r>
    </w:p>
    <w:p w14:paraId="68FAE255" w14:textId="77777777" w:rsidR="00152EC1" w:rsidRDefault="00152EC1" w:rsidP="00C96A69">
      <w:pPr>
        <w:pStyle w:val="SCVbody"/>
      </w:pPr>
      <w:r>
        <w:t xml:space="preserve">Health services provide SCV with a report six months after notifying a sentinel event and again at 12 months, if required. This monitoring report describes the progress made against each of the recommendations from the review of the event and identifies any barriers to completion. </w:t>
      </w:r>
    </w:p>
    <w:p w14:paraId="7BC9D714" w14:textId="77777777" w:rsidR="00152EC1" w:rsidRDefault="00152EC1" w:rsidP="00C96A69">
      <w:pPr>
        <w:pStyle w:val="SCVbody"/>
      </w:pPr>
      <w:r>
        <w:t xml:space="preserve">This report considers the progress of recommendations made in 2021–22 over 12 months, and the six-month updates for recommendations made in 2022–23. </w:t>
      </w:r>
    </w:p>
    <w:p w14:paraId="094D124E" w14:textId="77777777" w:rsidR="00152EC1" w:rsidRDefault="00152EC1" w:rsidP="00C96A69">
      <w:pPr>
        <w:pStyle w:val="SCVbody"/>
      </w:pPr>
      <w:r>
        <w:t xml:space="preserve">Review of recommendation monitoring reports submitted at 12 months after sentinel events occurring in 2021–22 showed: </w:t>
      </w:r>
    </w:p>
    <w:p w14:paraId="6CC3ED82" w14:textId="77777777" w:rsidR="00152EC1" w:rsidRDefault="00152EC1" w:rsidP="002E61E8">
      <w:pPr>
        <w:pStyle w:val="SCVbullet1"/>
      </w:pPr>
      <w:r>
        <w:t xml:space="preserve">74 per cent of recommendations were completed (with 38 per cent completed at six months) </w:t>
      </w:r>
    </w:p>
    <w:p w14:paraId="337B96C1" w14:textId="77777777" w:rsidR="00152EC1" w:rsidRDefault="00152EC1" w:rsidP="002E61E8">
      <w:pPr>
        <w:pStyle w:val="SCVbullet1"/>
      </w:pPr>
      <w:r>
        <w:t xml:space="preserve">20 per cent of recommendations remained in progress </w:t>
      </w:r>
    </w:p>
    <w:p w14:paraId="27532DC6" w14:textId="77777777" w:rsidR="00152EC1" w:rsidRDefault="00152EC1" w:rsidP="002E61E8">
      <w:pPr>
        <w:pStyle w:val="SCVbullet1"/>
      </w:pPr>
      <w:r>
        <w:t xml:space="preserve">two per cent of recommendations were on hold </w:t>
      </w:r>
    </w:p>
    <w:p w14:paraId="3D0FDF98" w14:textId="77777777" w:rsidR="00152EC1" w:rsidRDefault="00152EC1" w:rsidP="002E61E8">
      <w:pPr>
        <w:pStyle w:val="SCVbullet1"/>
      </w:pPr>
      <w:r>
        <w:t xml:space="preserve">four per cent of recommendations had been abandoned </w:t>
      </w:r>
    </w:p>
    <w:p w14:paraId="25019BD1" w14:textId="77777777" w:rsidR="00152EC1" w:rsidRDefault="00152EC1" w:rsidP="002E61E8">
      <w:pPr>
        <w:pStyle w:val="SCVbullet1"/>
      </w:pPr>
      <w:r>
        <w:t xml:space="preserve">the average time to close a recommendation was 186 days. </w:t>
      </w:r>
    </w:p>
    <w:p w14:paraId="49C37359" w14:textId="77777777" w:rsidR="00152EC1" w:rsidRDefault="00152EC1" w:rsidP="00C96A69">
      <w:pPr>
        <w:pStyle w:val="SCVbody"/>
      </w:pPr>
      <w:r>
        <w:t xml:space="preserve">For the recommendations made in 2022–23 at six-month monitoring: </w:t>
      </w:r>
    </w:p>
    <w:p w14:paraId="6A2CEFAD" w14:textId="77777777" w:rsidR="00152EC1" w:rsidRDefault="00152EC1" w:rsidP="002E61E8">
      <w:pPr>
        <w:pStyle w:val="SCVbullet1"/>
      </w:pPr>
      <w:r>
        <w:t xml:space="preserve">35 per cent of recommendations were completed </w:t>
      </w:r>
    </w:p>
    <w:p w14:paraId="58F3B196" w14:textId="77777777" w:rsidR="00152EC1" w:rsidRDefault="00152EC1" w:rsidP="002E61E8">
      <w:pPr>
        <w:pStyle w:val="SCVbullet1"/>
      </w:pPr>
      <w:r>
        <w:t xml:space="preserve">60 per cent of recommendations remained in progress </w:t>
      </w:r>
    </w:p>
    <w:p w14:paraId="17F0BD5B" w14:textId="77777777" w:rsidR="00152EC1" w:rsidRDefault="00152EC1" w:rsidP="002E61E8">
      <w:pPr>
        <w:pStyle w:val="SCVbullet1"/>
      </w:pPr>
      <w:r>
        <w:t xml:space="preserve">a small portion of recommendations (3 per cent) had been placed on hold, with the most common reasons cited as completing higher priority actions or resource challenges within the reporting health services </w:t>
      </w:r>
    </w:p>
    <w:p w14:paraId="099D1B30" w14:textId="77777777" w:rsidR="00152EC1" w:rsidRDefault="00152EC1" w:rsidP="002E61E8">
      <w:pPr>
        <w:pStyle w:val="SCVbullet1"/>
      </w:pPr>
      <w:r>
        <w:t xml:space="preserve">two per cent of recommendations had been abandoned, with the primary reason being that the gap was addressed through another recommendation (50 per cent). </w:t>
      </w:r>
    </w:p>
    <w:p w14:paraId="6B28ACB8" w14:textId="77777777" w:rsidR="00152EC1" w:rsidRDefault="00152EC1" w:rsidP="00C96A69">
      <w:pPr>
        <w:pStyle w:val="SCVbody"/>
      </w:pPr>
      <w:r>
        <w:t xml:space="preserve">SCV has been working to establish better processes for monitoring the progress of recommendations by health services. Health services can expect more communication from SCV around these metrics over 2024 and 2025. </w:t>
      </w:r>
    </w:p>
    <w:tbl>
      <w:tblPr>
        <w:tblStyle w:val="SCVpulloutbox"/>
        <w:tblW w:w="0" w:type="auto"/>
        <w:tblLook w:val="0600" w:firstRow="0" w:lastRow="0" w:firstColumn="0" w:lastColumn="0" w:noHBand="1" w:noVBand="1"/>
      </w:tblPr>
      <w:tblGrid>
        <w:gridCol w:w="10204"/>
      </w:tblGrid>
      <w:tr w:rsidR="002E61E8" w14:paraId="0FC42346" w14:textId="77777777" w:rsidTr="002E61E8">
        <w:tc>
          <w:tcPr>
            <w:tcW w:w="10204" w:type="dxa"/>
          </w:tcPr>
          <w:p w14:paraId="194DADCD" w14:textId="77777777" w:rsidR="002E61E8" w:rsidRDefault="002E61E8" w:rsidP="002E61E8">
            <w:pPr>
              <w:pStyle w:val="SCVboxheading"/>
            </w:pPr>
            <w:r w:rsidRPr="00A01D99">
              <w:lastRenderedPageBreak/>
              <w:t>ADVICE FOR HEALTH SERVICES</w:t>
            </w:r>
          </w:p>
          <w:p w14:paraId="54114027" w14:textId="77777777" w:rsidR="002E61E8" w:rsidRDefault="002E61E8" w:rsidP="00C96A69">
            <w:pPr>
              <w:pStyle w:val="SCVbody"/>
            </w:pPr>
            <w:r>
              <w:t xml:space="preserve">Health services must have robust systems of governance and executive sponsorship of sentinel event recommendation actions to ensure completion is on time and to a high degree of quality. </w:t>
            </w:r>
          </w:p>
          <w:p w14:paraId="34D6F83A" w14:textId="77777777" w:rsidR="002E61E8" w:rsidRDefault="002E61E8" w:rsidP="00C96A69">
            <w:pPr>
              <w:pStyle w:val="SCVbody"/>
            </w:pPr>
            <w:r>
              <w:t xml:space="preserve">Consider having clear SMART recommendations that will have the most impact, rather than recommendations that do not describe accountability. </w:t>
            </w:r>
          </w:p>
          <w:p w14:paraId="35FD9DAA" w14:textId="77777777" w:rsidR="002E61E8" w:rsidRDefault="002E61E8" w:rsidP="00C96A69">
            <w:pPr>
              <w:pStyle w:val="SCVbody"/>
            </w:pPr>
            <w:r>
              <w:t xml:space="preserve">A lack of moderate or strong recommendation from a review may be a sign that findings are focused on human action or inaction, due to the depth of analysis insufficiently exploring underlying factors. </w:t>
            </w:r>
          </w:p>
          <w:p w14:paraId="5D965F5E" w14:textId="77777777" w:rsidR="002E61E8" w:rsidRDefault="002E61E8" w:rsidP="00C96A69">
            <w:pPr>
              <w:pStyle w:val="SCVbody"/>
            </w:pPr>
            <w:r>
              <w:t xml:space="preserve">Recommendations addressing a high safety risk, such as elevated risk of recurrence, with potential serious consequence, should be assigned immediate resource and priority, compared to lower safety risk actions. </w:t>
            </w:r>
          </w:p>
          <w:p w14:paraId="6CD58677" w14:textId="77777777" w:rsidR="002E61E8" w:rsidRDefault="002E61E8" w:rsidP="00C96A69">
            <w:pPr>
              <w:pStyle w:val="SCVbody"/>
            </w:pPr>
            <w:r>
              <w:t xml:space="preserve">For more information on developing recommendations, visit: </w:t>
            </w:r>
          </w:p>
          <w:p w14:paraId="569483F5" w14:textId="15BCA09F" w:rsidR="002E61E8" w:rsidRDefault="00000000" w:rsidP="002E61E8">
            <w:pPr>
              <w:pStyle w:val="SCVbullet1"/>
            </w:pPr>
            <w:hyperlink r:id="rId54" w:history="1">
              <w:r w:rsidR="002E61E8" w:rsidRPr="00816796">
                <w:rPr>
                  <w:rStyle w:val="Hyperlink"/>
                </w:rPr>
                <w:t>Managing adverse events</w:t>
              </w:r>
            </w:hyperlink>
            <w:r w:rsidR="002E61E8">
              <w:t xml:space="preserve"> &lt;https://www.safercare.vic.gov.au/report-manage-issues/managing-adverse-events&gt; </w:t>
            </w:r>
          </w:p>
          <w:p w14:paraId="096F595E" w14:textId="48CE8A6D" w:rsidR="002E61E8" w:rsidRDefault="00000000" w:rsidP="002E61E8">
            <w:pPr>
              <w:pStyle w:val="SCVbullet1"/>
            </w:pPr>
            <w:hyperlink r:id="rId55" w:history="1">
              <w:r w:rsidR="002E61E8" w:rsidRPr="00816796">
                <w:rPr>
                  <w:rStyle w:val="Hyperlink"/>
                </w:rPr>
                <w:t>Adverse Patient Safety Event guideline</w:t>
              </w:r>
            </w:hyperlink>
            <w:r w:rsidR="002E61E8">
              <w:t xml:space="preserve"> &lt;https://www.safercare.vic.gov.au/best-practice-improvement/publications/policy-adverse-patient-safety-events&gt;. </w:t>
            </w:r>
          </w:p>
        </w:tc>
      </w:tr>
    </w:tbl>
    <w:p w14:paraId="55F2C640" w14:textId="77777777" w:rsidR="00152EC1" w:rsidRDefault="00152EC1" w:rsidP="002E61E8">
      <w:pPr>
        <w:pStyle w:val="Heading1"/>
      </w:pPr>
      <w:bookmarkStart w:id="33" w:name="_Toc173851131"/>
      <w:r>
        <w:lastRenderedPageBreak/>
        <w:t>Further reading and resources</w:t>
      </w:r>
      <w:bookmarkEnd w:id="33"/>
      <w:r>
        <w:t xml:space="preserve"> </w:t>
      </w:r>
    </w:p>
    <w:p w14:paraId="5DAC6EF9" w14:textId="77777777" w:rsidR="00152EC1" w:rsidRDefault="00152EC1" w:rsidP="002E61E8">
      <w:pPr>
        <w:pStyle w:val="SCVintroductorytext"/>
      </w:pPr>
      <w:r>
        <w:t xml:space="preserve">SCV has resources and information available to support healthcare services and consumers to improve safety culture and prevent patient harm. </w:t>
      </w:r>
    </w:p>
    <w:p w14:paraId="3B2A2B9C" w14:textId="7FB67577" w:rsidR="00152EC1" w:rsidRDefault="00152EC1" w:rsidP="002E61E8">
      <w:pPr>
        <w:pStyle w:val="Heading2"/>
      </w:pPr>
      <w:bookmarkStart w:id="34" w:name="_Toc173851132"/>
      <w:r>
        <w:t>Resources for health services and leaders</w:t>
      </w:r>
      <w:bookmarkEnd w:id="34"/>
    </w:p>
    <w:p w14:paraId="5BD7E1C0" w14:textId="7FC4B0C0" w:rsidR="00152EC1" w:rsidRDefault="00000000" w:rsidP="002E61E8">
      <w:pPr>
        <w:pStyle w:val="SCVbullet1"/>
      </w:pPr>
      <w:hyperlink r:id="rId56" w:history="1">
        <w:r w:rsidR="00152EC1" w:rsidRPr="00E9277C">
          <w:rPr>
            <w:rStyle w:val="Hyperlink"/>
          </w:rPr>
          <w:t>Clinical governance framework</w:t>
        </w:r>
      </w:hyperlink>
      <w:r w:rsidR="00152EC1">
        <w:t xml:space="preserve"> &lt;https://www.safercare.vic.gov.au/best-practice-improvement/publications/clinical-governance-framework&gt; </w:t>
      </w:r>
    </w:p>
    <w:p w14:paraId="03FC7A0A" w14:textId="77777777" w:rsidR="00152EC1" w:rsidRDefault="00152EC1" w:rsidP="002E61E8">
      <w:pPr>
        <w:pStyle w:val="SCVbullet1"/>
      </w:pPr>
      <w:r>
        <w:t xml:space="preserve">Victorian Safety Culture Guideline </w:t>
      </w:r>
    </w:p>
    <w:p w14:paraId="07E28BB5" w14:textId="7CE9ED61" w:rsidR="00152EC1" w:rsidRDefault="00000000" w:rsidP="002E61E8">
      <w:pPr>
        <w:pStyle w:val="SCVbullet1"/>
      </w:pPr>
      <w:hyperlink r:id="rId57" w:history="1">
        <w:r w:rsidR="00152EC1" w:rsidRPr="00E9277C">
          <w:rPr>
            <w:rStyle w:val="Hyperlink"/>
          </w:rPr>
          <w:t>Adverse Patient Safety Events Policy</w:t>
        </w:r>
      </w:hyperlink>
      <w:r w:rsidR="00152EC1">
        <w:t xml:space="preserve"> &lt;https://www.safercare.vic.gov.au/best-practice-improvement/publications/policy-adverse-patient-safety-events&gt; </w:t>
      </w:r>
    </w:p>
    <w:p w14:paraId="19164977" w14:textId="728AD249" w:rsidR="00152EC1" w:rsidRDefault="00000000" w:rsidP="002E61E8">
      <w:pPr>
        <w:pStyle w:val="SCVbullet1"/>
      </w:pPr>
      <w:hyperlink r:id="rId58" w:history="1">
        <w:r w:rsidR="00152EC1" w:rsidRPr="00E9277C">
          <w:rPr>
            <w:rStyle w:val="Hyperlink"/>
          </w:rPr>
          <w:t>Adverse Patient Safety Event guideline</w:t>
        </w:r>
      </w:hyperlink>
      <w:r w:rsidR="00152EC1">
        <w:t xml:space="preserve"> &lt;https://www.safercare.vic.gov.au/best-practice-improvement/publications/policy-adverse-patient-safety-events&gt; </w:t>
      </w:r>
    </w:p>
    <w:p w14:paraId="070D223E" w14:textId="265CCBE4" w:rsidR="00152EC1" w:rsidRDefault="00000000" w:rsidP="002E61E8">
      <w:pPr>
        <w:pStyle w:val="SCVbullet1"/>
      </w:pPr>
      <w:hyperlink r:id="rId59" w:history="1">
        <w:r w:rsidR="00152EC1" w:rsidRPr="00E9277C">
          <w:rPr>
            <w:rStyle w:val="Hyperlink"/>
          </w:rPr>
          <w:t>Partnering in healthcare framework</w:t>
        </w:r>
      </w:hyperlink>
      <w:r w:rsidR="00152EC1">
        <w:t xml:space="preserve"> &lt;https://www.safercare.vic.gov.au/publications/partnering-in-healthcare&gt; </w:t>
      </w:r>
    </w:p>
    <w:p w14:paraId="1DE746FE" w14:textId="0BD6EB58" w:rsidR="00152EC1" w:rsidRDefault="00000000" w:rsidP="002E61E8">
      <w:pPr>
        <w:pStyle w:val="SCVbullet1"/>
      </w:pPr>
      <w:hyperlink r:id="rId60" w:history="1">
        <w:r w:rsidR="00152EC1" w:rsidRPr="00E9277C">
          <w:rPr>
            <w:rStyle w:val="Hyperlink"/>
          </w:rPr>
          <w:t>ACSQHC incident management and sentinel events</w:t>
        </w:r>
      </w:hyperlink>
      <w:r w:rsidR="00152EC1">
        <w:t xml:space="preserve"> &lt;https://www.safetyandquality.gov.au/our-work/indicators-measurement-and-reporting/incident-management-and-sentinel-events&gt; </w:t>
      </w:r>
    </w:p>
    <w:p w14:paraId="4C9B4707" w14:textId="616E67FE" w:rsidR="00152EC1" w:rsidRDefault="00000000" w:rsidP="002E61E8">
      <w:pPr>
        <w:pStyle w:val="SCVbullet1"/>
      </w:pPr>
      <w:hyperlink r:id="rId61" w:history="1">
        <w:r w:rsidR="00152EC1" w:rsidRPr="00E9277C">
          <w:rPr>
            <w:rStyle w:val="Hyperlink"/>
          </w:rPr>
          <w:t>Managing adverse events</w:t>
        </w:r>
      </w:hyperlink>
      <w:r w:rsidR="00152EC1">
        <w:t xml:space="preserve"> &lt;https://</w:t>
      </w:r>
      <w:r w:rsidR="00816796">
        <w:t>www.safercare</w:t>
      </w:r>
      <w:r w:rsidR="00152EC1">
        <w:t xml:space="preserve">.vic.gov.au/report-manage-issues/managing-adverse-events&gt; </w:t>
      </w:r>
    </w:p>
    <w:p w14:paraId="7C00BFB1" w14:textId="1450D4E6" w:rsidR="00152EC1" w:rsidRDefault="00000000" w:rsidP="002E61E8">
      <w:pPr>
        <w:pStyle w:val="SCVbullet1"/>
      </w:pPr>
      <w:hyperlink r:id="rId62" w:history="1">
        <w:r w:rsidR="00152EC1" w:rsidRPr="00E9277C">
          <w:rPr>
            <w:rStyle w:val="Hyperlink"/>
          </w:rPr>
          <w:t>Guides to consumer representatives on adverse event reviews</w:t>
        </w:r>
      </w:hyperlink>
      <w:r w:rsidR="00152EC1">
        <w:t xml:space="preserve"> &lt;https://www.safercare.vic.gov.au/best-practice-improvement/publications/guides-to-consumer-representatives-on-adverse-event-reviews&gt; </w:t>
      </w:r>
    </w:p>
    <w:p w14:paraId="43C6D592" w14:textId="44398738" w:rsidR="00152EC1" w:rsidRDefault="00000000" w:rsidP="002E61E8">
      <w:pPr>
        <w:pStyle w:val="SCVbullet1"/>
      </w:pPr>
      <w:hyperlink r:id="rId63" w:history="1">
        <w:r w:rsidR="00152EC1" w:rsidRPr="00E9277C">
          <w:rPr>
            <w:rStyle w:val="Hyperlink"/>
          </w:rPr>
          <w:t>Learning and education: Fundamentals of adverse patient safety event review</w:t>
        </w:r>
      </w:hyperlink>
      <w:r w:rsidR="00152EC1">
        <w:t xml:space="preserve"> &lt;https://www.safercare.vic.gov.au/e-learning/ fundamentals&gt; </w:t>
      </w:r>
    </w:p>
    <w:p w14:paraId="3DFC2E03" w14:textId="26F8BD36" w:rsidR="00152EC1" w:rsidRDefault="00000000" w:rsidP="002E61E8">
      <w:pPr>
        <w:pStyle w:val="SCVbullet1"/>
      </w:pPr>
      <w:hyperlink r:id="rId64" w:history="1">
        <w:r w:rsidR="00152EC1" w:rsidRPr="00E9277C">
          <w:rPr>
            <w:rStyle w:val="Hyperlink"/>
          </w:rPr>
          <w:t>Learning and education: Engaging with impacted consumers</w:t>
        </w:r>
      </w:hyperlink>
      <w:r w:rsidR="00152EC1">
        <w:t xml:space="preserve"> &lt;https://www.safercare.vic.gov.au/e-learning/consumer&gt; </w:t>
      </w:r>
    </w:p>
    <w:p w14:paraId="0E7DF91E" w14:textId="11AC6896" w:rsidR="00152EC1" w:rsidRDefault="00000000" w:rsidP="002E61E8">
      <w:pPr>
        <w:pStyle w:val="SCVbullet1"/>
      </w:pPr>
      <w:hyperlink r:id="rId65" w:anchor="australian-open-disclosure-nbsp-framework" w:history="1">
        <w:r w:rsidR="00152EC1" w:rsidRPr="00E9277C">
          <w:rPr>
            <w:rStyle w:val="Hyperlink"/>
          </w:rPr>
          <w:t>The Australian Open Disclosure Framework</w:t>
        </w:r>
      </w:hyperlink>
      <w:r w:rsidR="00152EC1">
        <w:t xml:space="preserve"> &lt;https://www.safetyandquality.gov.au/our-work/open-disclosure/the-open-disclosure-framework#australian-open-disclosure-nbsp-framework&gt; </w:t>
      </w:r>
    </w:p>
    <w:p w14:paraId="11CAA714" w14:textId="701FCB5B" w:rsidR="00152EC1" w:rsidRDefault="00000000" w:rsidP="002E61E8">
      <w:pPr>
        <w:pStyle w:val="SCVbullet1"/>
      </w:pPr>
      <w:hyperlink r:id="rId66" w:history="1">
        <w:r w:rsidR="00152EC1" w:rsidRPr="00E9277C">
          <w:rPr>
            <w:rStyle w:val="Hyperlink"/>
          </w:rPr>
          <w:t>Online training modules – SDC</w:t>
        </w:r>
      </w:hyperlink>
      <w:r w:rsidR="00152EC1">
        <w:t xml:space="preserve"> &lt;https://</w:t>
      </w:r>
      <w:r w:rsidR="00816796">
        <w:t>www.safercare</w:t>
      </w:r>
      <w:r w:rsidR="00152EC1">
        <w:t xml:space="preserve">.vic.gov.au/report-manage-issues/ sentinel-events/adverse-event-review-and-response/duty-of-candour&gt; </w:t>
      </w:r>
    </w:p>
    <w:p w14:paraId="26786011" w14:textId="09C83FA5" w:rsidR="00152EC1" w:rsidRDefault="00000000" w:rsidP="002E61E8">
      <w:pPr>
        <w:pStyle w:val="SCVbullet1"/>
      </w:pPr>
      <w:hyperlink r:id="rId67" w:history="1">
        <w:r w:rsidR="00152EC1" w:rsidRPr="00E9277C">
          <w:rPr>
            <w:rStyle w:val="Hyperlink"/>
          </w:rPr>
          <w:t>Learning and education: SDC</w:t>
        </w:r>
      </w:hyperlink>
      <w:r w:rsidR="00152EC1">
        <w:t xml:space="preserve"> &lt;https://</w:t>
      </w:r>
      <w:r w:rsidR="00816796">
        <w:t>www.safercare</w:t>
      </w:r>
      <w:r w:rsidR="00152EC1">
        <w:t xml:space="preserve">.vic.gov.au/e-learning/duty-of-candour&gt; </w:t>
      </w:r>
    </w:p>
    <w:p w14:paraId="730A2FAF" w14:textId="270F5156" w:rsidR="00152EC1" w:rsidRDefault="00000000" w:rsidP="002E61E8">
      <w:pPr>
        <w:pStyle w:val="SCVbullet1"/>
      </w:pPr>
      <w:hyperlink r:id="rId68" w:history="1">
        <w:r w:rsidR="00152EC1" w:rsidRPr="00E9277C">
          <w:rPr>
            <w:rStyle w:val="Hyperlink"/>
          </w:rPr>
          <w:t>About the sentinel events portal</w:t>
        </w:r>
      </w:hyperlink>
      <w:r w:rsidR="00152EC1">
        <w:t xml:space="preserve"> &lt;https://</w:t>
      </w:r>
      <w:r w:rsidR="00816796">
        <w:t>www.safercare</w:t>
      </w:r>
      <w:r w:rsidR="00152EC1">
        <w:t xml:space="preserve">.vic.gov.au/report-manage-issues/ sentinel-events/about-the-sentinel-events-portal&gt; </w:t>
      </w:r>
    </w:p>
    <w:p w14:paraId="68D43FA9" w14:textId="2DAC7487" w:rsidR="00152EC1" w:rsidRDefault="00000000" w:rsidP="002E61E8">
      <w:pPr>
        <w:pStyle w:val="SCVbullet1"/>
      </w:pPr>
      <w:hyperlink r:id="rId69" w:history="1">
        <w:r w:rsidR="00152EC1" w:rsidRPr="00E9277C">
          <w:rPr>
            <w:rStyle w:val="Hyperlink"/>
          </w:rPr>
          <w:t>Just Culture resources</w:t>
        </w:r>
      </w:hyperlink>
      <w:r w:rsidR="00152EC1">
        <w:t xml:space="preserve"> &lt;https://www.safercare.vic.gov.au/report-manage-issues/sentinel-events/adverse-event-review-and-response/just-culture-training-and-resources&gt; </w:t>
      </w:r>
    </w:p>
    <w:p w14:paraId="319B3699" w14:textId="6C72ADF1" w:rsidR="00152EC1" w:rsidRDefault="00000000" w:rsidP="002E61E8">
      <w:pPr>
        <w:pStyle w:val="SCVbullet1"/>
      </w:pPr>
      <w:hyperlink r:id="rId70" w:history="1">
        <w:r w:rsidR="00152EC1" w:rsidRPr="00E9277C">
          <w:rPr>
            <w:rStyle w:val="Hyperlink"/>
          </w:rPr>
          <w:t>Thematic interrogation of patient complaints in Victoria</w:t>
        </w:r>
      </w:hyperlink>
      <w:r w:rsidR="00152EC1">
        <w:t xml:space="preserve"> &lt;https://www.safercare.vic.gov.au/best-practice-improvement/publications/thematic-interrogation-of-patient-complaints-in-the-state-of-victoria&gt; </w:t>
      </w:r>
    </w:p>
    <w:p w14:paraId="19286001" w14:textId="0BAD6BCF" w:rsidR="00152EC1" w:rsidRDefault="00152EC1" w:rsidP="002E61E8">
      <w:pPr>
        <w:pStyle w:val="Heading2"/>
      </w:pPr>
      <w:bookmarkStart w:id="35" w:name="_Toc173851133"/>
      <w:r>
        <w:lastRenderedPageBreak/>
        <w:t>Resources for patients, families and carers</w:t>
      </w:r>
      <w:bookmarkEnd w:id="35"/>
    </w:p>
    <w:p w14:paraId="3CF7D497" w14:textId="33B1AB28" w:rsidR="00152EC1" w:rsidRDefault="00000000" w:rsidP="002E61E8">
      <w:pPr>
        <w:pStyle w:val="SCVbullet1"/>
      </w:pPr>
      <w:hyperlink r:id="rId71" w:history="1">
        <w:r w:rsidR="00152EC1" w:rsidRPr="00E9277C">
          <w:rPr>
            <w:rStyle w:val="Hyperlink"/>
          </w:rPr>
          <w:t>What are adverse and sentinel events?</w:t>
        </w:r>
      </w:hyperlink>
      <w:r w:rsidR="00152EC1">
        <w:t xml:space="preserve"> &lt;https://www.safercare.vic.gov.au/consumer-resources/what-adverse-sentinel-events&gt; </w:t>
      </w:r>
    </w:p>
    <w:p w14:paraId="0AA3709D" w14:textId="4E965DA7" w:rsidR="00152EC1" w:rsidRDefault="00000000" w:rsidP="002E61E8">
      <w:pPr>
        <w:pStyle w:val="SCVbullet1"/>
      </w:pPr>
      <w:hyperlink r:id="rId72" w:history="1">
        <w:r w:rsidR="00152EC1" w:rsidRPr="00E9277C">
          <w:rPr>
            <w:rStyle w:val="Hyperlink"/>
          </w:rPr>
          <w:t>Resources for involving impacted consumers</w:t>
        </w:r>
      </w:hyperlink>
      <w:r w:rsidR="00152EC1">
        <w:t xml:space="preserve"> &lt;https://www.safercare.vic.gov.au/report-manage-issues/sentinel-events/adverse-event-review-and-response/resources-for-involving-impacted-consumers&gt; </w:t>
      </w:r>
    </w:p>
    <w:p w14:paraId="3B23DCA6" w14:textId="5EA801BD" w:rsidR="00152EC1" w:rsidRDefault="00000000" w:rsidP="002E61E8">
      <w:pPr>
        <w:pStyle w:val="SCVbullet1"/>
      </w:pPr>
      <w:hyperlink r:id="rId73" w:history="1">
        <w:r w:rsidR="00152EC1" w:rsidRPr="00E9277C">
          <w:rPr>
            <w:rStyle w:val="Hyperlink"/>
          </w:rPr>
          <w:t>Guides to consumer representatives on adverse event reviews</w:t>
        </w:r>
      </w:hyperlink>
      <w:r w:rsidR="00152EC1">
        <w:t xml:space="preserve"> &lt;https://www.safercare.vic.gov.au/best-practice-improvement/publications/guides-to-consumer-representatives-on-adverse-event-reviews&gt; </w:t>
      </w:r>
    </w:p>
    <w:p w14:paraId="69D4AD2F" w14:textId="6D5BF395" w:rsidR="00152EC1" w:rsidRDefault="00000000" w:rsidP="002E61E8">
      <w:pPr>
        <w:pStyle w:val="SCVbullet1"/>
      </w:pPr>
      <w:hyperlink r:id="rId74" w:history="1">
        <w:r w:rsidR="00152EC1" w:rsidRPr="00E9277C">
          <w:rPr>
            <w:rStyle w:val="Hyperlink"/>
          </w:rPr>
          <w:t>Duty of Candour resources for patients, families and their carers</w:t>
        </w:r>
      </w:hyperlink>
      <w:r w:rsidR="00152EC1">
        <w:t xml:space="preserve"> &lt;https://www.safercare.vic.gov.au/consumer-resources/duty-of-candour-resources-for-patients-families-and-their-carers&gt; </w:t>
      </w:r>
    </w:p>
    <w:p w14:paraId="6BA5D561" w14:textId="77777777" w:rsidR="00152EC1" w:rsidRDefault="00152EC1" w:rsidP="00A17F27">
      <w:pPr>
        <w:pStyle w:val="Heading1"/>
      </w:pPr>
      <w:bookmarkStart w:id="36" w:name="_Toc173851134"/>
      <w:r>
        <w:lastRenderedPageBreak/>
        <w:t>Glossary</w:t>
      </w:r>
      <w:bookmarkEnd w:id="36"/>
      <w:r>
        <w:t xml:space="preserve"> </w:t>
      </w:r>
    </w:p>
    <w:tbl>
      <w:tblPr>
        <w:tblStyle w:val="TableGrid"/>
        <w:tblW w:w="0" w:type="auto"/>
        <w:tblLook w:val="04A0" w:firstRow="1" w:lastRow="0" w:firstColumn="1" w:lastColumn="0" w:noHBand="0" w:noVBand="1"/>
      </w:tblPr>
      <w:tblGrid>
        <w:gridCol w:w="2210"/>
        <w:gridCol w:w="7996"/>
      </w:tblGrid>
      <w:tr w:rsidR="00A17F27" w14:paraId="6ECDF48B" w14:textId="77777777" w:rsidTr="00BB3287">
        <w:trPr>
          <w:cnfStyle w:val="100000000000" w:firstRow="1" w:lastRow="0" w:firstColumn="0" w:lastColumn="0" w:oddVBand="0" w:evenVBand="0" w:oddHBand="0" w:evenHBand="0" w:firstRowFirstColumn="0" w:firstRowLastColumn="0" w:lastRowFirstColumn="0" w:lastRowLastColumn="0"/>
          <w:tblHeader/>
        </w:trPr>
        <w:tc>
          <w:tcPr>
            <w:tcW w:w="2160" w:type="dxa"/>
          </w:tcPr>
          <w:p w14:paraId="30D08468" w14:textId="07937C66" w:rsidR="00A17F27" w:rsidRDefault="00A17F27" w:rsidP="00A17F27">
            <w:pPr>
              <w:pStyle w:val="SCVtablecolhead"/>
            </w:pPr>
            <w:r>
              <w:t>Terminology</w:t>
            </w:r>
          </w:p>
        </w:tc>
        <w:tc>
          <w:tcPr>
            <w:tcW w:w="8044" w:type="dxa"/>
          </w:tcPr>
          <w:p w14:paraId="4A746831" w14:textId="4BA65335" w:rsidR="00A17F27" w:rsidRDefault="00A17F27" w:rsidP="00A17F27">
            <w:pPr>
              <w:pStyle w:val="SCVtablecolhead"/>
            </w:pPr>
            <w:r>
              <w:t xml:space="preserve">Definition </w:t>
            </w:r>
          </w:p>
        </w:tc>
      </w:tr>
      <w:tr w:rsidR="00A17F27" w14:paraId="3F269B03" w14:textId="77777777" w:rsidTr="00BB3287">
        <w:tc>
          <w:tcPr>
            <w:tcW w:w="2160" w:type="dxa"/>
          </w:tcPr>
          <w:p w14:paraId="76C24EC8" w14:textId="3014539F" w:rsidR="00A17F27" w:rsidRDefault="00965662" w:rsidP="00965662">
            <w:pPr>
              <w:pStyle w:val="SCVtablebody"/>
            </w:pPr>
            <w:r>
              <w:t xml:space="preserve">Adverse patient safety event/adverse event </w:t>
            </w:r>
          </w:p>
        </w:tc>
        <w:tc>
          <w:tcPr>
            <w:tcW w:w="8044" w:type="dxa"/>
          </w:tcPr>
          <w:p w14:paraId="1755518F" w14:textId="49F4F229" w:rsidR="00A17F27" w:rsidRDefault="00965662" w:rsidP="00965662">
            <w:pPr>
              <w:pStyle w:val="SCVtablebody"/>
            </w:pPr>
            <w:r>
              <w:t xml:space="preserve">An incident in which a person receiving healthcare is harmed. For more information on responding to an adverse event, </w:t>
            </w:r>
            <w:hyperlink r:id="rId75" w:history="1">
              <w:r w:rsidRPr="00BB3287">
                <w:rPr>
                  <w:rStyle w:val="Hyperlink"/>
                </w:rPr>
                <w:t>visit Managing adverse events</w:t>
              </w:r>
            </w:hyperlink>
            <w:r>
              <w:t xml:space="preserve"> &lt;https://www.safercare.vic.gov.au/report-manage-issues/managing-adverse-events&gt;</w:t>
            </w:r>
          </w:p>
        </w:tc>
      </w:tr>
      <w:tr w:rsidR="00A17F27" w14:paraId="22D7C433" w14:textId="77777777" w:rsidTr="00BB3287">
        <w:tc>
          <w:tcPr>
            <w:tcW w:w="2160" w:type="dxa"/>
          </w:tcPr>
          <w:p w14:paraId="5B1ECDCB" w14:textId="0E332BCC" w:rsidR="00A17F27" w:rsidRDefault="00BB3287" w:rsidP="00BB3287">
            <w:pPr>
              <w:pStyle w:val="SCVtablebody"/>
            </w:pPr>
            <w:r>
              <w:t xml:space="preserve">Anticoagulants </w:t>
            </w:r>
          </w:p>
        </w:tc>
        <w:tc>
          <w:tcPr>
            <w:tcW w:w="8044" w:type="dxa"/>
          </w:tcPr>
          <w:p w14:paraId="47C9C6AD" w14:textId="54FADE2B" w:rsidR="00A17F27" w:rsidRDefault="00BB3287" w:rsidP="00BB3287">
            <w:pPr>
              <w:pStyle w:val="SCVtablebody"/>
            </w:pPr>
            <w:r>
              <w:t xml:space="preserve">A group of medicines that work by reducing the ability of the blood to clot </w:t>
            </w:r>
          </w:p>
        </w:tc>
      </w:tr>
      <w:tr w:rsidR="00A17F27" w14:paraId="120F9594" w14:textId="77777777" w:rsidTr="00BB3287">
        <w:tc>
          <w:tcPr>
            <w:tcW w:w="2160" w:type="dxa"/>
          </w:tcPr>
          <w:p w14:paraId="61521D02" w14:textId="522D54A0" w:rsidR="00A17F27" w:rsidRDefault="00BB3287" w:rsidP="00BB3287">
            <w:pPr>
              <w:pStyle w:val="SCVtablebody"/>
            </w:pPr>
            <w:r>
              <w:t xml:space="preserve">APINCHS </w:t>
            </w:r>
          </w:p>
        </w:tc>
        <w:tc>
          <w:tcPr>
            <w:tcW w:w="8044" w:type="dxa"/>
          </w:tcPr>
          <w:p w14:paraId="262FC7C5" w14:textId="1D6BA3F8" w:rsidR="00A17F27" w:rsidRDefault="00BB3287" w:rsidP="00BB3287">
            <w:pPr>
              <w:pStyle w:val="SCVtablebody"/>
            </w:pPr>
            <w:r>
              <w:t xml:space="preserve">The ‘APINCHS’ acronym and classification assists clinicians to focus on a group of medicines known to be associated with high potential for medication-related harm. It stands for: </w:t>
            </w:r>
            <w:r>
              <w:br/>
            </w:r>
            <w:proofErr w:type="gramStart"/>
            <w:r>
              <w:t>A</w:t>
            </w:r>
            <w:proofErr w:type="gramEnd"/>
            <w:r>
              <w:t xml:space="preserve"> Antimicrobials </w:t>
            </w:r>
            <w:r>
              <w:br/>
              <w:t xml:space="preserve">P Potassium and other electrolytes </w:t>
            </w:r>
            <w:r>
              <w:br/>
              <w:t xml:space="preserve">I Insulin </w:t>
            </w:r>
            <w:r>
              <w:br/>
              <w:t xml:space="preserve">N Narcotics (opioids) and other sedatives </w:t>
            </w:r>
            <w:r>
              <w:br/>
              <w:t xml:space="preserve">C Chemotherapeutic agents </w:t>
            </w:r>
            <w:r>
              <w:br/>
              <w:t xml:space="preserve">H Heparin and other anticoagulants </w:t>
            </w:r>
            <w:r>
              <w:br/>
              <w:t xml:space="preserve">S Systems for medication safety </w:t>
            </w:r>
          </w:p>
        </w:tc>
      </w:tr>
      <w:tr w:rsidR="00A17F27" w14:paraId="20EAE6D3" w14:textId="77777777" w:rsidTr="00BB3287">
        <w:tc>
          <w:tcPr>
            <w:tcW w:w="2160" w:type="dxa"/>
          </w:tcPr>
          <w:p w14:paraId="2C75B757" w14:textId="38CA7C9A" w:rsidR="00A17F27" w:rsidRDefault="00BB3287" w:rsidP="00BB3287">
            <w:pPr>
              <w:pStyle w:val="SCVtablebody"/>
            </w:pPr>
            <w:r>
              <w:t xml:space="preserve">BMI </w:t>
            </w:r>
          </w:p>
        </w:tc>
        <w:tc>
          <w:tcPr>
            <w:tcW w:w="8044" w:type="dxa"/>
          </w:tcPr>
          <w:p w14:paraId="3B0744E5" w14:textId="72336584" w:rsidR="00A17F27" w:rsidRDefault="00BB3287" w:rsidP="00BB3287">
            <w:pPr>
              <w:pStyle w:val="SCVtablebody"/>
            </w:pPr>
            <w:r>
              <w:t xml:space="preserve">Body mass index </w:t>
            </w:r>
          </w:p>
        </w:tc>
      </w:tr>
      <w:tr w:rsidR="00A17F27" w14:paraId="49DAC771" w14:textId="77777777" w:rsidTr="00BB3287">
        <w:tc>
          <w:tcPr>
            <w:tcW w:w="2160" w:type="dxa"/>
          </w:tcPr>
          <w:p w14:paraId="039A6BEC" w14:textId="4387EC43" w:rsidR="00A17F27" w:rsidRDefault="00BB3287" w:rsidP="00BB3287">
            <w:pPr>
              <w:pStyle w:val="SCVtablebody"/>
            </w:pPr>
            <w:r>
              <w:t xml:space="preserve">Carer </w:t>
            </w:r>
          </w:p>
        </w:tc>
        <w:tc>
          <w:tcPr>
            <w:tcW w:w="8044" w:type="dxa"/>
          </w:tcPr>
          <w:p w14:paraId="562AFA8D" w14:textId="1C2E9E9F" w:rsidR="00A17F27" w:rsidRDefault="00BB3287" w:rsidP="00BB3287">
            <w:pPr>
              <w:pStyle w:val="SCVtablebody"/>
            </w:pPr>
            <w:r>
              <w:t xml:space="preserve">A person who provides unpaid care and support to either a family member or friend who has a disability, mental illness, chronic condition, terminal illness or general frailty </w:t>
            </w:r>
          </w:p>
        </w:tc>
      </w:tr>
      <w:tr w:rsidR="00A17F27" w14:paraId="266DF2D6" w14:textId="77777777" w:rsidTr="00BB3287">
        <w:tc>
          <w:tcPr>
            <w:tcW w:w="2160" w:type="dxa"/>
          </w:tcPr>
          <w:p w14:paraId="047C3DB6" w14:textId="1FF6E442" w:rsidR="00A17F27" w:rsidRDefault="00BB3287" w:rsidP="00BB3287">
            <w:pPr>
              <w:pStyle w:val="SCVtablebody"/>
            </w:pPr>
            <w:r>
              <w:t xml:space="preserve">Critical event </w:t>
            </w:r>
          </w:p>
        </w:tc>
        <w:tc>
          <w:tcPr>
            <w:tcW w:w="8044" w:type="dxa"/>
          </w:tcPr>
          <w:p w14:paraId="2D581016" w14:textId="4BAA6899" w:rsidR="00A17F27" w:rsidRDefault="00BB3287" w:rsidP="00BB3287">
            <w:pPr>
              <w:pStyle w:val="SCVtablebody"/>
            </w:pPr>
            <w:r>
              <w:t xml:space="preserve">Identified when reviewing an adverse event, it is the point at which a different action would have altered the subsequent sequence of events and the outcome of patient harm </w:t>
            </w:r>
          </w:p>
        </w:tc>
      </w:tr>
      <w:tr w:rsidR="00A17F27" w14:paraId="0D7C82F1" w14:textId="77777777" w:rsidTr="00BB3287">
        <w:tc>
          <w:tcPr>
            <w:tcW w:w="2160" w:type="dxa"/>
          </w:tcPr>
          <w:p w14:paraId="1503E8A7" w14:textId="597B5A1A" w:rsidR="00A17F27" w:rsidRDefault="00BB3287" w:rsidP="00BB3287">
            <w:pPr>
              <w:pStyle w:val="SCVtablebody"/>
            </w:pPr>
            <w:r>
              <w:t xml:space="preserve">Harm </w:t>
            </w:r>
          </w:p>
        </w:tc>
        <w:tc>
          <w:tcPr>
            <w:tcW w:w="8044" w:type="dxa"/>
          </w:tcPr>
          <w:p w14:paraId="52010DD5" w14:textId="17D46527" w:rsidR="00A17F27" w:rsidRDefault="00BB3287" w:rsidP="00BB3287">
            <w:pPr>
              <w:pStyle w:val="SCVtablebody"/>
            </w:pPr>
            <w:r>
              <w:t xml:space="preserve">Physical or psychological damage or injury to a person. Examples of harm are disease, suffering, impairment (disability) and death </w:t>
            </w:r>
          </w:p>
        </w:tc>
      </w:tr>
      <w:tr w:rsidR="00A17F27" w14:paraId="198865F5" w14:textId="77777777" w:rsidTr="00BB3287">
        <w:tc>
          <w:tcPr>
            <w:tcW w:w="2160" w:type="dxa"/>
          </w:tcPr>
          <w:p w14:paraId="54272F78" w14:textId="33319FFA" w:rsidR="00A17F27" w:rsidRDefault="00BB3287" w:rsidP="00BB3287">
            <w:pPr>
              <w:pStyle w:val="SCVtablebody"/>
            </w:pPr>
            <w:r>
              <w:t xml:space="preserve">Haematology </w:t>
            </w:r>
          </w:p>
        </w:tc>
        <w:tc>
          <w:tcPr>
            <w:tcW w:w="8044" w:type="dxa"/>
          </w:tcPr>
          <w:p w14:paraId="7E54E2A9" w14:textId="06603082" w:rsidR="00A17F27" w:rsidRDefault="00BB3287" w:rsidP="00BB3287">
            <w:pPr>
              <w:pStyle w:val="SCVtablebody"/>
            </w:pPr>
            <w:r>
              <w:t xml:space="preserve">The study of blood in health and disease </w:t>
            </w:r>
          </w:p>
        </w:tc>
      </w:tr>
      <w:tr w:rsidR="00A17F27" w14:paraId="3608D66F" w14:textId="77777777" w:rsidTr="00BB3287">
        <w:tc>
          <w:tcPr>
            <w:tcW w:w="2160" w:type="dxa"/>
          </w:tcPr>
          <w:p w14:paraId="0A705CCD" w14:textId="112C004E" w:rsidR="00A17F27" w:rsidRDefault="00BB3287" w:rsidP="00BB3287">
            <w:pPr>
              <w:pStyle w:val="SCVtablebody"/>
            </w:pPr>
            <w:r>
              <w:t xml:space="preserve">HCAT </w:t>
            </w:r>
          </w:p>
        </w:tc>
        <w:tc>
          <w:tcPr>
            <w:tcW w:w="8044" w:type="dxa"/>
          </w:tcPr>
          <w:p w14:paraId="13A4D840" w14:textId="46BB1407" w:rsidR="00A17F27" w:rsidRDefault="00BB3287" w:rsidP="00BB3287">
            <w:pPr>
              <w:pStyle w:val="SCVtablebody"/>
            </w:pPr>
            <w:r>
              <w:t>Healthcare Complaints Analysis Tool –</w:t>
            </w:r>
            <w:r w:rsidR="00FB5F78">
              <w:t xml:space="preserve"> </w:t>
            </w:r>
            <w:r>
              <w:t xml:space="preserve">an evidence-based, standardised tool for systematically coding consumer voice, organising and analysing complaints information to reliably assess healthcare problems, their severity and the level of patient-reported harm. The HCAT can be used for service monitoring, organisational learning and research into complaints, and is an early indicator for patient safety risks </w:t>
            </w:r>
          </w:p>
        </w:tc>
      </w:tr>
      <w:tr w:rsidR="00A17F27" w14:paraId="47F66F77" w14:textId="77777777" w:rsidTr="00BB3287">
        <w:tc>
          <w:tcPr>
            <w:tcW w:w="2160" w:type="dxa"/>
          </w:tcPr>
          <w:p w14:paraId="572EBE8F" w14:textId="56E9DC4C" w:rsidR="00A17F27" w:rsidRDefault="00BB3287" w:rsidP="00BB3287">
            <w:pPr>
              <w:pStyle w:val="SCVtablebody"/>
            </w:pPr>
            <w:r>
              <w:t xml:space="preserve">Healthcare consumer </w:t>
            </w:r>
          </w:p>
        </w:tc>
        <w:tc>
          <w:tcPr>
            <w:tcW w:w="8044" w:type="dxa"/>
          </w:tcPr>
          <w:p w14:paraId="375160AC" w14:textId="74E02B4B" w:rsidR="00A17F27" w:rsidRDefault="00BB3287" w:rsidP="00BB3287">
            <w:pPr>
              <w:pStyle w:val="SCVtablebody"/>
            </w:pPr>
            <w:r>
              <w:t xml:space="preserve">A patient, their family or carer(s) </w:t>
            </w:r>
          </w:p>
        </w:tc>
      </w:tr>
      <w:tr w:rsidR="00A17F27" w14:paraId="2C56E7E6" w14:textId="77777777" w:rsidTr="00BB3287">
        <w:tc>
          <w:tcPr>
            <w:tcW w:w="2160" w:type="dxa"/>
          </w:tcPr>
          <w:p w14:paraId="1495179A" w14:textId="5EBD4F49" w:rsidR="00A17F27" w:rsidRDefault="00BB3287" w:rsidP="00BB3287">
            <w:pPr>
              <w:pStyle w:val="SCVtablebody"/>
            </w:pPr>
            <w:r>
              <w:t xml:space="preserve">Human factors </w:t>
            </w:r>
          </w:p>
        </w:tc>
        <w:tc>
          <w:tcPr>
            <w:tcW w:w="8044" w:type="dxa"/>
          </w:tcPr>
          <w:p w14:paraId="36B72D70" w14:textId="387AEC05" w:rsidR="00A17F27" w:rsidRDefault="00BB3287" w:rsidP="00BB3287">
            <w:pPr>
              <w:pStyle w:val="SCVtablebody"/>
            </w:pPr>
            <w:r>
              <w:t xml:space="preserve">Human factors refer to the environmental, organisational, human and job factors that influence human performance. The science of human factors applies theory, data, and methodologies to understand interactions among humans and the systems in which they work </w:t>
            </w:r>
          </w:p>
        </w:tc>
      </w:tr>
      <w:tr w:rsidR="00A17F27" w14:paraId="6EB37B92" w14:textId="77777777" w:rsidTr="00BB3287">
        <w:tc>
          <w:tcPr>
            <w:tcW w:w="2160" w:type="dxa"/>
          </w:tcPr>
          <w:p w14:paraId="6C8C881C" w14:textId="16D8B7E8" w:rsidR="00A17F27" w:rsidRDefault="00BB3287" w:rsidP="00BB3287">
            <w:pPr>
              <w:pStyle w:val="SCVtablebody"/>
            </w:pPr>
            <w:r>
              <w:lastRenderedPageBreak/>
              <w:t xml:space="preserve">ICPS </w:t>
            </w:r>
          </w:p>
        </w:tc>
        <w:tc>
          <w:tcPr>
            <w:tcW w:w="8044" w:type="dxa"/>
          </w:tcPr>
          <w:p w14:paraId="664E8E3C" w14:textId="26E64BC3" w:rsidR="00A17F27" w:rsidRDefault="00BB3287" w:rsidP="00BB3287">
            <w:pPr>
              <w:pStyle w:val="SCVtablebody"/>
            </w:pPr>
            <w:r>
              <w:t xml:space="preserve">International Classification for Patient Safety – refers to </w:t>
            </w:r>
            <w:hyperlink r:id="rId76" w:history="1">
              <w:r w:rsidRPr="0071451B">
                <w:rPr>
                  <w:rStyle w:val="Hyperlink"/>
                </w:rPr>
                <w:t>The conceptual framework for the international classification for patient safety</w:t>
              </w:r>
            </w:hyperlink>
            <w:r>
              <w:t xml:space="preserve"> &lt;https://www.who.int/publications/i/item/WHO-IER-PSP-2010.2&gt; – a framework developed by the World Health Organization to enable categorisation of patient safety information using standardised sets of concepts with agreed definitions, preferred terms and the relationships between them. The Victorian Category 11 sentinel event subcategories are based on the ICPS classification for incident type </w:t>
            </w:r>
          </w:p>
        </w:tc>
      </w:tr>
      <w:tr w:rsidR="00A17F27" w14:paraId="0E592F66" w14:textId="77777777" w:rsidTr="00BB3287">
        <w:tc>
          <w:tcPr>
            <w:tcW w:w="2160" w:type="dxa"/>
          </w:tcPr>
          <w:p w14:paraId="1420FD94" w14:textId="05546179" w:rsidR="00A17F27" w:rsidRDefault="00BB3287" w:rsidP="00BB3287">
            <w:pPr>
              <w:pStyle w:val="SCVtablebody"/>
            </w:pPr>
            <w:r>
              <w:t xml:space="preserve">Just culture </w:t>
            </w:r>
          </w:p>
        </w:tc>
        <w:tc>
          <w:tcPr>
            <w:tcW w:w="8044" w:type="dxa"/>
          </w:tcPr>
          <w:p w14:paraId="50ACC046" w14:textId="42DA135C" w:rsidR="00A17F27" w:rsidRDefault="00BB3287" w:rsidP="00BB3287">
            <w:pPr>
              <w:pStyle w:val="SCVtablebody"/>
            </w:pPr>
            <w:r>
              <w:t xml:space="preserve">Just culture encourages balanced accountability between organisations and individuals, and the application of systems-thinking principles to allow fair and just responses to adverse events </w:t>
            </w:r>
          </w:p>
        </w:tc>
      </w:tr>
      <w:tr w:rsidR="00A17F27" w14:paraId="797353C1" w14:textId="77777777" w:rsidTr="00BB3287">
        <w:tc>
          <w:tcPr>
            <w:tcW w:w="2160" w:type="dxa"/>
          </w:tcPr>
          <w:p w14:paraId="47F4793D" w14:textId="7617ACFD" w:rsidR="00A17F27" w:rsidRDefault="00BB3287" w:rsidP="00BB3287">
            <w:pPr>
              <w:pStyle w:val="SCVtablebody"/>
            </w:pPr>
            <w:r>
              <w:t xml:space="preserve">Lessons learnt </w:t>
            </w:r>
          </w:p>
        </w:tc>
        <w:tc>
          <w:tcPr>
            <w:tcW w:w="8044" w:type="dxa"/>
          </w:tcPr>
          <w:p w14:paraId="08DBF5DA" w14:textId="43258C82" w:rsidR="00A17F27" w:rsidRDefault="00BB3287" w:rsidP="00BB3287">
            <w:pPr>
              <w:pStyle w:val="SCVtablebody"/>
            </w:pPr>
            <w:r>
              <w:t xml:space="preserve">The opportunities for improvement identified through the review process, but that were not contributory to the adverse event </w:t>
            </w:r>
          </w:p>
        </w:tc>
      </w:tr>
      <w:tr w:rsidR="00A17F27" w14:paraId="461E9951" w14:textId="77777777" w:rsidTr="00BB3287">
        <w:tc>
          <w:tcPr>
            <w:tcW w:w="2160" w:type="dxa"/>
          </w:tcPr>
          <w:p w14:paraId="368D8997" w14:textId="289EFB33" w:rsidR="00A17F27" w:rsidRDefault="00BB3287" w:rsidP="00BB3287">
            <w:pPr>
              <w:pStyle w:val="SCVtablebody"/>
            </w:pPr>
            <w:r>
              <w:t xml:space="preserve">MET </w:t>
            </w:r>
          </w:p>
        </w:tc>
        <w:tc>
          <w:tcPr>
            <w:tcW w:w="8044" w:type="dxa"/>
          </w:tcPr>
          <w:p w14:paraId="6EE44456" w14:textId="128C3A23" w:rsidR="00A17F27" w:rsidRDefault="00BB3287" w:rsidP="00BB3287">
            <w:pPr>
              <w:pStyle w:val="SCVtablebody"/>
            </w:pPr>
            <w:r>
              <w:t xml:space="preserve">Medical emergency team </w:t>
            </w:r>
          </w:p>
        </w:tc>
      </w:tr>
      <w:tr w:rsidR="00A17F27" w14:paraId="32614A14" w14:textId="77777777" w:rsidTr="00BB3287">
        <w:tc>
          <w:tcPr>
            <w:tcW w:w="2160" w:type="dxa"/>
          </w:tcPr>
          <w:p w14:paraId="188115E6" w14:textId="1313FB27" w:rsidR="00A17F27" w:rsidRDefault="00BB3287" w:rsidP="00BB3287">
            <w:pPr>
              <w:pStyle w:val="SCVtablebody"/>
            </w:pPr>
            <w:r>
              <w:t xml:space="preserve">Multi-agency review </w:t>
            </w:r>
          </w:p>
        </w:tc>
        <w:tc>
          <w:tcPr>
            <w:tcW w:w="8044" w:type="dxa"/>
          </w:tcPr>
          <w:p w14:paraId="2B31D912" w14:textId="0F5418E1" w:rsidR="00A17F27" w:rsidRDefault="00BB3287" w:rsidP="00BB3287">
            <w:pPr>
              <w:pStyle w:val="SCVtablebody"/>
            </w:pPr>
            <w:r>
              <w:t xml:space="preserve">A panel review of a SAPSE that involves two or more health service entities. All services involved in the harm of the patient are expected to participate in the review panel </w:t>
            </w:r>
          </w:p>
        </w:tc>
      </w:tr>
      <w:tr w:rsidR="00BB3287" w14:paraId="66794A68" w14:textId="77777777" w:rsidTr="00BB3287">
        <w:tc>
          <w:tcPr>
            <w:tcW w:w="2160" w:type="dxa"/>
          </w:tcPr>
          <w:p w14:paraId="61C97EB2" w14:textId="5F04642F" w:rsidR="00BB3287" w:rsidRDefault="00BB3287" w:rsidP="00BB3287">
            <w:pPr>
              <w:pStyle w:val="SCVtablebody"/>
            </w:pPr>
            <w:r>
              <w:t xml:space="preserve">Open disclosure </w:t>
            </w:r>
          </w:p>
        </w:tc>
        <w:tc>
          <w:tcPr>
            <w:tcW w:w="8044" w:type="dxa"/>
          </w:tcPr>
          <w:p w14:paraId="0A0E6D07" w14:textId="293E886C" w:rsidR="00BB3287" w:rsidRDefault="00BB3287" w:rsidP="00BB3287">
            <w:pPr>
              <w:pStyle w:val="SCVtablebody"/>
            </w:pPr>
            <w:r>
              <w:t xml:space="preserve">The open and transparent discussion of adverse events that result in harm to a patient while receiving health care with the patient, their family and carers </w:t>
            </w:r>
          </w:p>
        </w:tc>
      </w:tr>
      <w:tr w:rsidR="00BB3287" w14:paraId="799413E0" w14:textId="77777777" w:rsidTr="00BB3287">
        <w:tc>
          <w:tcPr>
            <w:tcW w:w="2160" w:type="dxa"/>
          </w:tcPr>
          <w:p w14:paraId="3C15C929" w14:textId="46844DD1" w:rsidR="00BB3287" w:rsidRDefault="00BB3287" w:rsidP="00BB3287">
            <w:pPr>
              <w:pStyle w:val="SCVtablebody"/>
            </w:pPr>
            <w:r>
              <w:t>Peer group</w:t>
            </w:r>
          </w:p>
        </w:tc>
        <w:tc>
          <w:tcPr>
            <w:tcW w:w="8044" w:type="dxa"/>
          </w:tcPr>
          <w:p w14:paraId="2AD2F1D4" w14:textId="11E56ACA" w:rsidR="00BB3287" w:rsidRDefault="00BB3287" w:rsidP="00BB3287">
            <w:pPr>
              <w:pStyle w:val="SCVtablebody"/>
            </w:pPr>
            <w:r>
              <w:t xml:space="preserve">Grouping of health services of comparable size or clinical capability to allow for accurate comparison for the purpose of data reporting </w:t>
            </w:r>
          </w:p>
        </w:tc>
      </w:tr>
      <w:tr w:rsidR="00BB3287" w14:paraId="2C5C6119" w14:textId="77777777" w:rsidTr="00BB3287">
        <w:tc>
          <w:tcPr>
            <w:tcW w:w="2160" w:type="dxa"/>
          </w:tcPr>
          <w:p w14:paraId="4277ADBC" w14:textId="5CAA3699" w:rsidR="00BB3287" w:rsidRDefault="00BB3287" w:rsidP="00BB3287">
            <w:pPr>
              <w:pStyle w:val="SCVtablebody"/>
            </w:pPr>
            <w:r>
              <w:t xml:space="preserve">PIPER </w:t>
            </w:r>
          </w:p>
        </w:tc>
        <w:tc>
          <w:tcPr>
            <w:tcW w:w="8044" w:type="dxa"/>
          </w:tcPr>
          <w:p w14:paraId="0450D733" w14:textId="62989051" w:rsidR="00BB3287" w:rsidRDefault="00BB3287" w:rsidP="00BB3287">
            <w:pPr>
              <w:pStyle w:val="SCVtablebody"/>
            </w:pPr>
            <w:r>
              <w:t xml:space="preserve">Paediatric Infant Perinatal Emergency Retrieval </w:t>
            </w:r>
          </w:p>
        </w:tc>
      </w:tr>
      <w:tr w:rsidR="00BB3287" w14:paraId="04298614" w14:textId="77777777" w:rsidTr="00BB3287">
        <w:tc>
          <w:tcPr>
            <w:tcW w:w="2160" w:type="dxa"/>
          </w:tcPr>
          <w:p w14:paraId="2F68624F" w14:textId="08FD6619" w:rsidR="00BB3287" w:rsidRDefault="00BB3287" w:rsidP="00BB3287">
            <w:pPr>
              <w:pStyle w:val="SCVtablebody"/>
            </w:pPr>
            <w:r>
              <w:t xml:space="preserve">Pulmonary embolus </w:t>
            </w:r>
          </w:p>
        </w:tc>
        <w:tc>
          <w:tcPr>
            <w:tcW w:w="8044" w:type="dxa"/>
          </w:tcPr>
          <w:p w14:paraId="52904811" w14:textId="78B56960" w:rsidR="00BB3287" w:rsidRDefault="00BB3287" w:rsidP="00BB3287">
            <w:pPr>
              <w:pStyle w:val="SCVtablebody"/>
            </w:pPr>
            <w:r>
              <w:t xml:space="preserve">A blood clot in the lungs </w:t>
            </w:r>
          </w:p>
        </w:tc>
      </w:tr>
      <w:tr w:rsidR="00BB3287" w14:paraId="4C7FAAA0" w14:textId="77777777" w:rsidTr="00BB3287">
        <w:tc>
          <w:tcPr>
            <w:tcW w:w="2160" w:type="dxa"/>
          </w:tcPr>
          <w:p w14:paraId="41A2EC2F" w14:textId="7C4290BD" w:rsidR="00BB3287" w:rsidRDefault="00BB3287" w:rsidP="00BB3287">
            <w:pPr>
              <w:pStyle w:val="SCVtablebody"/>
            </w:pPr>
            <w:r>
              <w:t xml:space="preserve">RCH </w:t>
            </w:r>
          </w:p>
        </w:tc>
        <w:tc>
          <w:tcPr>
            <w:tcW w:w="8044" w:type="dxa"/>
          </w:tcPr>
          <w:p w14:paraId="224BAEDA" w14:textId="21669D83" w:rsidR="00BB3287" w:rsidRDefault="00BB3287" w:rsidP="00BB3287">
            <w:pPr>
              <w:pStyle w:val="SCVtablebody"/>
            </w:pPr>
            <w:r>
              <w:t xml:space="preserve">The Royal Children’s Hospital </w:t>
            </w:r>
          </w:p>
        </w:tc>
      </w:tr>
      <w:tr w:rsidR="00BB3287" w14:paraId="76997BD3" w14:textId="77777777" w:rsidTr="00BB3287">
        <w:tc>
          <w:tcPr>
            <w:tcW w:w="2160" w:type="dxa"/>
          </w:tcPr>
          <w:p w14:paraId="60ED4E5E" w14:textId="20B7A3B0" w:rsidR="00BB3287" w:rsidRDefault="00BB3287" w:rsidP="00BB3287">
            <w:pPr>
              <w:pStyle w:val="SCVtablebody"/>
            </w:pPr>
            <w:r>
              <w:t xml:space="preserve">Reporting culture </w:t>
            </w:r>
          </w:p>
        </w:tc>
        <w:tc>
          <w:tcPr>
            <w:tcW w:w="8044" w:type="dxa"/>
          </w:tcPr>
          <w:p w14:paraId="0AE4623D" w14:textId="32B6945E" w:rsidR="00BB3287" w:rsidRDefault="00BB3287" w:rsidP="00BB3287">
            <w:pPr>
              <w:pStyle w:val="SCVtablebody"/>
            </w:pPr>
            <w:r>
              <w:t xml:space="preserve">An environment where individuals have the confidence and feel safe to report safety issues without fear of blame, and where they can trust their concerns will be acted on </w:t>
            </w:r>
          </w:p>
        </w:tc>
      </w:tr>
      <w:tr w:rsidR="00BB3287" w14:paraId="63DA727A" w14:textId="77777777" w:rsidTr="00BB3287">
        <w:tc>
          <w:tcPr>
            <w:tcW w:w="2160" w:type="dxa"/>
          </w:tcPr>
          <w:p w14:paraId="15DD272E" w14:textId="400F68AF" w:rsidR="00BB3287" w:rsidRDefault="00BB3287" w:rsidP="00BB3287">
            <w:pPr>
              <w:pStyle w:val="SCVtablebody"/>
            </w:pPr>
            <w:r>
              <w:t xml:space="preserve">Reporting mechanism </w:t>
            </w:r>
          </w:p>
        </w:tc>
        <w:tc>
          <w:tcPr>
            <w:tcW w:w="8044" w:type="dxa"/>
          </w:tcPr>
          <w:p w14:paraId="6034C79B" w14:textId="78CB5C3F" w:rsidR="00BB3287" w:rsidRDefault="00BB3287" w:rsidP="00BB3287">
            <w:pPr>
              <w:pStyle w:val="SCVtablebody"/>
            </w:pPr>
            <w:r>
              <w:t xml:space="preserve">User friendly, timely and enable closed loop communication with affected employees </w:t>
            </w:r>
          </w:p>
        </w:tc>
      </w:tr>
      <w:tr w:rsidR="00BB3287" w14:paraId="7549611E" w14:textId="77777777" w:rsidTr="00BB3287">
        <w:tc>
          <w:tcPr>
            <w:tcW w:w="2160" w:type="dxa"/>
          </w:tcPr>
          <w:p w14:paraId="6B019BA7" w14:textId="2C9ED73F" w:rsidR="00BB3287" w:rsidRDefault="00BB3287" w:rsidP="00BB3287">
            <w:pPr>
              <w:pStyle w:val="SCVtablebody"/>
            </w:pPr>
            <w:r>
              <w:t xml:space="preserve">Review finding </w:t>
            </w:r>
          </w:p>
        </w:tc>
        <w:tc>
          <w:tcPr>
            <w:tcW w:w="8044" w:type="dxa"/>
          </w:tcPr>
          <w:p w14:paraId="37BD53EC" w14:textId="1944A06E" w:rsidR="00BB3287" w:rsidRDefault="00BB3287" w:rsidP="00BB3287">
            <w:pPr>
              <w:pStyle w:val="SCVtablebody"/>
            </w:pPr>
            <w:r>
              <w:t xml:space="preserve">A summary statement that describes how a system issue or factor contributed to an adverse patient safety event </w:t>
            </w:r>
          </w:p>
        </w:tc>
      </w:tr>
      <w:tr w:rsidR="00BB3287" w14:paraId="25974757" w14:textId="77777777" w:rsidTr="00BB3287">
        <w:tc>
          <w:tcPr>
            <w:tcW w:w="2160" w:type="dxa"/>
          </w:tcPr>
          <w:p w14:paraId="0A691197" w14:textId="64B45730" w:rsidR="00BB3287" w:rsidRDefault="00BB3287" w:rsidP="00BB3287">
            <w:pPr>
              <w:pStyle w:val="SCVtablebody"/>
            </w:pPr>
            <w:r>
              <w:t xml:space="preserve">Recommendation strength </w:t>
            </w:r>
          </w:p>
        </w:tc>
        <w:tc>
          <w:tcPr>
            <w:tcW w:w="8044" w:type="dxa"/>
          </w:tcPr>
          <w:p w14:paraId="7BD4964F" w14:textId="138610F1" w:rsidR="00BB3287" w:rsidRDefault="00BB3287" w:rsidP="00BB3287">
            <w:pPr>
              <w:pStyle w:val="SCVtablebody"/>
            </w:pPr>
            <w:r>
              <w:t xml:space="preserve">The level of tangible impact that the actions outlined in the recommendation will have within the health service </w:t>
            </w:r>
          </w:p>
        </w:tc>
      </w:tr>
      <w:tr w:rsidR="00BB3287" w14:paraId="05C87368" w14:textId="77777777" w:rsidTr="00BB3287">
        <w:tc>
          <w:tcPr>
            <w:tcW w:w="2160" w:type="dxa"/>
          </w:tcPr>
          <w:p w14:paraId="22737B32" w14:textId="7581BB54" w:rsidR="00BB3287" w:rsidRDefault="00BB3287" w:rsidP="00BB3287">
            <w:pPr>
              <w:pStyle w:val="SCVtablebody"/>
            </w:pPr>
            <w:r>
              <w:t xml:space="preserve">Safety culture </w:t>
            </w:r>
          </w:p>
        </w:tc>
        <w:tc>
          <w:tcPr>
            <w:tcW w:w="8044" w:type="dxa"/>
          </w:tcPr>
          <w:p w14:paraId="4349EAFB" w14:textId="58175E36" w:rsidR="00BB3287" w:rsidRDefault="00BB3287" w:rsidP="00BB3287">
            <w:pPr>
              <w:pStyle w:val="SCVtablebody"/>
            </w:pPr>
            <w:r>
              <w:t xml:space="preserve">The individual and group values, attitudes, and behaviours that determine the commitment to and practice of organisational safety </w:t>
            </w:r>
          </w:p>
        </w:tc>
      </w:tr>
      <w:tr w:rsidR="00BB3287" w14:paraId="5F82813A" w14:textId="77777777" w:rsidTr="00BB3287">
        <w:tc>
          <w:tcPr>
            <w:tcW w:w="2160" w:type="dxa"/>
          </w:tcPr>
          <w:p w14:paraId="223AC9A9" w14:textId="0CFC7F21" w:rsidR="00BB3287" w:rsidRDefault="00BB3287" w:rsidP="00BB3287">
            <w:pPr>
              <w:pStyle w:val="SCVtablebody"/>
            </w:pPr>
            <w:r>
              <w:t xml:space="preserve">SAPSE </w:t>
            </w:r>
          </w:p>
        </w:tc>
        <w:tc>
          <w:tcPr>
            <w:tcW w:w="8044" w:type="dxa"/>
          </w:tcPr>
          <w:p w14:paraId="44572DBD" w14:textId="29706675" w:rsidR="00BB3287" w:rsidRDefault="00BB3287" w:rsidP="00BB3287">
            <w:pPr>
              <w:pStyle w:val="SCVtablebody"/>
            </w:pPr>
            <w:r>
              <w:t xml:space="preserve">Serious adverse patient safety event </w:t>
            </w:r>
          </w:p>
        </w:tc>
      </w:tr>
      <w:tr w:rsidR="00BB3287" w14:paraId="4176A6FD" w14:textId="77777777" w:rsidTr="00BB3287">
        <w:tc>
          <w:tcPr>
            <w:tcW w:w="2160" w:type="dxa"/>
          </w:tcPr>
          <w:p w14:paraId="7887FB8A" w14:textId="4DA5C0F8" w:rsidR="00BB3287" w:rsidRDefault="00BB3287" w:rsidP="00BB3287">
            <w:pPr>
              <w:pStyle w:val="SCVtablebody"/>
            </w:pPr>
            <w:r>
              <w:t xml:space="preserve">SCV </w:t>
            </w:r>
          </w:p>
        </w:tc>
        <w:tc>
          <w:tcPr>
            <w:tcW w:w="8044" w:type="dxa"/>
          </w:tcPr>
          <w:p w14:paraId="13C9D82B" w14:textId="41BDCD0E" w:rsidR="00BB3287" w:rsidRDefault="00BB3287" w:rsidP="00BB3287">
            <w:pPr>
              <w:pStyle w:val="SCVtablebody"/>
            </w:pPr>
            <w:r>
              <w:t xml:space="preserve">Safer Care Victoria </w:t>
            </w:r>
          </w:p>
        </w:tc>
      </w:tr>
      <w:tr w:rsidR="00BB3287" w14:paraId="7688AAB0" w14:textId="77777777" w:rsidTr="00BB3287">
        <w:tc>
          <w:tcPr>
            <w:tcW w:w="2160" w:type="dxa"/>
          </w:tcPr>
          <w:p w14:paraId="232E2FEE" w14:textId="54C89FA3" w:rsidR="00BB3287" w:rsidRDefault="00BB3287" w:rsidP="00BB3287">
            <w:pPr>
              <w:pStyle w:val="SCVtablebody"/>
            </w:pPr>
            <w:r>
              <w:lastRenderedPageBreak/>
              <w:t xml:space="preserve">SDC </w:t>
            </w:r>
          </w:p>
        </w:tc>
        <w:tc>
          <w:tcPr>
            <w:tcW w:w="8044" w:type="dxa"/>
          </w:tcPr>
          <w:p w14:paraId="3DF18BB0" w14:textId="6FCADE8C" w:rsidR="00BB3287" w:rsidRDefault="00BB3287" w:rsidP="00BB3287">
            <w:pPr>
              <w:pStyle w:val="SCVtablebody"/>
            </w:pPr>
            <w:r>
              <w:t xml:space="preserve">Statutory Duty of Candour </w:t>
            </w:r>
          </w:p>
        </w:tc>
      </w:tr>
      <w:tr w:rsidR="00BB3287" w14:paraId="69A9111E" w14:textId="77777777" w:rsidTr="00BB3287">
        <w:tc>
          <w:tcPr>
            <w:tcW w:w="2160" w:type="dxa"/>
          </w:tcPr>
          <w:p w14:paraId="2B34292F" w14:textId="26A05433" w:rsidR="00BB3287" w:rsidRDefault="00BB3287" w:rsidP="00BB3287">
            <w:pPr>
              <w:pStyle w:val="SCVtablebody"/>
            </w:pPr>
            <w:r>
              <w:t xml:space="preserve">Sentinel event </w:t>
            </w:r>
          </w:p>
        </w:tc>
        <w:tc>
          <w:tcPr>
            <w:tcW w:w="8044" w:type="dxa"/>
          </w:tcPr>
          <w:p w14:paraId="0B1CC472" w14:textId="142D3D96" w:rsidR="00BB3287" w:rsidRDefault="00BB3287" w:rsidP="00BB3287">
            <w:pPr>
              <w:pStyle w:val="SCVtablebody"/>
            </w:pPr>
            <w:r>
              <w:t xml:space="preserve">The most serious adverse events, which result in a patient dying or being seriously harmed </w:t>
            </w:r>
          </w:p>
        </w:tc>
      </w:tr>
      <w:tr w:rsidR="00BB3287" w14:paraId="1D444D6D" w14:textId="77777777" w:rsidTr="00BB3287">
        <w:tc>
          <w:tcPr>
            <w:tcW w:w="2160" w:type="dxa"/>
          </w:tcPr>
          <w:p w14:paraId="634CC9B9" w14:textId="09E43E0D" w:rsidR="00BB3287" w:rsidRDefault="00BB3287" w:rsidP="00BB3287">
            <w:pPr>
              <w:pStyle w:val="SCVtablebody"/>
            </w:pPr>
            <w:r>
              <w:t xml:space="preserve">SMART </w:t>
            </w:r>
          </w:p>
        </w:tc>
        <w:tc>
          <w:tcPr>
            <w:tcW w:w="8044" w:type="dxa"/>
          </w:tcPr>
          <w:p w14:paraId="13E397D4" w14:textId="1E17960D" w:rsidR="00BB3287" w:rsidRDefault="00BB3287" w:rsidP="00BB3287">
            <w:pPr>
              <w:pStyle w:val="SCVtablebody"/>
            </w:pPr>
            <w:r>
              <w:t xml:space="preserve">This acronym stands for specific, measurable, achievable, realistic, timely </w:t>
            </w:r>
          </w:p>
        </w:tc>
      </w:tr>
      <w:tr w:rsidR="00BB3287" w14:paraId="78369D61" w14:textId="77777777" w:rsidTr="00BB3287">
        <w:tc>
          <w:tcPr>
            <w:tcW w:w="2160" w:type="dxa"/>
          </w:tcPr>
          <w:p w14:paraId="7771ECA2" w14:textId="23B6278A" w:rsidR="00BB3287" w:rsidRDefault="00BB3287" w:rsidP="00BB3287">
            <w:pPr>
              <w:pStyle w:val="SCVtablebody"/>
            </w:pPr>
            <w:r>
              <w:t xml:space="preserve">Speciality </w:t>
            </w:r>
          </w:p>
        </w:tc>
        <w:tc>
          <w:tcPr>
            <w:tcW w:w="8044" w:type="dxa"/>
          </w:tcPr>
          <w:p w14:paraId="689005AD" w14:textId="390C30BA" w:rsidR="00BB3287" w:rsidRDefault="00BB3287" w:rsidP="00BB3287">
            <w:pPr>
              <w:pStyle w:val="SCVtablebody"/>
            </w:pPr>
            <w:r>
              <w:t xml:space="preserve">A branch of medical practice that focuses on a defined group of patients, diseases or skills </w:t>
            </w:r>
          </w:p>
        </w:tc>
      </w:tr>
      <w:tr w:rsidR="00BB3287" w14:paraId="0CBA2B7B" w14:textId="77777777" w:rsidTr="00BB3287">
        <w:tc>
          <w:tcPr>
            <w:tcW w:w="2160" w:type="dxa"/>
          </w:tcPr>
          <w:p w14:paraId="2CE091C9" w14:textId="089BBEAA" w:rsidR="00BB3287" w:rsidRDefault="00BB3287" w:rsidP="00BB3287">
            <w:pPr>
              <w:pStyle w:val="SCVtablebody"/>
            </w:pPr>
            <w:r>
              <w:t>the Commission</w:t>
            </w:r>
          </w:p>
        </w:tc>
        <w:tc>
          <w:tcPr>
            <w:tcW w:w="8044" w:type="dxa"/>
          </w:tcPr>
          <w:p w14:paraId="3E458989" w14:textId="1E0D16F7" w:rsidR="00BB3287" w:rsidRDefault="00000000" w:rsidP="00BB3287">
            <w:pPr>
              <w:pStyle w:val="SCVtablebody"/>
            </w:pPr>
            <w:hyperlink r:id="rId77" w:history="1">
              <w:r w:rsidR="00BB3287" w:rsidRPr="0071451B">
                <w:rPr>
                  <w:rStyle w:val="Hyperlink"/>
                </w:rPr>
                <w:t>Australian Commission on Safety and Quality in Health Care</w:t>
              </w:r>
            </w:hyperlink>
            <w:r w:rsidR="00BB3287">
              <w:t xml:space="preserve"> &lt;https://www.safetyandquality.gov.au&gt; – a Commonwealth entity for quality and safety in healthcare that sets the national sentinel event notification list </w:t>
            </w:r>
          </w:p>
        </w:tc>
      </w:tr>
      <w:tr w:rsidR="00BB3287" w14:paraId="0DE0203E" w14:textId="77777777" w:rsidTr="00BB3287">
        <w:tc>
          <w:tcPr>
            <w:tcW w:w="2160" w:type="dxa"/>
          </w:tcPr>
          <w:p w14:paraId="167D4131" w14:textId="5311FAC7" w:rsidR="00BB3287" w:rsidRDefault="00BB3287" w:rsidP="00BB3287">
            <w:pPr>
              <w:pStyle w:val="SCVtablebody"/>
            </w:pPr>
            <w:proofErr w:type="spellStart"/>
            <w:r>
              <w:t>Thromboembolus</w:t>
            </w:r>
            <w:proofErr w:type="spellEnd"/>
            <w:r>
              <w:t xml:space="preserve"> </w:t>
            </w:r>
          </w:p>
        </w:tc>
        <w:tc>
          <w:tcPr>
            <w:tcW w:w="8044" w:type="dxa"/>
          </w:tcPr>
          <w:p w14:paraId="5E3AB935" w14:textId="1E57295B" w:rsidR="00BB3287" w:rsidRDefault="00BB3287" w:rsidP="00BB3287">
            <w:pPr>
              <w:pStyle w:val="SCVtablebody"/>
            </w:pPr>
            <w:r>
              <w:t xml:space="preserve">When a blood clot forms in an artery or vein </w:t>
            </w:r>
          </w:p>
        </w:tc>
      </w:tr>
      <w:tr w:rsidR="00BB3287" w14:paraId="4A7263AE" w14:textId="77777777" w:rsidTr="00BB3287">
        <w:tc>
          <w:tcPr>
            <w:tcW w:w="2160" w:type="dxa"/>
          </w:tcPr>
          <w:p w14:paraId="631A89D7" w14:textId="55B85937" w:rsidR="00BB3287" w:rsidRDefault="00BB3287" w:rsidP="00BB3287">
            <w:pPr>
              <w:pStyle w:val="SCVtablebody"/>
            </w:pPr>
            <w:r>
              <w:t xml:space="preserve">Thromboprophylaxis </w:t>
            </w:r>
          </w:p>
        </w:tc>
        <w:tc>
          <w:tcPr>
            <w:tcW w:w="8044" w:type="dxa"/>
          </w:tcPr>
          <w:p w14:paraId="0C26E02A" w14:textId="57B1D255" w:rsidR="00BB3287" w:rsidRDefault="00BB3287" w:rsidP="00BB3287">
            <w:pPr>
              <w:pStyle w:val="SCVtablebody"/>
            </w:pPr>
            <w:r>
              <w:t xml:space="preserve">Medical treatment to prevent the development of thrombus (blood clots inside blood vessels) in those considered at risk for developing thrombus </w:t>
            </w:r>
          </w:p>
        </w:tc>
      </w:tr>
      <w:tr w:rsidR="00BB3287" w14:paraId="10F50FE2" w14:textId="77777777" w:rsidTr="00BB3287">
        <w:tc>
          <w:tcPr>
            <w:tcW w:w="2160" w:type="dxa"/>
          </w:tcPr>
          <w:p w14:paraId="630CA2A7" w14:textId="378A6706" w:rsidR="00BB3287" w:rsidRDefault="00BB3287" w:rsidP="00BB3287">
            <w:pPr>
              <w:pStyle w:val="SCVtablebody"/>
            </w:pPr>
            <w:proofErr w:type="spellStart"/>
            <w:r>
              <w:t>VicTAG</w:t>
            </w:r>
            <w:proofErr w:type="spellEnd"/>
            <w:r>
              <w:t xml:space="preserve"> </w:t>
            </w:r>
          </w:p>
        </w:tc>
        <w:tc>
          <w:tcPr>
            <w:tcW w:w="8044" w:type="dxa"/>
          </w:tcPr>
          <w:p w14:paraId="76C8D089" w14:textId="58FFDBBC" w:rsidR="00BB3287" w:rsidRDefault="00000000" w:rsidP="00BB3287">
            <w:pPr>
              <w:pStyle w:val="SCVtablebody"/>
            </w:pPr>
            <w:hyperlink r:id="rId78" w:history="1">
              <w:r w:rsidR="00BB3287" w:rsidRPr="0071451B">
                <w:rPr>
                  <w:rStyle w:val="Hyperlink"/>
                </w:rPr>
                <w:t>Victorian Therapeutics Advisory Group</w:t>
              </w:r>
            </w:hyperlink>
            <w:r w:rsidR="00BB3287">
              <w:t xml:space="preserve"> &lt;https://www.victag.org.au&gt; – an organisation whose purpose is to promote quality use of medicines by sharing unbiased, evidence-based information about medication therapy and to support the goals of, and facilitate the National Medicines Policy of, access, quality and safety in the use of medicines in Victorian hospitals </w:t>
            </w:r>
          </w:p>
        </w:tc>
      </w:tr>
      <w:tr w:rsidR="00BB3287" w14:paraId="0D98A000" w14:textId="77777777" w:rsidTr="00BB3287">
        <w:tc>
          <w:tcPr>
            <w:tcW w:w="2160" w:type="dxa"/>
          </w:tcPr>
          <w:p w14:paraId="1E00CF75" w14:textId="50156C8A" w:rsidR="00BB3287" w:rsidRDefault="00BB3287" w:rsidP="00BB3287">
            <w:pPr>
              <w:pStyle w:val="SCVtablebody"/>
            </w:pPr>
            <w:r>
              <w:t xml:space="preserve">VTE </w:t>
            </w:r>
          </w:p>
        </w:tc>
        <w:tc>
          <w:tcPr>
            <w:tcW w:w="8044" w:type="dxa"/>
          </w:tcPr>
          <w:p w14:paraId="20238456" w14:textId="53F744C0" w:rsidR="00BB3287" w:rsidRDefault="00BB3287" w:rsidP="00BB3287">
            <w:pPr>
              <w:pStyle w:val="SCVtablebody"/>
            </w:pPr>
            <w:r>
              <w:t xml:space="preserve">Venous </w:t>
            </w:r>
            <w:proofErr w:type="spellStart"/>
            <w:r>
              <w:t>thromboembolus</w:t>
            </w:r>
            <w:proofErr w:type="spellEnd"/>
            <w:r>
              <w:t xml:space="preserve"> – a pathology that includes deep vein thrombosis and pulmonary embolism, which are common causes of preventable mortality and morbidity among hospitalised patients. A blood clot forming in the vein is a common cause of harm in hospitalised patients </w:t>
            </w:r>
          </w:p>
        </w:tc>
      </w:tr>
      <w:tr w:rsidR="00BB3287" w14:paraId="4BF5BAC7" w14:textId="77777777" w:rsidTr="00BB3287">
        <w:tc>
          <w:tcPr>
            <w:tcW w:w="2160" w:type="dxa"/>
          </w:tcPr>
          <w:p w14:paraId="64D8AAC7" w14:textId="0ED6729A" w:rsidR="00BB3287" w:rsidRDefault="00BB3287" w:rsidP="00BB3287">
            <w:pPr>
              <w:pStyle w:val="SCVtablebody"/>
            </w:pPr>
            <w:r>
              <w:t xml:space="preserve">VVED </w:t>
            </w:r>
          </w:p>
        </w:tc>
        <w:tc>
          <w:tcPr>
            <w:tcW w:w="8044" w:type="dxa"/>
          </w:tcPr>
          <w:p w14:paraId="671C83B6" w14:textId="6A711243" w:rsidR="00BB3287" w:rsidRDefault="00BB3287" w:rsidP="00BB3287">
            <w:pPr>
              <w:pStyle w:val="SCVtablebody"/>
            </w:pPr>
            <w:r>
              <w:t xml:space="preserve">Victorian Virtual Emergency Department </w:t>
            </w:r>
          </w:p>
        </w:tc>
      </w:tr>
    </w:tbl>
    <w:p w14:paraId="0071A679" w14:textId="77777777" w:rsidR="00152EC1" w:rsidRDefault="00152EC1" w:rsidP="00A17F27">
      <w:pPr>
        <w:pStyle w:val="Heading1"/>
      </w:pPr>
      <w:bookmarkStart w:id="37" w:name="_Toc173851135"/>
      <w:r>
        <w:lastRenderedPageBreak/>
        <w:t>Data supplement</w:t>
      </w:r>
      <w:bookmarkEnd w:id="37"/>
      <w:r>
        <w:t xml:space="preserve"> </w:t>
      </w:r>
    </w:p>
    <w:p w14:paraId="230C284E" w14:textId="77777777" w:rsidR="00152EC1" w:rsidRDefault="00152EC1" w:rsidP="00C96A69">
      <w:pPr>
        <w:pStyle w:val="SCVbody"/>
      </w:pPr>
      <w:r>
        <w:t xml:space="preserve">Data within this report and data supplement has been compared to previous years, where possible. The number of years that can be included for comparison varies between indicators. This is due to changes to the reporting requirements for health services and the methods for collecting this data over time. </w:t>
      </w:r>
    </w:p>
    <w:p w14:paraId="24730E17" w14:textId="77777777" w:rsidR="00152EC1" w:rsidRDefault="00152EC1" w:rsidP="00C96A69">
      <w:pPr>
        <w:pStyle w:val="SCVbody"/>
      </w:pPr>
      <w:r>
        <w:t xml:space="preserve">Most notably these are: </w:t>
      </w:r>
    </w:p>
    <w:p w14:paraId="6CF05A10" w14:textId="77777777" w:rsidR="00152EC1" w:rsidRDefault="00152EC1" w:rsidP="00A17F27">
      <w:pPr>
        <w:pStyle w:val="SCVbullet1"/>
      </w:pPr>
      <w:r>
        <w:t xml:space="preserve">2019–20 revised national sentinel event categories published. Updated guidance published by SCV on reporting and consumer inclusion </w:t>
      </w:r>
    </w:p>
    <w:p w14:paraId="5BBC07DE" w14:textId="77777777" w:rsidR="00152EC1" w:rsidRDefault="00152EC1" w:rsidP="00A17F27">
      <w:pPr>
        <w:pStyle w:val="SCVbullet1"/>
      </w:pPr>
      <w:r>
        <w:t xml:space="preserve">2021–22 introduction of the online sentinel events reporting portal for event reporting, and increased data collection and comparison. </w:t>
      </w:r>
    </w:p>
    <w:p w14:paraId="64F5A883" w14:textId="77777777" w:rsidR="00152EC1" w:rsidRDefault="00152EC1" w:rsidP="00A17F27">
      <w:pPr>
        <w:pStyle w:val="Heading2"/>
      </w:pPr>
      <w:bookmarkStart w:id="38" w:name="_Toc173851136"/>
      <w:r>
        <w:t>Sentinel events reporting by category and subcategory</w:t>
      </w:r>
      <w:bookmarkEnd w:id="38"/>
      <w:r>
        <w:t xml:space="preserve"> </w:t>
      </w:r>
    </w:p>
    <w:p w14:paraId="3F4E84EE" w14:textId="77777777" w:rsidR="00152EC1" w:rsidRDefault="00152EC1" w:rsidP="00A17F27">
      <w:pPr>
        <w:pStyle w:val="SCVtablecaption"/>
      </w:pPr>
      <w:r>
        <w:t xml:space="preserve">Table 2. Sentinel event notification by category 2021–22 and 2022–23 </w:t>
      </w:r>
    </w:p>
    <w:tbl>
      <w:tblPr>
        <w:tblStyle w:val="TableGrid"/>
        <w:tblW w:w="0" w:type="auto"/>
        <w:tblLook w:val="04A0" w:firstRow="1" w:lastRow="0" w:firstColumn="1" w:lastColumn="0" w:noHBand="0" w:noVBand="1"/>
      </w:tblPr>
      <w:tblGrid>
        <w:gridCol w:w="7290"/>
        <w:gridCol w:w="1457"/>
        <w:gridCol w:w="1457"/>
      </w:tblGrid>
      <w:tr w:rsidR="00A17F27" w14:paraId="03E96B00" w14:textId="77777777" w:rsidTr="00A17F27">
        <w:trPr>
          <w:cnfStyle w:val="100000000000" w:firstRow="1" w:lastRow="0" w:firstColumn="0" w:lastColumn="0" w:oddVBand="0" w:evenVBand="0" w:oddHBand="0" w:evenHBand="0" w:firstRowFirstColumn="0" w:firstRowLastColumn="0" w:lastRowFirstColumn="0" w:lastRowLastColumn="0"/>
          <w:tblHeader/>
        </w:trPr>
        <w:tc>
          <w:tcPr>
            <w:tcW w:w="7290" w:type="dxa"/>
          </w:tcPr>
          <w:p w14:paraId="1AED16C1" w14:textId="03A38644" w:rsidR="00A17F27" w:rsidRDefault="00A17F27" w:rsidP="00A17F27">
            <w:pPr>
              <w:pStyle w:val="SCVtablecolhead"/>
            </w:pPr>
            <w:r>
              <w:t>Category</w:t>
            </w:r>
          </w:p>
        </w:tc>
        <w:tc>
          <w:tcPr>
            <w:tcW w:w="1457" w:type="dxa"/>
          </w:tcPr>
          <w:p w14:paraId="148E9DE4" w14:textId="379F61E6" w:rsidR="00A17F27" w:rsidRDefault="00A17F27" w:rsidP="00A17F27">
            <w:pPr>
              <w:pStyle w:val="SCVtablecolhead"/>
            </w:pPr>
            <w:r>
              <w:t>2021–2022</w:t>
            </w:r>
          </w:p>
        </w:tc>
        <w:tc>
          <w:tcPr>
            <w:tcW w:w="1457" w:type="dxa"/>
          </w:tcPr>
          <w:p w14:paraId="3E4BFB03" w14:textId="76974C62" w:rsidR="00A17F27" w:rsidRDefault="00A17F27" w:rsidP="00A17F27">
            <w:pPr>
              <w:pStyle w:val="SCVtablecolhead"/>
            </w:pPr>
            <w:r>
              <w:t xml:space="preserve">2022–2023 </w:t>
            </w:r>
          </w:p>
        </w:tc>
      </w:tr>
      <w:tr w:rsidR="00A17F27" w14:paraId="09EBFEDB" w14:textId="77777777" w:rsidTr="00A17F27">
        <w:tc>
          <w:tcPr>
            <w:tcW w:w="7290" w:type="dxa"/>
          </w:tcPr>
          <w:p w14:paraId="67DBA660" w14:textId="13F79FE7" w:rsidR="00A17F27" w:rsidRDefault="00154EF9" w:rsidP="00706267">
            <w:pPr>
              <w:pStyle w:val="SCVtablebody"/>
            </w:pPr>
            <w:r>
              <w:t>1. Surgery or other invasive procedure performed on the wrong site resulting in serious harm or death</w:t>
            </w:r>
          </w:p>
        </w:tc>
        <w:tc>
          <w:tcPr>
            <w:tcW w:w="1457" w:type="dxa"/>
          </w:tcPr>
          <w:p w14:paraId="708AA53C" w14:textId="2693CB0A" w:rsidR="00A17F27" w:rsidRDefault="00154EF9" w:rsidP="00706267">
            <w:pPr>
              <w:pStyle w:val="SCVtablebody"/>
            </w:pPr>
            <w:r>
              <w:t>1</w:t>
            </w:r>
          </w:p>
        </w:tc>
        <w:tc>
          <w:tcPr>
            <w:tcW w:w="1457" w:type="dxa"/>
          </w:tcPr>
          <w:p w14:paraId="11F1F260" w14:textId="0EE0F4CF" w:rsidR="00A17F27" w:rsidRDefault="00154EF9" w:rsidP="00706267">
            <w:pPr>
              <w:pStyle w:val="SCVtablebody"/>
            </w:pPr>
            <w:r>
              <w:t>3</w:t>
            </w:r>
          </w:p>
        </w:tc>
      </w:tr>
      <w:tr w:rsidR="00A17F27" w14:paraId="382E7854" w14:textId="77777777" w:rsidTr="00A17F27">
        <w:tc>
          <w:tcPr>
            <w:tcW w:w="7290" w:type="dxa"/>
          </w:tcPr>
          <w:p w14:paraId="51D3FACB" w14:textId="5E6270DF" w:rsidR="00A17F27" w:rsidRDefault="00154EF9" w:rsidP="00706267">
            <w:pPr>
              <w:pStyle w:val="SCVtablebody"/>
            </w:pPr>
            <w:r>
              <w:t>2. Surgery or other invasive procedure performed on the wrong patient resulting in serious harm or death</w:t>
            </w:r>
          </w:p>
        </w:tc>
        <w:tc>
          <w:tcPr>
            <w:tcW w:w="1457" w:type="dxa"/>
          </w:tcPr>
          <w:p w14:paraId="4C492632" w14:textId="671C6930" w:rsidR="00A17F27" w:rsidRDefault="00154EF9" w:rsidP="00706267">
            <w:pPr>
              <w:pStyle w:val="SCVtablebody"/>
            </w:pPr>
            <w:r>
              <w:t>0</w:t>
            </w:r>
          </w:p>
        </w:tc>
        <w:tc>
          <w:tcPr>
            <w:tcW w:w="1457" w:type="dxa"/>
          </w:tcPr>
          <w:p w14:paraId="2D4B2DF2" w14:textId="47FC34EC" w:rsidR="00A17F27" w:rsidRDefault="00154EF9" w:rsidP="00706267">
            <w:pPr>
              <w:pStyle w:val="SCVtablebody"/>
            </w:pPr>
            <w:r>
              <w:t>0</w:t>
            </w:r>
          </w:p>
        </w:tc>
      </w:tr>
      <w:tr w:rsidR="00A17F27" w14:paraId="3E2EA9A0" w14:textId="77777777" w:rsidTr="00A17F27">
        <w:tc>
          <w:tcPr>
            <w:tcW w:w="7290" w:type="dxa"/>
          </w:tcPr>
          <w:p w14:paraId="0BDC9404" w14:textId="0BE253B3" w:rsidR="00A17F27" w:rsidRDefault="00154EF9" w:rsidP="00706267">
            <w:pPr>
              <w:pStyle w:val="SCVtablebody"/>
            </w:pPr>
            <w:r>
              <w:t>3. Wrong surgical or other invasive procedure performed on a patient resulting in serious harm or death</w:t>
            </w:r>
          </w:p>
        </w:tc>
        <w:tc>
          <w:tcPr>
            <w:tcW w:w="1457" w:type="dxa"/>
          </w:tcPr>
          <w:p w14:paraId="28271EB8" w14:textId="31871D73" w:rsidR="00A17F27" w:rsidRDefault="00154EF9" w:rsidP="00706267">
            <w:pPr>
              <w:pStyle w:val="SCVtablebody"/>
            </w:pPr>
            <w:r>
              <w:t>2</w:t>
            </w:r>
          </w:p>
        </w:tc>
        <w:tc>
          <w:tcPr>
            <w:tcW w:w="1457" w:type="dxa"/>
          </w:tcPr>
          <w:p w14:paraId="7FD23455" w14:textId="278184D8" w:rsidR="00A17F27" w:rsidRDefault="00154EF9" w:rsidP="00706267">
            <w:pPr>
              <w:pStyle w:val="SCVtablebody"/>
            </w:pPr>
            <w:r>
              <w:t>1</w:t>
            </w:r>
          </w:p>
        </w:tc>
      </w:tr>
      <w:tr w:rsidR="00A17F27" w14:paraId="2708A085" w14:textId="77777777" w:rsidTr="00A17F27">
        <w:tc>
          <w:tcPr>
            <w:tcW w:w="7290" w:type="dxa"/>
          </w:tcPr>
          <w:p w14:paraId="43417C1C" w14:textId="6967F7E3" w:rsidR="00A17F27" w:rsidRDefault="00154EF9" w:rsidP="00706267">
            <w:pPr>
              <w:pStyle w:val="SCVtablebody"/>
            </w:pPr>
            <w:r>
              <w:t>4. Unintended retention of a foreign object in a patient after surgery or other invasive procedure resulting in serious harm or death</w:t>
            </w:r>
          </w:p>
        </w:tc>
        <w:tc>
          <w:tcPr>
            <w:tcW w:w="1457" w:type="dxa"/>
          </w:tcPr>
          <w:p w14:paraId="42432426" w14:textId="2ED2118F" w:rsidR="00A17F27" w:rsidRDefault="00154EF9" w:rsidP="00706267">
            <w:pPr>
              <w:pStyle w:val="SCVtablebody"/>
            </w:pPr>
            <w:r>
              <w:t>2</w:t>
            </w:r>
          </w:p>
        </w:tc>
        <w:tc>
          <w:tcPr>
            <w:tcW w:w="1457" w:type="dxa"/>
          </w:tcPr>
          <w:p w14:paraId="24CEA7D0" w14:textId="4BF8728A" w:rsidR="00A17F27" w:rsidRDefault="00154EF9" w:rsidP="00706267">
            <w:pPr>
              <w:pStyle w:val="SCVtablebody"/>
            </w:pPr>
            <w:r>
              <w:t>4</w:t>
            </w:r>
          </w:p>
        </w:tc>
      </w:tr>
      <w:tr w:rsidR="00A17F27" w14:paraId="459B3B3B" w14:textId="77777777" w:rsidTr="00A17F27">
        <w:tc>
          <w:tcPr>
            <w:tcW w:w="7290" w:type="dxa"/>
          </w:tcPr>
          <w:p w14:paraId="6893698F" w14:textId="0B6FAA65" w:rsidR="00A17F27" w:rsidRDefault="00154EF9" w:rsidP="00706267">
            <w:pPr>
              <w:pStyle w:val="SCVtablebody"/>
            </w:pPr>
            <w:r>
              <w:t>5. Haemolytic blood transfusion reaction from ABO incompatibility resulting in serious harm or death</w:t>
            </w:r>
          </w:p>
        </w:tc>
        <w:tc>
          <w:tcPr>
            <w:tcW w:w="1457" w:type="dxa"/>
          </w:tcPr>
          <w:p w14:paraId="7A458031" w14:textId="154EFEF0" w:rsidR="00A17F27" w:rsidRDefault="00154EF9" w:rsidP="00706267">
            <w:pPr>
              <w:pStyle w:val="SCVtablebody"/>
            </w:pPr>
            <w:r>
              <w:t>1</w:t>
            </w:r>
          </w:p>
        </w:tc>
        <w:tc>
          <w:tcPr>
            <w:tcW w:w="1457" w:type="dxa"/>
          </w:tcPr>
          <w:p w14:paraId="5753D18F" w14:textId="1296F8C2" w:rsidR="00A17F27" w:rsidRDefault="00154EF9" w:rsidP="00706267">
            <w:pPr>
              <w:pStyle w:val="SCVtablebody"/>
            </w:pPr>
            <w:r>
              <w:t>0</w:t>
            </w:r>
          </w:p>
        </w:tc>
      </w:tr>
      <w:tr w:rsidR="00A17F27" w14:paraId="752716EF" w14:textId="77777777" w:rsidTr="00A17F27">
        <w:tc>
          <w:tcPr>
            <w:tcW w:w="7290" w:type="dxa"/>
          </w:tcPr>
          <w:p w14:paraId="0E92E74B" w14:textId="167BB47A" w:rsidR="00A17F27" w:rsidRDefault="00154EF9" w:rsidP="00706267">
            <w:pPr>
              <w:pStyle w:val="SCVtablebody"/>
            </w:pPr>
            <w:r>
              <w:t>6. Suspected suicide of a patient in an acute psychiatric unit or acute psychiatric ward</w:t>
            </w:r>
          </w:p>
        </w:tc>
        <w:tc>
          <w:tcPr>
            <w:tcW w:w="1457" w:type="dxa"/>
          </w:tcPr>
          <w:p w14:paraId="34BFEFBB" w14:textId="44D1ED76" w:rsidR="00A17F27" w:rsidRDefault="00154EF9" w:rsidP="00706267">
            <w:pPr>
              <w:pStyle w:val="SCVtablebody"/>
            </w:pPr>
            <w:r>
              <w:t>6</w:t>
            </w:r>
          </w:p>
        </w:tc>
        <w:tc>
          <w:tcPr>
            <w:tcW w:w="1457" w:type="dxa"/>
          </w:tcPr>
          <w:p w14:paraId="425C9759" w14:textId="448FB08B" w:rsidR="00A17F27" w:rsidRDefault="00154EF9" w:rsidP="00706267">
            <w:pPr>
              <w:pStyle w:val="SCVtablebody"/>
            </w:pPr>
            <w:r>
              <w:t>2</w:t>
            </w:r>
          </w:p>
        </w:tc>
      </w:tr>
      <w:tr w:rsidR="00A17F27" w14:paraId="6DCD8D4F" w14:textId="77777777" w:rsidTr="00A17F27">
        <w:tc>
          <w:tcPr>
            <w:tcW w:w="7290" w:type="dxa"/>
          </w:tcPr>
          <w:p w14:paraId="15208064" w14:textId="48E1BDD5" w:rsidR="00A17F27" w:rsidRDefault="00154EF9" w:rsidP="00706267">
            <w:pPr>
              <w:pStyle w:val="SCVtablebody"/>
            </w:pPr>
            <w:r>
              <w:t>7. Medication error resulting in serious harm or death</w:t>
            </w:r>
          </w:p>
        </w:tc>
        <w:tc>
          <w:tcPr>
            <w:tcW w:w="1457" w:type="dxa"/>
          </w:tcPr>
          <w:p w14:paraId="1AEA3F18" w14:textId="2E7E0B57" w:rsidR="00A17F27" w:rsidRDefault="00154EF9" w:rsidP="00706267">
            <w:pPr>
              <w:pStyle w:val="SCVtablebody"/>
            </w:pPr>
            <w:r>
              <w:t>16</w:t>
            </w:r>
          </w:p>
        </w:tc>
        <w:tc>
          <w:tcPr>
            <w:tcW w:w="1457" w:type="dxa"/>
          </w:tcPr>
          <w:p w14:paraId="27832921" w14:textId="0D2DB988" w:rsidR="00A17F27" w:rsidRDefault="00154EF9" w:rsidP="00706267">
            <w:pPr>
              <w:pStyle w:val="SCVtablebody"/>
            </w:pPr>
            <w:r>
              <w:t>22</w:t>
            </w:r>
          </w:p>
        </w:tc>
      </w:tr>
      <w:tr w:rsidR="00A17F27" w14:paraId="2CDF1B7F" w14:textId="77777777" w:rsidTr="00A17F27">
        <w:tc>
          <w:tcPr>
            <w:tcW w:w="7290" w:type="dxa"/>
          </w:tcPr>
          <w:p w14:paraId="261849E0" w14:textId="2E10D48F" w:rsidR="00A17F27" w:rsidRDefault="00154EF9" w:rsidP="00706267">
            <w:pPr>
              <w:pStyle w:val="SCVtablebody"/>
            </w:pPr>
            <w:r>
              <w:t>8. Use of physical or mechanical restraint resulting in serious harm or death</w:t>
            </w:r>
          </w:p>
        </w:tc>
        <w:tc>
          <w:tcPr>
            <w:tcW w:w="1457" w:type="dxa"/>
          </w:tcPr>
          <w:p w14:paraId="0CD6EFEB" w14:textId="2E33550C" w:rsidR="00A17F27" w:rsidRDefault="00154EF9" w:rsidP="00706267">
            <w:pPr>
              <w:pStyle w:val="SCVtablebody"/>
            </w:pPr>
            <w:r>
              <w:t>0</w:t>
            </w:r>
          </w:p>
        </w:tc>
        <w:tc>
          <w:tcPr>
            <w:tcW w:w="1457" w:type="dxa"/>
          </w:tcPr>
          <w:p w14:paraId="2CBEC02C" w14:textId="02528182" w:rsidR="00A17F27" w:rsidRDefault="00154EF9" w:rsidP="00706267">
            <w:pPr>
              <w:pStyle w:val="SCVtablebody"/>
            </w:pPr>
            <w:r>
              <w:t>0</w:t>
            </w:r>
          </w:p>
        </w:tc>
      </w:tr>
      <w:tr w:rsidR="00154EF9" w14:paraId="7128F1B6" w14:textId="77777777" w:rsidTr="00A17F27">
        <w:tc>
          <w:tcPr>
            <w:tcW w:w="7290" w:type="dxa"/>
          </w:tcPr>
          <w:p w14:paraId="0DACBC97" w14:textId="03A9253B" w:rsidR="00154EF9" w:rsidRDefault="00154EF9" w:rsidP="00706267">
            <w:pPr>
              <w:pStyle w:val="SCVtablebody"/>
            </w:pPr>
            <w:r>
              <w:t>9. Discharge or release of an infant or child to an unauthorised person</w:t>
            </w:r>
          </w:p>
        </w:tc>
        <w:tc>
          <w:tcPr>
            <w:tcW w:w="1457" w:type="dxa"/>
          </w:tcPr>
          <w:p w14:paraId="36CBB2C4" w14:textId="7FC25160" w:rsidR="00154EF9" w:rsidRDefault="00154EF9" w:rsidP="00706267">
            <w:pPr>
              <w:pStyle w:val="SCVtablebody"/>
            </w:pPr>
            <w:r>
              <w:t>0</w:t>
            </w:r>
          </w:p>
        </w:tc>
        <w:tc>
          <w:tcPr>
            <w:tcW w:w="1457" w:type="dxa"/>
          </w:tcPr>
          <w:p w14:paraId="3F95CEBD" w14:textId="5CB8C164" w:rsidR="00154EF9" w:rsidRDefault="00154EF9" w:rsidP="00706267">
            <w:pPr>
              <w:pStyle w:val="SCVtablebody"/>
            </w:pPr>
            <w:r>
              <w:t>0</w:t>
            </w:r>
          </w:p>
        </w:tc>
      </w:tr>
      <w:tr w:rsidR="00154EF9" w14:paraId="6D2818F1" w14:textId="77777777" w:rsidTr="00A17F27">
        <w:tc>
          <w:tcPr>
            <w:tcW w:w="7290" w:type="dxa"/>
          </w:tcPr>
          <w:p w14:paraId="22A13A54" w14:textId="1204D702" w:rsidR="00154EF9" w:rsidRDefault="00154EF9" w:rsidP="00706267">
            <w:pPr>
              <w:pStyle w:val="SCVtablebody"/>
            </w:pPr>
            <w:r>
              <w:t>10. Use of an incorrectly positioned orogastric or nasogastric tube resulting in serious harm or death</w:t>
            </w:r>
          </w:p>
        </w:tc>
        <w:tc>
          <w:tcPr>
            <w:tcW w:w="1457" w:type="dxa"/>
          </w:tcPr>
          <w:p w14:paraId="1E475ADF" w14:textId="36DFFA5C" w:rsidR="00154EF9" w:rsidRDefault="00154EF9" w:rsidP="00706267">
            <w:pPr>
              <w:pStyle w:val="SCVtablebody"/>
            </w:pPr>
            <w:r>
              <w:t>0</w:t>
            </w:r>
          </w:p>
        </w:tc>
        <w:tc>
          <w:tcPr>
            <w:tcW w:w="1457" w:type="dxa"/>
          </w:tcPr>
          <w:p w14:paraId="3275D2E3" w14:textId="49947DE1" w:rsidR="00154EF9" w:rsidRDefault="00154EF9" w:rsidP="00706267">
            <w:pPr>
              <w:pStyle w:val="SCVtablebody"/>
            </w:pPr>
            <w:r>
              <w:t>3</w:t>
            </w:r>
          </w:p>
        </w:tc>
      </w:tr>
      <w:tr w:rsidR="00154EF9" w14:paraId="0484577A" w14:textId="77777777" w:rsidTr="00A17F27">
        <w:tc>
          <w:tcPr>
            <w:tcW w:w="7290" w:type="dxa"/>
          </w:tcPr>
          <w:p w14:paraId="068E8BA1" w14:textId="3EE266B7" w:rsidR="00154EF9" w:rsidRDefault="00154EF9" w:rsidP="00706267">
            <w:pPr>
              <w:pStyle w:val="SCVtablebody"/>
            </w:pPr>
            <w:r>
              <w:t>11. All other adverse patient safety events resulting in serious harm or death</w:t>
            </w:r>
          </w:p>
        </w:tc>
        <w:tc>
          <w:tcPr>
            <w:tcW w:w="1457" w:type="dxa"/>
          </w:tcPr>
          <w:p w14:paraId="258F499A" w14:textId="0730E53B" w:rsidR="00154EF9" w:rsidRDefault="00154EF9" w:rsidP="00706267">
            <w:pPr>
              <w:pStyle w:val="SCVtablebody"/>
            </w:pPr>
            <w:r>
              <w:t>212</w:t>
            </w:r>
          </w:p>
        </w:tc>
        <w:tc>
          <w:tcPr>
            <w:tcW w:w="1457" w:type="dxa"/>
          </w:tcPr>
          <w:p w14:paraId="05074F92" w14:textId="14BA3DA1" w:rsidR="00154EF9" w:rsidRDefault="00154EF9" w:rsidP="00706267">
            <w:pPr>
              <w:pStyle w:val="SCVtablebody"/>
            </w:pPr>
            <w:r>
              <w:t>210</w:t>
            </w:r>
          </w:p>
        </w:tc>
      </w:tr>
      <w:tr w:rsidR="00154EF9" w14:paraId="64E6A7DA" w14:textId="77777777" w:rsidTr="00A17F27">
        <w:tc>
          <w:tcPr>
            <w:tcW w:w="7290" w:type="dxa"/>
          </w:tcPr>
          <w:p w14:paraId="1F6BFF10" w14:textId="39FBF784" w:rsidR="00154EF9" w:rsidRPr="00154EF9" w:rsidRDefault="00154EF9" w:rsidP="00706267">
            <w:pPr>
              <w:pStyle w:val="SCVtablebody"/>
              <w:rPr>
                <w:b/>
                <w:bCs/>
              </w:rPr>
            </w:pPr>
            <w:r w:rsidRPr="00154EF9">
              <w:rPr>
                <w:b/>
                <w:bCs/>
              </w:rPr>
              <w:t>Total</w:t>
            </w:r>
          </w:p>
        </w:tc>
        <w:tc>
          <w:tcPr>
            <w:tcW w:w="1457" w:type="dxa"/>
          </w:tcPr>
          <w:p w14:paraId="0D24C548" w14:textId="47658944" w:rsidR="00154EF9" w:rsidRPr="00154EF9" w:rsidRDefault="00154EF9" w:rsidP="00706267">
            <w:pPr>
              <w:pStyle w:val="SCVtablebody"/>
              <w:rPr>
                <w:b/>
                <w:bCs/>
              </w:rPr>
            </w:pPr>
            <w:r w:rsidRPr="00154EF9">
              <w:rPr>
                <w:b/>
                <w:bCs/>
              </w:rPr>
              <w:t>240</w:t>
            </w:r>
          </w:p>
        </w:tc>
        <w:tc>
          <w:tcPr>
            <w:tcW w:w="1457" w:type="dxa"/>
          </w:tcPr>
          <w:p w14:paraId="56B12509" w14:textId="78E04C3A" w:rsidR="00154EF9" w:rsidRPr="00154EF9" w:rsidRDefault="00154EF9" w:rsidP="00706267">
            <w:pPr>
              <w:pStyle w:val="SCVtablebody"/>
              <w:rPr>
                <w:b/>
                <w:bCs/>
              </w:rPr>
            </w:pPr>
            <w:r w:rsidRPr="00154EF9">
              <w:rPr>
                <w:b/>
                <w:bCs/>
              </w:rPr>
              <w:t>245</w:t>
            </w:r>
          </w:p>
        </w:tc>
      </w:tr>
    </w:tbl>
    <w:p w14:paraId="48164283" w14:textId="77777777" w:rsidR="00152EC1" w:rsidRDefault="00152EC1" w:rsidP="00C96A69">
      <w:pPr>
        <w:pStyle w:val="SCVbody"/>
      </w:pPr>
      <w:r>
        <w:lastRenderedPageBreak/>
        <w:t xml:space="preserve">We use subcategories based on the World Health Organization’s International Classification for Patient Safety (ICPS) for events notified under the Victorian-only Category 11. </w:t>
      </w:r>
    </w:p>
    <w:p w14:paraId="44F8F513" w14:textId="628F8592" w:rsidR="00A17F27" w:rsidRDefault="00152EC1" w:rsidP="00A17F27">
      <w:pPr>
        <w:pStyle w:val="SCVtablecaption"/>
      </w:pPr>
      <w:r>
        <w:t xml:space="preserve">Table 3. Sentinel event notifications as a percentage of all Category 11 events 2021–22 and 2022–23 </w:t>
      </w:r>
    </w:p>
    <w:tbl>
      <w:tblPr>
        <w:tblStyle w:val="TableGrid"/>
        <w:tblW w:w="0" w:type="auto"/>
        <w:tblLook w:val="04A0" w:firstRow="1" w:lastRow="0" w:firstColumn="1" w:lastColumn="0" w:noHBand="0" w:noVBand="1"/>
      </w:tblPr>
      <w:tblGrid>
        <w:gridCol w:w="6840"/>
        <w:gridCol w:w="1682"/>
        <w:gridCol w:w="1682"/>
      </w:tblGrid>
      <w:tr w:rsidR="00A17F27" w14:paraId="747A2C84" w14:textId="77777777" w:rsidTr="00A17F27">
        <w:trPr>
          <w:cnfStyle w:val="100000000000" w:firstRow="1" w:lastRow="0" w:firstColumn="0" w:lastColumn="0" w:oddVBand="0" w:evenVBand="0" w:oddHBand="0" w:evenHBand="0" w:firstRowFirstColumn="0" w:firstRowLastColumn="0" w:lastRowFirstColumn="0" w:lastRowLastColumn="0"/>
          <w:tblHeader/>
        </w:trPr>
        <w:tc>
          <w:tcPr>
            <w:tcW w:w="6840" w:type="dxa"/>
          </w:tcPr>
          <w:p w14:paraId="1DDEA279" w14:textId="65810EBE" w:rsidR="00A17F27" w:rsidRDefault="00A17F27" w:rsidP="00C24140">
            <w:pPr>
              <w:pStyle w:val="SCVtablecolhead"/>
            </w:pPr>
            <w:r>
              <w:t>Subcategory</w:t>
            </w:r>
          </w:p>
        </w:tc>
        <w:tc>
          <w:tcPr>
            <w:tcW w:w="1682" w:type="dxa"/>
          </w:tcPr>
          <w:p w14:paraId="010BBF8C" w14:textId="19C85396" w:rsidR="00A17F27" w:rsidRDefault="00A17F27" w:rsidP="00C24140">
            <w:pPr>
              <w:pStyle w:val="SCVtablecolhead"/>
            </w:pPr>
            <w:r>
              <w:t>2021–2022 (%)</w:t>
            </w:r>
          </w:p>
        </w:tc>
        <w:tc>
          <w:tcPr>
            <w:tcW w:w="1682" w:type="dxa"/>
          </w:tcPr>
          <w:p w14:paraId="3AC00B31" w14:textId="470C0EB3" w:rsidR="00A17F27" w:rsidRDefault="00A17F27" w:rsidP="00C24140">
            <w:pPr>
              <w:pStyle w:val="SCVtablecolhead"/>
            </w:pPr>
            <w:r>
              <w:t>2022–2023 (%)</w:t>
            </w:r>
          </w:p>
        </w:tc>
      </w:tr>
      <w:tr w:rsidR="00A17F27" w14:paraId="3435AA51" w14:textId="77777777" w:rsidTr="00A17F27">
        <w:tc>
          <w:tcPr>
            <w:tcW w:w="6840" w:type="dxa"/>
          </w:tcPr>
          <w:p w14:paraId="0E0AC7D5" w14:textId="297D4AA9" w:rsidR="00A17F27" w:rsidRDefault="00FF5332" w:rsidP="006D5BAE">
            <w:pPr>
              <w:pStyle w:val="SCVtablebody"/>
            </w:pPr>
            <w:r>
              <w:t>Recognising and responding to clinical deterioration</w:t>
            </w:r>
          </w:p>
        </w:tc>
        <w:tc>
          <w:tcPr>
            <w:tcW w:w="1682" w:type="dxa"/>
          </w:tcPr>
          <w:p w14:paraId="4EA0DDDE" w14:textId="0F9305A7" w:rsidR="00A17F27" w:rsidRDefault="00154EF9" w:rsidP="006D5BAE">
            <w:pPr>
              <w:pStyle w:val="SCVtablebody"/>
            </w:pPr>
            <w:r>
              <w:t>34</w:t>
            </w:r>
          </w:p>
        </w:tc>
        <w:tc>
          <w:tcPr>
            <w:tcW w:w="1682" w:type="dxa"/>
          </w:tcPr>
          <w:p w14:paraId="0C6C5CED" w14:textId="103E0ABB" w:rsidR="00A17F27" w:rsidRDefault="00154EF9" w:rsidP="006D5BAE">
            <w:pPr>
              <w:pStyle w:val="SCVtablebody"/>
            </w:pPr>
            <w:r>
              <w:t>33</w:t>
            </w:r>
          </w:p>
        </w:tc>
      </w:tr>
      <w:tr w:rsidR="00A17F27" w14:paraId="2D5AB5EC" w14:textId="77777777" w:rsidTr="00A17F27">
        <w:tc>
          <w:tcPr>
            <w:tcW w:w="6840" w:type="dxa"/>
          </w:tcPr>
          <w:p w14:paraId="09D3C470" w14:textId="32E2DFBC" w:rsidR="00A17F27" w:rsidRDefault="00FF5332" w:rsidP="006D5BAE">
            <w:pPr>
              <w:pStyle w:val="SCVtablebody"/>
            </w:pPr>
            <w:r>
              <w:t>Clinical process or procedure</w:t>
            </w:r>
          </w:p>
        </w:tc>
        <w:tc>
          <w:tcPr>
            <w:tcW w:w="1682" w:type="dxa"/>
          </w:tcPr>
          <w:p w14:paraId="1C23BC74" w14:textId="0930746A" w:rsidR="00A17F27" w:rsidRDefault="00154EF9" w:rsidP="006D5BAE">
            <w:pPr>
              <w:pStyle w:val="SCVtablebody"/>
            </w:pPr>
            <w:r>
              <w:t>29</w:t>
            </w:r>
          </w:p>
        </w:tc>
        <w:tc>
          <w:tcPr>
            <w:tcW w:w="1682" w:type="dxa"/>
          </w:tcPr>
          <w:p w14:paraId="220177B9" w14:textId="3B6A69D5" w:rsidR="00A17F27" w:rsidRDefault="00154EF9" w:rsidP="006D5BAE">
            <w:pPr>
              <w:pStyle w:val="SCVtablebody"/>
            </w:pPr>
            <w:r>
              <w:t>28</w:t>
            </w:r>
          </w:p>
        </w:tc>
      </w:tr>
      <w:tr w:rsidR="00A17F27" w14:paraId="418E75AE" w14:textId="77777777" w:rsidTr="00A17F27">
        <w:tc>
          <w:tcPr>
            <w:tcW w:w="6840" w:type="dxa"/>
          </w:tcPr>
          <w:p w14:paraId="0C01DDAD" w14:textId="3BE7C7CE" w:rsidR="00A17F27" w:rsidRDefault="00FF5332" w:rsidP="006D5BAE">
            <w:pPr>
              <w:pStyle w:val="SCVtablebody"/>
            </w:pPr>
            <w:r>
              <w:t>Falls</w:t>
            </w:r>
          </w:p>
        </w:tc>
        <w:tc>
          <w:tcPr>
            <w:tcW w:w="1682" w:type="dxa"/>
          </w:tcPr>
          <w:p w14:paraId="3EA1FF81" w14:textId="2ABCAE22" w:rsidR="00A17F27" w:rsidRDefault="00154EF9" w:rsidP="006D5BAE">
            <w:pPr>
              <w:pStyle w:val="SCVtablebody"/>
            </w:pPr>
            <w:r>
              <w:t>15</w:t>
            </w:r>
          </w:p>
        </w:tc>
        <w:tc>
          <w:tcPr>
            <w:tcW w:w="1682" w:type="dxa"/>
          </w:tcPr>
          <w:p w14:paraId="67D3C08B" w14:textId="5BB09C35" w:rsidR="00A17F27" w:rsidRDefault="00154EF9" w:rsidP="006D5BAE">
            <w:pPr>
              <w:pStyle w:val="SCVtablebody"/>
            </w:pPr>
            <w:r>
              <w:t>9</w:t>
            </w:r>
          </w:p>
        </w:tc>
      </w:tr>
      <w:tr w:rsidR="00A17F27" w14:paraId="03536F13" w14:textId="77777777" w:rsidTr="00A17F27">
        <w:tc>
          <w:tcPr>
            <w:tcW w:w="6840" w:type="dxa"/>
          </w:tcPr>
          <w:p w14:paraId="11455E3E" w14:textId="57C68091" w:rsidR="00A17F27" w:rsidRDefault="00FF5332" w:rsidP="006D5BAE">
            <w:pPr>
              <w:pStyle w:val="SCVtablebody"/>
            </w:pPr>
            <w:r>
              <w:t>Healthcare-associated infection</w:t>
            </w:r>
          </w:p>
        </w:tc>
        <w:tc>
          <w:tcPr>
            <w:tcW w:w="1682" w:type="dxa"/>
          </w:tcPr>
          <w:p w14:paraId="2D3D35AF" w14:textId="21658A0D" w:rsidR="00A17F27" w:rsidRDefault="00154EF9" w:rsidP="006D5BAE">
            <w:pPr>
              <w:pStyle w:val="SCVtablebody"/>
            </w:pPr>
            <w:r>
              <w:t>4</w:t>
            </w:r>
          </w:p>
        </w:tc>
        <w:tc>
          <w:tcPr>
            <w:tcW w:w="1682" w:type="dxa"/>
          </w:tcPr>
          <w:p w14:paraId="20414727" w14:textId="4F6DE4AC" w:rsidR="00A17F27" w:rsidRDefault="00154EF9" w:rsidP="006D5BAE">
            <w:pPr>
              <w:pStyle w:val="SCVtablebody"/>
            </w:pPr>
            <w:r>
              <w:t>9</w:t>
            </w:r>
          </w:p>
        </w:tc>
      </w:tr>
      <w:tr w:rsidR="00A17F27" w14:paraId="729F28FE" w14:textId="77777777" w:rsidTr="00A17F27">
        <w:tc>
          <w:tcPr>
            <w:tcW w:w="6840" w:type="dxa"/>
          </w:tcPr>
          <w:p w14:paraId="32D8DF74" w14:textId="2A713D7E" w:rsidR="00A17F27" w:rsidRDefault="00FF5332" w:rsidP="006D5BAE">
            <w:pPr>
              <w:pStyle w:val="SCVtablebody"/>
            </w:pPr>
            <w:r>
              <w:t>Self-harm</w:t>
            </w:r>
          </w:p>
        </w:tc>
        <w:tc>
          <w:tcPr>
            <w:tcW w:w="1682" w:type="dxa"/>
          </w:tcPr>
          <w:p w14:paraId="45013DC8" w14:textId="45EA6D0E" w:rsidR="00A17F27" w:rsidRDefault="00154EF9" w:rsidP="006D5BAE">
            <w:pPr>
              <w:pStyle w:val="SCVtablebody"/>
            </w:pPr>
            <w:r>
              <w:t>5</w:t>
            </w:r>
          </w:p>
        </w:tc>
        <w:tc>
          <w:tcPr>
            <w:tcW w:w="1682" w:type="dxa"/>
          </w:tcPr>
          <w:p w14:paraId="5BAC0DED" w14:textId="4D66925E" w:rsidR="00A17F27" w:rsidRDefault="00154EF9" w:rsidP="006D5BAE">
            <w:pPr>
              <w:pStyle w:val="SCVtablebody"/>
            </w:pPr>
            <w:r>
              <w:t>7</w:t>
            </w:r>
          </w:p>
        </w:tc>
      </w:tr>
      <w:tr w:rsidR="00A17F27" w14:paraId="3821C274" w14:textId="77777777" w:rsidTr="00A17F27">
        <w:tc>
          <w:tcPr>
            <w:tcW w:w="6840" w:type="dxa"/>
          </w:tcPr>
          <w:p w14:paraId="5EF487B1" w14:textId="0E5CF693" w:rsidR="00A17F27" w:rsidRDefault="00FF5332" w:rsidP="006D5BAE">
            <w:pPr>
              <w:pStyle w:val="SCVtablebody"/>
            </w:pPr>
            <w:r>
              <w:t>Communication of clinical information</w:t>
            </w:r>
          </w:p>
        </w:tc>
        <w:tc>
          <w:tcPr>
            <w:tcW w:w="1682" w:type="dxa"/>
          </w:tcPr>
          <w:p w14:paraId="66066F09" w14:textId="5B60C240" w:rsidR="00A17F27" w:rsidRDefault="00FF5332" w:rsidP="006D5BAE">
            <w:pPr>
              <w:pStyle w:val="SCVtablebody"/>
            </w:pPr>
            <w:r>
              <w:t>6</w:t>
            </w:r>
          </w:p>
        </w:tc>
        <w:tc>
          <w:tcPr>
            <w:tcW w:w="1682" w:type="dxa"/>
          </w:tcPr>
          <w:p w14:paraId="1FDE8F07" w14:textId="2A08F535" w:rsidR="00A17F27" w:rsidRDefault="00FF5332" w:rsidP="006D5BAE">
            <w:pPr>
              <w:pStyle w:val="SCVtablebody"/>
            </w:pPr>
            <w:r>
              <w:t>6</w:t>
            </w:r>
          </w:p>
        </w:tc>
      </w:tr>
      <w:tr w:rsidR="00A17F27" w14:paraId="336BDDCC" w14:textId="77777777" w:rsidTr="00A17F27">
        <w:tc>
          <w:tcPr>
            <w:tcW w:w="6840" w:type="dxa"/>
          </w:tcPr>
          <w:p w14:paraId="022DBDDA" w14:textId="78EC7244" w:rsidR="00A17F27" w:rsidRDefault="00FF5332" w:rsidP="006D5BAE">
            <w:pPr>
              <w:pStyle w:val="SCVtablebody"/>
            </w:pPr>
            <w:r>
              <w:t>Resource or organisational management</w:t>
            </w:r>
          </w:p>
        </w:tc>
        <w:tc>
          <w:tcPr>
            <w:tcW w:w="1682" w:type="dxa"/>
          </w:tcPr>
          <w:p w14:paraId="2FD90247" w14:textId="34B3B192" w:rsidR="00A17F27" w:rsidRDefault="00FF5332" w:rsidP="006D5BAE">
            <w:pPr>
              <w:pStyle w:val="SCVtablebody"/>
            </w:pPr>
            <w:r>
              <w:t>4</w:t>
            </w:r>
          </w:p>
        </w:tc>
        <w:tc>
          <w:tcPr>
            <w:tcW w:w="1682" w:type="dxa"/>
          </w:tcPr>
          <w:p w14:paraId="33392C79" w14:textId="6CAFF42B" w:rsidR="00A17F27" w:rsidRDefault="00FF5332" w:rsidP="006D5BAE">
            <w:pPr>
              <w:pStyle w:val="SCVtablebody"/>
            </w:pPr>
            <w:r>
              <w:t>5</w:t>
            </w:r>
          </w:p>
        </w:tc>
      </w:tr>
      <w:tr w:rsidR="00A17F27" w14:paraId="0FA8C335" w14:textId="77777777" w:rsidTr="00A17F27">
        <w:tc>
          <w:tcPr>
            <w:tcW w:w="6840" w:type="dxa"/>
          </w:tcPr>
          <w:p w14:paraId="4C28ABA8" w14:textId="376138F4" w:rsidR="00A17F27" w:rsidRDefault="00FF5332" w:rsidP="006D5BAE">
            <w:pPr>
              <w:pStyle w:val="SCVtablebody"/>
            </w:pPr>
            <w:r>
              <w:t>Medical device or equipment</w:t>
            </w:r>
          </w:p>
        </w:tc>
        <w:tc>
          <w:tcPr>
            <w:tcW w:w="1682" w:type="dxa"/>
          </w:tcPr>
          <w:p w14:paraId="4F4E2FFC" w14:textId="3537166C" w:rsidR="00A17F27" w:rsidRDefault="00FF5332" w:rsidP="006D5BAE">
            <w:pPr>
              <w:pStyle w:val="SCVtablebody"/>
            </w:pPr>
            <w:r>
              <w:t>1</w:t>
            </w:r>
          </w:p>
        </w:tc>
        <w:tc>
          <w:tcPr>
            <w:tcW w:w="1682" w:type="dxa"/>
          </w:tcPr>
          <w:p w14:paraId="0593BC3A" w14:textId="1D64105E" w:rsidR="00A17F27" w:rsidRDefault="00FF5332" w:rsidP="006D5BAE">
            <w:pPr>
              <w:pStyle w:val="SCVtablebody"/>
            </w:pPr>
            <w:r>
              <w:t>2</w:t>
            </w:r>
          </w:p>
        </w:tc>
      </w:tr>
      <w:tr w:rsidR="00FF5332" w14:paraId="116B616F" w14:textId="77777777" w:rsidTr="00A17F27">
        <w:tc>
          <w:tcPr>
            <w:tcW w:w="6840" w:type="dxa"/>
          </w:tcPr>
          <w:p w14:paraId="479F0BF7" w14:textId="28388D59" w:rsidR="00FF5332" w:rsidRDefault="00FF5332" w:rsidP="006D5BAE">
            <w:pPr>
              <w:pStyle w:val="SCVtablebody"/>
            </w:pPr>
            <w:r>
              <w:t>Patient accident</w:t>
            </w:r>
          </w:p>
        </w:tc>
        <w:tc>
          <w:tcPr>
            <w:tcW w:w="1682" w:type="dxa"/>
          </w:tcPr>
          <w:p w14:paraId="3B9ADDFE" w14:textId="0C05F3D7" w:rsidR="00FF5332" w:rsidRDefault="00FF5332" w:rsidP="006D5BAE">
            <w:pPr>
              <w:pStyle w:val="SCVtablebody"/>
            </w:pPr>
            <w:r>
              <w:t>1</w:t>
            </w:r>
          </w:p>
        </w:tc>
        <w:tc>
          <w:tcPr>
            <w:tcW w:w="1682" w:type="dxa"/>
          </w:tcPr>
          <w:p w14:paraId="3F433C41" w14:textId="5B68337B" w:rsidR="00FF5332" w:rsidRDefault="00FF5332" w:rsidP="006D5BAE">
            <w:pPr>
              <w:pStyle w:val="SCVtablebody"/>
            </w:pPr>
            <w:r>
              <w:t>2</w:t>
            </w:r>
          </w:p>
        </w:tc>
      </w:tr>
      <w:tr w:rsidR="00FF5332" w14:paraId="4EC8E4FF" w14:textId="77777777" w:rsidTr="00A17F27">
        <w:tc>
          <w:tcPr>
            <w:tcW w:w="6840" w:type="dxa"/>
          </w:tcPr>
          <w:p w14:paraId="638D7570" w14:textId="569C3510" w:rsidR="00FF5332" w:rsidRDefault="00FF5332" w:rsidP="006D5BAE">
            <w:pPr>
              <w:pStyle w:val="SCVtablebody"/>
            </w:pPr>
            <w:r>
              <w:t>Nutrition</w:t>
            </w:r>
          </w:p>
        </w:tc>
        <w:tc>
          <w:tcPr>
            <w:tcW w:w="1682" w:type="dxa"/>
          </w:tcPr>
          <w:p w14:paraId="44DF28EC" w14:textId="478BCE40" w:rsidR="00FF5332" w:rsidRDefault="00FF5332" w:rsidP="006D5BAE">
            <w:pPr>
              <w:pStyle w:val="SCVtablebody"/>
            </w:pPr>
            <w:r>
              <w:t>0</w:t>
            </w:r>
          </w:p>
        </w:tc>
        <w:tc>
          <w:tcPr>
            <w:tcW w:w="1682" w:type="dxa"/>
          </w:tcPr>
          <w:p w14:paraId="4031BA67" w14:textId="59743B8D" w:rsidR="00FF5332" w:rsidRDefault="00FF5332" w:rsidP="006D5BAE">
            <w:pPr>
              <w:pStyle w:val="SCVtablebody"/>
            </w:pPr>
            <w:r>
              <w:t>0</w:t>
            </w:r>
          </w:p>
        </w:tc>
      </w:tr>
    </w:tbl>
    <w:p w14:paraId="3E2CB23E" w14:textId="77777777" w:rsidR="00152EC1" w:rsidRDefault="00152EC1" w:rsidP="00FF5332">
      <w:pPr>
        <w:pStyle w:val="SCVtablefigurenote"/>
      </w:pPr>
      <w:r>
        <w:t xml:space="preserve">Note: Totals not 100% due to rounding </w:t>
      </w:r>
    </w:p>
    <w:p w14:paraId="584AAB1D" w14:textId="77777777" w:rsidR="00152EC1" w:rsidRDefault="00152EC1" w:rsidP="00EA2C99">
      <w:pPr>
        <w:pStyle w:val="SCVbodyaftertablefigure"/>
      </w:pPr>
      <w:r>
        <w:t xml:space="preserve">In 2022–23, we observed: </w:t>
      </w:r>
    </w:p>
    <w:p w14:paraId="43935D83" w14:textId="77777777" w:rsidR="00152EC1" w:rsidRDefault="00152EC1" w:rsidP="00A17F27">
      <w:pPr>
        <w:pStyle w:val="SCVbullet1"/>
      </w:pPr>
      <w:r>
        <w:t xml:space="preserve">a reduction in Category 6 – suspected suicide events, with an increase In Category 11 – self-harm events, the total for both event types was steady at 17 events per year for 2021–22 and 2022–23 </w:t>
      </w:r>
    </w:p>
    <w:p w14:paraId="07774C9A" w14:textId="77777777" w:rsidR="00152EC1" w:rsidRDefault="00152EC1" w:rsidP="00A17F27">
      <w:pPr>
        <w:pStyle w:val="SCVbullet1"/>
      </w:pPr>
      <w:r>
        <w:t xml:space="preserve">an increase in Category 7 – medication error events, with further analysis in the body of this report </w:t>
      </w:r>
    </w:p>
    <w:p w14:paraId="06C2538A" w14:textId="77777777" w:rsidR="00152EC1" w:rsidRDefault="00152EC1" w:rsidP="00A17F27">
      <w:pPr>
        <w:pStyle w:val="SCVbullet1"/>
      </w:pPr>
      <w:r>
        <w:t xml:space="preserve">an increase in Category 11 – healthcare-associated infection events. This increase was partially due to some infection outbreaks impacting multiple patients, resulting in multiple sentinel event notifications </w:t>
      </w:r>
    </w:p>
    <w:p w14:paraId="680B9352" w14:textId="77777777" w:rsidR="00152EC1" w:rsidRDefault="00152EC1" w:rsidP="00A17F27">
      <w:pPr>
        <w:pStyle w:val="SCVbullet1"/>
      </w:pPr>
      <w:r>
        <w:t xml:space="preserve">a reduction in the notification of Category 11 – falls events, the notification of events under this category was paused from 1 November 2022 to 27 February 2024 </w:t>
      </w:r>
    </w:p>
    <w:p w14:paraId="1C7721BA" w14:textId="20C94BD7" w:rsidR="00152EC1" w:rsidRDefault="00152EC1" w:rsidP="00A17F27">
      <w:pPr>
        <w:pStyle w:val="Heading3"/>
      </w:pPr>
      <w:bookmarkStart w:id="39" w:name="_Toc173851137"/>
      <w:r>
        <w:t>Patient outcome</w:t>
      </w:r>
      <w:bookmarkEnd w:id="39"/>
      <w:r w:rsidR="00FB5F78">
        <w:t xml:space="preserve"> </w:t>
      </w:r>
    </w:p>
    <w:p w14:paraId="215593A5" w14:textId="77777777" w:rsidR="00152EC1" w:rsidRDefault="00152EC1" w:rsidP="00C96A69">
      <w:pPr>
        <w:pStyle w:val="SCVbody"/>
      </w:pPr>
      <w:r>
        <w:t>There were 68 per cent of sentinel events in 2022–23 reported to have resulted in the patient’s death.</w:t>
      </w:r>
    </w:p>
    <w:p w14:paraId="6B0DE7D2" w14:textId="77777777" w:rsidR="00152EC1" w:rsidRDefault="00152EC1" w:rsidP="00C96A69">
      <w:pPr>
        <w:pStyle w:val="SCVbody"/>
      </w:pPr>
      <w:r>
        <w:t xml:space="preserve">Health services are required to indicate the degree of harm to the patient when they notify sentinel events. The full degree of the impact of the event may not be known at the time of notification and the patient outcome is not expected to be updated again throughout the review. </w:t>
      </w:r>
    </w:p>
    <w:p w14:paraId="0F835D0D" w14:textId="77777777" w:rsidR="00152EC1" w:rsidRDefault="00152EC1" w:rsidP="00C96A69">
      <w:pPr>
        <w:pStyle w:val="SCVbody"/>
      </w:pPr>
    </w:p>
    <w:p w14:paraId="3D9575A5" w14:textId="77777777" w:rsidR="00152EC1" w:rsidRDefault="00152EC1" w:rsidP="00A17F27">
      <w:pPr>
        <w:pStyle w:val="SCVfigurecaption"/>
      </w:pPr>
      <w:r>
        <w:lastRenderedPageBreak/>
        <w:t xml:space="preserve">Figure 19. Patient outcome by percentage of total sentinel events 2021–22 and 2022–2023 </w:t>
      </w:r>
    </w:p>
    <w:tbl>
      <w:tblPr>
        <w:tblStyle w:val="TableGrid"/>
        <w:tblW w:w="7183" w:type="dxa"/>
        <w:tblLook w:val="04A0" w:firstRow="1" w:lastRow="0" w:firstColumn="1" w:lastColumn="0" w:noHBand="0" w:noVBand="1"/>
      </w:tblPr>
      <w:tblGrid>
        <w:gridCol w:w="4547"/>
        <w:gridCol w:w="1318"/>
        <w:gridCol w:w="1318"/>
      </w:tblGrid>
      <w:tr w:rsidR="00010B64" w:rsidRPr="00010B64" w14:paraId="76A0E2AC" w14:textId="77777777" w:rsidTr="00F73AF5">
        <w:trPr>
          <w:cnfStyle w:val="100000000000" w:firstRow="1" w:lastRow="0" w:firstColumn="0" w:lastColumn="0" w:oddVBand="0" w:evenVBand="0" w:oddHBand="0" w:evenHBand="0" w:firstRowFirstColumn="0" w:firstRowLastColumn="0" w:lastRowFirstColumn="0" w:lastRowLastColumn="0"/>
          <w:trHeight w:val="300"/>
          <w:tblHeader/>
        </w:trPr>
        <w:tc>
          <w:tcPr>
            <w:tcW w:w="4547" w:type="dxa"/>
            <w:noWrap/>
            <w:hideMark/>
          </w:tcPr>
          <w:p w14:paraId="2BB42BC4" w14:textId="77777777" w:rsidR="00010B64" w:rsidRPr="00010B64" w:rsidRDefault="00010B64" w:rsidP="005A4442">
            <w:pPr>
              <w:pStyle w:val="SCVtablecolhead"/>
            </w:pPr>
            <w:r w:rsidRPr="00010B64">
              <w:t>Harm</w:t>
            </w:r>
          </w:p>
        </w:tc>
        <w:tc>
          <w:tcPr>
            <w:tcW w:w="1318" w:type="dxa"/>
            <w:noWrap/>
            <w:hideMark/>
          </w:tcPr>
          <w:p w14:paraId="39FFC77C" w14:textId="7B39B56E" w:rsidR="00010B64" w:rsidRPr="00010B64" w:rsidRDefault="00010B64" w:rsidP="005A4442">
            <w:pPr>
              <w:pStyle w:val="SCVtablecolhead"/>
            </w:pPr>
            <w:r w:rsidRPr="00010B64">
              <w:t>2021</w:t>
            </w:r>
            <w:r w:rsidR="005A4442">
              <w:t>–</w:t>
            </w:r>
            <w:r w:rsidRPr="00010B64">
              <w:t>22</w:t>
            </w:r>
          </w:p>
        </w:tc>
        <w:tc>
          <w:tcPr>
            <w:tcW w:w="1318" w:type="dxa"/>
            <w:noWrap/>
            <w:hideMark/>
          </w:tcPr>
          <w:p w14:paraId="2494AC40" w14:textId="70B0DD0A" w:rsidR="00010B64" w:rsidRPr="00010B64" w:rsidRDefault="00010B64" w:rsidP="005A4442">
            <w:pPr>
              <w:pStyle w:val="SCVtablecolhead"/>
            </w:pPr>
            <w:r w:rsidRPr="00010B64">
              <w:t>2022</w:t>
            </w:r>
            <w:r w:rsidR="005A4442">
              <w:t>–</w:t>
            </w:r>
            <w:r w:rsidRPr="00010B64">
              <w:t>23</w:t>
            </w:r>
          </w:p>
        </w:tc>
      </w:tr>
      <w:tr w:rsidR="00010B64" w:rsidRPr="00010B64" w14:paraId="646B9913" w14:textId="77777777" w:rsidTr="005A4442">
        <w:trPr>
          <w:trHeight w:val="300"/>
        </w:trPr>
        <w:tc>
          <w:tcPr>
            <w:tcW w:w="4547" w:type="dxa"/>
            <w:noWrap/>
            <w:hideMark/>
          </w:tcPr>
          <w:p w14:paraId="1524CF02" w14:textId="77777777" w:rsidR="00010B64" w:rsidRPr="00010B64" w:rsidRDefault="00010B64" w:rsidP="005A4442">
            <w:pPr>
              <w:pStyle w:val="SCVtablebody"/>
            </w:pPr>
            <w:r w:rsidRPr="00010B64">
              <w:t>Shortened life expectancy</w:t>
            </w:r>
          </w:p>
        </w:tc>
        <w:tc>
          <w:tcPr>
            <w:tcW w:w="1318" w:type="dxa"/>
            <w:noWrap/>
            <w:hideMark/>
          </w:tcPr>
          <w:p w14:paraId="40263035" w14:textId="77777777" w:rsidR="00010B64" w:rsidRPr="00010B64" w:rsidRDefault="00010B64" w:rsidP="005A4442">
            <w:pPr>
              <w:pStyle w:val="SCVtablebody"/>
            </w:pPr>
            <w:r w:rsidRPr="00010B64">
              <w:t>10%</w:t>
            </w:r>
          </w:p>
        </w:tc>
        <w:tc>
          <w:tcPr>
            <w:tcW w:w="1318" w:type="dxa"/>
            <w:noWrap/>
            <w:hideMark/>
          </w:tcPr>
          <w:p w14:paraId="141428BD" w14:textId="77777777" w:rsidR="00010B64" w:rsidRPr="00010B64" w:rsidRDefault="00010B64" w:rsidP="005A4442">
            <w:pPr>
              <w:pStyle w:val="SCVtablebody"/>
            </w:pPr>
            <w:r w:rsidRPr="00010B64">
              <w:t>3%</w:t>
            </w:r>
          </w:p>
        </w:tc>
      </w:tr>
      <w:tr w:rsidR="00010B64" w:rsidRPr="00010B64" w14:paraId="47EE4225" w14:textId="77777777" w:rsidTr="005A4442">
        <w:trPr>
          <w:trHeight w:val="300"/>
        </w:trPr>
        <w:tc>
          <w:tcPr>
            <w:tcW w:w="4547" w:type="dxa"/>
            <w:noWrap/>
            <w:hideMark/>
          </w:tcPr>
          <w:p w14:paraId="0EDC5382" w14:textId="77777777" w:rsidR="00010B64" w:rsidRPr="00010B64" w:rsidRDefault="00010B64" w:rsidP="005A4442">
            <w:pPr>
              <w:pStyle w:val="SCVtablebody"/>
            </w:pPr>
            <w:r w:rsidRPr="00010B64">
              <w:t>Unknown</w:t>
            </w:r>
          </w:p>
        </w:tc>
        <w:tc>
          <w:tcPr>
            <w:tcW w:w="1318" w:type="dxa"/>
            <w:noWrap/>
            <w:hideMark/>
          </w:tcPr>
          <w:p w14:paraId="357C6164" w14:textId="77777777" w:rsidR="00010B64" w:rsidRPr="00010B64" w:rsidRDefault="00010B64" w:rsidP="005A4442">
            <w:pPr>
              <w:pStyle w:val="SCVtablebody"/>
            </w:pPr>
            <w:r w:rsidRPr="00010B64">
              <w:t>6%</w:t>
            </w:r>
          </w:p>
        </w:tc>
        <w:tc>
          <w:tcPr>
            <w:tcW w:w="1318" w:type="dxa"/>
            <w:noWrap/>
            <w:hideMark/>
          </w:tcPr>
          <w:p w14:paraId="7FB117E2" w14:textId="77777777" w:rsidR="00010B64" w:rsidRPr="00010B64" w:rsidRDefault="00010B64" w:rsidP="005A4442">
            <w:pPr>
              <w:pStyle w:val="SCVtablebody"/>
            </w:pPr>
            <w:r w:rsidRPr="00010B64">
              <w:t>4%</w:t>
            </w:r>
          </w:p>
        </w:tc>
      </w:tr>
      <w:tr w:rsidR="00010B64" w:rsidRPr="00010B64" w14:paraId="650F0F1F" w14:textId="77777777" w:rsidTr="005A4442">
        <w:trPr>
          <w:trHeight w:val="300"/>
        </w:trPr>
        <w:tc>
          <w:tcPr>
            <w:tcW w:w="4547" w:type="dxa"/>
            <w:noWrap/>
            <w:hideMark/>
          </w:tcPr>
          <w:p w14:paraId="1A6C67D3" w14:textId="77777777" w:rsidR="00010B64" w:rsidRPr="00010B64" w:rsidRDefault="00010B64" w:rsidP="005A4442">
            <w:pPr>
              <w:pStyle w:val="SCVtablebody"/>
            </w:pPr>
            <w:r w:rsidRPr="00010B64">
              <w:t>Experienced permanent or long-term physical harm</w:t>
            </w:r>
          </w:p>
        </w:tc>
        <w:tc>
          <w:tcPr>
            <w:tcW w:w="1318" w:type="dxa"/>
            <w:noWrap/>
            <w:hideMark/>
          </w:tcPr>
          <w:p w14:paraId="4BD7D016" w14:textId="77777777" w:rsidR="00010B64" w:rsidRPr="00010B64" w:rsidRDefault="00010B64" w:rsidP="005A4442">
            <w:pPr>
              <w:pStyle w:val="SCVtablebody"/>
            </w:pPr>
            <w:r w:rsidRPr="00010B64">
              <w:t>3%</w:t>
            </w:r>
          </w:p>
        </w:tc>
        <w:tc>
          <w:tcPr>
            <w:tcW w:w="1318" w:type="dxa"/>
            <w:noWrap/>
            <w:hideMark/>
          </w:tcPr>
          <w:p w14:paraId="3156ABF1" w14:textId="77777777" w:rsidR="00010B64" w:rsidRPr="00010B64" w:rsidRDefault="00010B64" w:rsidP="005A4442">
            <w:pPr>
              <w:pStyle w:val="SCVtablebody"/>
            </w:pPr>
            <w:r w:rsidRPr="00010B64">
              <w:t>4%</w:t>
            </w:r>
          </w:p>
        </w:tc>
      </w:tr>
      <w:tr w:rsidR="00010B64" w:rsidRPr="00010B64" w14:paraId="0F36378D" w14:textId="77777777" w:rsidTr="005A4442">
        <w:trPr>
          <w:trHeight w:val="300"/>
        </w:trPr>
        <w:tc>
          <w:tcPr>
            <w:tcW w:w="4547" w:type="dxa"/>
            <w:noWrap/>
            <w:hideMark/>
          </w:tcPr>
          <w:p w14:paraId="0DC3F88C" w14:textId="77777777" w:rsidR="00010B64" w:rsidRPr="00010B64" w:rsidRDefault="00010B64" w:rsidP="005A4442">
            <w:pPr>
              <w:pStyle w:val="SCVtablebody"/>
            </w:pPr>
            <w:r w:rsidRPr="00010B64">
              <w:t>Experience permanent or long-term loss of function</w:t>
            </w:r>
          </w:p>
        </w:tc>
        <w:tc>
          <w:tcPr>
            <w:tcW w:w="1318" w:type="dxa"/>
            <w:noWrap/>
            <w:hideMark/>
          </w:tcPr>
          <w:p w14:paraId="3222D5FF" w14:textId="77777777" w:rsidR="00010B64" w:rsidRPr="00010B64" w:rsidRDefault="00010B64" w:rsidP="005A4442">
            <w:pPr>
              <w:pStyle w:val="SCVtablebody"/>
            </w:pPr>
            <w:r w:rsidRPr="00010B64">
              <w:t>9%</w:t>
            </w:r>
          </w:p>
        </w:tc>
        <w:tc>
          <w:tcPr>
            <w:tcW w:w="1318" w:type="dxa"/>
            <w:noWrap/>
            <w:hideMark/>
          </w:tcPr>
          <w:p w14:paraId="7D7867E2" w14:textId="77777777" w:rsidR="00010B64" w:rsidRPr="00010B64" w:rsidRDefault="00010B64" w:rsidP="005A4442">
            <w:pPr>
              <w:pStyle w:val="SCVtablebody"/>
            </w:pPr>
            <w:r w:rsidRPr="00010B64">
              <w:t>8%</w:t>
            </w:r>
          </w:p>
        </w:tc>
      </w:tr>
      <w:tr w:rsidR="00010B64" w:rsidRPr="00010B64" w14:paraId="6795C767" w14:textId="77777777" w:rsidTr="005A4442">
        <w:trPr>
          <w:trHeight w:val="300"/>
        </w:trPr>
        <w:tc>
          <w:tcPr>
            <w:tcW w:w="4547" w:type="dxa"/>
            <w:noWrap/>
            <w:hideMark/>
          </w:tcPr>
          <w:p w14:paraId="2DFDC5CF" w14:textId="77777777" w:rsidR="00010B64" w:rsidRPr="00010B64" w:rsidRDefault="00010B64" w:rsidP="005A4442">
            <w:pPr>
              <w:pStyle w:val="SCVtablebody"/>
            </w:pPr>
            <w:r w:rsidRPr="00010B64">
              <w:t>Required life-saving surgical or medical intervention</w:t>
            </w:r>
          </w:p>
        </w:tc>
        <w:tc>
          <w:tcPr>
            <w:tcW w:w="1318" w:type="dxa"/>
            <w:noWrap/>
            <w:hideMark/>
          </w:tcPr>
          <w:p w14:paraId="7B9A68C4" w14:textId="77777777" w:rsidR="00010B64" w:rsidRPr="00010B64" w:rsidRDefault="00010B64" w:rsidP="005A4442">
            <w:pPr>
              <w:pStyle w:val="SCVtablebody"/>
            </w:pPr>
            <w:r w:rsidRPr="00010B64">
              <w:t>9%</w:t>
            </w:r>
          </w:p>
        </w:tc>
        <w:tc>
          <w:tcPr>
            <w:tcW w:w="1318" w:type="dxa"/>
            <w:noWrap/>
            <w:hideMark/>
          </w:tcPr>
          <w:p w14:paraId="6DB22DD9" w14:textId="77777777" w:rsidR="00010B64" w:rsidRPr="00010B64" w:rsidRDefault="00010B64" w:rsidP="005A4442">
            <w:pPr>
              <w:pStyle w:val="SCVtablebody"/>
            </w:pPr>
            <w:r w:rsidRPr="00010B64">
              <w:t>13%</w:t>
            </w:r>
          </w:p>
        </w:tc>
      </w:tr>
      <w:tr w:rsidR="00010B64" w:rsidRPr="00010B64" w14:paraId="4D3271D0" w14:textId="77777777" w:rsidTr="005A4442">
        <w:trPr>
          <w:trHeight w:val="300"/>
        </w:trPr>
        <w:tc>
          <w:tcPr>
            <w:tcW w:w="4547" w:type="dxa"/>
            <w:noWrap/>
            <w:hideMark/>
          </w:tcPr>
          <w:p w14:paraId="780FB812" w14:textId="77777777" w:rsidR="00010B64" w:rsidRPr="00010B64" w:rsidRDefault="00010B64" w:rsidP="005A4442">
            <w:pPr>
              <w:pStyle w:val="SCVtablebody"/>
            </w:pPr>
            <w:r w:rsidRPr="00010B64">
              <w:t>Death</w:t>
            </w:r>
          </w:p>
        </w:tc>
        <w:tc>
          <w:tcPr>
            <w:tcW w:w="1318" w:type="dxa"/>
            <w:noWrap/>
            <w:hideMark/>
          </w:tcPr>
          <w:p w14:paraId="0E157BD6" w14:textId="77777777" w:rsidR="00010B64" w:rsidRPr="00010B64" w:rsidRDefault="00010B64" w:rsidP="005A4442">
            <w:pPr>
              <w:pStyle w:val="SCVtablebody"/>
            </w:pPr>
            <w:r w:rsidRPr="00010B64">
              <w:t>63%</w:t>
            </w:r>
          </w:p>
        </w:tc>
        <w:tc>
          <w:tcPr>
            <w:tcW w:w="1318" w:type="dxa"/>
            <w:noWrap/>
            <w:hideMark/>
          </w:tcPr>
          <w:p w14:paraId="693C666E" w14:textId="77777777" w:rsidR="00010B64" w:rsidRPr="00010B64" w:rsidRDefault="00010B64" w:rsidP="005A4442">
            <w:pPr>
              <w:pStyle w:val="SCVtablebody"/>
            </w:pPr>
            <w:r w:rsidRPr="00010B64">
              <w:t>68%</w:t>
            </w:r>
          </w:p>
        </w:tc>
      </w:tr>
    </w:tbl>
    <w:p w14:paraId="04F61585" w14:textId="77777777" w:rsidR="00152EC1" w:rsidRDefault="00152EC1" w:rsidP="00035A91">
      <w:pPr>
        <w:pStyle w:val="Heading3"/>
      </w:pPr>
      <w:bookmarkStart w:id="40" w:name="_Toc173851138"/>
      <w:r>
        <w:t>Age of affected patient</w:t>
      </w:r>
      <w:bookmarkEnd w:id="40"/>
      <w:r>
        <w:t xml:space="preserve"> </w:t>
      </w:r>
    </w:p>
    <w:p w14:paraId="6FA43108" w14:textId="77777777" w:rsidR="00152EC1" w:rsidRDefault="00152EC1" w:rsidP="00C96A69">
      <w:pPr>
        <w:pStyle w:val="SCVbody"/>
      </w:pPr>
      <w:r>
        <w:t xml:space="preserve">Sentinel events affect patients of all ages. In 2022–23, 210 events affected adults and 35 affected babies, children and adolescents. </w:t>
      </w:r>
    </w:p>
    <w:p w14:paraId="7861D53F" w14:textId="77777777" w:rsidR="00152EC1" w:rsidRDefault="00152EC1" w:rsidP="00A17F27">
      <w:pPr>
        <w:pStyle w:val="SCVfigurecaption"/>
      </w:pPr>
      <w:r>
        <w:t xml:space="preserve">Figure 20. Age (years) of adults affected by sentinel events by percentage of total sentinel events 2019–20 to 2022–23 </w:t>
      </w:r>
    </w:p>
    <w:tbl>
      <w:tblPr>
        <w:tblStyle w:val="TableGrid"/>
        <w:tblW w:w="5000" w:type="pct"/>
        <w:tblLook w:val="04A0" w:firstRow="1" w:lastRow="0" w:firstColumn="1" w:lastColumn="0" w:noHBand="0" w:noVBand="1"/>
      </w:tblPr>
      <w:tblGrid>
        <w:gridCol w:w="2186"/>
        <w:gridCol w:w="2005"/>
        <w:gridCol w:w="2005"/>
        <w:gridCol w:w="2005"/>
        <w:gridCol w:w="2005"/>
      </w:tblGrid>
      <w:tr w:rsidR="00010B64" w:rsidRPr="00010B64" w14:paraId="481F258B" w14:textId="77777777" w:rsidTr="00F73AF5">
        <w:trPr>
          <w:cnfStyle w:val="100000000000" w:firstRow="1" w:lastRow="0" w:firstColumn="0" w:lastColumn="0" w:oddVBand="0" w:evenVBand="0" w:oddHBand="0" w:evenHBand="0" w:firstRowFirstColumn="0" w:firstRowLastColumn="0" w:lastRowFirstColumn="0" w:lastRowLastColumn="0"/>
          <w:trHeight w:val="300"/>
          <w:tblHeader/>
        </w:trPr>
        <w:tc>
          <w:tcPr>
            <w:tcW w:w="2186" w:type="dxa"/>
            <w:noWrap/>
            <w:hideMark/>
          </w:tcPr>
          <w:p w14:paraId="6518F358" w14:textId="77777777" w:rsidR="00010B64" w:rsidRPr="00010B64" w:rsidRDefault="00010B64" w:rsidP="005A4442">
            <w:pPr>
              <w:pStyle w:val="SCVtablecolhead"/>
            </w:pPr>
            <w:r w:rsidRPr="00010B64">
              <w:t>Age range</w:t>
            </w:r>
          </w:p>
        </w:tc>
        <w:tc>
          <w:tcPr>
            <w:tcW w:w="2005" w:type="dxa"/>
            <w:noWrap/>
            <w:hideMark/>
          </w:tcPr>
          <w:p w14:paraId="093C735A" w14:textId="267E3275" w:rsidR="00010B64" w:rsidRPr="00010B64" w:rsidRDefault="00010B64" w:rsidP="005A4442">
            <w:pPr>
              <w:pStyle w:val="SCVtablecolhead"/>
            </w:pPr>
            <w:r w:rsidRPr="00010B64">
              <w:t>2019</w:t>
            </w:r>
            <w:r w:rsidR="005A4442">
              <w:t>–</w:t>
            </w:r>
            <w:r w:rsidRPr="00010B64">
              <w:t>20</w:t>
            </w:r>
          </w:p>
        </w:tc>
        <w:tc>
          <w:tcPr>
            <w:tcW w:w="2005" w:type="dxa"/>
            <w:noWrap/>
            <w:hideMark/>
          </w:tcPr>
          <w:p w14:paraId="6F220B40" w14:textId="280B3086" w:rsidR="00010B64" w:rsidRPr="00010B64" w:rsidRDefault="00010B64" w:rsidP="005A4442">
            <w:pPr>
              <w:pStyle w:val="SCVtablecolhead"/>
            </w:pPr>
            <w:r w:rsidRPr="00010B64">
              <w:t>2020</w:t>
            </w:r>
            <w:r w:rsidR="005A4442">
              <w:t>–</w:t>
            </w:r>
            <w:r w:rsidRPr="00010B64">
              <w:t>21</w:t>
            </w:r>
          </w:p>
        </w:tc>
        <w:tc>
          <w:tcPr>
            <w:tcW w:w="2005" w:type="dxa"/>
            <w:noWrap/>
            <w:hideMark/>
          </w:tcPr>
          <w:p w14:paraId="08168200" w14:textId="5AC0FBB7" w:rsidR="00010B64" w:rsidRPr="00010B64" w:rsidRDefault="00010B64" w:rsidP="005A4442">
            <w:pPr>
              <w:pStyle w:val="SCVtablecolhead"/>
            </w:pPr>
            <w:r w:rsidRPr="00010B64">
              <w:t>2021</w:t>
            </w:r>
            <w:r w:rsidR="005A4442">
              <w:t>–</w:t>
            </w:r>
            <w:r w:rsidRPr="00010B64">
              <w:t>22</w:t>
            </w:r>
          </w:p>
        </w:tc>
        <w:tc>
          <w:tcPr>
            <w:tcW w:w="2005" w:type="dxa"/>
            <w:noWrap/>
            <w:hideMark/>
          </w:tcPr>
          <w:p w14:paraId="6285F544" w14:textId="73265A21" w:rsidR="00010B64" w:rsidRPr="00010B64" w:rsidRDefault="00010B64" w:rsidP="005A4442">
            <w:pPr>
              <w:pStyle w:val="SCVtablecolhead"/>
            </w:pPr>
            <w:r w:rsidRPr="00010B64">
              <w:t>2022</w:t>
            </w:r>
            <w:r w:rsidR="005A4442">
              <w:t>–</w:t>
            </w:r>
            <w:r w:rsidRPr="00010B64">
              <w:t>23</w:t>
            </w:r>
          </w:p>
        </w:tc>
      </w:tr>
      <w:tr w:rsidR="00010B64" w:rsidRPr="00010B64" w14:paraId="08994E29" w14:textId="77777777" w:rsidTr="005A4442">
        <w:trPr>
          <w:trHeight w:val="300"/>
        </w:trPr>
        <w:tc>
          <w:tcPr>
            <w:tcW w:w="2186" w:type="dxa"/>
            <w:noWrap/>
            <w:hideMark/>
          </w:tcPr>
          <w:p w14:paraId="6DF0184A" w14:textId="1DC3C270" w:rsidR="00010B64" w:rsidRPr="00010B64" w:rsidRDefault="00010B64" w:rsidP="005A4442">
            <w:pPr>
              <w:pStyle w:val="SCVtablebody"/>
            </w:pPr>
            <w:r w:rsidRPr="00010B64">
              <w:t>19</w:t>
            </w:r>
            <w:r w:rsidR="008D7CB1">
              <w:t>–</w:t>
            </w:r>
            <w:r w:rsidRPr="00010B64">
              <w:t xml:space="preserve">29 </w:t>
            </w:r>
            <w:r w:rsidR="008D7CB1">
              <w:t>years</w:t>
            </w:r>
          </w:p>
        </w:tc>
        <w:tc>
          <w:tcPr>
            <w:tcW w:w="2005" w:type="dxa"/>
            <w:noWrap/>
            <w:hideMark/>
          </w:tcPr>
          <w:p w14:paraId="2EE0C412" w14:textId="04769896" w:rsidR="00010B64" w:rsidRPr="00010B64" w:rsidRDefault="00010B64" w:rsidP="005A4442">
            <w:pPr>
              <w:pStyle w:val="SCVtablebody"/>
            </w:pPr>
            <w:r w:rsidRPr="00010B64">
              <w:t>18</w:t>
            </w:r>
            <w:r w:rsidR="005A4442">
              <w:t xml:space="preserve"> (10%)</w:t>
            </w:r>
          </w:p>
        </w:tc>
        <w:tc>
          <w:tcPr>
            <w:tcW w:w="2005" w:type="dxa"/>
            <w:noWrap/>
            <w:hideMark/>
          </w:tcPr>
          <w:p w14:paraId="7FCEC3AC" w14:textId="168FB00E" w:rsidR="00010B64" w:rsidRPr="00010B64" w:rsidRDefault="00010B64" w:rsidP="005A4442">
            <w:pPr>
              <w:pStyle w:val="SCVtablebody"/>
            </w:pPr>
            <w:r w:rsidRPr="00010B64">
              <w:t>17</w:t>
            </w:r>
            <w:r w:rsidR="005A4442">
              <w:t xml:space="preserve"> (10%)</w:t>
            </w:r>
          </w:p>
        </w:tc>
        <w:tc>
          <w:tcPr>
            <w:tcW w:w="2005" w:type="dxa"/>
            <w:noWrap/>
            <w:hideMark/>
          </w:tcPr>
          <w:p w14:paraId="3A359538" w14:textId="5803016C" w:rsidR="00010B64" w:rsidRPr="00010B64" w:rsidRDefault="00010B64" w:rsidP="005A4442">
            <w:pPr>
              <w:pStyle w:val="SCVtablebody"/>
            </w:pPr>
            <w:r w:rsidRPr="00010B64">
              <w:t>12</w:t>
            </w:r>
            <w:r w:rsidR="005A4442">
              <w:t xml:space="preserve"> (</w:t>
            </w:r>
            <w:r w:rsidR="008D7CB1">
              <w:t>5</w:t>
            </w:r>
            <w:r w:rsidR="005A4442">
              <w:t>%)</w:t>
            </w:r>
          </w:p>
        </w:tc>
        <w:tc>
          <w:tcPr>
            <w:tcW w:w="2005" w:type="dxa"/>
            <w:noWrap/>
            <w:hideMark/>
          </w:tcPr>
          <w:p w14:paraId="34AA6960" w14:textId="6789D866" w:rsidR="00010B64" w:rsidRPr="00010B64" w:rsidRDefault="00010B64" w:rsidP="005A4442">
            <w:pPr>
              <w:pStyle w:val="SCVtablebody"/>
            </w:pPr>
            <w:r w:rsidRPr="00010B64">
              <w:t>11</w:t>
            </w:r>
            <w:r w:rsidR="005A4442">
              <w:t xml:space="preserve"> (</w:t>
            </w:r>
            <w:r w:rsidR="008D7CB1">
              <w:t>4</w:t>
            </w:r>
            <w:r w:rsidR="005A4442">
              <w:t>%)</w:t>
            </w:r>
          </w:p>
        </w:tc>
      </w:tr>
      <w:tr w:rsidR="00010B64" w:rsidRPr="00010B64" w14:paraId="3E1D5ACE" w14:textId="77777777" w:rsidTr="005A4442">
        <w:trPr>
          <w:trHeight w:val="300"/>
        </w:trPr>
        <w:tc>
          <w:tcPr>
            <w:tcW w:w="2186" w:type="dxa"/>
            <w:noWrap/>
            <w:hideMark/>
          </w:tcPr>
          <w:p w14:paraId="7C583CE7" w14:textId="7C518A8F" w:rsidR="00010B64" w:rsidRPr="00010B64" w:rsidRDefault="00010B64" w:rsidP="005A4442">
            <w:pPr>
              <w:pStyle w:val="SCVtablebody"/>
            </w:pPr>
            <w:r w:rsidRPr="00010B64">
              <w:t>30</w:t>
            </w:r>
            <w:r w:rsidR="008D7CB1">
              <w:t>–</w:t>
            </w:r>
            <w:r w:rsidRPr="00010B64">
              <w:t xml:space="preserve">64 </w:t>
            </w:r>
            <w:r w:rsidR="008D7CB1">
              <w:t>years</w:t>
            </w:r>
          </w:p>
        </w:tc>
        <w:tc>
          <w:tcPr>
            <w:tcW w:w="2005" w:type="dxa"/>
            <w:noWrap/>
            <w:hideMark/>
          </w:tcPr>
          <w:p w14:paraId="60256B18" w14:textId="48AB085F" w:rsidR="00010B64" w:rsidRPr="00010B64" w:rsidRDefault="00010B64" w:rsidP="005A4442">
            <w:pPr>
              <w:pStyle w:val="SCVtablebody"/>
            </w:pPr>
            <w:r w:rsidRPr="00010B64">
              <w:t>66</w:t>
            </w:r>
            <w:r w:rsidR="005A4442">
              <w:t xml:space="preserve"> (36%)</w:t>
            </w:r>
          </w:p>
        </w:tc>
        <w:tc>
          <w:tcPr>
            <w:tcW w:w="2005" w:type="dxa"/>
            <w:noWrap/>
            <w:hideMark/>
          </w:tcPr>
          <w:p w14:paraId="168A5741" w14:textId="1D3CAC69" w:rsidR="00010B64" w:rsidRPr="00010B64" w:rsidRDefault="00010B64" w:rsidP="005A4442">
            <w:pPr>
              <w:pStyle w:val="SCVtablebody"/>
            </w:pPr>
            <w:r w:rsidRPr="00010B64">
              <w:t>55</w:t>
            </w:r>
            <w:r w:rsidR="005A4442">
              <w:t xml:space="preserve"> (</w:t>
            </w:r>
            <w:r w:rsidR="008D7CB1">
              <w:t>33</w:t>
            </w:r>
            <w:r w:rsidR="005A4442">
              <w:t>%)</w:t>
            </w:r>
          </w:p>
        </w:tc>
        <w:tc>
          <w:tcPr>
            <w:tcW w:w="2005" w:type="dxa"/>
            <w:noWrap/>
            <w:hideMark/>
          </w:tcPr>
          <w:p w14:paraId="544222CB" w14:textId="53DF64A9" w:rsidR="00010B64" w:rsidRPr="00010B64" w:rsidRDefault="00010B64" w:rsidP="005A4442">
            <w:pPr>
              <w:pStyle w:val="SCVtablebody"/>
            </w:pPr>
            <w:r w:rsidRPr="00010B64">
              <w:t>66</w:t>
            </w:r>
            <w:r w:rsidR="005A4442">
              <w:t xml:space="preserve"> (</w:t>
            </w:r>
            <w:r w:rsidR="008D7CB1">
              <w:t>28</w:t>
            </w:r>
            <w:r w:rsidR="005A4442">
              <w:t>%)</w:t>
            </w:r>
          </w:p>
        </w:tc>
        <w:tc>
          <w:tcPr>
            <w:tcW w:w="2005" w:type="dxa"/>
            <w:noWrap/>
            <w:hideMark/>
          </w:tcPr>
          <w:p w14:paraId="083D98D8" w14:textId="420380C4" w:rsidR="00010B64" w:rsidRPr="00010B64" w:rsidRDefault="00010B64" w:rsidP="005A4442">
            <w:pPr>
              <w:pStyle w:val="SCVtablebody"/>
            </w:pPr>
            <w:r w:rsidRPr="00010B64">
              <w:t>84</w:t>
            </w:r>
            <w:r w:rsidR="005A4442">
              <w:t xml:space="preserve"> (</w:t>
            </w:r>
            <w:r w:rsidR="008D7CB1">
              <w:t>34</w:t>
            </w:r>
            <w:r w:rsidR="005A4442">
              <w:t>%)</w:t>
            </w:r>
          </w:p>
        </w:tc>
      </w:tr>
      <w:tr w:rsidR="00010B64" w:rsidRPr="00010B64" w14:paraId="78BAC3A1" w14:textId="77777777" w:rsidTr="005A4442">
        <w:trPr>
          <w:trHeight w:val="300"/>
        </w:trPr>
        <w:tc>
          <w:tcPr>
            <w:tcW w:w="2186" w:type="dxa"/>
            <w:noWrap/>
            <w:hideMark/>
          </w:tcPr>
          <w:p w14:paraId="07315D7E" w14:textId="1602486E" w:rsidR="00010B64" w:rsidRPr="00010B64" w:rsidRDefault="00010B64" w:rsidP="005A4442">
            <w:pPr>
              <w:pStyle w:val="SCVtablebody"/>
            </w:pPr>
            <w:r w:rsidRPr="00010B64">
              <w:t>65</w:t>
            </w:r>
            <w:r w:rsidR="008D7CB1">
              <w:t>–</w:t>
            </w:r>
            <w:r w:rsidRPr="00010B64">
              <w:t xml:space="preserve">84 </w:t>
            </w:r>
            <w:r w:rsidR="008D7CB1">
              <w:t>years</w:t>
            </w:r>
          </w:p>
        </w:tc>
        <w:tc>
          <w:tcPr>
            <w:tcW w:w="2005" w:type="dxa"/>
            <w:noWrap/>
            <w:hideMark/>
          </w:tcPr>
          <w:p w14:paraId="0BDC5749" w14:textId="65D3B588" w:rsidR="00010B64" w:rsidRPr="00010B64" w:rsidRDefault="00010B64" w:rsidP="005A4442">
            <w:pPr>
              <w:pStyle w:val="SCVtablebody"/>
            </w:pPr>
            <w:r w:rsidRPr="00010B64">
              <w:t>50</w:t>
            </w:r>
            <w:r w:rsidR="005A4442">
              <w:t xml:space="preserve"> (27%)</w:t>
            </w:r>
          </w:p>
        </w:tc>
        <w:tc>
          <w:tcPr>
            <w:tcW w:w="2005" w:type="dxa"/>
            <w:noWrap/>
            <w:hideMark/>
          </w:tcPr>
          <w:p w14:paraId="1F0D3AF4" w14:textId="6CFC370D" w:rsidR="00010B64" w:rsidRPr="00010B64" w:rsidRDefault="00010B64" w:rsidP="005A4442">
            <w:pPr>
              <w:pStyle w:val="SCVtablebody"/>
            </w:pPr>
            <w:r w:rsidRPr="00010B64">
              <w:t>51</w:t>
            </w:r>
            <w:r w:rsidR="005A4442">
              <w:t xml:space="preserve"> (</w:t>
            </w:r>
            <w:r w:rsidR="008D7CB1">
              <w:t>30</w:t>
            </w:r>
            <w:r w:rsidR="005A4442">
              <w:t>%)</w:t>
            </w:r>
          </w:p>
        </w:tc>
        <w:tc>
          <w:tcPr>
            <w:tcW w:w="2005" w:type="dxa"/>
            <w:noWrap/>
            <w:hideMark/>
          </w:tcPr>
          <w:p w14:paraId="599B554A" w14:textId="26A948BE" w:rsidR="00010B64" w:rsidRPr="00010B64" w:rsidRDefault="00010B64" w:rsidP="005A4442">
            <w:pPr>
              <w:pStyle w:val="SCVtablebody"/>
            </w:pPr>
            <w:r w:rsidRPr="00010B64">
              <w:t>85</w:t>
            </w:r>
            <w:r w:rsidR="005A4442">
              <w:t xml:space="preserve"> (</w:t>
            </w:r>
            <w:r w:rsidR="008D7CB1">
              <w:t>25</w:t>
            </w:r>
            <w:r w:rsidR="005A4442">
              <w:t>%)</w:t>
            </w:r>
          </w:p>
        </w:tc>
        <w:tc>
          <w:tcPr>
            <w:tcW w:w="2005" w:type="dxa"/>
            <w:noWrap/>
            <w:hideMark/>
          </w:tcPr>
          <w:p w14:paraId="3723EFFE" w14:textId="1279D7A8" w:rsidR="00010B64" w:rsidRPr="00010B64" w:rsidRDefault="00010B64" w:rsidP="005A4442">
            <w:pPr>
              <w:pStyle w:val="SCVtablebody"/>
            </w:pPr>
            <w:r w:rsidRPr="00010B64">
              <w:t>82</w:t>
            </w:r>
            <w:r w:rsidR="005A4442">
              <w:t xml:space="preserve"> (</w:t>
            </w:r>
            <w:r w:rsidR="008D7CB1">
              <w:t>33</w:t>
            </w:r>
            <w:r w:rsidR="005A4442">
              <w:t>%)</w:t>
            </w:r>
          </w:p>
        </w:tc>
      </w:tr>
      <w:tr w:rsidR="00010B64" w:rsidRPr="00010B64" w14:paraId="667914D4" w14:textId="77777777" w:rsidTr="005A4442">
        <w:trPr>
          <w:trHeight w:val="300"/>
        </w:trPr>
        <w:tc>
          <w:tcPr>
            <w:tcW w:w="2186" w:type="dxa"/>
            <w:noWrap/>
            <w:hideMark/>
          </w:tcPr>
          <w:p w14:paraId="2FEFE7F5" w14:textId="7CAC26EE" w:rsidR="00010B64" w:rsidRPr="00010B64" w:rsidRDefault="00010B64" w:rsidP="005A4442">
            <w:pPr>
              <w:pStyle w:val="SCVtablebody"/>
            </w:pPr>
            <w:r w:rsidRPr="00010B64">
              <w:t xml:space="preserve">85 </w:t>
            </w:r>
            <w:r w:rsidR="008D7CB1">
              <w:t>years</w:t>
            </w:r>
            <w:r w:rsidRPr="00010B64">
              <w:t>+</w:t>
            </w:r>
          </w:p>
        </w:tc>
        <w:tc>
          <w:tcPr>
            <w:tcW w:w="2005" w:type="dxa"/>
            <w:noWrap/>
            <w:hideMark/>
          </w:tcPr>
          <w:p w14:paraId="21A26E35" w14:textId="31F27578" w:rsidR="00010B64" w:rsidRPr="00010B64" w:rsidRDefault="00010B64" w:rsidP="005A4442">
            <w:pPr>
              <w:pStyle w:val="SCVtablebody"/>
            </w:pPr>
            <w:r w:rsidRPr="00010B64">
              <w:t>29</w:t>
            </w:r>
            <w:r w:rsidR="005A4442">
              <w:t xml:space="preserve"> (16%)</w:t>
            </w:r>
          </w:p>
        </w:tc>
        <w:tc>
          <w:tcPr>
            <w:tcW w:w="2005" w:type="dxa"/>
            <w:noWrap/>
            <w:hideMark/>
          </w:tcPr>
          <w:p w14:paraId="6F6AB6AD" w14:textId="272701FD" w:rsidR="00010B64" w:rsidRPr="00010B64" w:rsidRDefault="00010B64" w:rsidP="005A4442">
            <w:pPr>
              <w:pStyle w:val="SCVtablebody"/>
            </w:pPr>
            <w:r w:rsidRPr="00010B64">
              <w:t>25</w:t>
            </w:r>
            <w:r w:rsidR="005A4442">
              <w:t xml:space="preserve"> (</w:t>
            </w:r>
            <w:r w:rsidR="008D7CB1">
              <w:t>15</w:t>
            </w:r>
            <w:r w:rsidR="005A4442">
              <w:t>%)</w:t>
            </w:r>
          </w:p>
        </w:tc>
        <w:tc>
          <w:tcPr>
            <w:tcW w:w="2005" w:type="dxa"/>
            <w:noWrap/>
            <w:hideMark/>
          </w:tcPr>
          <w:p w14:paraId="6BEEF95D" w14:textId="259422CF" w:rsidR="00010B64" w:rsidRPr="00010B64" w:rsidRDefault="00010B64" w:rsidP="005A4442">
            <w:pPr>
              <w:pStyle w:val="SCVtablebody"/>
            </w:pPr>
            <w:r w:rsidRPr="00010B64">
              <w:t>39</w:t>
            </w:r>
            <w:r w:rsidR="005A4442">
              <w:t xml:space="preserve"> (1</w:t>
            </w:r>
            <w:r w:rsidR="008D7CB1">
              <w:t>6</w:t>
            </w:r>
            <w:r w:rsidR="005A4442">
              <w:t>%)</w:t>
            </w:r>
          </w:p>
        </w:tc>
        <w:tc>
          <w:tcPr>
            <w:tcW w:w="2005" w:type="dxa"/>
            <w:noWrap/>
            <w:hideMark/>
          </w:tcPr>
          <w:p w14:paraId="49E161FD" w14:textId="77114A2D" w:rsidR="00010B64" w:rsidRPr="00010B64" w:rsidRDefault="00010B64" w:rsidP="005A4442">
            <w:pPr>
              <w:pStyle w:val="SCVtablebody"/>
            </w:pPr>
            <w:r w:rsidRPr="00010B64">
              <w:t>33</w:t>
            </w:r>
            <w:r w:rsidR="005A4442">
              <w:t xml:space="preserve"> (1</w:t>
            </w:r>
            <w:r w:rsidR="008D7CB1">
              <w:t>3</w:t>
            </w:r>
            <w:r w:rsidR="005A4442">
              <w:t>%)</w:t>
            </w:r>
          </w:p>
        </w:tc>
      </w:tr>
    </w:tbl>
    <w:p w14:paraId="5C3EC161" w14:textId="77777777" w:rsidR="00152EC1" w:rsidRDefault="00152EC1" w:rsidP="00FF5332">
      <w:pPr>
        <w:pStyle w:val="SCVtablefigurenote"/>
      </w:pPr>
      <w:r>
        <w:t xml:space="preserve">Note: Totals of figures 20 and 21 not 100% due to rounding </w:t>
      </w:r>
    </w:p>
    <w:p w14:paraId="47153E50" w14:textId="77777777" w:rsidR="00152EC1" w:rsidRDefault="00152EC1" w:rsidP="00A17F27">
      <w:pPr>
        <w:pStyle w:val="SCVfigurecaption"/>
      </w:pPr>
      <w:r>
        <w:t xml:space="preserve">Figure 21. Age of paediatric patients affected by sentinel events by percentage of total </w:t>
      </w:r>
    </w:p>
    <w:tbl>
      <w:tblPr>
        <w:tblStyle w:val="TableGrid"/>
        <w:tblW w:w="5000" w:type="pct"/>
        <w:tblLook w:val="04A0" w:firstRow="1" w:lastRow="0" w:firstColumn="1" w:lastColumn="0" w:noHBand="0" w:noVBand="1"/>
      </w:tblPr>
      <w:tblGrid>
        <w:gridCol w:w="2184"/>
        <w:gridCol w:w="1935"/>
        <w:gridCol w:w="1935"/>
        <w:gridCol w:w="2217"/>
        <w:gridCol w:w="1935"/>
      </w:tblGrid>
      <w:tr w:rsidR="00010B64" w:rsidRPr="00010B64" w14:paraId="2AB4F117" w14:textId="77777777" w:rsidTr="00F73AF5">
        <w:trPr>
          <w:cnfStyle w:val="100000000000" w:firstRow="1" w:lastRow="0" w:firstColumn="0" w:lastColumn="0" w:oddVBand="0" w:evenVBand="0" w:oddHBand="0" w:evenHBand="0" w:firstRowFirstColumn="0" w:firstRowLastColumn="0" w:lastRowFirstColumn="0" w:lastRowLastColumn="0"/>
          <w:trHeight w:val="300"/>
          <w:tblHeader/>
        </w:trPr>
        <w:tc>
          <w:tcPr>
            <w:tcW w:w="2184" w:type="dxa"/>
            <w:noWrap/>
            <w:hideMark/>
          </w:tcPr>
          <w:p w14:paraId="72826C34" w14:textId="77777777" w:rsidR="00010B64" w:rsidRPr="00010B64" w:rsidRDefault="00010B64" w:rsidP="008D7CB1">
            <w:pPr>
              <w:pStyle w:val="SCVtablecolhead"/>
            </w:pPr>
            <w:r w:rsidRPr="00010B64">
              <w:t>Age</w:t>
            </w:r>
          </w:p>
        </w:tc>
        <w:tc>
          <w:tcPr>
            <w:tcW w:w="1935" w:type="dxa"/>
            <w:noWrap/>
            <w:hideMark/>
          </w:tcPr>
          <w:p w14:paraId="107E090B" w14:textId="3FEDB2DA" w:rsidR="00010B64" w:rsidRPr="00010B64" w:rsidRDefault="00010B64" w:rsidP="008D7CB1">
            <w:pPr>
              <w:pStyle w:val="SCVtablecolhead"/>
            </w:pPr>
            <w:r w:rsidRPr="00010B64">
              <w:t>2019</w:t>
            </w:r>
            <w:r w:rsidR="008D7CB1">
              <w:t>–</w:t>
            </w:r>
            <w:r w:rsidRPr="00010B64">
              <w:t>20</w:t>
            </w:r>
          </w:p>
        </w:tc>
        <w:tc>
          <w:tcPr>
            <w:tcW w:w="1935" w:type="dxa"/>
            <w:noWrap/>
            <w:hideMark/>
          </w:tcPr>
          <w:p w14:paraId="4E2DB21A" w14:textId="38F5B738" w:rsidR="00010B64" w:rsidRPr="00010B64" w:rsidRDefault="00010B64" w:rsidP="008D7CB1">
            <w:pPr>
              <w:pStyle w:val="SCVtablecolhead"/>
            </w:pPr>
            <w:r w:rsidRPr="00010B64">
              <w:t>2020</w:t>
            </w:r>
            <w:r w:rsidR="008D7CB1">
              <w:t>–</w:t>
            </w:r>
            <w:r w:rsidRPr="00010B64">
              <w:t>21</w:t>
            </w:r>
          </w:p>
        </w:tc>
        <w:tc>
          <w:tcPr>
            <w:tcW w:w="2217" w:type="dxa"/>
            <w:noWrap/>
            <w:hideMark/>
          </w:tcPr>
          <w:p w14:paraId="4A1677BF" w14:textId="3F977952" w:rsidR="00010B64" w:rsidRPr="00010B64" w:rsidRDefault="00010B64" w:rsidP="008D7CB1">
            <w:pPr>
              <w:pStyle w:val="SCVtablecolhead"/>
            </w:pPr>
            <w:r w:rsidRPr="00010B64">
              <w:t>2021</w:t>
            </w:r>
            <w:r w:rsidR="008D7CB1">
              <w:t>–</w:t>
            </w:r>
            <w:r w:rsidRPr="00010B64">
              <w:t>22</w:t>
            </w:r>
          </w:p>
        </w:tc>
        <w:tc>
          <w:tcPr>
            <w:tcW w:w="1935" w:type="dxa"/>
            <w:noWrap/>
            <w:hideMark/>
          </w:tcPr>
          <w:p w14:paraId="5AFCAE3B" w14:textId="36ECB379" w:rsidR="00010B64" w:rsidRPr="00010B64" w:rsidRDefault="00010B64" w:rsidP="008D7CB1">
            <w:pPr>
              <w:pStyle w:val="SCVtablecolhead"/>
            </w:pPr>
            <w:r w:rsidRPr="00010B64">
              <w:t>2022</w:t>
            </w:r>
            <w:r w:rsidR="008D7CB1">
              <w:t>–</w:t>
            </w:r>
            <w:r w:rsidRPr="00010B64">
              <w:t>23</w:t>
            </w:r>
          </w:p>
        </w:tc>
      </w:tr>
      <w:tr w:rsidR="00010B64" w:rsidRPr="00010B64" w14:paraId="3E62D251" w14:textId="77777777" w:rsidTr="008D7CB1">
        <w:trPr>
          <w:trHeight w:val="300"/>
        </w:trPr>
        <w:tc>
          <w:tcPr>
            <w:tcW w:w="2184" w:type="dxa"/>
            <w:noWrap/>
            <w:hideMark/>
          </w:tcPr>
          <w:p w14:paraId="7A91C928" w14:textId="5F3D88F5" w:rsidR="00010B64" w:rsidRPr="00010B64" w:rsidRDefault="00010B64" w:rsidP="005A4442">
            <w:pPr>
              <w:pStyle w:val="SCVtablebody"/>
            </w:pPr>
            <w:r w:rsidRPr="00010B64">
              <w:t>&lt;</w:t>
            </w:r>
            <w:r w:rsidR="008D7CB1">
              <w:t xml:space="preserve"> </w:t>
            </w:r>
            <w:r w:rsidRPr="00010B64">
              <w:t>7 days</w:t>
            </w:r>
          </w:p>
        </w:tc>
        <w:tc>
          <w:tcPr>
            <w:tcW w:w="1935" w:type="dxa"/>
            <w:noWrap/>
            <w:hideMark/>
          </w:tcPr>
          <w:p w14:paraId="45DF0083" w14:textId="6821ACBE" w:rsidR="00010B64" w:rsidRPr="00010B64" w:rsidRDefault="00010B64" w:rsidP="005A4442">
            <w:pPr>
              <w:pStyle w:val="SCVtablebody"/>
            </w:pPr>
            <w:r w:rsidRPr="00010B64">
              <w:t>12</w:t>
            </w:r>
            <w:r w:rsidR="008D7CB1">
              <w:t xml:space="preserve"> (6%)</w:t>
            </w:r>
          </w:p>
        </w:tc>
        <w:tc>
          <w:tcPr>
            <w:tcW w:w="1935" w:type="dxa"/>
            <w:noWrap/>
            <w:hideMark/>
          </w:tcPr>
          <w:p w14:paraId="17237A88" w14:textId="49F49443" w:rsidR="00010B64" w:rsidRPr="00010B64" w:rsidRDefault="00010B64" w:rsidP="005A4442">
            <w:pPr>
              <w:pStyle w:val="SCVtablebody"/>
            </w:pPr>
            <w:r w:rsidRPr="00010B64">
              <w:t>13</w:t>
            </w:r>
            <w:r w:rsidR="00114145">
              <w:t xml:space="preserve"> (8%)</w:t>
            </w:r>
          </w:p>
        </w:tc>
        <w:tc>
          <w:tcPr>
            <w:tcW w:w="2217" w:type="dxa"/>
            <w:noWrap/>
            <w:hideMark/>
          </w:tcPr>
          <w:p w14:paraId="47207E2F" w14:textId="0D768BF9" w:rsidR="00010B64" w:rsidRPr="00010B64" w:rsidRDefault="00010B64" w:rsidP="005A4442">
            <w:pPr>
              <w:pStyle w:val="SCVtablebody"/>
            </w:pPr>
            <w:r w:rsidRPr="00010B64">
              <w:t>20</w:t>
            </w:r>
            <w:r w:rsidR="00114145">
              <w:t xml:space="preserve"> (8%)</w:t>
            </w:r>
          </w:p>
        </w:tc>
        <w:tc>
          <w:tcPr>
            <w:tcW w:w="1935" w:type="dxa"/>
            <w:noWrap/>
            <w:hideMark/>
          </w:tcPr>
          <w:p w14:paraId="4495B58E" w14:textId="32376888" w:rsidR="00010B64" w:rsidRPr="00010B64" w:rsidRDefault="00010B64" w:rsidP="005A4442">
            <w:pPr>
              <w:pStyle w:val="SCVtablebody"/>
            </w:pPr>
            <w:r w:rsidRPr="00010B64">
              <w:t>12</w:t>
            </w:r>
            <w:r w:rsidR="00114145">
              <w:t xml:space="preserve"> (5%)</w:t>
            </w:r>
          </w:p>
        </w:tc>
      </w:tr>
      <w:tr w:rsidR="00010B64" w:rsidRPr="00010B64" w14:paraId="423FF417" w14:textId="77777777" w:rsidTr="008D7CB1">
        <w:trPr>
          <w:trHeight w:val="300"/>
        </w:trPr>
        <w:tc>
          <w:tcPr>
            <w:tcW w:w="2184" w:type="dxa"/>
            <w:noWrap/>
            <w:hideMark/>
          </w:tcPr>
          <w:p w14:paraId="702B3D12" w14:textId="064BB0DE" w:rsidR="00010B64" w:rsidRPr="00010B64" w:rsidRDefault="00010B64" w:rsidP="005A4442">
            <w:pPr>
              <w:pStyle w:val="SCVtablebody"/>
            </w:pPr>
            <w:r w:rsidRPr="00010B64">
              <w:t>7</w:t>
            </w:r>
            <w:r w:rsidR="008D7CB1">
              <w:t>–</w:t>
            </w:r>
            <w:r w:rsidRPr="00010B64">
              <w:t>29 days</w:t>
            </w:r>
          </w:p>
        </w:tc>
        <w:tc>
          <w:tcPr>
            <w:tcW w:w="1935" w:type="dxa"/>
            <w:noWrap/>
            <w:hideMark/>
          </w:tcPr>
          <w:p w14:paraId="45D2DEF7" w14:textId="1B446DFF" w:rsidR="00010B64" w:rsidRPr="00010B64" w:rsidRDefault="00010B64" w:rsidP="005A4442">
            <w:pPr>
              <w:pStyle w:val="SCVtablebody"/>
            </w:pPr>
            <w:r w:rsidRPr="00010B64">
              <w:t>1</w:t>
            </w:r>
            <w:r w:rsidR="00114145">
              <w:t xml:space="preserve"> (1%)</w:t>
            </w:r>
          </w:p>
        </w:tc>
        <w:tc>
          <w:tcPr>
            <w:tcW w:w="1935" w:type="dxa"/>
            <w:noWrap/>
            <w:hideMark/>
          </w:tcPr>
          <w:p w14:paraId="45C07449" w14:textId="46E8AE9F" w:rsidR="00010B64" w:rsidRPr="00010B64" w:rsidRDefault="00010B64" w:rsidP="005A4442">
            <w:pPr>
              <w:pStyle w:val="SCVtablebody"/>
            </w:pPr>
            <w:r w:rsidRPr="00010B64">
              <w:t>2</w:t>
            </w:r>
            <w:r w:rsidR="00114145">
              <w:t xml:space="preserve"> (1%)</w:t>
            </w:r>
          </w:p>
        </w:tc>
        <w:tc>
          <w:tcPr>
            <w:tcW w:w="2217" w:type="dxa"/>
            <w:noWrap/>
            <w:hideMark/>
          </w:tcPr>
          <w:p w14:paraId="0339E419" w14:textId="2DEF79B8" w:rsidR="00010B64" w:rsidRPr="00010B64" w:rsidRDefault="00010B64" w:rsidP="005A4442">
            <w:pPr>
              <w:pStyle w:val="SCVtablebody"/>
            </w:pPr>
            <w:r w:rsidRPr="00010B64">
              <w:t>5</w:t>
            </w:r>
            <w:r w:rsidR="00114145">
              <w:t xml:space="preserve"> (2%)</w:t>
            </w:r>
          </w:p>
        </w:tc>
        <w:tc>
          <w:tcPr>
            <w:tcW w:w="1935" w:type="dxa"/>
            <w:noWrap/>
            <w:hideMark/>
          </w:tcPr>
          <w:p w14:paraId="5EF042CF" w14:textId="12B1E6AA" w:rsidR="00010B64" w:rsidRPr="00010B64" w:rsidRDefault="00010B64" w:rsidP="005A4442">
            <w:pPr>
              <w:pStyle w:val="SCVtablebody"/>
            </w:pPr>
            <w:r w:rsidRPr="00010B64">
              <w:t>3</w:t>
            </w:r>
            <w:r w:rsidR="00114145">
              <w:t xml:space="preserve"> (1%)</w:t>
            </w:r>
          </w:p>
        </w:tc>
      </w:tr>
      <w:tr w:rsidR="00010B64" w:rsidRPr="00010B64" w14:paraId="217E8E43" w14:textId="77777777" w:rsidTr="008D7CB1">
        <w:trPr>
          <w:trHeight w:val="300"/>
        </w:trPr>
        <w:tc>
          <w:tcPr>
            <w:tcW w:w="2184" w:type="dxa"/>
            <w:noWrap/>
            <w:hideMark/>
          </w:tcPr>
          <w:p w14:paraId="2A83EE9F" w14:textId="32724AAD" w:rsidR="00010B64" w:rsidRPr="00010B64" w:rsidRDefault="00010B64" w:rsidP="005A4442">
            <w:pPr>
              <w:pStyle w:val="SCVtablebody"/>
            </w:pPr>
            <w:r w:rsidRPr="00010B64">
              <w:t>30 days</w:t>
            </w:r>
            <w:r w:rsidR="008D7CB1">
              <w:t xml:space="preserve"> – </w:t>
            </w:r>
            <w:r w:rsidRPr="00010B64">
              <w:t>1 y</w:t>
            </w:r>
            <w:r w:rsidR="008D7CB1">
              <w:t>ea</w:t>
            </w:r>
            <w:r w:rsidRPr="00010B64">
              <w:t>r</w:t>
            </w:r>
          </w:p>
        </w:tc>
        <w:tc>
          <w:tcPr>
            <w:tcW w:w="1935" w:type="dxa"/>
            <w:noWrap/>
            <w:hideMark/>
          </w:tcPr>
          <w:p w14:paraId="2266228E" w14:textId="057E4DF9" w:rsidR="00010B64" w:rsidRPr="00010B64" w:rsidRDefault="00010B64" w:rsidP="005A4442">
            <w:pPr>
              <w:pStyle w:val="SCVtablebody"/>
            </w:pPr>
            <w:r w:rsidRPr="00010B64">
              <w:t>4</w:t>
            </w:r>
            <w:r w:rsidR="00114145">
              <w:t xml:space="preserve"> (2%)</w:t>
            </w:r>
          </w:p>
        </w:tc>
        <w:tc>
          <w:tcPr>
            <w:tcW w:w="1935" w:type="dxa"/>
            <w:noWrap/>
            <w:hideMark/>
          </w:tcPr>
          <w:p w14:paraId="43485E6E" w14:textId="677FF342" w:rsidR="00010B64" w:rsidRPr="00010B64" w:rsidRDefault="00010B64" w:rsidP="005A4442">
            <w:pPr>
              <w:pStyle w:val="SCVtablebody"/>
            </w:pPr>
            <w:r w:rsidRPr="00010B64">
              <w:t>2</w:t>
            </w:r>
            <w:r w:rsidR="00114145">
              <w:t xml:space="preserve"> (1%)</w:t>
            </w:r>
          </w:p>
        </w:tc>
        <w:tc>
          <w:tcPr>
            <w:tcW w:w="2217" w:type="dxa"/>
            <w:noWrap/>
            <w:hideMark/>
          </w:tcPr>
          <w:p w14:paraId="4A5B6851" w14:textId="571D582A" w:rsidR="00010B64" w:rsidRPr="00010B64" w:rsidRDefault="00010B64" w:rsidP="005A4442">
            <w:pPr>
              <w:pStyle w:val="SCVtablebody"/>
            </w:pPr>
            <w:r w:rsidRPr="00010B64">
              <w:t>2</w:t>
            </w:r>
            <w:r w:rsidR="00114145">
              <w:t xml:space="preserve"> (1%)</w:t>
            </w:r>
          </w:p>
        </w:tc>
        <w:tc>
          <w:tcPr>
            <w:tcW w:w="1935" w:type="dxa"/>
            <w:noWrap/>
            <w:hideMark/>
          </w:tcPr>
          <w:p w14:paraId="2FBDDAC5" w14:textId="4DEABAE5" w:rsidR="00010B64" w:rsidRPr="00010B64" w:rsidRDefault="00010B64" w:rsidP="005A4442">
            <w:pPr>
              <w:pStyle w:val="SCVtablebody"/>
            </w:pPr>
            <w:r w:rsidRPr="00010B64">
              <w:t>3</w:t>
            </w:r>
            <w:r w:rsidR="00114145">
              <w:t xml:space="preserve"> (1%)</w:t>
            </w:r>
          </w:p>
        </w:tc>
      </w:tr>
      <w:tr w:rsidR="00010B64" w:rsidRPr="00010B64" w14:paraId="02AD711B" w14:textId="77777777" w:rsidTr="008D7CB1">
        <w:trPr>
          <w:trHeight w:val="300"/>
        </w:trPr>
        <w:tc>
          <w:tcPr>
            <w:tcW w:w="2184" w:type="dxa"/>
            <w:noWrap/>
            <w:hideMark/>
          </w:tcPr>
          <w:p w14:paraId="0F2459E3" w14:textId="6B55A13D" w:rsidR="00010B64" w:rsidRPr="00010B64" w:rsidRDefault="00010B64" w:rsidP="005A4442">
            <w:pPr>
              <w:pStyle w:val="SCVtablebody"/>
            </w:pPr>
            <w:r w:rsidRPr="00010B64">
              <w:t>1</w:t>
            </w:r>
            <w:r w:rsidR="008D7CB1">
              <w:t>–</w:t>
            </w:r>
            <w:r w:rsidRPr="00010B64">
              <w:t xml:space="preserve">5 </w:t>
            </w:r>
            <w:r w:rsidR="008D7CB1">
              <w:t>years</w:t>
            </w:r>
          </w:p>
        </w:tc>
        <w:tc>
          <w:tcPr>
            <w:tcW w:w="1935" w:type="dxa"/>
            <w:noWrap/>
            <w:hideMark/>
          </w:tcPr>
          <w:p w14:paraId="00992020" w14:textId="6A692209" w:rsidR="00010B64" w:rsidRPr="00010B64" w:rsidRDefault="00010B64" w:rsidP="005A4442">
            <w:pPr>
              <w:pStyle w:val="SCVtablebody"/>
            </w:pPr>
            <w:r w:rsidRPr="00010B64">
              <w:t>3</w:t>
            </w:r>
            <w:r w:rsidR="00114145">
              <w:t xml:space="preserve"> (2%)</w:t>
            </w:r>
          </w:p>
        </w:tc>
        <w:tc>
          <w:tcPr>
            <w:tcW w:w="1935" w:type="dxa"/>
            <w:noWrap/>
            <w:hideMark/>
          </w:tcPr>
          <w:p w14:paraId="0D722A1E" w14:textId="32A42197" w:rsidR="00010B64" w:rsidRPr="00010B64" w:rsidRDefault="00010B64" w:rsidP="005A4442">
            <w:pPr>
              <w:pStyle w:val="SCVtablebody"/>
            </w:pPr>
            <w:r w:rsidRPr="00010B64">
              <w:t>0</w:t>
            </w:r>
            <w:r w:rsidR="00114145">
              <w:t xml:space="preserve"> (0%)</w:t>
            </w:r>
          </w:p>
        </w:tc>
        <w:tc>
          <w:tcPr>
            <w:tcW w:w="2217" w:type="dxa"/>
            <w:noWrap/>
            <w:hideMark/>
          </w:tcPr>
          <w:p w14:paraId="6FC6871B" w14:textId="1BCC38AC" w:rsidR="00010B64" w:rsidRPr="00010B64" w:rsidRDefault="00010B64" w:rsidP="005A4442">
            <w:pPr>
              <w:pStyle w:val="SCVtablebody"/>
            </w:pPr>
            <w:r w:rsidRPr="00010B64">
              <w:t>3</w:t>
            </w:r>
            <w:r w:rsidR="00114145">
              <w:t xml:space="preserve"> (1%)</w:t>
            </w:r>
          </w:p>
        </w:tc>
        <w:tc>
          <w:tcPr>
            <w:tcW w:w="1935" w:type="dxa"/>
            <w:noWrap/>
            <w:hideMark/>
          </w:tcPr>
          <w:p w14:paraId="2E3A03B8" w14:textId="11A4EAED" w:rsidR="00010B64" w:rsidRPr="00010B64" w:rsidRDefault="00010B64" w:rsidP="005A4442">
            <w:pPr>
              <w:pStyle w:val="SCVtablebody"/>
            </w:pPr>
            <w:r w:rsidRPr="00010B64">
              <w:t>5</w:t>
            </w:r>
            <w:r w:rsidR="00114145">
              <w:t xml:space="preserve"> (2%)</w:t>
            </w:r>
          </w:p>
        </w:tc>
      </w:tr>
      <w:tr w:rsidR="00010B64" w:rsidRPr="00010B64" w14:paraId="001DDC1A" w14:textId="77777777" w:rsidTr="008D7CB1">
        <w:trPr>
          <w:trHeight w:val="300"/>
        </w:trPr>
        <w:tc>
          <w:tcPr>
            <w:tcW w:w="2184" w:type="dxa"/>
            <w:noWrap/>
            <w:hideMark/>
          </w:tcPr>
          <w:p w14:paraId="52D8C251" w14:textId="54B68B39" w:rsidR="00010B64" w:rsidRPr="00010B64" w:rsidRDefault="00010B64" w:rsidP="005A4442">
            <w:pPr>
              <w:pStyle w:val="SCVtablebody"/>
            </w:pPr>
            <w:r w:rsidRPr="00010B64">
              <w:t>6</w:t>
            </w:r>
            <w:r w:rsidR="008D7CB1">
              <w:t>–</w:t>
            </w:r>
            <w:r w:rsidRPr="00010B64">
              <w:t xml:space="preserve">18 </w:t>
            </w:r>
            <w:r w:rsidR="008D7CB1">
              <w:t>years</w:t>
            </w:r>
          </w:p>
        </w:tc>
        <w:tc>
          <w:tcPr>
            <w:tcW w:w="1935" w:type="dxa"/>
            <w:noWrap/>
            <w:hideMark/>
          </w:tcPr>
          <w:p w14:paraId="60A38F64" w14:textId="5E4B95A6" w:rsidR="00010B64" w:rsidRPr="00010B64" w:rsidRDefault="00010B64" w:rsidP="005A4442">
            <w:pPr>
              <w:pStyle w:val="SCVtablebody"/>
            </w:pPr>
            <w:r w:rsidRPr="00010B64">
              <w:t>2</w:t>
            </w:r>
            <w:r w:rsidR="00114145">
              <w:t xml:space="preserve"> (1%)</w:t>
            </w:r>
          </w:p>
        </w:tc>
        <w:tc>
          <w:tcPr>
            <w:tcW w:w="1935" w:type="dxa"/>
            <w:noWrap/>
            <w:hideMark/>
          </w:tcPr>
          <w:p w14:paraId="7DC0EABB" w14:textId="2DDFE98C" w:rsidR="00010B64" w:rsidRPr="00010B64" w:rsidRDefault="00010B64" w:rsidP="005A4442">
            <w:pPr>
              <w:pStyle w:val="SCVtablebody"/>
            </w:pPr>
            <w:r w:rsidRPr="00010B64">
              <w:t>3</w:t>
            </w:r>
            <w:r w:rsidR="00114145">
              <w:t xml:space="preserve"> (2%)</w:t>
            </w:r>
          </w:p>
        </w:tc>
        <w:tc>
          <w:tcPr>
            <w:tcW w:w="2217" w:type="dxa"/>
            <w:noWrap/>
            <w:hideMark/>
          </w:tcPr>
          <w:p w14:paraId="6CFA0E5A" w14:textId="3D339FB5" w:rsidR="00010B64" w:rsidRPr="00010B64" w:rsidRDefault="00010B64" w:rsidP="005A4442">
            <w:pPr>
              <w:pStyle w:val="SCVtablebody"/>
            </w:pPr>
            <w:r w:rsidRPr="00010B64">
              <w:t>8</w:t>
            </w:r>
            <w:r w:rsidR="00114145">
              <w:t xml:space="preserve"> (3%)</w:t>
            </w:r>
          </w:p>
        </w:tc>
        <w:tc>
          <w:tcPr>
            <w:tcW w:w="1935" w:type="dxa"/>
            <w:noWrap/>
            <w:hideMark/>
          </w:tcPr>
          <w:p w14:paraId="50058DCD" w14:textId="68DE44CC" w:rsidR="00010B64" w:rsidRPr="00010B64" w:rsidRDefault="00010B64" w:rsidP="005A4442">
            <w:pPr>
              <w:pStyle w:val="SCVtablebody"/>
            </w:pPr>
            <w:r w:rsidRPr="00010B64">
              <w:t>12</w:t>
            </w:r>
            <w:r w:rsidR="00114145">
              <w:t xml:space="preserve"> (5%)</w:t>
            </w:r>
          </w:p>
        </w:tc>
      </w:tr>
    </w:tbl>
    <w:p w14:paraId="150470FC" w14:textId="5D56668A" w:rsidR="00152EC1" w:rsidRDefault="00152EC1" w:rsidP="00010B64">
      <w:pPr>
        <w:pStyle w:val="SCVtablefigurenote"/>
      </w:pPr>
      <w:r>
        <w:t xml:space="preserve">Note: Totals of figures 20 and 21 not 100% due to rounding </w:t>
      </w:r>
    </w:p>
    <w:p w14:paraId="53E7E3F1" w14:textId="77777777" w:rsidR="00152EC1" w:rsidRDefault="00152EC1" w:rsidP="00035A91">
      <w:pPr>
        <w:pStyle w:val="Heading3"/>
      </w:pPr>
      <w:bookmarkStart w:id="41" w:name="_Toc173851139"/>
      <w:r>
        <w:lastRenderedPageBreak/>
        <w:t>Admitting speciality for patients affected by a sentinel event</w:t>
      </w:r>
      <w:bookmarkEnd w:id="41"/>
      <w:r>
        <w:t xml:space="preserve"> </w:t>
      </w:r>
    </w:p>
    <w:p w14:paraId="02207A75" w14:textId="77777777" w:rsidR="00152EC1" w:rsidRDefault="00152EC1" w:rsidP="00C96A69">
      <w:pPr>
        <w:pStyle w:val="SCVbody"/>
      </w:pPr>
      <w:r>
        <w:t xml:space="preserve">Reporting health services are required to identify the speciality providing care to the patient when the sentinel event occurred. </w:t>
      </w:r>
    </w:p>
    <w:p w14:paraId="1DAFA5CA" w14:textId="77777777" w:rsidR="00152EC1" w:rsidRDefault="00152EC1" w:rsidP="00A17F27">
      <w:pPr>
        <w:pStyle w:val="SCVfigurecaption"/>
      </w:pPr>
      <w:r>
        <w:t xml:space="preserve">Figure 22. Admitting speciality for patients affected by sentinel events by percentage of events 2021–22 and 2022–23 </w:t>
      </w:r>
    </w:p>
    <w:tbl>
      <w:tblPr>
        <w:tblStyle w:val="TableGrid"/>
        <w:tblW w:w="7560" w:type="dxa"/>
        <w:tblLayout w:type="fixed"/>
        <w:tblLook w:val="04A0" w:firstRow="1" w:lastRow="0" w:firstColumn="1" w:lastColumn="0" w:noHBand="0" w:noVBand="1"/>
      </w:tblPr>
      <w:tblGrid>
        <w:gridCol w:w="4413"/>
        <w:gridCol w:w="1573"/>
        <w:gridCol w:w="1574"/>
      </w:tblGrid>
      <w:tr w:rsidR="00010B64" w:rsidRPr="00010B64" w14:paraId="5C8F0F54" w14:textId="77777777" w:rsidTr="00F73AF5">
        <w:trPr>
          <w:cnfStyle w:val="100000000000" w:firstRow="1" w:lastRow="0" w:firstColumn="0" w:lastColumn="0" w:oddVBand="0" w:evenVBand="0" w:oddHBand="0" w:evenHBand="0" w:firstRowFirstColumn="0" w:firstRowLastColumn="0" w:lastRowFirstColumn="0" w:lastRowLastColumn="0"/>
          <w:trHeight w:val="300"/>
          <w:tblHeader/>
        </w:trPr>
        <w:tc>
          <w:tcPr>
            <w:tcW w:w="4413" w:type="dxa"/>
            <w:noWrap/>
            <w:hideMark/>
          </w:tcPr>
          <w:p w14:paraId="0B39879F" w14:textId="77777777" w:rsidR="00010B64" w:rsidRPr="00010B64" w:rsidRDefault="00010B64" w:rsidP="00F73AF5">
            <w:pPr>
              <w:pStyle w:val="SCVtablecolhead"/>
            </w:pPr>
            <w:r w:rsidRPr="00010B64">
              <w:t>Admitting speciality</w:t>
            </w:r>
          </w:p>
        </w:tc>
        <w:tc>
          <w:tcPr>
            <w:tcW w:w="1573" w:type="dxa"/>
            <w:noWrap/>
            <w:hideMark/>
          </w:tcPr>
          <w:p w14:paraId="3914928A" w14:textId="36FE4497" w:rsidR="00010B64" w:rsidRPr="00010B64" w:rsidRDefault="00010B64" w:rsidP="00F73AF5">
            <w:pPr>
              <w:pStyle w:val="SCVtablecolhead"/>
            </w:pPr>
            <w:r w:rsidRPr="00010B64">
              <w:t>2021</w:t>
            </w:r>
            <w:r w:rsidR="00F73AF5">
              <w:t>–</w:t>
            </w:r>
            <w:r w:rsidRPr="00010B64">
              <w:t>22</w:t>
            </w:r>
          </w:p>
        </w:tc>
        <w:tc>
          <w:tcPr>
            <w:tcW w:w="1574" w:type="dxa"/>
            <w:noWrap/>
            <w:hideMark/>
          </w:tcPr>
          <w:p w14:paraId="65467F50" w14:textId="5AC22E12" w:rsidR="00010B64" w:rsidRPr="00010B64" w:rsidRDefault="00010B64" w:rsidP="00F73AF5">
            <w:pPr>
              <w:pStyle w:val="SCVtablecolhead"/>
            </w:pPr>
            <w:r w:rsidRPr="00010B64">
              <w:t>2022</w:t>
            </w:r>
            <w:r w:rsidR="00F73AF5">
              <w:t>–</w:t>
            </w:r>
            <w:r w:rsidRPr="00010B64">
              <w:t>23</w:t>
            </w:r>
          </w:p>
        </w:tc>
      </w:tr>
      <w:tr w:rsidR="00010B64" w:rsidRPr="00010B64" w14:paraId="77ADC0B0" w14:textId="77777777" w:rsidTr="00F73AF5">
        <w:trPr>
          <w:trHeight w:val="300"/>
        </w:trPr>
        <w:tc>
          <w:tcPr>
            <w:tcW w:w="4413" w:type="dxa"/>
            <w:noWrap/>
            <w:hideMark/>
          </w:tcPr>
          <w:p w14:paraId="774BFF99" w14:textId="77777777" w:rsidR="00010B64" w:rsidRPr="00010B64" w:rsidRDefault="00010B64" w:rsidP="005A4442">
            <w:pPr>
              <w:pStyle w:val="SCVtablebody"/>
            </w:pPr>
            <w:r w:rsidRPr="00010B64">
              <w:t>General Medical</w:t>
            </w:r>
          </w:p>
        </w:tc>
        <w:tc>
          <w:tcPr>
            <w:tcW w:w="1573" w:type="dxa"/>
            <w:noWrap/>
            <w:hideMark/>
          </w:tcPr>
          <w:p w14:paraId="39999AFA" w14:textId="77777777" w:rsidR="00010B64" w:rsidRPr="00010B64" w:rsidRDefault="00010B64" w:rsidP="005A4442">
            <w:pPr>
              <w:pStyle w:val="SCVtablebody"/>
            </w:pPr>
            <w:r w:rsidRPr="00010B64">
              <w:t>20.4%</w:t>
            </w:r>
          </w:p>
        </w:tc>
        <w:tc>
          <w:tcPr>
            <w:tcW w:w="1574" w:type="dxa"/>
            <w:noWrap/>
            <w:hideMark/>
          </w:tcPr>
          <w:p w14:paraId="54DB2F2D" w14:textId="77777777" w:rsidR="00010B64" w:rsidRPr="00010B64" w:rsidRDefault="00010B64" w:rsidP="005A4442">
            <w:pPr>
              <w:pStyle w:val="SCVtablebody"/>
            </w:pPr>
            <w:r w:rsidRPr="00010B64">
              <w:t>18.0%</w:t>
            </w:r>
          </w:p>
        </w:tc>
      </w:tr>
      <w:tr w:rsidR="00010B64" w:rsidRPr="00010B64" w14:paraId="0F953DAE" w14:textId="77777777" w:rsidTr="00F73AF5">
        <w:trPr>
          <w:trHeight w:val="300"/>
        </w:trPr>
        <w:tc>
          <w:tcPr>
            <w:tcW w:w="4413" w:type="dxa"/>
            <w:noWrap/>
            <w:hideMark/>
          </w:tcPr>
          <w:p w14:paraId="5FC61CFE" w14:textId="77777777" w:rsidR="00010B64" w:rsidRPr="00010B64" w:rsidRDefault="00010B64" w:rsidP="005A4442">
            <w:pPr>
              <w:pStyle w:val="SCVtablebody"/>
            </w:pPr>
            <w:r w:rsidRPr="00010B64">
              <w:t>Emergency Medicine</w:t>
            </w:r>
          </w:p>
        </w:tc>
        <w:tc>
          <w:tcPr>
            <w:tcW w:w="1573" w:type="dxa"/>
            <w:noWrap/>
            <w:hideMark/>
          </w:tcPr>
          <w:p w14:paraId="4E531C42" w14:textId="77777777" w:rsidR="00010B64" w:rsidRPr="00010B64" w:rsidRDefault="00010B64" w:rsidP="005A4442">
            <w:pPr>
              <w:pStyle w:val="SCVtablebody"/>
            </w:pPr>
            <w:r w:rsidRPr="00010B64">
              <w:t>12.1%</w:t>
            </w:r>
          </w:p>
        </w:tc>
        <w:tc>
          <w:tcPr>
            <w:tcW w:w="1574" w:type="dxa"/>
            <w:noWrap/>
            <w:hideMark/>
          </w:tcPr>
          <w:p w14:paraId="656FDD9A" w14:textId="77777777" w:rsidR="00010B64" w:rsidRPr="00010B64" w:rsidRDefault="00010B64" w:rsidP="005A4442">
            <w:pPr>
              <w:pStyle w:val="SCVtablebody"/>
            </w:pPr>
            <w:r w:rsidRPr="00010B64">
              <w:t>12.7%</w:t>
            </w:r>
          </w:p>
        </w:tc>
      </w:tr>
      <w:tr w:rsidR="00010B64" w:rsidRPr="00010B64" w14:paraId="59A12D9D" w14:textId="77777777" w:rsidTr="00F73AF5">
        <w:trPr>
          <w:trHeight w:val="300"/>
        </w:trPr>
        <w:tc>
          <w:tcPr>
            <w:tcW w:w="4413" w:type="dxa"/>
            <w:noWrap/>
            <w:hideMark/>
          </w:tcPr>
          <w:p w14:paraId="6B6C02CB" w14:textId="77777777" w:rsidR="00010B64" w:rsidRPr="00010B64" w:rsidRDefault="00010B64" w:rsidP="005A4442">
            <w:pPr>
              <w:pStyle w:val="SCVtablebody"/>
            </w:pPr>
            <w:r w:rsidRPr="00010B64">
              <w:t>General Surgical</w:t>
            </w:r>
          </w:p>
        </w:tc>
        <w:tc>
          <w:tcPr>
            <w:tcW w:w="1573" w:type="dxa"/>
            <w:noWrap/>
            <w:hideMark/>
          </w:tcPr>
          <w:p w14:paraId="29B403A2" w14:textId="77777777" w:rsidR="00010B64" w:rsidRPr="00010B64" w:rsidRDefault="00010B64" w:rsidP="005A4442">
            <w:pPr>
              <w:pStyle w:val="SCVtablebody"/>
            </w:pPr>
            <w:r w:rsidRPr="00010B64">
              <w:t>7.9%</w:t>
            </w:r>
          </w:p>
        </w:tc>
        <w:tc>
          <w:tcPr>
            <w:tcW w:w="1574" w:type="dxa"/>
            <w:noWrap/>
            <w:hideMark/>
          </w:tcPr>
          <w:p w14:paraId="79FC2841" w14:textId="77777777" w:rsidR="00010B64" w:rsidRPr="00010B64" w:rsidRDefault="00010B64" w:rsidP="005A4442">
            <w:pPr>
              <w:pStyle w:val="SCVtablebody"/>
            </w:pPr>
            <w:r w:rsidRPr="00010B64">
              <w:t>7.3%</w:t>
            </w:r>
          </w:p>
        </w:tc>
      </w:tr>
      <w:tr w:rsidR="00010B64" w:rsidRPr="00010B64" w14:paraId="0DC5A925" w14:textId="77777777" w:rsidTr="00F73AF5">
        <w:trPr>
          <w:trHeight w:val="300"/>
        </w:trPr>
        <w:tc>
          <w:tcPr>
            <w:tcW w:w="4413" w:type="dxa"/>
            <w:noWrap/>
            <w:hideMark/>
          </w:tcPr>
          <w:p w14:paraId="175FBE5F" w14:textId="77777777" w:rsidR="00010B64" w:rsidRPr="00010B64" w:rsidRDefault="00010B64" w:rsidP="005A4442">
            <w:pPr>
              <w:pStyle w:val="SCVtablebody"/>
            </w:pPr>
            <w:r w:rsidRPr="00010B64">
              <w:t>Obstetric/Maternity</w:t>
            </w:r>
          </w:p>
        </w:tc>
        <w:tc>
          <w:tcPr>
            <w:tcW w:w="1573" w:type="dxa"/>
            <w:noWrap/>
            <w:hideMark/>
          </w:tcPr>
          <w:p w14:paraId="4F171049" w14:textId="77777777" w:rsidR="00010B64" w:rsidRPr="00010B64" w:rsidRDefault="00010B64" w:rsidP="005A4442">
            <w:pPr>
              <w:pStyle w:val="SCVtablebody"/>
            </w:pPr>
            <w:r w:rsidRPr="00010B64">
              <w:t>11.7%</w:t>
            </w:r>
          </w:p>
        </w:tc>
        <w:tc>
          <w:tcPr>
            <w:tcW w:w="1574" w:type="dxa"/>
            <w:noWrap/>
            <w:hideMark/>
          </w:tcPr>
          <w:p w14:paraId="42D8AF30" w14:textId="77777777" w:rsidR="00010B64" w:rsidRPr="00010B64" w:rsidRDefault="00010B64" w:rsidP="005A4442">
            <w:pPr>
              <w:pStyle w:val="SCVtablebody"/>
            </w:pPr>
            <w:r w:rsidRPr="00010B64">
              <w:t>6.5%</w:t>
            </w:r>
          </w:p>
        </w:tc>
      </w:tr>
      <w:tr w:rsidR="00010B64" w:rsidRPr="00010B64" w14:paraId="36D8D3FC" w14:textId="77777777" w:rsidTr="00F73AF5">
        <w:trPr>
          <w:trHeight w:val="300"/>
        </w:trPr>
        <w:tc>
          <w:tcPr>
            <w:tcW w:w="4413" w:type="dxa"/>
            <w:noWrap/>
            <w:hideMark/>
          </w:tcPr>
          <w:p w14:paraId="72F6A8B6" w14:textId="77777777" w:rsidR="00010B64" w:rsidRPr="00010B64" w:rsidRDefault="00010B64" w:rsidP="005A4442">
            <w:pPr>
              <w:pStyle w:val="SCVtablebody"/>
            </w:pPr>
            <w:r w:rsidRPr="00010B64">
              <w:t>Pre-hospital</w:t>
            </w:r>
          </w:p>
        </w:tc>
        <w:tc>
          <w:tcPr>
            <w:tcW w:w="1573" w:type="dxa"/>
            <w:noWrap/>
            <w:hideMark/>
          </w:tcPr>
          <w:p w14:paraId="7BB337C3" w14:textId="77777777" w:rsidR="00010B64" w:rsidRPr="00010B64" w:rsidRDefault="00010B64" w:rsidP="005A4442">
            <w:pPr>
              <w:pStyle w:val="SCVtablebody"/>
            </w:pPr>
            <w:r w:rsidRPr="00010B64">
              <w:t>4.2%</w:t>
            </w:r>
          </w:p>
        </w:tc>
        <w:tc>
          <w:tcPr>
            <w:tcW w:w="1574" w:type="dxa"/>
            <w:noWrap/>
            <w:hideMark/>
          </w:tcPr>
          <w:p w14:paraId="256F388A" w14:textId="77777777" w:rsidR="00010B64" w:rsidRPr="00010B64" w:rsidRDefault="00010B64" w:rsidP="005A4442">
            <w:pPr>
              <w:pStyle w:val="SCVtablebody"/>
            </w:pPr>
            <w:r w:rsidRPr="00010B64">
              <w:t>5.7%</w:t>
            </w:r>
          </w:p>
        </w:tc>
      </w:tr>
      <w:tr w:rsidR="00010B64" w:rsidRPr="00010B64" w14:paraId="5899BCF1" w14:textId="77777777" w:rsidTr="00F73AF5">
        <w:trPr>
          <w:trHeight w:val="300"/>
        </w:trPr>
        <w:tc>
          <w:tcPr>
            <w:tcW w:w="4413" w:type="dxa"/>
            <w:noWrap/>
            <w:hideMark/>
          </w:tcPr>
          <w:p w14:paraId="374939D2" w14:textId="77777777" w:rsidR="00010B64" w:rsidRPr="00010B64" w:rsidRDefault="00010B64" w:rsidP="005A4442">
            <w:pPr>
              <w:pStyle w:val="SCVtablebody"/>
            </w:pPr>
            <w:r w:rsidRPr="00010B64">
              <w:t>Cardiology</w:t>
            </w:r>
          </w:p>
        </w:tc>
        <w:tc>
          <w:tcPr>
            <w:tcW w:w="1573" w:type="dxa"/>
            <w:noWrap/>
            <w:hideMark/>
          </w:tcPr>
          <w:p w14:paraId="0F3C0DE0" w14:textId="77777777" w:rsidR="00010B64" w:rsidRPr="00010B64" w:rsidRDefault="00010B64" w:rsidP="005A4442">
            <w:pPr>
              <w:pStyle w:val="SCVtablebody"/>
            </w:pPr>
            <w:r w:rsidRPr="00010B64">
              <w:t>3.8%</w:t>
            </w:r>
          </w:p>
        </w:tc>
        <w:tc>
          <w:tcPr>
            <w:tcW w:w="1574" w:type="dxa"/>
            <w:noWrap/>
            <w:hideMark/>
          </w:tcPr>
          <w:p w14:paraId="0DED0306" w14:textId="77777777" w:rsidR="00010B64" w:rsidRPr="00010B64" w:rsidRDefault="00010B64" w:rsidP="005A4442">
            <w:pPr>
              <w:pStyle w:val="SCVtablebody"/>
            </w:pPr>
            <w:r w:rsidRPr="00010B64">
              <w:t>4.5%</w:t>
            </w:r>
          </w:p>
        </w:tc>
      </w:tr>
      <w:tr w:rsidR="00010B64" w:rsidRPr="00010B64" w14:paraId="33EB185F" w14:textId="77777777" w:rsidTr="00F73AF5">
        <w:trPr>
          <w:trHeight w:val="300"/>
        </w:trPr>
        <w:tc>
          <w:tcPr>
            <w:tcW w:w="4413" w:type="dxa"/>
            <w:noWrap/>
            <w:hideMark/>
          </w:tcPr>
          <w:p w14:paraId="1CF2597F" w14:textId="77777777" w:rsidR="00010B64" w:rsidRPr="00010B64" w:rsidRDefault="00010B64" w:rsidP="005A4442">
            <w:pPr>
              <w:pStyle w:val="SCVtablebody"/>
            </w:pPr>
            <w:r w:rsidRPr="00010B64">
              <w:t>Psychiatric Adult Acute Unit</w:t>
            </w:r>
          </w:p>
        </w:tc>
        <w:tc>
          <w:tcPr>
            <w:tcW w:w="1573" w:type="dxa"/>
            <w:noWrap/>
            <w:hideMark/>
          </w:tcPr>
          <w:p w14:paraId="18601EDA" w14:textId="77777777" w:rsidR="00010B64" w:rsidRPr="00010B64" w:rsidRDefault="00010B64" w:rsidP="005A4442">
            <w:pPr>
              <w:pStyle w:val="SCVtablebody"/>
            </w:pPr>
            <w:r w:rsidRPr="00010B64">
              <w:t>4.6%</w:t>
            </w:r>
          </w:p>
        </w:tc>
        <w:tc>
          <w:tcPr>
            <w:tcW w:w="1574" w:type="dxa"/>
            <w:noWrap/>
            <w:hideMark/>
          </w:tcPr>
          <w:p w14:paraId="3A8C5023" w14:textId="77777777" w:rsidR="00010B64" w:rsidRPr="00010B64" w:rsidRDefault="00010B64" w:rsidP="005A4442">
            <w:pPr>
              <w:pStyle w:val="SCVtablebody"/>
            </w:pPr>
            <w:r w:rsidRPr="00010B64">
              <w:t>3.7%</w:t>
            </w:r>
          </w:p>
        </w:tc>
      </w:tr>
      <w:tr w:rsidR="00010B64" w:rsidRPr="00010B64" w14:paraId="31ABD4ED" w14:textId="77777777" w:rsidTr="00F73AF5">
        <w:trPr>
          <w:trHeight w:val="300"/>
        </w:trPr>
        <w:tc>
          <w:tcPr>
            <w:tcW w:w="4413" w:type="dxa"/>
            <w:noWrap/>
            <w:hideMark/>
          </w:tcPr>
          <w:p w14:paraId="5D12BD31" w14:textId="77777777" w:rsidR="00010B64" w:rsidRPr="00010B64" w:rsidRDefault="00010B64" w:rsidP="005A4442">
            <w:pPr>
              <w:pStyle w:val="SCVtablebody"/>
            </w:pPr>
            <w:r w:rsidRPr="00010B64">
              <w:t>Residential Aged Care</w:t>
            </w:r>
          </w:p>
        </w:tc>
        <w:tc>
          <w:tcPr>
            <w:tcW w:w="1573" w:type="dxa"/>
            <w:noWrap/>
            <w:hideMark/>
          </w:tcPr>
          <w:p w14:paraId="32F0E1FC" w14:textId="77777777" w:rsidR="00010B64" w:rsidRPr="00010B64" w:rsidRDefault="00010B64" w:rsidP="005A4442">
            <w:pPr>
              <w:pStyle w:val="SCVtablebody"/>
            </w:pPr>
            <w:r w:rsidRPr="00010B64">
              <w:t>0.0%</w:t>
            </w:r>
          </w:p>
        </w:tc>
        <w:tc>
          <w:tcPr>
            <w:tcW w:w="1574" w:type="dxa"/>
            <w:noWrap/>
            <w:hideMark/>
          </w:tcPr>
          <w:p w14:paraId="5E1A4A93" w14:textId="77777777" w:rsidR="00010B64" w:rsidRPr="00010B64" w:rsidRDefault="00010B64" w:rsidP="005A4442">
            <w:pPr>
              <w:pStyle w:val="SCVtablebody"/>
            </w:pPr>
            <w:r w:rsidRPr="00010B64">
              <w:t>3.7%</w:t>
            </w:r>
          </w:p>
        </w:tc>
      </w:tr>
      <w:tr w:rsidR="00010B64" w:rsidRPr="00010B64" w14:paraId="3C233166" w14:textId="77777777" w:rsidTr="00F73AF5">
        <w:trPr>
          <w:trHeight w:val="300"/>
        </w:trPr>
        <w:tc>
          <w:tcPr>
            <w:tcW w:w="4413" w:type="dxa"/>
            <w:noWrap/>
            <w:hideMark/>
          </w:tcPr>
          <w:p w14:paraId="281454AD" w14:textId="77777777" w:rsidR="00010B64" w:rsidRPr="00010B64" w:rsidRDefault="00010B64" w:rsidP="005A4442">
            <w:pPr>
              <w:pStyle w:val="SCVtablebody"/>
            </w:pPr>
            <w:r w:rsidRPr="00010B64">
              <w:t>Neonatology</w:t>
            </w:r>
          </w:p>
        </w:tc>
        <w:tc>
          <w:tcPr>
            <w:tcW w:w="1573" w:type="dxa"/>
            <w:noWrap/>
            <w:hideMark/>
          </w:tcPr>
          <w:p w14:paraId="2F013CC0" w14:textId="77777777" w:rsidR="00010B64" w:rsidRPr="00010B64" w:rsidRDefault="00010B64" w:rsidP="005A4442">
            <w:pPr>
              <w:pStyle w:val="SCVtablebody"/>
            </w:pPr>
            <w:r w:rsidRPr="00010B64">
              <w:t>1.3%</w:t>
            </w:r>
          </w:p>
        </w:tc>
        <w:tc>
          <w:tcPr>
            <w:tcW w:w="1574" w:type="dxa"/>
            <w:noWrap/>
            <w:hideMark/>
          </w:tcPr>
          <w:p w14:paraId="5D846BAA" w14:textId="77777777" w:rsidR="00010B64" w:rsidRPr="00010B64" w:rsidRDefault="00010B64" w:rsidP="005A4442">
            <w:pPr>
              <w:pStyle w:val="SCVtablebody"/>
            </w:pPr>
            <w:r w:rsidRPr="00010B64">
              <w:t>3.3%</w:t>
            </w:r>
          </w:p>
        </w:tc>
      </w:tr>
      <w:tr w:rsidR="00010B64" w:rsidRPr="00010B64" w14:paraId="6FFEB6B4" w14:textId="77777777" w:rsidTr="00F73AF5">
        <w:trPr>
          <w:trHeight w:val="300"/>
        </w:trPr>
        <w:tc>
          <w:tcPr>
            <w:tcW w:w="4413" w:type="dxa"/>
            <w:noWrap/>
            <w:hideMark/>
          </w:tcPr>
          <w:p w14:paraId="2D2AEB53" w14:textId="77777777" w:rsidR="00010B64" w:rsidRPr="00010B64" w:rsidRDefault="00010B64" w:rsidP="005A4442">
            <w:pPr>
              <w:pStyle w:val="SCVtablebody"/>
            </w:pPr>
            <w:r w:rsidRPr="00010B64">
              <w:t>Geriatric</w:t>
            </w:r>
          </w:p>
        </w:tc>
        <w:tc>
          <w:tcPr>
            <w:tcW w:w="1573" w:type="dxa"/>
            <w:noWrap/>
            <w:hideMark/>
          </w:tcPr>
          <w:p w14:paraId="62929DC0" w14:textId="77777777" w:rsidR="00010B64" w:rsidRPr="00010B64" w:rsidRDefault="00010B64" w:rsidP="005A4442">
            <w:pPr>
              <w:pStyle w:val="SCVtablebody"/>
            </w:pPr>
            <w:r w:rsidRPr="00010B64">
              <w:t>4.6%</w:t>
            </w:r>
          </w:p>
        </w:tc>
        <w:tc>
          <w:tcPr>
            <w:tcW w:w="1574" w:type="dxa"/>
            <w:noWrap/>
            <w:hideMark/>
          </w:tcPr>
          <w:p w14:paraId="2DBABD58" w14:textId="77777777" w:rsidR="00010B64" w:rsidRPr="00010B64" w:rsidRDefault="00010B64" w:rsidP="005A4442">
            <w:pPr>
              <w:pStyle w:val="SCVtablebody"/>
            </w:pPr>
            <w:r w:rsidRPr="00010B64">
              <w:t>2.9%</w:t>
            </w:r>
          </w:p>
        </w:tc>
      </w:tr>
      <w:tr w:rsidR="00010B64" w:rsidRPr="00010B64" w14:paraId="67CE25A9" w14:textId="77777777" w:rsidTr="00F73AF5">
        <w:trPr>
          <w:trHeight w:val="300"/>
        </w:trPr>
        <w:tc>
          <w:tcPr>
            <w:tcW w:w="4413" w:type="dxa"/>
            <w:noWrap/>
            <w:hideMark/>
          </w:tcPr>
          <w:p w14:paraId="19B3FA26" w14:textId="77777777" w:rsidR="00010B64" w:rsidRPr="00010B64" w:rsidRDefault="00010B64" w:rsidP="005A4442">
            <w:pPr>
              <w:pStyle w:val="SCVtablebody"/>
            </w:pPr>
            <w:r w:rsidRPr="00010B64">
              <w:t>Orthopaedic</w:t>
            </w:r>
          </w:p>
        </w:tc>
        <w:tc>
          <w:tcPr>
            <w:tcW w:w="1573" w:type="dxa"/>
            <w:noWrap/>
            <w:hideMark/>
          </w:tcPr>
          <w:p w14:paraId="289046DE" w14:textId="77777777" w:rsidR="00010B64" w:rsidRPr="00010B64" w:rsidRDefault="00010B64" w:rsidP="005A4442">
            <w:pPr>
              <w:pStyle w:val="SCVtablebody"/>
            </w:pPr>
            <w:r w:rsidRPr="00010B64">
              <w:t>3.3%</w:t>
            </w:r>
          </w:p>
        </w:tc>
        <w:tc>
          <w:tcPr>
            <w:tcW w:w="1574" w:type="dxa"/>
            <w:noWrap/>
            <w:hideMark/>
          </w:tcPr>
          <w:p w14:paraId="41FB7BEE" w14:textId="77777777" w:rsidR="00010B64" w:rsidRPr="00010B64" w:rsidRDefault="00010B64" w:rsidP="005A4442">
            <w:pPr>
              <w:pStyle w:val="SCVtablebody"/>
            </w:pPr>
            <w:r w:rsidRPr="00010B64">
              <w:t>2.9%</w:t>
            </w:r>
          </w:p>
        </w:tc>
      </w:tr>
      <w:tr w:rsidR="00010B64" w:rsidRPr="00010B64" w14:paraId="68170E8D" w14:textId="77777777" w:rsidTr="00F73AF5">
        <w:trPr>
          <w:trHeight w:val="300"/>
        </w:trPr>
        <w:tc>
          <w:tcPr>
            <w:tcW w:w="4413" w:type="dxa"/>
            <w:noWrap/>
            <w:hideMark/>
          </w:tcPr>
          <w:p w14:paraId="6A87BA2E" w14:textId="19AFCCD3" w:rsidR="00010B64" w:rsidRPr="00010B64" w:rsidRDefault="00010B64" w:rsidP="005A4442">
            <w:pPr>
              <w:pStyle w:val="SCVtablebody"/>
            </w:pPr>
            <w:r w:rsidRPr="00010B64">
              <w:t>Oncology</w:t>
            </w:r>
            <w:r w:rsidR="00F73AF5">
              <w:t xml:space="preserve"> – </w:t>
            </w:r>
            <w:r w:rsidRPr="00010B64">
              <w:t>Medical</w:t>
            </w:r>
          </w:p>
        </w:tc>
        <w:tc>
          <w:tcPr>
            <w:tcW w:w="1573" w:type="dxa"/>
            <w:noWrap/>
            <w:hideMark/>
          </w:tcPr>
          <w:p w14:paraId="73FE653A" w14:textId="77777777" w:rsidR="00010B64" w:rsidRPr="00010B64" w:rsidRDefault="00010B64" w:rsidP="005A4442">
            <w:pPr>
              <w:pStyle w:val="SCVtablebody"/>
            </w:pPr>
            <w:r w:rsidRPr="00010B64">
              <w:t>0.0%</w:t>
            </w:r>
          </w:p>
        </w:tc>
        <w:tc>
          <w:tcPr>
            <w:tcW w:w="1574" w:type="dxa"/>
            <w:noWrap/>
            <w:hideMark/>
          </w:tcPr>
          <w:p w14:paraId="017E5F34" w14:textId="77777777" w:rsidR="00010B64" w:rsidRPr="00010B64" w:rsidRDefault="00010B64" w:rsidP="005A4442">
            <w:pPr>
              <w:pStyle w:val="SCVtablebody"/>
            </w:pPr>
            <w:r w:rsidRPr="00010B64">
              <w:t>2.9%</w:t>
            </w:r>
          </w:p>
        </w:tc>
      </w:tr>
      <w:tr w:rsidR="00010B64" w:rsidRPr="00010B64" w14:paraId="7E1298A7" w14:textId="77777777" w:rsidTr="00F73AF5">
        <w:trPr>
          <w:trHeight w:val="300"/>
        </w:trPr>
        <w:tc>
          <w:tcPr>
            <w:tcW w:w="4413" w:type="dxa"/>
            <w:noWrap/>
            <w:hideMark/>
          </w:tcPr>
          <w:p w14:paraId="57962E0F" w14:textId="77777777" w:rsidR="00010B64" w:rsidRPr="00010B64" w:rsidRDefault="00010B64" w:rsidP="005A4442">
            <w:pPr>
              <w:pStyle w:val="SCVtablebody"/>
            </w:pPr>
            <w:r w:rsidRPr="00010B64">
              <w:t>Neurosurgery</w:t>
            </w:r>
          </w:p>
        </w:tc>
        <w:tc>
          <w:tcPr>
            <w:tcW w:w="1573" w:type="dxa"/>
            <w:noWrap/>
            <w:hideMark/>
          </w:tcPr>
          <w:p w14:paraId="3771DDE6" w14:textId="77777777" w:rsidR="00010B64" w:rsidRPr="00010B64" w:rsidRDefault="00010B64" w:rsidP="005A4442">
            <w:pPr>
              <w:pStyle w:val="SCVtablebody"/>
            </w:pPr>
            <w:r w:rsidRPr="00010B64">
              <w:t>0.8%</w:t>
            </w:r>
          </w:p>
        </w:tc>
        <w:tc>
          <w:tcPr>
            <w:tcW w:w="1574" w:type="dxa"/>
            <w:noWrap/>
            <w:hideMark/>
          </w:tcPr>
          <w:p w14:paraId="265AA257" w14:textId="77777777" w:rsidR="00010B64" w:rsidRPr="00010B64" w:rsidRDefault="00010B64" w:rsidP="005A4442">
            <w:pPr>
              <w:pStyle w:val="SCVtablebody"/>
            </w:pPr>
            <w:r w:rsidRPr="00010B64">
              <w:t>2.0%</w:t>
            </w:r>
          </w:p>
        </w:tc>
      </w:tr>
      <w:tr w:rsidR="00010B64" w:rsidRPr="00010B64" w14:paraId="66E32E7B" w14:textId="77777777" w:rsidTr="00F73AF5">
        <w:trPr>
          <w:trHeight w:val="300"/>
        </w:trPr>
        <w:tc>
          <w:tcPr>
            <w:tcW w:w="4413" w:type="dxa"/>
            <w:noWrap/>
            <w:hideMark/>
          </w:tcPr>
          <w:p w14:paraId="2A772F96" w14:textId="77777777" w:rsidR="00010B64" w:rsidRPr="00010B64" w:rsidRDefault="00010B64" w:rsidP="005A4442">
            <w:pPr>
              <w:pStyle w:val="SCVtablebody"/>
            </w:pPr>
            <w:r w:rsidRPr="00010B64">
              <w:t>Community/Other Non-acute Service</w:t>
            </w:r>
          </w:p>
        </w:tc>
        <w:tc>
          <w:tcPr>
            <w:tcW w:w="1573" w:type="dxa"/>
            <w:noWrap/>
            <w:hideMark/>
          </w:tcPr>
          <w:p w14:paraId="39695D24" w14:textId="77777777" w:rsidR="00010B64" w:rsidRPr="00010B64" w:rsidRDefault="00010B64" w:rsidP="005A4442">
            <w:pPr>
              <w:pStyle w:val="SCVtablebody"/>
            </w:pPr>
            <w:r w:rsidRPr="00010B64">
              <w:t>0.0%</w:t>
            </w:r>
          </w:p>
        </w:tc>
        <w:tc>
          <w:tcPr>
            <w:tcW w:w="1574" w:type="dxa"/>
            <w:noWrap/>
            <w:hideMark/>
          </w:tcPr>
          <w:p w14:paraId="1A270B24" w14:textId="77777777" w:rsidR="00010B64" w:rsidRPr="00010B64" w:rsidRDefault="00010B64" w:rsidP="005A4442">
            <w:pPr>
              <w:pStyle w:val="SCVtablebody"/>
            </w:pPr>
            <w:r w:rsidRPr="00010B64">
              <w:t>2.0%</w:t>
            </w:r>
          </w:p>
        </w:tc>
      </w:tr>
      <w:tr w:rsidR="00010B64" w:rsidRPr="00010B64" w14:paraId="73361AB0" w14:textId="77777777" w:rsidTr="00F73AF5">
        <w:trPr>
          <w:trHeight w:val="300"/>
        </w:trPr>
        <w:tc>
          <w:tcPr>
            <w:tcW w:w="4413" w:type="dxa"/>
            <w:noWrap/>
            <w:hideMark/>
          </w:tcPr>
          <w:p w14:paraId="347B0CAF" w14:textId="77777777" w:rsidR="00010B64" w:rsidRPr="00010B64" w:rsidRDefault="00010B64" w:rsidP="005A4442">
            <w:pPr>
              <w:pStyle w:val="SCVtablebody"/>
            </w:pPr>
            <w:r w:rsidRPr="00010B64">
              <w:t>Urology</w:t>
            </w:r>
          </w:p>
        </w:tc>
        <w:tc>
          <w:tcPr>
            <w:tcW w:w="1573" w:type="dxa"/>
            <w:noWrap/>
            <w:hideMark/>
          </w:tcPr>
          <w:p w14:paraId="6FA273E8" w14:textId="77777777" w:rsidR="00010B64" w:rsidRPr="00010B64" w:rsidRDefault="00010B64" w:rsidP="005A4442">
            <w:pPr>
              <w:pStyle w:val="SCVtablebody"/>
            </w:pPr>
            <w:r w:rsidRPr="00010B64">
              <w:t>1.7%</w:t>
            </w:r>
          </w:p>
        </w:tc>
        <w:tc>
          <w:tcPr>
            <w:tcW w:w="1574" w:type="dxa"/>
            <w:noWrap/>
            <w:hideMark/>
          </w:tcPr>
          <w:p w14:paraId="46457F6C" w14:textId="77777777" w:rsidR="00010B64" w:rsidRPr="00010B64" w:rsidRDefault="00010B64" w:rsidP="005A4442">
            <w:pPr>
              <w:pStyle w:val="SCVtablebody"/>
            </w:pPr>
            <w:r w:rsidRPr="00010B64">
              <w:t>1.6%</w:t>
            </w:r>
          </w:p>
        </w:tc>
      </w:tr>
      <w:tr w:rsidR="00010B64" w:rsidRPr="00010B64" w14:paraId="29F67542" w14:textId="77777777" w:rsidTr="00F73AF5">
        <w:trPr>
          <w:trHeight w:val="300"/>
        </w:trPr>
        <w:tc>
          <w:tcPr>
            <w:tcW w:w="4413" w:type="dxa"/>
            <w:noWrap/>
            <w:hideMark/>
          </w:tcPr>
          <w:p w14:paraId="7DAAC493" w14:textId="77777777" w:rsidR="00010B64" w:rsidRPr="00010B64" w:rsidRDefault="00010B64" w:rsidP="005A4442">
            <w:pPr>
              <w:pStyle w:val="SCVtablebody"/>
            </w:pPr>
            <w:r w:rsidRPr="00010B64">
              <w:t>Haematology</w:t>
            </w:r>
          </w:p>
        </w:tc>
        <w:tc>
          <w:tcPr>
            <w:tcW w:w="1573" w:type="dxa"/>
            <w:noWrap/>
            <w:hideMark/>
          </w:tcPr>
          <w:p w14:paraId="1B44384F" w14:textId="77777777" w:rsidR="00010B64" w:rsidRPr="00010B64" w:rsidRDefault="00010B64" w:rsidP="005A4442">
            <w:pPr>
              <w:pStyle w:val="SCVtablebody"/>
            </w:pPr>
            <w:r w:rsidRPr="00010B64">
              <w:t>1.3%</w:t>
            </w:r>
          </w:p>
        </w:tc>
        <w:tc>
          <w:tcPr>
            <w:tcW w:w="1574" w:type="dxa"/>
            <w:noWrap/>
            <w:hideMark/>
          </w:tcPr>
          <w:p w14:paraId="233100BF" w14:textId="77777777" w:rsidR="00010B64" w:rsidRPr="00010B64" w:rsidRDefault="00010B64" w:rsidP="005A4442">
            <w:pPr>
              <w:pStyle w:val="SCVtablebody"/>
            </w:pPr>
            <w:r w:rsidRPr="00010B64">
              <w:t>1.6%</w:t>
            </w:r>
          </w:p>
        </w:tc>
      </w:tr>
      <w:tr w:rsidR="00010B64" w:rsidRPr="00010B64" w14:paraId="62470691" w14:textId="77777777" w:rsidTr="00F73AF5">
        <w:trPr>
          <w:trHeight w:val="300"/>
        </w:trPr>
        <w:tc>
          <w:tcPr>
            <w:tcW w:w="4413" w:type="dxa"/>
            <w:noWrap/>
            <w:hideMark/>
          </w:tcPr>
          <w:p w14:paraId="6EFD1E98" w14:textId="77777777" w:rsidR="00010B64" w:rsidRPr="00010B64" w:rsidRDefault="00010B64" w:rsidP="005A4442">
            <w:pPr>
              <w:pStyle w:val="SCVtablebody"/>
            </w:pPr>
            <w:r w:rsidRPr="00010B64">
              <w:t>Vascular</w:t>
            </w:r>
          </w:p>
        </w:tc>
        <w:tc>
          <w:tcPr>
            <w:tcW w:w="1573" w:type="dxa"/>
            <w:noWrap/>
            <w:hideMark/>
          </w:tcPr>
          <w:p w14:paraId="7F8BA134" w14:textId="77777777" w:rsidR="00010B64" w:rsidRPr="00010B64" w:rsidRDefault="00010B64" w:rsidP="005A4442">
            <w:pPr>
              <w:pStyle w:val="SCVtablebody"/>
            </w:pPr>
            <w:r w:rsidRPr="00010B64">
              <w:t>2.5%</w:t>
            </w:r>
          </w:p>
        </w:tc>
        <w:tc>
          <w:tcPr>
            <w:tcW w:w="1574" w:type="dxa"/>
            <w:noWrap/>
            <w:hideMark/>
          </w:tcPr>
          <w:p w14:paraId="2AB44EFD" w14:textId="77777777" w:rsidR="00010B64" w:rsidRPr="00010B64" w:rsidRDefault="00010B64" w:rsidP="005A4442">
            <w:pPr>
              <w:pStyle w:val="SCVtablebody"/>
            </w:pPr>
            <w:r w:rsidRPr="00010B64">
              <w:t>1.2%</w:t>
            </w:r>
          </w:p>
        </w:tc>
      </w:tr>
      <w:tr w:rsidR="00010B64" w:rsidRPr="00010B64" w14:paraId="6EE535FB" w14:textId="77777777" w:rsidTr="00F73AF5">
        <w:trPr>
          <w:trHeight w:val="300"/>
        </w:trPr>
        <w:tc>
          <w:tcPr>
            <w:tcW w:w="4413" w:type="dxa"/>
            <w:noWrap/>
            <w:hideMark/>
          </w:tcPr>
          <w:p w14:paraId="59D3CD87" w14:textId="77777777" w:rsidR="00010B64" w:rsidRPr="00010B64" w:rsidRDefault="00010B64" w:rsidP="005A4442">
            <w:pPr>
              <w:pStyle w:val="SCVtablebody"/>
            </w:pPr>
            <w:r w:rsidRPr="00010B64">
              <w:t>Gastroenterology</w:t>
            </w:r>
          </w:p>
        </w:tc>
        <w:tc>
          <w:tcPr>
            <w:tcW w:w="1573" w:type="dxa"/>
            <w:noWrap/>
            <w:hideMark/>
          </w:tcPr>
          <w:p w14:paraId="2D80A09E" w14:textId="77777777" w:rsidR="00010B64" w:rsidRPr="00010B64" w:rsidRDefault="00010B64" w:rsidP="005A4442">
            <w:pPr>
              <w:pStyle w:val="SCVtablebody"/>
            </w:pPr>
            <w:r w:rsidRPr="00010B64">
              <w:t>2.1%</w:t>
            </w:r>
          </w:p>
        </w:tc>
        <w:tc>
          <w:tcPr>
            <w:tcW w:w="1574" w:type="dxa"/>
            <w:noWrap/>
            <w:hideMark/>
          </w:tcPr>
          <w:p w14:paraId="3A9E8871" w14:textId="77777777" w:rsidR="00010B64" w:rsidRPr="00010B64" w:rsidRDefault="00010B64" w:rsidP="005A4442">
            <w:pPr>
              <w:pStyle w:val="SCVtablebody"/>
            </w:pPr>
            <w:r w:rsidRPr="00010B64">
              <w:t>1.2%</w:t>
            </w:r>
          </w:p>
        </w:tc>
      </w:tr>
      <w:tr w:rsidR="00010B64" w:rsidRPr="00010B64" w14:paraId="6DE2FDB6" w14:textId="77777777" w:rsidTr="00F73AF5">
        <w:trPr>
          <w:trHeight w:val="300"/>
        </w:trPr>
        <w:tc>
          <w:tcPr>
            <w:tcW w:w="4413" w:type="dxa"/>
            <w:noWrap/>
            <w:hideMark/>
          </w:tcPr>
          <w:p w14:paraId="6A54E3B4" w14:textId="77777777" w:rsidR="00010B64" w:rsidRPr="00010B64" w:rsidRDefault="00010B64" w:rsidP="005A4442">
            <w:pPr>
              <w:pStyle w:val="SCVtablebody"/>
            </w:pPr>
            <w:proofErr w:type="spellStart"/>
            <w:r w:rsidRPr="00010B64">
              <w:t>Obstetric</w:t>
            </w:r>
            <w:proofErr w:type="spellEnd"/>
            <w:r w:rsidRPr="00010B64">
              <w:t>/Gynaecology</w:t>
            </w:r>
          </w:p>
        </w:tc>
        <w:tc>
          <w:tcPr>
            <w:tcW w:w="1573" w:type="dxa"/>
            <w:noWrap/>
            <w:hideMark/>
          </w:tcPr>
          <w:p w14:paraId="55B0649A" w14:textId="77777777" w:rsidR="00010B64" w:rsidRPr="00010B64" w:rsidRDefault="00010B64" w:rsidP="005A4442">
            <w:pPr>
              <w:pStyle w:val="SCVtablebody"/>
            </w:pPr>
            <w:r w:rsidRPr="00010B64">
              <w:t>2.1%</w:t>
            </w:r>
          </w:p>
        </w:tc>
        <w:tc>
          <w:tcPr>
            <w:tcW w:w="1574" w:type="dxa"/>
            <w:noWrap/>
            <w:hideMark/>
          </w:tcPr>
          <w:p w14:paraId="6B105D95" w14:textId="77777777" w:rsidR="00010B64" w:rsidRPr="00010B64" w:rsidRDefault="00010B64" w:rsidP="005A4442">
            <w:pPr>
              <w:pStyle w:val="SCVtablebody"/>
            </w:pPr>
            <w:r w:rsidRPr="00010B64">
              <w:t>1.2%</w:t>
            </w:r>
          </w:p>
        </w:tc>
      </w:tr>
      <w:tr w:rsidR="00010B64" w:rsidRPr="00010B64" w14:paraId="091C2879" w14:textId="77777777" w:rsidTr="00F73AF5">
        <w:trPr>
          <w:trHeight w:val="300"/>
        </w:trPr>
        <w:tc>
          <w:tcPr>
            <w:tcW w:w="4413" w:type="dxa"/>
            <w:noWrap/>
            <w:hideMark/>
          </w:tcPr>
          <w:p w14:paraId="382C0E34" w14:textId="77777777" w:rsidR="00010B64" w:rsidRPr="00010B64" w:rsidRDefault="00010B64" w:rsidP="005A4442">
            <w:pPr>
              <w:pStyle w:val="SCVtablebody"/>
            </w:pPr>
            <w:r w:rsidRPr="00010B64">
              <w:t>Renal/Nephrology</w:t>
            </w:r>
          </w:p>
        </w:tc>
        <w:tc>
          <w:tcPr>
            <w:tcW w:w="1573" w:type="dxa"/>
            <w:noWrap/>
            <w:hideMark/>
          </w:tcPr>
          <w:p w14:paraId="0D29A7B4" w14:textId="77777777" w:rsidR="00010B64" w:rsidRPr="00010B64" w:rsidRDefault="00010B64" w:rsidP="005A4442">
            <w:pPr>
              <w:pStyle w:val="SCVtablebody"/>
            </w:pPr>
            <w:r w:rsidRPr="00010B64">
              <w:t>1.7%</w:t>
            </w:r>
          </w:p>
        </w:tc>
        <w:tc>
          <w:tcPr>
            <w:tcW w:w="1574" w:type="dxa"/>
            <w:noWrap/>
            <w:hideMark/>
          </w:tcPr>
          <w:p w14:paraId="12134A75" w14:textId="77777777" w:rsidR="00010B64" w:rsidRPr="00010B64" w:rsidRDefault="00010B64" w:rsidP="005A4442">
            <w:pPr>
              <w:pStyle w:val="SCVtablebody"/>
            </w:pPr>
            <w:r w:rsidRPr="00010B64">
              <w:t>1.2%</w:t>
            </w:r>
          </w:p>
        </w:tc>
      </w:tr>
      <w:tr w:rsidR="00010B64" w:rsidRPr="00010B64" w14:paraId="452E8D46" w14:textId="77777777" w:rsidTr="00F73AF5">
        <w:trPr>
          <w:trHeight w:val="300"/>
        </w:trPr>
        <w:tc>
          <w:tcPr>
            <w:tcW w:w="4413" w:type="dxa"/>
            <w:noWrap/>
            <w:hideMark/>
          </w:tcPr>
          <w:p w14:paraId="184965C1" w14:textId="77777777" w:rsidR="00010B64" w:rsidRPr="00010B64" w:rsidRDefault="00010B64" w:rsidP="005A4442">
            <w:pPr>
              <w:pStyle w:val="SCVtablebody"/>
            </w:pPr>
            <w:r w:rsidRPr="00010B64">
              <w:t>Plastic/Reconstructive Surgery/Burns</w:t>
            </w:r>
          </w:p>
        </w:tc>
        <w:tc>
          <w:tcPr>
            <w:tcW w:w="1573" w:type="dxa"/>
            <w:noWrap/>
            <w:hideMark/>
          </w:tcPr>
          <w:p w14:paraId="52D14EA4" w14:textId="77777777" w:rsidR="00010B64" w:rsidRPr="00010B64" w:rsidRDefault="00010B64" w:rsidP="005A4442">
            <w:pPr>
              <w:pStyle w:val="SCVtablebody"/>
            </w:pPr>
            <w:r w:rsidRPr="00010B64">
              <w:t>0.8%</w:t>
            </w:r>
          </w:p>
        </w:tc>
        <w:tc>
          <w:tcPr>
            <w:tcW w:w="1574" w:type="dxa"/>
            <w:noWrap/>
            <w:hideMark/>
          </w:tcPr>
          <w:p w14:paraId="42C2C5E4" w14:textId="77777777" w:rsidR="00010B64" w:rsidRPr="00010B64" w:rsidRDefault="00010B64" w:rsidP="005A4442">
            <w:pPr>
              <w:pStyle w:val="SCVtablebody"/>
            </w:pPr>
            <w:r w:rsidRPr="00010B64">
              <w:t>1.2%</w:t>
            </w:r>
          </w:p>
        </w:tc>
      </w:tr>
      <w:tr w:rsidR="00010B64" w:rsidRPr="00010B64" w14:paraId="061612FB" w14:textId="77777777" w:rsidTr="00F73AF5">
        <w:trPr>
          <w:trHeight w:val="300"/>
        </w:trPr>
        <w:tc>
          <w:tcPr>
            <w:tcW w:w="4413" w:type="dxa"/>
            <w:noWrap/>
            <w:hideMark/>
          </w:tcPr>
          <w:p w14:paraId="25EEA148" w14:textId="376DB47D" w:rsidR="00010B64" w:rsidRPr="00010B64" w:rsidRDefault="00010B64" w:rsidP="005A4442">
            <w:pPr>
              <w:pStyle w:val="SCVtablebody"/>
            </w:pPr>
            <w:r w:rsidRPr="00010B64">
              <w:t>Paediatric</w:t>
            </w:r>
            <w:r w:rsidR="00F73AF5">
              <w:t xml:space="preserve"> – </w:t>
            </w:r>
            <w:r w:rsidRPr="00010B64">
              <w:t>General</w:t>
            </w:r>
          </w:p>
        </w:tc>
        <w:tc>
          <w:tcPr>
            <w:tcW w:w="1573" w:type="dxa"/>
            <w:noWrap/>
            <w:hideMark/>
          </w:tcPr>
          <w:p w14:paraId="4EADFB61" w14:textId="77777777" w:rsidR="00010B64" w:rsidRPr="00010B64" w:rsidRDefault="00010B64" w:rsidP="005A4442">
            <w:pPr>
              <w:pStyle w:val="SCVtablebody"/>
            </w:pPr>
            <w:r w:rsidRPr="00010B64">
              <w:t>0.0%</w:t>
            </w:r>
          </w:p>
        </w:tc>
        <w:tc>
          <w:tcPr>
            <w:tcW w:w="1574" w:type="dxa"/>
            <w:noWrap/>
            <w:hideMark/>
          </w:tcPr>
          <w:p w14:paraId="0391A93C" w14:textId="77777777" w:rsidR="00010B64" w:rsidRPr="00010B64" w:rsidRDefault="00010B64" w:rsidP="005A4442">
            <w:pPr>
              <w:pStyle w:val="SCVtablebody"/>
            </w:pPr>
            <w:r w:rsidRPr="00010B64">
              <w:t>1.2%</w:t>
            </w:r>
          </w:p>
        </w:tc>
      </w:tr>
      <w:tr w:rsidR="00010B64" w:rsidRPr="00010B64" w14:paraId="536DA39C" w14:textId="77777777" w:rsidTr="00F73AF5">
        <w:trPr>
          <w:trHeight w:val="300"/>
        </w:trPr>
        <w:tc>
          <w:tcPr>
            <w:tcW w:w="4413" w:type="dxa"/>
            <w:noWrap/>
            <w:hideMark/>
          </w:tcPr>
          <w:p w14:paraId="17E2D2CB" w14:textId="72EDB25A" w:rsidR="00010B64" w:rsidRPr="00010B64" w:rsidRDefault="00010B64" w:rsidP="005A4442">
            <w:pPr>
              <w:pStyle w:val="SCVtablebody"/>
            </w:pPr>
            <w:r w:rsidRPr="00010B64">
              <w:t>Palliative</w:t>
            </w:r>
            <w:r w:rsidR="00F73AF5">
              <w:t xml:space="preserve"> – </w:t>
            </w:r>
            <w:r w:rsidRPr="00010B64">
              <w:t>General</w:t>
            </w:r>
          </w:p>
        </w:tc>
        <w:tc>
          <w:tcPr>
            <w:tcW w:w="1573" w:type="dxa"/>
            <w:noWrap/>
            <w:hideMark/>
          </w:tcPr>
          <w:p w14:paraId="73BD84A5" w14:textId="77777777" w:rsidR="00010B64" w:rsidRPr="00010B64" w:rsidRDefault="00010B64" w:rsidP="005A4442">
            <w:pPr>
              <w:pStyle w:val="SCVtablebody"/>
            </w:pPr>
            <w:r w:rsidRPr="00010B64">
              <w:t>0.0%</w:t>
            </w:r>
          </w:p>
        </w:tc>
        <w:tc>
          <w:tcPr>
            <w:tcW w:w="1574" w:type="dxa"/>
            <w:noWrap/>
            <w:hideMark/>
          </w:tcPr>
          <w:p w14:paraId="4896920C" w14:textId="77777777" w:rsidR="00010B64" w:rsidRPr="00010B64" w:rsidRDefault="00010B64" w:rsidP="005A4442">
            <w:pPr>
              <w:pStyle w:val="SCVtablebody"/>
            </w:pPr>
            <w:r w:rsidRPr="00010B64">
              <w:t>1.2%</w:t>
            </w:r>
          </w:p>
        </w:tc>
      </w:tr>
      <w:tr w:rsidR="00010B64" w:rsidRPr="00010B64" w14:paraId="6D185757" w14:textId="77777777" w:rsidTr="00F73AF5">
        <w:trPr>
          <w:trHeight w:val="300"/>
        </w:trPr>
        <w:tc>
          <w:tcPr>
            <w:tcW w:w="4413" w:type="dxa"/>
            <w:noWrap/>
            <w:hideMark/>
          </w:tcPr>
          <w:p w14:paraId="302A7BED" w14:textId="77777777" w:rsidR="00010B64" w:rsidRPr="00010B64" w:rsidRDefault="00010B64" w:rsidP="005A4442">
            <w:pPr>
              <w:pStyle w:val="SCVtablebody"/>
            </w:pPr>
            <w:r w:rsidRPr="00010B64">
              <w:t>Cardio Thoracic Surgical</w:t>
            </w:r>
          </w:p>
        </w:tc>
        <w:tc>
          <w:tcPr>
            <w:tcW w:w="1573" w:type="dxa"/>
            <w:noWrap/>
            <w:hideMark/>
          </w:tcPr>
          <w:p w14:paraId="68E10E49" w14:textId="77777777" w:rsidR="00010B64" w:rsidRPr="00010B64" w:rsidRDefault="00010B64" w:rsidP="005A4442">
            <w:pPr>
              <w:pStyle w:val="SCVtablebody"/>
            </w:pPr>
            <w:r w:rsidRPr="00010B64">
              <w:t>2.5%</w:t>
            </w:r>
          </w:p>
        </w:tc>
        <w:tc>
          <w:tcPr>
            <w:tcW w:w="1574" w:type="dxa"/>
            <w:noWrap/>
            <w:hideMark/>
          </w:tcPr>
          <w:p w14:paraId="1CEDE289" w14:textId="77777777" w:rsidR="00010B64" w:rsidRPr="00010B64" w:rsidRDefault="00010B64" w:rsidP="005A4442">
            <w:pPr>
              <w:pStyle w:val="SCVtablebody"/>
            </w:pPr>
            <w:r w:rsidRPr="00010B64">
              <w:t>0.8%</w:t>
            </w:r>
          </w:p>
        </w:tc>
      </w:tr>
      <w:tr w:rsidR="00010B64" w:rsidRPr="00010B64" w14:paraId="4102A23F" w14:textId="77777777" w:rsidTr="00F73AF5">
        <w:trPr>
          <w:trHeight w:val="300"/>
        </w:trPr>
        <w:tc>
          <w:tcPr>
            <w:tcW w:w="4413" w:type="dxa"/>
            <w:noWrap/>
            <w:hideMark/>
          </w:tcPr>
          <w:p w14:paraId="59DB9FF0" w14:textId="77777777" w:rsidR="00010B64" w:rsidRPr="00010B64" w:rsidRDefault="00010B64" w:rsidP="005A4442">
            <w:pPr>
              <w:pStyle w:val="SCVtablebody"/>
            </w:pPr>
            <w:r w:rsidRPr="00010B64">
              <w:t>Neurology</w:t>
            </w:r>
          </w:p>
        </w:tc>
        <w:tc>
          <w:tcPr>
            <w:tcW w:w="1573" w:type="dxa"/>
            <w:noWrap/>
            <w:hideMark/>
          </w:tcPr>
          <w:p w14:paraId="5993936D" w14:textId="77777777" w:rsidR="00010B64" w:rsidRPr="00010B64" w:rsidRDefault="00010B64" w:rsidP="005A4442">
            <w:pPr>
              <w:pStyle w:val="SCVtablebody"/>
            </w:pPr>
            <w:r w:rsidRPr="00010B64">
              <w:t>2.1%</w:t>
            </w:r>
          </w:p>
        </w:tc>
        <w:tc>
          <w:tcPr>
            <w:tcW w:w="1574" w:type="dxa"/>
            <w:noWrap/>
            <w:hideMark/>
          </w:tcPr>
          <w:p w14:paraId="0D8BA341" w14:textId="77777777" w:rsidR="00010B64" w:rsidRPr="00010B64" w:rsidRDefault="00010B64" w:rsidP="005A4442">
            <w:pPr>
              <w:pStyle w:val="SCVtablebody"/>
            </w:pPr>
            <w:r w:rsidRPr="00010B64">
              <w:t>0.8%</w:t>
            </w:r>
          </w:p>
        </w:tc>
      </w:tr>
      <w:tr w:rsidR="00010B64" w:rsidRPr="00010B64" w14:paraId="767F2BB1" w14:textId="77777777" w:rsidTr="00F73AF5">
        <w:trPr>
          <w:trHeight w:val="300"/>
        </w:trPr>
        <w:tc>
          <w:tcPr>
            <w:tcW w:w="4413" w:type="dxa"/>
            <w:noWrap/>
            <w:hideMark/>
          </w:tcPr>
          <w:p w14:paraId="1D17161E" w14:textId="77777777" w:rsidR="00010B64" w:rsidRPr="00010B64" w:rsidRDefault="00010B64" w:rsidP="005A4442">
            <w:pPr>
              <w:pStyle w:val="SCVtablebody"/>
            </w:pPr>
            <w:r w:rsidRPr="00010B64">
              <w:lastRenderedPageBreak/>
              <w:t>Psychiatric Adult Residential</w:t>
            </w:r>
          </w:p>
        </w:tc>
        <w:tc>
          <w:tcPr>
            <w:tcW w:w="1573" w:type="dxa"/>
            <w:noWrap/>
            <w:hideMark/>
          </w:tcPr>
          <w:p w14:paraId="19B83E77" w14:textId="77777777" w:rsidR="00010B64" w:rsidRPr="00010B64" w:rsidRDefault="00010B64" w:rsidP="005A4442">
            <w:pPr>
              <w:pStyle w:val="SCVtablebody"/>
            </w:pPr>
            <w:r w:rsidRPr="00010B64">
              <w:t>0.4%</w:t>
            </w:r>
          </w:p>
        </w:tc>
        <w:tc>
          <w:tcPr>
            <w:tcW w:w="1574" w:type="dxa"/>
            <w:noWrap/>
            <w:hideMark/>
          </w:tcPr>
          <w:p w14:paraId="4C410C3C" w14:textId="77777777" w:rsidR="00010B64" w:rsidRPr="00010B64" w:rsidRDefault="00010B64" w:rsidP="005A4442">
            <w:pPr>
              <w:pStyle w:val="SCVtablebody"/>
            </w:pPr>
            <w:r w:rsidRPr="00010B64">
              <w:t>0.8%</w:t>
            </w:r>
          </w:p>
        </w:tc>
      </w:tr>
      <w:tr w:rsidR="00010B64" w:rsidRPr="00010B64" w14:paraId="5B3ADEA8" w14:textId="77777777" w:rsidTr="00F73AF5">
        <w:trPr>
          <w:trHeight w:val="300"/>
        </w:trPr>
        <w:tc>
          <w:tcPr>
            <w:tcW w:w="4413" w:type="dxa"/>
            <w:noWrap/>
            <w:hideMark/>
          </w:tcPr>
          <w:p w14:paraId="07BC1399" w14:textId="690799E3" w:rsidR="00010B64" w:rsidRPr="00010B64" w:rsidRDefault="00010B64" w:rsidP="005A4442">
            <w:pPr>
              <w:pStyle w:val="SCVtablebody"/>
            </w:pPr>
            <w:r w:rsidRPr="00010B64">
              <w:t>Rehabilitation</w:t>
            </w:r>
            <w:r w:rsidR="00F73AF5">
              <w:t xml:space="preserve"> – </w:t>
            </w:r>
            <w:r w:rsidRPr="00010B64">
              <w:t>Designated Unit</w:t>
            </w:r>
          </w:p>
        </w:tc>
        <w:tc>
          <w:tcPr>
            <w:tcW w:w="1573" w:type="dxa"/>
            <w:noWrap/>
            <w:hideMark/>
          </w:tcPr>
          <w:p w14:paraId="55489671" w14:textId="77777777" w:rsidR="00010B64" w:rsidRPr="00010B64" w:rsidRDefault="00010B64" w:rsidP="005A4442">
            <w:pPr>
              <w:pStyle w:val="SCVtablebody"/>
            </w:pPr>
            <w:r w:rsidRPr="00010B64">
              <w:t>0.4%</w:t>
            </w:r>
          </w:p>
        </w:tc>
        <w:tc>
          <w:tcPr>
            <w:tcW w:w="1574" w:type="dxa"/>
            <w:noWrap/>
            <w:hideMark/>
          </w:tcPr>
          <w:p w14:paraId="5CC0604A" w14:textId="77777777" w:rsidR="00010B64" w:rsidRPr="00010B64" w:rsidRDefault="00010B64" w:rsidP="005A4442">
            <w:pPr>
              <w:pStyle w:val="SCVtablebody"/>
            </w:pPr>
            <w:r w:rsidRPr="00010B64">
              <w:t>0.8%</w:t>
            </w:r>
          </w:p>
        </w:tc>
      </w:tr>
      <w:tr w:rsidR="00010B64" w:rsidRPr="00010B64" w14:paraId="61D27F3C" w14:textId="77777777" w:rsidTr="00F73AF5">
        <w:trPr>
          <w:trHeight w:val="300"/>
        </w:trPr>
        <w:tc>
          <w:tcPr>
            <w:tcW w:w="4413" w:type="dxa"/>
            <w:noWrap/>
            <w:hideMark/>
          </w:tcPr>
          <w:p w14:paraId="7C7CC2D2" w14:textId="2BD3D3EE" w:rsidR="00010B64" w:rsidRPr="00010B64" w:rsidRDefault="00010B64" w:rsidP="005A4442">
            <w:pPr>
              <w:pStyle w:val="SCVtablebody"/>
            </w:pPr>
            <w:r w:rsidRPr="00010B64">
              <w:t>Rehabilitation</w:t>
            </w:r>
            <w:r w:rsidR="00F73AF5">
              <w:t xml:space="preserve"> – </w:t>
            </w:r>
            <w:r w:rsidRPr="00010B64">
              <w:t>General</w:t>
            </w:r>
          </w:p>
        </w:tc>
        <w:tc>
          <w:tcPr>
            <w:tcW w:w="1573" w:type="dxa"/>
            <w:noWrap/>
            <w:hideMark/>
          </w:tcPr>
          <w:p w14:paraId="594AF2CA" w14:textId="77777777" w:rsidR="00010B64" w:rsidRPr="00010B64" w:rsidRDefault="00010B64" w:rsidP="005A4442">
            <w:pPr>
              <w:pStyle w:val="SCVtablebody"/>
            </w:pPr>
            <w:r w:rsidRPr="00010B64">
              <w:t>0.4%</w:t>
            </w:r>
          </w:p>
        </w:tc>
        <w:tc>
          <w:tcPr>
            <w:tcW w:w="1574" w:type="dxa"/>
            <w:noWrap/>
            <w:hideMark/>
          </w:tcPr>
          <w:p w14:paraId="2B511D01" w14:textId="77777777" w:rsidR="00010B64" w:rsidRPr="00010B64" w:rsidRDefault="00010B64" w:rsidP="005A4442">
            <w:pPr>
              <w:pStyle w:val="SCVtablebody"/>
            </w:pPr>
            <w:r w:rsidRPr="00010B64">
              <w:t>0.8%</w:t>
            </w:r>
          </w:p>
        </w:tc>
      </w:tr>
      <w:tr w:rsidR="00010B64" w:rsidRPr="00010B64" w14:paraId="615A5A13" w14:textId="77777777" w:rsidTr="00F73AF5">
        <w:trPr>
          <w:trHeight w:val="300"/>
        </w:trPr>
        <w:tc>
          <w:tcPr>
            <w:tcW w:w="4413" w:type="dxa"/>
            <w:noWrap/>
            <w:hideMark/>
          </w:tcPr>
          <w:p w14:paraId="636812C3" w14:textId="77777777" w:rsidR="00010B64" w:rsidRPr="00010B64" w:rsidRDefault="00010B64" w:rsidP="005A4442">
            <w:pPr>
              <w:pStyle w:val="SCVtablebody"/>
            </w:pPr>
            <w:r w:rsidRPr="00010B64">
              <w:t>Intensive Care</w:t>
            </w:r>
          </w:p>
        </w:tc>
        <w:tc>
          <w:tcPr>
            <w:tcW w:w="1573" w:type="dxa"/>
            <w:noWrap/>
            <w:hideMark/>
          </w:tcPr>
          <w:p w14:paraId="2AA4A73F" w14:textId="77777777" w:rsidR="00010B64" w:rsidRPr="00010B64" w:rsidRDefault="00010B64" w:rsidP="005A4442">
            <w:pPr>
              <w:pStyle w:val="SCVtablebody"/>
            </w:pPr>
            <w:r w:rsidRPr="00010B64">
              <w:t>0.0%</w:t>
            </w:r>
          </w:p>
        </w:tc>
        <w:tc>
          <w:tcPr>
            <w:tcW w:w="1574" w:type="dxa"/>
            <w:noWrap/>
            <w:hideMark/>
          </w:tcPr>
          <w:p w14:paraId="09B0DEA7" w14:textId="77777777" w:rsidR="00010B64" w:rsidRPr="00010B64" w:rsidRDefault="00010B64" w:rsidP="005A4442">
            <w:pPr>
              <w:pStyle w:val="SCVtablebody"/>
            </w:pPr>
            <w:r w:rsidRPr="00010B64">
              <w:t>0.8%</w:t>
            </w:r>
          </w:p>
        </w:tc>
      </w:tr>
      <w:tr w:rsidR="00010B64" w:rsidRPr="00010B64" w14:paraId="6E078B04" w14:textId="77777777" w:rsidTr="00F73AF5">
        <w:trPr>
          <w:trHeight w:val="300"/>
        </w:trPr>
        <w:tc>
          <w:tcPr>
            <w:tcW w:w="4413" w:type="dxa"/>
            <w:noWrap/>
            <w:hideMark/>
          </w:tcPr>
          <w:p w14:paraId="623E6796" w14:textId="65687D2C" w:rsidR="00010B64" w:rsidRPr="00010B64" w:rsidRDefault="00010B64" w:rsidP="005A4442">
            <w:pPr>
              <w:pStyle w:val="SCVtablebody"/>
            </w:pPr>
            <w:r w:rsidRPr="00010B64">
              <w:t>Paediatric</w:t>
            </w:r>
            <w:r w:rsidR="00F73AF5">
              <w:t xml:space="preserve"> – </w:t>
            </w:r>
            <w:r w:rsidRPr="00010B64">
              <w:t>Oncology</w:t>
            </w:r>
          </w:p>
        </w:tc>
        <w:tc>
          <w:tcPr>
            <w:tcW w:w="1573" w:type="dxa"/>
            <w:noWrap/>
            <w:hideMark/>
          </w:tcPr>
          <w:p w14:paraId="0F18D9C9" w14:textId="77777777" w:rsidR="00010B64" w:rsidRPr="00010B64" w:rsidRDefault="00010B64" w:rsidP="005A4442">
            <w:pPr>
              <w:pStyle w:val="SCVtablebody"/>
            </w:pPr>
            <w:r w:rsidRPr="00010B64">
              <w:t>0.0%</w:t>
            </w:r>
          </w:p>
        </w:tc>
        <w:tc>
          <w:tcPr>
            <w:tcW w:w="1574" w:type="dxa"/>
            <w:noWrap/>
            <w:hideMark/>
          </w:tcPr>
          <w:p w14:paraId="4767A3E6" w14:textId="77777777" w:rsidR="00010B64" w:rsidRPr="00010B64" w:rsidRDefault="00010B64" w:rsidP="005A4442">
            <w:pPr>
              <w:pStyle w:val="SCVtablebody"/>
            </w:pPr>
            <w:r w:rsidRPr="00010B64">
              <w:t>0.8%</w:t>
            </w:r>
          </w:p>
        </w:tc>
      </w:tr>
      <w:tr w:rsidR="00010B64" w:rsidRPr="00010B64" w14:paraId="09BF27F7" w14:textId="77777777" w:rsidTr="00F73AF5">
        <w:trPr>
          <w:trHeight w:val="300"/>
        </w:trPr>
        <w:tc>
          <w:tcPr>
            <w:tcW w:w="4413" w:type="dxa"/>
            <w:noWrap/>
            <w:hideMark/>
          </w:tcPr>
          <w:p w14:paraId="326CF7D7" w14:textId="77777777" w:rsidR="00010B64" w:rsidRPr="00010B64" w:rsidRDefault="00010B64" w:rsidP="005A4442">
            <w:pPr>
              <w:pStyle w:val="SCVtablebody"/>
            </w:pPr>
            <w:r w:rsidRPr="00010B64">
              <w:t>Radiology</w:t>
            </w:r>
          </w:p>
        </w:tc>
        <w:tc>
          <w:tcPr>
            <w:tcW w:w="1573" w:type="dxa"/>
            <w:noWrap/>
            <w:hideMark/>
          </w:tcPr>
          <w:p w14:paraId="196CAF6D" w14:textId="77777777" w:rsidR="00010B64" w:rsidRPr="00010B64" w:rsidRDefault="00010B64" w:rsidP="005A4442">
            <w:pPr>
              <w:pStyle w:val="SCVtablebody"/>
            </w:pPr>
            <w:r w:rsidRPr="00010B64">
              <w:t>0.0%</w:t>
            </w:r>
          </w:p>
        </w:tc>
        <w:tc>
          <w:tcPr>
            <w:tcW w:w="1574" w:type="dxa"/>
            <w:noWrap/>
            <w:hideMark/>
          </w:tcPr>
          <w:p w14:paraId="7992A489" w14:textId="77777777" w:rsidR="00010B64" w:rsidRPr="00010B64" w:rsidRDefault="00010B64" w:rsidP="005A4442">
            <w:pPr>
              <w:pStyle w:val="SCVtablebody"/>
            </w:pPr>
            <w:r w:rsidRPr="00010B64">
              <w:t>0.8%</w:t>
            </w:r>
          </w:p>
        </w:tc>
      </w:tr>
      <w:tr w:rsidR="00010B64" w:rsidRPr="00010B64" w14:paraId="750E3F39" w14:textId="77777777" w:rsidTr="00F73AF5">
        <w:trPr>
          <w:trHeight w:val="300"/>
        </w:trPr>
        <w:tc>
          <w:tcPr>
            <w:tcW w:w="4413" w:type="dxa"/>
            <w:noWrap/>
            <w:hideMark/>
          </w:tcPr>
          <w:p w14:paraId="056CDC84" w14:textId="77777777" w:rsidR="00010B64" w:rsidRPr="00010B64" w:rsidRDefault="00010B64" w:rsidP="005A4442">
            <w:pPr>
              <w:pStyle w:val="SCVtablebody"/>
            </w:pPr>
            <w:r w:rsidRPr="00010B64">
              <w:t>Gynaecology Surgical</w:t>
            </w:r>
          </w:p>
        </w:tc>
        <w:tc>
          <w:tcPr>
            <w:tcW w:w="1573" w:type="dxa"/>
            <w:noWrap/>
            <w:hideMark/>
          </w:tcPr>
          <w:p w14:paraId="3C5466C1" w14:textId="77777777" w:rsidR="00010B64" w:rsidRPr="00010B64" w:rsidRDefault="00010B64" w:rsidP="005A4442">
            <w:pPr>
              <w:pStyle w:val="SCVtablebody"/>
            </w:pPr>
            <w:r w:rsidRPr="00010B64">
              <w:t>0.8%</w:t>
            </w:r>
          </w:p>
        </w:tc>
        <w:tc>
          <w:tcPr>
            <w:tcW w:w="1574" w:type="dxa"/>
            <w:noWrap/>
            <w:hideMark/>
          </w:tcPr>
          <w:p w14:paraId="0CF6D9CD" w14:textId="77777777" w:rsidR="00010B64" w:rsidRPr="00010B64" w:rsidRDefault="00010B64" w:rsidP="005A4442">
            <w:pPr>
              <w:pStyle w:val="SCVtablebody"/>
            </w:pPr>
            <w:r w:rsidRPr="00010B64">
              <w:t>0.4%</w:t>
            </w:r>
          </w:p>
        </w:tc>
      </w:tr>
      <w:tr w:rsidR="00010B64" w:rsidRPr="00010B64" w14:paraId="22CC2A7E" w14:textId="77777777" w:rsidTr="00F73AF5">
        <w:trPr>
          <w:trHeight w:val="300"/>
        </w:trPr>
        <w:tc>
          <w:tcPr>
            <w:tcW w:w="4413" w:type="dxa"/>
            <w:noWrap/>
            <w:hideMark/>
          </w:tcPr>
          <w:p w14:paraId="3E9C5EED" w14:textId="5E3275D6" w:rsidR="00010B64" w:rsidRPr="00010B64" w:rsidRDefault="00010B64" w:rsidP="005A4442">
            <w:pPr>
              <w:pStyle w:val="SCVtablebody"/>
            </w:pPr>
            <w:r w:rsidRPr="00010B64">
              <w:t>Psychiatric Adult Extended</w:t>
            </w:r>
            <w:r w:rsidR="00F73AF5">
              <w:t xml:space="preserve"> – </w:t>
            </w:r>
            <w:r w:rsidRPr="00010B64">
              <w:t>Secure Unit</w:t>
            </w:r>
          </w:p>
        </w:tc>
        <w:tc>
          <w:tcPr>
            <w:tcW w:w="1573" w:type="dxa"/>
            <w:noWrap/>
            <w:hideMark/>
          </w:tcPr>
          <w:p w14:paraId="0FF26F42" w14:textId="77777777" w:rsidR="00010B64" w:rsidRPr="00010B64" w:rsidRDefault="00010B64" w:rsidP="005A4442">
            <w:pPr>
              <w:pStyle w:val="SCVtablebody"/>
            </w:pPr>
            <w:r w:rsidRPr="00010B64">
              <w:t>0.4%</w:t>
            </w:r>
          </w:p>
        </w:tc>
        <w:tc>
          <w:tcPr>
            <w:tcW w:w="1574" w:type="dxa"/>
            <w:noWrap/>
            <w:hideMark/>
          </w:tcPr>
          <w:p w14:paraId="62A3038D" w14:textId="77777777" w:rsidR="00010B64" w:rsidRPr="00010B64" w:rsidRDefault="00010B64" w:rsidP="005A4442">
            <w:pPr>
              <w:pStyle w:val="SCVtablebody"/>
            </w:pPr>
            <w:r w:rsidRPr="00010B64">
              <w:t>0.4%</w:t>
            </w:r>
          </w:p>
        </w:tc>
      </w:tr>
      <w:tr w:rsidR="00010B64" w:rsidRPr="00010B64" w14:paraId="5F05C00D" w14:textId="77777777" w:rsidTr="00F73AF5">
        <w:trPr>
          <w:trHeight w:val="300"/>
        </w:trPr>
        <w:tc>
          <w:tcPr>
            <w:tcW w:w="4413" w:type="dxa"/>
            <w:noWrap/>
            <w:hideMark/>
          </w:tcPr>
          <w:p w14:paraId="0D86D754" w14:textId="268EDF37" w:rsidR="00010B64" w:rsidRPr="00010B64" w:rsidRDefault="00010B64" w:rsidP="005A4442">
            <w:pPr>
              <w:pStyle w:val="SCVtablebody"/>
            </w:pPr>
            <w:r w:rsidRPr="00010B64">
              <w:t>Psychiatric Older Persons</w:t>
            </w:r>
            <w:r w:rsidR="00F73AF5">
              <w:t xml:space="preserve"> – </w:t>
            </w:r>
            <w:r w:rsidRPr="00010B64">
              <w:t>Acute</w:t>
            </w:r>
          </w:p>
        </w:tc>
        <w:tc>
          <w:tcPr>
            <w:tcW w:w="1573" w:type="dxa"/>
            <w:noWrap/>
            <w:hideMark/>
          </w:tcPr>
          <w:p w14:paraId="08FF63CC" w14:textId="77777777" w:rsidR="00010B64" w:rsidRPr="00010B64" w:rsidRDefault="00010B64" w:rsidP="005A4442">
            <w:pPr>
              <w:pStyle w:val="SCVtablebody"/>
            </w:pPr>
            <w:r w:rsidRPr="00010B64">
              <w:t>0.4%</w:t>
            </w:r>
          </w:p>
        </w:tc>
        <w:tc>
          <w:tcPr>
            <w:tcW w:w="1574" w:type="dxa"/>
            <w:noWrap/>
            <w:hideMark/>
          </w:tcPr>
          <w:p w14:paraId="48A43804" w14:textId="77777777" w:rsidR="00010B64" w:rsidRPr="00010B64" w:rsidRDefault="00010B64" w:rsidP="005A4442">
            <w:pPr>
              <w:pStyle w:val="SCVtablebody"/>
            </w:pPr>
            <w:r w:rsidRPr="00010B64">
              <w:t>0.4%</w:t>
            </w:r>
          </w:p>
        </w:tc>
      </w:tr>
      <w:tr w:rsidR="00010B64" w:rsidRPr="00010B64" w14:paraId="3D7F2273" w14:textId="77777777" w:rsidTr="00F73AF5">
        <w:trPr>
          <w:trHeight w:val="300"/>
        </w:trPr>
        <w:tc>
          <w:tcPr>
            <w:tcW w:w="4413" w:type="dxa"/>
            <w:noWrap/>
            <w:hideMark/>
          </w:tcPr>
          <w:p w14:paraId="7AA5A150" w14:textId="77777777" w:rsidR="00010B64" w:rsidRPr="00010B64" w:rsidRDefault="00010B64" w:rsidP="005A4442">
            <w:pPr>
              <w:pStyle w:val="SCVtablebody"/>
            </w:pPr>
            <w:r w:rsidRPr="00010B64">
              <w:t>Stroke Unit</w:t>
            </w:r>
          </w:p>
        </w:tc>
        <w:tc>
          <w:tcPr>
            <w:tcW w:w="1573" w:type="dxa"/>
            <w:noWrap/>
            <w:hideMark/>
          </w:tcPr>
          <w:p w14:paraId="3F2A7E29" w14:textId="77777777" w:rsidR="00010B64" w:rsidRPr="00010B64" w:rsidRDefault="00010B64" w:rsidP="005A4442">
            <w:pPr>
              <w:pStyle w:val="SCVtablebody"/>
            </w:pPr>
            <w:r w:rsidRPr="00010B64">
              <w:t>0.4%</w:t>
            </w:r>
          </w:p>
        </w:tc>
        <w:tc>
          <w:tcPr>
            <w:tcW w:w="1574" w:type="dxa"/>
            <w:noWrap/>
            <w:hideMark/>
          </w:tcPr>
          <w:p w14:paraId="5C36CDB9" w14:textId="77777777" w:rsidR="00010B64" w:rsidRPr="00010B64" w:rsidRDefault="00010B64" w:rsidP="005A4442">
            <w:pPr>
              <w:pStyle w:val="SCVtablebody"/>
            </w:pPr>
            <w:r w:rsidRPr="00010B64">
              <w:t>0.4%</w:t>
            </w:r>
          </w:p>
        </w:tc>
      </w:tr>
      <w:tr w:rsidR="00010B64" w:rsidRPr="00010B64" w14:paraId="584183E6" w14:textId="77777777" w:rsidTr="00F73AF5">
        <w:trPr>
          <w:trHeight w:val="300"/>
        </w:trPr>
        <w:tc>
          <w:tcPr>
            <w:tcW w:w="4413" w:type="dxa"/>
            <w:noWrap/>
            <w:hideMark/>
          </w:tcPr>
          <w:p w14:paraId="5159735D" w14:textId="77777777" w:rsidR="00010B64" w:rsidRPr="00010B64" w:rsidRDefault="00010B64" w:rsidP="005A4442">
            <w:pPr>
              <w:pStyle w:val="SCVtablebody"/>
            </w:pPr>
            <w:r w:rsidRPr="00010B64">
              <w:t>Alcohol &amp; Drug Dependency</w:t>
            </w:r>
          </w:p>
        </w:tc>
        <w:tc>
          <w:tcPr>
            <w:tcW w:w="1573" w:type="dxa"/>
            <w:noWrap/>
            <w:hideMark/>
          </w:tcPr>
          <w:p w14:paraId="6FAB8B9A" w14:textId="77777777" w:rsidR="00010B64" w:rsidRPr="00010B64" w:rsidRDefault="00010B64" w:rsidP="005A4442">
            <w:pPr>
              <w:pStyle w:val="SCVtablebody"/>
            </w:pPr>
            <w:r w:rsidRPr="00010B64">
              <w:t>0.0%</w:t>
            </w:r>
          </w:p>
        </w:tc>
        <w:tc>
          <w:tcPr>
            <w:tcW w:w="1574" w:type="dxa"/>
            <w:noWrap/>
            <w:hideMark/>
          </w:tcPr>
          <w:p w14:paraId="23178477" w14:textId="77777777" w:rsidR="00010B64" w:rsidRPr="00010B64" w:rsidRDefault="00010B64" w:rsidP="005A4442">
            <w:pPr>
              <w:pStyle w:val="SCVtablebody"/>
            </w:pPr>
            <w:r w:rsidRPr="00010B64">
              <w:t>0.4%</w:t>
            </w:r>
          </w:p>
        </w:tc>
      </w:tr>
      <w:tr w:rsidR="00010B64" w:rsidRPr="00010B64" w14:paraId="6C68B4E3" w14:textId="77777777" w:rsidTr="00F73AF5">
        <w:trPr>
          <w:trHeight w:val="300"/>
        </w:trPr>
        <w:tc>
          <w:tcPr>
            <w:tcW w:w="4413" w:type="dxa"/>
            <w:noWrap/>
            <w:hideMark/>
          </w:tcPr>
          <w:p w14:paraId="646DF102" w14:textId="77777777" w:rsidR="00010B64" w:rsidRPr="00010B64" w:rsidRDefault="00010B64" w:rsidP="005A4442">
            <w:pPr>
              <w:pStyle w:val="SCVtablebody"/>
            </w:pPr>
            <w:r w:rsidRPr="00010B64">
              <w:t>Dental/Oral</w:t>
            </w:r>
          </w:p>
        </w:tc>
        <w:tc>
          <w:tcPr>
            <w:tcW w:w="1573" w:type="dxa"/>
            <w:noWrap/>
            <w:hideMark/>
          </w:tcPr>
          <w:p w14:paraId="68C3CD7D" w14:textId="77777777" w:rsidR="00010B64" w:rsidRPr="00010B64" w:rsidRDefault="00010B64" w:rsidP="005A4442">
            <w:pPr>
              <w:pStyle w:val="SCVtablebody"/>
            </w:pPr>
            <w:r w:rsidRPr="00010B64">
              <w:t>0.0%</w:t>
            </w:r>
          </w:p>
        </w:tc>
        <w:tc>
          <w:tcPr>
            <w:tcW w:w="1574" w:type="dxa"/>
            <w:noWrap/>
            <w:hideMark/>
          </w:tcPr>
          <w:p w14:paraId="3AAF269A" w14:textId="77777777" w:rsidR="00010B64" w:rsidRPr="00010B64" w:rsidRDefault="00010B64" w:rsidP="005A4442">
            <w:pPr>
              <w:pStyle w:val="SCVtablebody"/>
            </w:pPr>
            <w:r w:rsidRPr="00010B64">
              <w:t>0.4%</w:t>
            </w:r>
          </w:p>
        </w:tc>
      </w:tr>
      <w:tr w:rsidR="00010B64" w:rsidRPr="00010B64" w14:paraId="75C2EAA0" w14:textId="77777777" w:rsidTr="00F73AF5">
        <w:trPr>
          <w:trHeight w:val="300"/>
        </w:trPr>
        <w:tc>
          <w:tcPr>
            <w:tcW w:w="4413" w:type="dxa"/>
            <w:noWrap/>
            <w:hideMark/>
          </w:tcPr>
          <w:p w14:paraId="07F06B98" w14:textId="77777777" w:rsidR="00010B64" w:rsidRPr="00010B64" w:rsidRDefault="00010B64" w:rsidP="005A4442">
            <w:pPr>
              <w:pStyle w:val="SCVtablebody"/>
            </w:pPr>
            <w:r w:rsidRPr="00010B64">
              <w:t>Maxillofacial</w:t>
            </w:r>
          </w:p>
        </w:tc>
        <w:tc>
          <w:tcPr>
            <w:tcW w:w="1573" w:type="dxa"/>
            <w:noWrap/>
            <w:hideMark/>
          </w:tcPr>
          <w:p w14:paraId="2D5C54E7" w14:textId="77777777" w:rsidR="00010B64" w:rsidRPr="00010B64" w:rsidRDefault="00010B64" w:rsidP="005A4442">
            <w:pPr>
              <w:pStyle w:val="SCVtablebody"/>
            </w:pPr>
            <w:r w:rsidRPr="00010B64">
              <w:t>0.0%</w:t>
            </w:r>
          </w:p>
        </w:tc>
        <w:tc>
          <w:tcPr>
            <w:tcW w:w="1574" w:type="dxa"/>
            <w:noWrap/>
            <w:hideMark/>
          </w:tcPr>
          <w:p w14:paraId="4A31DB9D" w14:textId="77777777" w:rsidR="00010B64" w:rsidRPr="00010B64" w:rsidRDefault="00010B64" w:rsidP="005A4442">
            <w:pPr>
              <w:pStyle w:val="SCVtablebody"/>
            </w:pPr>
            <w:r w:rsidRPr="00010B64">
              <w:t>0.4%</w:t>
            </w:r>
          </w:p>
        </w:tc>
      </w:tr>
      <w:tr w:rsidR="00010B64" w:rsidRPr="00010B64" w14:paraId="4F0260BE" w14:textId="77777777" w:rsidTr="00F73AF5">
        <w:trPr>
          <w:trHeight w:val="300"/>
        </w:trPr>
        <w:tc>
          <w:tcPr>
            <w:tcW w:w="4413" w:type="dxa"/>
            <w:noWrap/>
            <w:hideMark/>
          </w:tcPr>
          <w:p w14:paraId="51AFFF19" w14:textId="34240691" w:rsidR="00010B64" w:rsidRPr="00010B64" w:rsidRDefault="00010B64" w:rsidP="005A4442">
            <w:pPr>
              <w:pStyle w:val="SCVtablebody"/>
            </w:pPr>
            <w:r w:rsidRPr="00010B64">
              <w:t>Psychiatric Adult Extended</w:t>
            </w:r>
            <w:r w:rsidR="00F73AF5">
              <w:t xml:space="preserve"> – </w:t>
            </w:r>
            <w:r w:rsidRPr="00010B64">
              <w:t>Treatment Rehab Unit</w:t>
            </w:r>
          </w:p>
        </w:tc>
        <w:tc>
          <w:tcPr>
            <w:tcW w:w="1573" w:type="dxa"/>
            <w:noWrap/>
            <w:hideMark/>
          </w:tcPr>
          <w:p w14:paraId="67DA4F66" w14:textId="77777777" w:rsidR="00010B64" w:rsidRPr="00010B64" w:rsidRDefault="00010B64" w:rsidP="005A4442">
            <w:pPr>
              <w:pStyle w:val="SCVtablebody"/>
            </w:pPr>
            <w:r w:rsidRPr="00010B64">
              <w:t>0.0%</w:t>
            </w:r>
          </w:p>
        </w:tc>
        <w:tc>
          <w:tcPr>
            <w:tcW w:w="1574" w:type="dxa"/>
            <w:noWrap/>
            <w:hideMark/>
          </w:tcPr>
          <w:p w14:paraId="3D24FCC8" w14:textId="77777777" w:rsidR="00010B64" w:rsidRPr="00010B64" w:rsidRDefault="00010B64" w:rsidP="005A4442">
            <w:pPr>
              <w:pStyle w:val="SCVtablebody"/>
            </w:pPr>
            <w:r w:rsidRPr="00010B64">
              <w:t>0.4%</w:t>
            </w:r>
          </w:p>
        </w:tc>
      </w:tr>
      <w:tr w:rsidR="00010B64" w:rsidRPr="00010B64" w14:paraId="5381CA73" w14:textId="77777777" w:rsidTr="00F73AF5">
        <w:trPr>
          <w:trHeight w:val="300"/>
        </w:trPr>
        <w:tc>
          <w:tcPr>
            <w:tcW w:w="4413" w:type="dxa"/>
            <w:noWrap/>
            <w:hideMark/>
          </w:tcPr>
          <w:p w14:paraId="29463BEE" w14:textId="77777777" w:rsidR="00010B64" w:rsidRPr="00010B64" w:rsidRDefault="00010B64" w:rsidP="005A4442">
            <w:pPr>
              <w:pStyle w:val="SCVtablebody"/>
            </w:pPr>
            <w:r w:rsidRPr="00010B64">
              <w:t>Psychiatric Forensic Acute</w:t>
            </w:r>
          </w:p>
        </w:tc>
        <w:tc>
          <w:tcPr>
            <w:tcW w:w="1573" w:type="dxa"/>
            <w:noWrap/>
            <w:hideMark/>
          </w:tcPr>
          <w:p w14:paraId="0675EA50" w14:textId="77777777" w:rsidR="00010B64" w:rsidRPr="00010B64" w:rsidRDefault="00010B64" w:rsidP="005A4442">
            <w:pPr>
              <w:pStyle w:val="SCVtablebody"/>
            </w:pPr>
            <w:r w:rsidRPr="00010B64">
              <w:t>0.0%</w:t>
            </w:r>
          </w:p>
        </w:tc>
        <w:tc>
          <w:tcPr>
            <w:tcW w:w="1574" w:type="dxa"/>
            <w:noWrap/>
            <w:hideMark/>
          </w:tcPr>
          <w:p w14:paraId="74AAB229" w14:textId="77777777" w:rsidR="00010B64" w:rsidRPr="00010B64" w:rsidRDefault="00010B64" w:rsidP="005A4442">
            <w:pPr>
              <w:pStyle w:val="SCVtablebody"/>
            </w:pPr>
            <w:r w:rsidRPr="00010B64">
              <w:t>0.4%</w:t>
            </w:r>
          </w:p>
        </w:tc>
      </w:tr>
      <w:tr w:rsidR="00010B64" w:rsidRPr="00010B64" w14:paraId="3799986F" w14:textId="77777777" w:rsidTr="00F73AF5">
        <w:trPr>
          <w:trHeight w:val="300"/>
        </w:trPr>
        <w:tc>
          <w:tcPr>
            <w:tcW w:w="4413" w:type="dxa"/>
            <w:noWrap/>
            <w:hideMark/>
          </w:tcPr>
          <w:p w14:paraId="35408BD9" w14:textId="77777777" w:rsidR="00010B64" w:rsidRPr="00010B64" w:rsidRDefault="00010B64" w:rsidP="005A4442">
            <w:pPr>
              <w:pStyle w:val="SCVtablebody"/>
            </w:pPr>
            <w:r w:rsidRPr="00010B64">
              <w:t>Ear Nose and Throat</w:t>
            </w:r>
          </w:p>
        </w:tc>
        <w:tc>
          <w:tcPr>
            <w:tcW w:w="1573" w:type="dxa"/>
            <w:noWrap/>
            <w:hideMark/>
          </w:tcPr>
          <w:p w14:paraId="0841D728" w14:textId="77777777" w:rsidR="00010B64" w:rsidRPr="00010B64" w:rsidRDefault="00010B64" w:rsidP="005A4442">
            <w:pPr>
              <w:pStyle w:val="SCVtablebody"/>
            </w:pPr>
            <w:r w:rsidRPr="00010B64">
              <w:t>1.7%</w:t>
            </w:r>
          </w:p>
        </w:tc>
        <w:tc>
          <w:tcPr>
            <w:tcW w:w="1574" w:type="dxa"/>
            <w:noWrap/>
            <w:hideMark/>
          </w:tcPr>
          <w:p w14:paraId="60E7CC68" w14:textId="77777777" w:rsidR="00010B64" w:rsidRPr="00010B64" w:rsidRDefault="00010B64" w:rsidP="005A4442">
            <w:pPr>
              <w:pStyle w:val="SCVtablebody"/>
            </w:pPr>
            <w:r w:rsidRPr="00010B64">
              <w:t>0.0%</w:t>
            </w:r>
          </w:p>
        </w:tc>
      </w:tr>
      <w:tr w:rsidR="00010B64" w:rsidRPr="00010B64" w14:paraId="64AC209A" w14:textId="77777777" w:rsidTr="00F73AF5">
        <w:trPr>
          <w:trHeight w:val="300"/>
        </w:trPr>
        <w:tc>
          <w:tcPr>
            <w:tcW w:w="4413" w:type="dxa"/>
            <w:noWrap/>
            <w:hideMark/>
          </w:tcPr>
          <w:p w14:paraId="1A79AE52" w14:textId="77777777" w:rsidR="00010B64" w:rsidRPr="00010B64" w:rsidRDefault="00010B64" w:rsidP="005A4442">
            <w:pPr>
              <w:pStyle w:val="SCVtablebody"/>
            </w:pPr>
            <w:r w:rsidRPr="00010B64">
              <w:t>Thoracic/Respiratory Medical</w:t>
            </w:r>
          </w:p>
        </w:tc>
        <w:tc>
          <w:tcPr>
            <w:tcW w:w="1573" w:type="dxa"/>
            <w:noWrap/>
            <w:hideMark/>
          </w:tcPr>
          <w:p w14:paraId="49214B04" w14:textId="77777777" w:rsidR="00010B64" w:rsidRPr="00010B64" w:rsidRDefault="00010B64" w:rsidP="005A4442">
            <w:pPr>
              <w:pStyle w:val="SCVtablebody"/>
            </w:pPr>
            <w:r w:rsidRPr="00010B64">
              <w:t>0.8%</w:t>
            </w:r>
          </w:p>
        </w:tc>
        <w:tc>
          <w:tcPr>
            <w:tcW w:w="1574" w:type="dxa"/>
            <w:noWrap/>
            <w:hideMark/>
          </w:tcPr>
          <w:p w14:paraId="1D47C062" w14:textId="77777777" w:rsidR="00010B64" w:rsidRPr="00010B64" w:rsidRDefault="00010B64" w:rsidP="005A4442">
            <w:pPr>
              <w:pStyle w:val="SCVtablebody"/>
            </w:pPr>
            <w:r w:rsidRPr="00010B64">
              <w:t>0.0%</w:t>
            </w:r>
          </w:p>
        </w:tc>
      </w:tr>
      <w:tr w:rsidR="00010B64" w:rsidRPr="00010B64" w14:paraId="04BE3ADA" w14:textId="77777777" w:rsidTr="00F73AF5">
        <w:trPr>
          <w:trHeight w:val="300"/>
        </w:trPr>
        <w:tc>
          <w:tcPr>
            <w:tcW w:w="4413" w:type="dxa"/>
            <w:noWrap/>
            <w:hideMark/>
          </w:tcPr>
          <w:p w14:paraId="3A6BAC35" w14:textId="77777777" w:rsidR="00010B64" w:rsidRPr="00010B64" w:rsidRDefault="00010B64" w:rsidP="005A4442">
            <w:pPr>
              <w:pStyle w:val="SCVtablebody"/>
            </w:pPr>
            <w:r w:rsidRPr="00010B64">
              <w:t>Endocrinology and Diabetes</w:t>
            </w:r>
          </w:p>
        </w:tc>
        <w:tc>
          <w:tcPr>
            <w:tcW w:w="1573" w:type="dxa"/>
            <w:noWrap/>
            <w:hideMark/>
          </w:tcPr>
          <w:p w14:paraId="4FBA352F" w14:textId="77777777" w:rsidR="00010B64" w:rsidRPr="00010B64" w:rsidRDefault="00010B64" w:rsidP="005A4442">
            <w:pPr>
              <w:pStyle w:val="SCVtablebody"/>
            </w:pPr>
            <w:r w:rsidRPr="00010B64">
              <w:t>0.4%</w:t>
            </w:r>
          </w:p>
        </w:tc>
        <w:tc>
          <w:tcPr>
            <w:tcW w:w="1574" w:type="dxa"/>
            <w:noWrap/>
            <w:hideMark/>
          </w:tcPr>
          <w:p w14:paraId="3597344D" w14:textId="77777777" w:rsidR="00010B64" w:rsidRPr="00010B64" w:rsidRDefault="00010B64" w:rsidP="005A4442">
            <w:pPr>
              <w:pStyle w:val="SCVtablebody"/>
            </w:pPr>
            <w:r w:rsidRPr="00010B64">
              <w:t>0.0%</w:t>
            </w:r>
          </w:p>
        </w:tc>
      </w:tr>
      <w:tr w:rsidR="00010B64" w:rsidRPr="00010B64" w14:paraId="75E014AC" w14:textId="77777777" w:rsidTr="00F73AF5">
        <w:trPr>
          <w:trHeight w:val="300"/>
        </w:trPr>
        <w:tc>
          <w:tcPr>
            <w:tcW w:w="4413" w:type="dxa"/>
            <w:noWrap/>
            <w:hideMark/>
          </w:tcPr>
          <w:p w14:paraId="10E47E9C" w14:textId="77777777" w:rsidR="00010B64" w:rsidRPr="00010B64" w:rsidRDefault="00010B64" w:rsidP="005A4442">
            <w:pPr>
              <w:pStyle w:val="SCVtablebody"/>
            </w:pPr>
            <w:r w:rsidRPr="00010B64">
              <w:t>Ophthalmology</w:t>
            </w:r>
          </w:p>
        </w:tc>
        <w:tc>
          <w:tcPr>
            <w:tcW w:w="1573" w:type="dxa"/>
            <w:noWrap/>
            <w:hideMark/>
          </w:tcPr>
          <w:p w14:paraId="28D9F01A" w14:textId="77777777" w:rsidR="00010B64" w:rsidRPr="00010B64" w:rsidRDefault="00010B64" w:rsidP="005A4442">
            <w:pPr>
              <w:pStyle w:val="SCVtablebody"/>
            </w:pPr>
            <w:r w:rsidRPr="00010B64">
              <w:t>0.4%</w:t>
            </w:r>
          </w:p>
        </w:tc>
        <w:tc>
          <w:tcPr>
            <w:tcW w:w="1574" w:type="dxa"/>
            <w:noWrap/>
            <w:hideMark/>
          </w:tcPr>
          <w:p w14:paraId="4BDCEF95" w14:textId="77777777" w:rsidR="00010B64" w:rsidRPr="00010B64" w:rsidRDefault="00010B64" w:rsidP="005A4442">
            <w:pPr>
              <w:pStyle w:val="SCVtablebody"/>
            </w:pPr>
            <w:r w:rsidRPr="00010B64">
              <w:t>0.0%</w:t>
            </w:r>
          </w:p>
        </w:tc>
      </w:tr>
      <w:tr w:rsidR="00010B64" w:rsidRPr="00010B64" w14:paraId="151C8D1B" w14:textId="77777777" w:rsidTr="00F73AF5">
        <w:trPr>
          <w:trHeight w:val="300"/>
        </w:trPr>
        <w:tc>
          <w:tcPr>
            <w:tcW w:w="4413" w:type="dxa"/>
            <w:noWrap/>
            <w:hideMark/>
          </w:tcPr>
          <w:p w14:paraId="3085F9C1" w14:textId="1A342114" w:rsidR="00010B64" w:rsidRPr="00010B64" w:rsidRDefault="00010B64" w:rsidP="005A4442">
            <w:pPr>
              <w:pStyle w:val="SCVtablebody"/>
            </w:pPr>
            <w:r w:rsidRPr="00010B64">
              <w:t>Paediatric</w:t>
            </w:r>
            <w:r w:rsidR="00F73AF5">
              <w:t xml:space="preserve"> – </w:t>
            </w:r>
            <w:r w:rsidRPr="00010B64">
              <w:t>Gastroenterology</w:t>
            </w:r>
          </w:p>
        </w:tc>
        <w:tc>
          <w:tcPr>
            <w:tcW w:w="1573" w:type="dxa"/>
            <w:noWrap/>
            <w:hideMark/>
          </w:tcPr>
          <w:p w14:paraId="1ECB30EA" w14:textId="77777777" w:rsidR="00010B64" w:rsidRPr="00010B64" w:rsidRDefault="00010B64" w:rsidP="005A4442">
            <w:pPr>
              <w:pStyle w:val="SCVtablebody"/>
            </w:pPr>
            <w:r w:rsidRPr="00010B64">
              <w:t>0.4%</w:t>
            </w:r>
          </w:p>
        </w:tc>
        <w:tc>
          <w:tcPr>
            <w:tcW w:w="1574" w:type="dxa"/>
            <w:noWrap/>
            <w:hideMark/>
          </w:tcPr>
          <w:p w14:paraId="742045A4" w14:textId="77777777" w:rsidR="00010B64" w:rsidRPr="00010B64" w:rsidRDefault="00010B64" w:rsidP="005A4442">
            <w:pPr>
              <w:pStyle w:val="SCVtablebody"/>
            </w:pPr>
            <w:r w:rsidRPr="00010B64">
              <w:t>0.0%</w:t>
            </w:r>
          </w:p>
        </w:tc>
      </w:tr>
      <w:tr w:rsidR="00010B64" w:rsidRPr="00010B64" w14:paraId="74C5C594" w14:textId="77777777" w:rsidTr="00F73AF5">
        <w:trPr>
          <w:trHeight w:val="300"/>
        </w:trPr>
        <w:tc>
          <w:tcPr>
            <w:tcW w:w="4413" w:type="dxa"/>
            <w:noWrap/>
            <w:hideMark/>
          </w:tcPr>
          <w:p w14:paraId="035E0746" w14:textId="737F9316" w:rsidR="00010B64" w:rsidRPr="00010B64" w:rsidRDefault="00010B64" w:rsidP="005A4442">
            <w:pPr>
              <w:pStyle w:val="SCVtablebody"/>
            </w:pPr>
            <w:r w:rsidRPr="00010B64">
              <w:t>Paediatric</w:t>
            </w:r>
            <w:r w:rsidR="00F73AF5">
              <w:t xml:space="preserve"> – </w:t>
            </w:r>
            <w:r w:rsidRPr="00010B64">
              <w:t>Intensive Care</w:t>
            </w:r>
          </w:p>
        </w:tc>
        <w:tc>
          <w:tcPr>
            <w:tcW w:w="1573" w:type="dxa"/>
            <w:noWrap/>
            <w:hideMark/>
          </w:tcPr>
          <w:p w14:paraId="4949C053" w14:textId="77777777" w:rsidR="00010B64" w:rsidRPr="00010B64" w:rsidRDefault="00010B64" w:rsidP="005A4442">
            <w:pPr>
              <w:pStyle w:val="SCVtablebody"/>
            </w:pPr>
            <w:r w:rsidRPr="00010B64">
              <w:t>0.4%</w:t>
            </w:r>
          </w:p>
        </w:tc>
        <w:tc>
          <w:tcPr>
            <w:tcW w:w="1574" w:type="dxa"/>
            <w:noWrap/>
            <w:hideMark/>
          </w:tcPr>
          <w:p w14:paraId="2D641D53" w14:textId="77777777" w:rsidR="00010B64" w:rsidRPr="00010B64" w:rsidRDefault="00010B64" w:rsidP="005A4442">
            <w:pPr>
              <w:pStyle w:val="SCVtablebody"/>
            </w:pPr>
            <w:r w:rsidRPr="00010B64">
              <w:t>0.0%</w:t>
            </w:r>
          </w:p>
        </w:tc>
      </w:tr>
      <w:tr w:rsidR="00010B64" w:rsidRPr="00010B64" w14:paraId="084994E9" w14:textId="77777777" w:rsidTr="00F73AF5">
        <w:trPr>
          <w:trHeight w:val="300"/>
        </w:trPr>
        <w:tc>
          <w:tcPr>
            <w:tcW w:w="4413" w:type="dxa"/>
            <w:noWrap/>
            <w:hideMark/>
          </w:tcPr>
          <w:p w14:paraId="6239A318" w14:textId="6801CB03" w:rsidR="00010B64" w:rsidRPr="00010B64" w:rsidRDefault="00010B64" w:rsidP="005A4442">
            <w:pPr>
              <w:pStyle w:val="SCVtablebody"/>
            </w:pPr>
            <w:r w:rsidRPr="00010B64">
              <w:t>Rehabilitation</w:t>
            </w:r>
            <w:r w:rsidR="00F73AF5">
              <w:t xml:space="preserve"> – </w:t>
            </w:r>
            <w:r w:rsidRPr="00010B64">
              <w:t>Geriatric</w:t>
            </w:r>
          </w:p>
        </w:tc>
        <w:tc>
          <w:tcPr>
            <w:tcW w:w="1573" w:type="dxa"/>
            <w:noWrap/>
            <w:hideMark/>
          </w:tcPr>
          <w:p w14:paraId="5832B1F3" w14:textId="77777777" w:rsidR="00010B64" w:rsidRPr="00010B64" w:rsidRDefault="00010B64" w:rsidP="005A4442">
            <w:pPr>
              <w:pStyle w:val="SCVtablebody"/>
            </w:pPr>
            <w:r w:rsidRPr="00010B64">
              <w:t>0.4%</w:t>
            </w:r>
          </w:p>
        </w:tc>
        <w:tc>
          <w:tcPr>
            <w:tcW w:w="1574" w:type="dxa"/>
            <w:noWrap/>
            <w:hideMark/>
          </w:tcPr>
          <w:p w14:paraId="2BE19623" w14:textId="77777777" w:rsidR="00010B64" w:rsidRPr="00010B64" w:rsidRDefault="00010B64" w:rsidP="005A4442">
            <w:pPr>
              <w:pStyle w:val="SCVtablebody"/>
            </w:pPr>
            <w:r w:rsidRPr="00010B64">
              <w:t>0.0%</w:t>
            </w:r>
          </w:p>
        </w:tc>
      </w:tr>
      <w:tr w:rsidR="00010B64" w:rsidRPr="00010B64" w14:paraId="56E8D882" w14:textId="77777777" w:rsidTr="00F73AF5">
        <w:trPr>
          <w:trHeight w:val="300"/>
        </w:trPr>
        <w:tc>
          <w:tcPr>
            <w:tcW w:w="4413" w:type="dxa"/>
            <w:noWrap/>
            <w:hideMark/>
          </w:tcPr>
          <w:p w14:paraId="09E25A1B" w14:textId="77777777" w:rsidR="00010B64" w:rsidRPr="00010B64" w:rsidRDefault="00010B64" w:rsidP="005A4442">
            <w:pPr>
              <w:pStyle w:val="SCVtablebody"/>
            </w:pPr>
            <w:r w:rsidRPr="00010B64">
              <w:t>Rheumatology</w:t>
            </w:r>
          </w:p>
        </w:tc>
        <w:tc>
          <w:tcPr>
            <w:tcW w:w="1573" w:type="dxa"/>
            <w:noWrap/>
            <w:hideMark/>
          </w:tcPr>
          <w:p w14:paraId="4BA77EC5" w14:textId="77777777" w:rsidR="00010B64" w:rsidRPr="00010B64" w:rsidRDefault="00010B64" w:rsidP="005A4442">
            <w:pPr>
              <w:pStyle w:val="SCVtablebody"/>
            </w:pPr>
            <w:r w:rsidRPr="00010B64">
              <w:t>0.4%</w:t>
            </w:r>
          </w:p>
        </w:tc>
        <w:tc>
          <w:tcPr>
            <w:tcW w:w="1574" w:type="dxa"/>
            <w:noWrap/>
            <w:hideMark/>
          </w:tcPr>
          <w:p w14:paraId="73B737E9" w14:textId="77777777" w:rsidR="00010B64" w:rsidRPr="00010B64" w:rsidRDefault="00010B64" w:rsidP="005A4442">
            <w:pPr>
              <w:pStyle w:val="SCVtablebody"/>
            </w:pPr>
            <w:r w:rsidRPr="00010B64">
              <w:t>0.0%</w:t>
            </w:r>
          </w:p>
        </w:tc>
      </w:tr>
      <w:tr w:rsidR="00010B64" w:rsidRPr="00010B64" w14:paraId="3008D461" w14:textId="77777777" w:rsidTr="00F73AF5">
        <w:trPr>
          <w:trHeight w:val="300"/>
        </w:trPr>
        <w:tc>
          <w:tcPr>
            <w:tcW w:w="4413" w:type="dxa"/>
            <w:noWrap/>
            <w:hideMark/>
          </w:tcPr>
          <w:p w14:paraId="3DC6DE99" w14:textId="77777777" w:rsidR="00010B64" w:rsidRPr="00010B64" w:rsidRDefault="00010B64" w:rsidP="005A4442">
            <w:pPr>
              <w:pStyle w:val="SCVtablebody"/>
            </w:pPr>
            <w:r w:rsidRPr="00010B64">
              <w:t>Thoracic Surgery</w:t>
            </w:r>
          </w:p>
        </w:tc>
        <w:tc>
          <w:tcPr>
            <w:tcW w:w="1573" w:type="dxa"/>
            <w:noWrap/>
            <w:hideMark/>
          </w:tcPr>
          <w:p w14:paraId="11567897" w14:textId="77777777" w:rsidR="00010B64" w:rsidRPr="00010B64" w:rsidRDefault="00010B64" w:rsidP="005A4442">
            <w:pPr>
              <w:pStyle w:val="SCVtablebody"/>
            </w:pPr>
            <w:r w:rsidRPr="00010B64">
              <w:t>0.4%</w:t>
            </w:r>
          </w:p>
        </w:tc>
        <w:tc>
          <w:tcPr>
            <w:tcW w:w="1574" w:type="dxa"/>
            <w:noWrap/>
            <w:hideMark/>
          </w:tcPr>
          <w:p w14:paraId="3D5CE6A3" w14:textId="77777777" w:rsidR="00010B64" w:rsidRPr="00010B64" w:rsidRDefault="00010B64" w:rsidP="005A4442">
            <w:pPr>
              <w:pStyle w:val="SCVtablebody"/>
            </w:pPr>
            <w:r w:rsidRPr="00010B64">
              <w:t>0.0%</w:t>
            </w:r>
          </w:p>
        </w:tc>
      </w:tr>
    </w:tbl>
    <w:p w14:paraId="76780B33" w14:textId="751007FB" w:rsidR="00152EC1" w:rsidRDefault="00152EC1" w:rsidP="00010B64">
      <w:pPr>
        <w:pStyle w:val="SCVtablefigurenote"/>
      </w:pPr>
      <w:r>
        <w:t xml:space="preserve">Note: This graph excludes admitting specialities with less than 2 per cent of total events in 2022–23 </w:t>
      </w:r>
    </w:p>
    <w:p w14:paraId="592CA807" w14:textId="77777777" w:rsidR="00152EC1" w:rsidRDefault="00152EC1" w:rsidP="00035A91">
      <w:pPr>
        <w:pStyle w:val="Heading3"/>
      </w:pPr>
      <w:bookmarkStart w:id="42" w:name="_Toc173851140"/>
      <w:r>
        <w:t>Sentinel event peer group and location</w:t>
      </w:r>
      <w:bookmarkEnd w:id="42"/>
      <w:r>
        <w:t xml:space="preserve"> </w:t>
      </w:r>
    </w:p>
    <w:p w14:paraId="2136F713" w14:textId="77777777" w:rsidR="00152EC1" w:rsidRDefault="00152EC1" w:rsidP="00C96A69">
      <w:pPr>
        <w:pStyle w:val="SCVbody"/>
      </w:pPr>
      <w:r>
        <w:t xml:space="preserve">The location of sentinel events occurring within health services has remained steady across two years, with wards, emergency departments, patient rooms, intensive care units and operating theatres representing a substantial number of reports both years. This reflects areas where patients spend a lot of </w:t>
      </w:r>
      <w:r>
        <w:lastRenderedPageBreak/>
        <w:t xml:space="preserve">time receiving care (i.e. wards and patient rooms) or where complex, high-risk situations unfold (i.e. emergency departments, operating theatres, and intensive care units). </w:t>
      </w:r>
    </w:p>
    <w:p w14:paraId="34FA0D23" w14:textId="666E5063" w:rsidR="00152EC1" w:rsidRDefault="00152EC1" w:rsidP="00A17F27">
      <w:pPr>
        <w:pStyle w:val="SCVfigurecaption"/>
      </w:pPr>
      <w:r>
        <w:t>Figure 23. Percentage of sentinel events by health service peer group</w:t>
      </w:r>
      <w:r w:rsidR="00F73AF5">
        <w:t>,</w:t>
      </w:r>
      <w:r>
        <w:t xml:space="preserve"> 2021–22 and 2022–23 </w:t>
      </w:r>
    </w:p>
    <w:tbl>
      <w:tblPr>
        <w:tblStyle w:val="TableGrid"/>
        <w:tblW w:w="5935" w:type="dxa"/>
        <w:tblLayout w:type="fixed"/>
        <w:tblLook w:val="0620" w:firstRow="1" w:lastRow="0" w:firstColumn="0" w:lastColumn="0" w:noHBand="1" w:noVBand="1"/>
      </w:tblPr>
      <w:tblGrid>
        <w:gridCol w:w="2335"/>
        <w:gridCol w:w="1800"/>
        <w:gridCol w:w="1800"/>
      </w:tblGrid>
      <w:tr w:rsidR="009815FF" w:rsidRPr="009815FF" w14:paraId="5379B7FA" w14:textId="77777777" w:rsidTr="00F73AF5">
        <w:trPr>
          <w:cnfStyle w:val="100000000000" w:firstRow="1" w:lastRow="0" w:firstColumn="0" w:lastColumn="0" w:oddVBand="0" w:evenVBand="0" w:oddHBand="0" w:evenHBand="0" w:firstRowFirstColumn="0" w:firstRowLastColumn="0" w:lastRowFirstColumn="0" w:lastRowLastColumn="0"/>
          <w:trHeight w:val="300"/>
          <w:tblHeader/>
        </w:trPr>
        <w:tc>
          <w:tcPr>
            <w:tcW w:w="2335" w:type="dxa"/>
            <w:noWrap/>
            <w:hideMark/>
          </w:tcPr>
          <w:p w14:paraId="16ECF499" w14:textId="04817C53" w:rsidR="009815FF" w:rsidRPr="00F73AF5" w:rsidRDefault="009815FF" w:rsidP="00F73AF5">
            <w:pPr>
              <w:pStyle w:val="SCVtablecolhead"/>
            </w:pPr>
            <w:r w:rsidRPr="00F73AF5">
              <w:t xml:space="preserve">Peer </w:t>
            </w:r>
            <w:r w:rsidR="00F73AF5">
              <w:t>g</w:t>
            </w:r>
            <w:r w:rsidRPr="00F73AF5">
              <w:t>roup</w:t>
            </w:r>
          </w:p>
        </w:tc>
        <w:tc>
          <w:tcPr>
            <w:tcW w:w="1800" w:type="dxa"/>
            <w:noWrap/>
            <w:hideMark/>
          </w:tcPr>
          <w:p w14:paraId="1B7060EF" w14:textId="48BBCA5F" w:rsidR="009815FF" w:rsidRPr="00F73AF5" w:rsidRDefault="009815FF" w:rsidP="00F73AF5">
            <w:pPr>
              <w:pStyle w:val="SCVtablecolhead"/>
            </w:pPr>
            <w:r w:rsidRPr="00F73AF5">
              <w:t>2021</w:t>
            </w:r>
            <w:r w:rsidR="00F73AF5">
              <w:t>–</w:t>
            </w:r>
            <w:r w:rsidRPr="00F73AF5">
              <w:t>22</w:t>
            </w:r>
          </w:p>
        </w:tc>
        <w:tc>
          <w:tcPr>
            <w:tcW w:w="1800" w:type="dxa"/>
            <w:noWrap/>
            <w:hideMark/>
          </w:tcPr>
          <w:p w14:paraId="41437203" w14:textId="5EDB6D8B" w:rsidR="009815FF" w:rsidRPr="00F73AF5" w:rsidRDefault="009815FF" w:rsidP="00F73AF5">
            <w:pPr>
              <w:pStyle w:val="SCVtablecolhead"/>
            </w:pPr>
            <w:r w:rsidRPr="00F73AF5">
              <w:t>2022</w:t>
            </w:r>
            <w:r w:rsidR="00F73AF5">
              <w:t>–</w:t>
            </w:r>
            <w:r w:rsidRPr="00F73AF5">
              <w:t>23</w:t>
            </w:r>
          </w:p>
        </w:tc>
      </w:tr>
      <w:tr w:rsidR="009815FF" w:rsidRPr="009815FF" w14:paraId="40DB100A" w14:textId="77777777" w:rsidTr="00F73AF5">
        <w:trPr>
          <w:trHeight w:val="300"/>
        </w:trPr>
        <w:tc>
          <w:tcPr>
            <w:tcW w:w="2335" w:type="dxa"/>
            <w:noWrap/>
            <w:hideMark/>
          </w:tcPr>
          <w:p w14:paraId="7F93D852" w14:textId="77777777" w:rsidR="009815FF" w:rsidRPr="009815FF" w:rsidRDefault="009815FF" w:rsidP="005A4442">
            <w:pPr>
              <w:pStyle w:val="SCVtablebody"/>
              <w:rPr>
                <w:color w:val="000000"/>
              </w:rPr>
            </w:pPr>
            <w:r w:rsidRPr="009815FF">
              <w:rPr>
                <w:color w:val="000000"/>
              </w:rPr>
              <w:t>Specialist</w:t>
            </w:r>
          </w:p>
        </w:tc>
        <w:tc>
          <w:tcPr>
            <w:tcW w:w="1800" w:type="dxa"/>
            <w:noWrap/>
            <w:hideMark/>
          </w:tcPr>
          <w:p w14:paraId="65DEAE35" w14:textId="77777777" w:rsidR="009815FF" w:rsidRPr="009815FF" w:rsidRDefault="009815FF" w:rsidP="005A4442">
            <w:pPr>
              <w:pStyle w:val="SCVtablebody"/>
              <w:rPr>
                <w:color w:val="000000"/>
              </w:rPr>
            </w:pPr>
            <w:r w:rsidRPr="009815FF">
              <w:rPr>
                <w:color w:val="000000"/>
              </w:rPr>
              <w:t>3%</w:t>
            </w:r>
          </w:p>
        </w:tc>
        <w:tc>
          <w:tcPr>
            <w:tcW w:w="1800" w:type="dxa"/>
            <w:noWrap/>
            <w:hideMark/>
          </w:tcPr>
          <w:p w14:paraId="2ACE212A" w14:textId="77777777" w:rsidR="009815FF" w:rsidRPr="009815FF" w:rsidRDefault="009815FF" w:rsidP="005A4442">
            <w:pPr>
              <w:pStyle w:val="SCVtablebody"/>
              <w:rPr>
                <w:color w:val="000000"/>
              </w:rPr>
            </w:pPr>
            <w:r w:rsidRPr="009815FF">
              <w:rPr>
                <w:color w:val="000000"/>
              </w:rPr>
              <w:t>2%</w:t>
            </w:r>
          </w:p>
        </w:tc>
      </w:tr>
      <w:tr w:rsidR="009815FF" w:rsidRPr="009815FF" w14:paraId="2828742F" w14:textId="77777777" w:rsidTr="00F73AF5">
        <w:trPr>
          <w:trHeight w:val="300"/>
        </w:trPr>
        <w:tc>
          <w:tcPr>
            <w:tcW w:w="2335" w:type="dxa"/>
            <w:noWrap/>
            <w:hideMark/>
          </w:tcPr>
          <w:p w14:paraId="2F0329EC" w14:textId="77777777" w:rsidR="009815FF" w:rsidRPr="009815FF" w:rsidRDefault="009815FF" w:rsidP="005A4442">
            <w:pPr>
              <w:pStyle w:val="SCVtablebody"/>
              <w:rPr>
                <w:color w:val="000000"/>
              </w:rPr>
            </w:pPr>
            <w:r w:rsidRPr="009815FF">
              <w:rPr>
                <w:color w:val="000000"/>
              </w:rPr>
              <w:t>Local</w:t>
            </w:r>
          </w:p>
        </w:tc>
        <w:tc>
          <w:tcPr>
            <w:tcW w:w="1800" w:type="dxa"/>
            <w:noWrap/>
            <w:hideMark/>
          </w:tcPr>
          <w:p w14:paraId="276C17DB" w14:textId="77777777" w:rsidR="009815FF" w:rsidRPr="009815FF" w:rsidRDefault="009815FF" w:rsidP="005A4442">
            <w:pPr>
              <w:pStyle w:val="SCVtablebody"/>
              <w:rPr>
                <w:color w:val="000000"/>
              </w:rPr>
            </w:pPr>
            <w:r w:rsidRPr="009815FF">
              <w:rPr>
                <w:color w:val="000000"/>
              </w:rPr>
              <w:t>3%</w:t>
            </w:r>
          </w:p>
        </w:tc>
        <w:tc>
          <w:tcPr>
            <w:tcW w:w="1800" w:type="dxa"/>
            <w:noWrap/>
            <w:hideMark/>
          </w:tcPr>
          <w:p w14:paraId="78DBED38" w14:textId="77777777" w:rsidR="009815FF" w:rsidRPr="009815FF" w:rsidRDefault="009815FF" w:rsidP="005A4442">
            <w:pPr>
              <w:pStyle w:val="SCVtablebody"/>
              <w:rPr>
                <w:color w:val="000000"/>
              </w:rPr>
            </w:pPr>
            <w:r w:rsidRPr="009815FF">
              <w:rPr>
                <w:color w:val="000000"/>
              </w:rPr>
              <w:t>3%</w:t>
            </w:r>
          </w:p>
        </w:tc>
      </w:tr>
      <w:tr w:rsidR="009815FF" w:rsidRPr="009815FF" w14:paraId="15759947" w14:textId="77777777" w:rsidTr="00F73AF5">
        <w:trPr>
          <w:trHeight w:val="300"/>
        </w:trPr>
        <w:tc>
          <w:tcPr>
            <w:tcW w:w="2335" w:type="dxa"/>
            <w:noWrap/>
            <w:hideMark/>
          </w:tcPr>
          <w:p w14:paraId="32FDE5D9" w14:textId="77777777" w:rsidR="009815FF" w:rsidRPr="009815FF" w:rsidRDefault="009815FF" w:rsidP="005A4442">
            <w:pPr>
              <w:pStyle w:val="SCVtablebody"/>
              <w:rPr>
                <w:color w:val="000000"/>
              </w:rPr>
            </w:pPr>
            <w:r w:rsidRPr="009815FF">
              <w:rPr>
                <w:color w:val="000000"/>
              </w:rPr>
              <w:t>Small rural</w:t>
            </w:r>
          </w:p>
        </w:tc>
        <w:tc>
          <w:tcPr>
            <w:tcW w:w="1800" w:type="dxa"/>
            <w:noWrap/>
            <w:hideMark/>
          </w:tcPr>
          <w:p w14:paraId="51678734" w14:textId="77777777" w:rsidR="009815FF" w:rsidRPr="009815FF" w:rsidRDefault="009815FF" w:rsidP="005A4442">
            <w:pPr>
              <w:pStyle w:val="SCVtablebody"/>
              <w:rPr>
                <w:color w:val="000000"/>
              </w:rPr>
            </w:pPr>
            <w:r w:rsidRPr="009815FF">
              <w:rPr>
                <w:color w:val="000000"/>
              </w:rPr>
              <w:t>6%</w:t>
            </w:r>
          </w:p>
        </w:tc>
        <w:tc>
          <w:tcPr>
            <w:tcW w:w="1800" w:type="dxa"/>
            <w:noWrap/>
            <w:hideMark/>
          </w:tcPr>
          <w:p w14:paraId="0BBAB9C6" w14:textId="77777777" w:rsidR="009815FF" w:rsidRPr="009815FF" w:rsidRDefault="009815FF" w:rsidP="005A4442">
            <w:pPr>
              <w:pStyle w:val="SCVtablebody"/>
              <w:rPr>
                <w:color w:val="000000"/>
              </w:rPr>
            </w:pPr>
            <w:r w:rsidRPr="009815FF">
              <w:rPr>
                <w:color w:val="000000"/>
              </w:rPr>
              <w:t>4%</w:t>
            </w:r>
          </w:p>
        </w:tc>
      </w:tr>
      <w:tr w:rsidR="009815FF" w:rsidRPr="009815FF" w14:paraId="23DEFE97" w14:textId="77777777" w:rsidTr="00F73AF5">
        <w:trPr>
          <w:trHeight w:val="300"/>
        </w:trPr>
        <w:tc>
          <w:tcPr>
            <w:tcW w:w="2335" w:type="dxa"/>
            <w:noWrap/>
            <w:hideMark/>
          </w:tcPr>
          <w:p w14:paraId="5B86030C" w14:textId="77777777" w:rsidR="009815FF" w:rsidRPr="009815FF" w:rsidRDefault="009815FF" w:rsidP="005A4442">
            <w:pPr>
              <w:pStyle w:val="SCVtablebody"/>
              <w:rPr>
                <w:color w:val="000000"/>
              </w:rPr>
            </w:pPr>
            <w:r w:rsidRPr="009815FF">
              <w:rPr>
                <w:color w:val="000000"/>
              </w:rPr>
              <w:t>Other</w:t>
            </w:r>
          </w:p>
        </w:tc>
        <w:tc>
          <w:tcPr>
            <w:tcW w:w="1800" w:type="dxa"/>
            <w:noWrap/>
            <w:hideMark/>
          </w:tcPr>
          <w:p w14:paraId="3F2FBD6C" w14:textId="77777777" w:rsidR="009815FF" w:rsidRPr="009815FF" w:rsidRDefault="009815FF" w:rsidP="005A4442">
            <w:pPr>
              <w:pStyle w:val="SCVtablebody"/>
              <w:rPr>
                <w:color w:val="000000"/>
              </w:rPr>
            </w:pPr>
            <w:r w:rsidRPr="009815FF">
              <w:rPr>
                <w:color w:val="000000"/>
              </w:rPr>
              <w:t>4%</w:t>
            </w:r>
          </w:p>
        </w:tc>
        <w:tc>
          <w:tcPr>
            <w:tcW w:w="1800" w:type="dxa"/>
            <w:noWrap/>
            <w:hideMark/>
          </w:tcPr>
          <w:p w14:paraId="2582BED0" w14:textId="77777777" w:rsidR="009815FF" w:rsidRPr="009815FF" w:rsidRDefault="009815FF" w:rsidP="005A4442">
            <w:pPr>
              <w:pStyle w:val="SCVtablebody"/>
              <w:rPr>
                <w:color w:val="000000"/>
              </w:rPr>
            </w:pPr>
            <w:r w:rsidRPr="009815FF">
              <w:rPr>
                <w:color w:val="000000"/>
              </w:rPr>
              <w:t>7%</w:t>
            </w:r>
          </w:p>
        </w:tc>
      </w:tr>
      <w:tr w:rsidR="009815FF" w:rsidRPr="009815FF" w14:paraId="01F332B2" w14:textId="77777777" w:rsidTr="00F73AF5">
        <w:trPr>
          <w:trHeight w:val="300"/>
        </w:trPr>
        <w:tc>
          <w:tcPr>
            <w:tcW w:w="2335" w:type="dxa"/>
            <w:noWrap/>
            <w:hideMark/>
          </w:tcPr>
          <w:p w14:paraId="3CD9B634" w14:textId="77777777" w:rsidR="009815FF" w:rsidRPr="009815FF" w:rsidRDefault="009815FF" w:rsidP="005A4442">
            <w:pPr>
              <w:pStyle w:val="SCVtablebody"/>
              <w:rPr>
                <w:color w:val="000000"/>
              </w:rPr>
            </w:pPr>
            <w:r w:rsidRPr="009815FF">
              <w:rPr>
                <w:color w:val="000000"/>
              </w:rPr>
              <w:t>Sub-regional</w:t>
            </w:r>
          </w:p>
        </w:tc>
        <w:tc>
          <w:tcPr>
            <w:tcW w:w="1800" w:type="dxa"/>
            <w:noWrap/>
            <w:hideMark/>
          </w:tcPr>
          <w:p w14:paraId="072FD072" w14:textId="77777777" w:rsidR="009815FF" w:rsidRPr="009815FF" w:rsidRDefault="009815FF" w:rsidP="005A4442">
            <w:pPr>
              <w:pStyle w:val="SCVtablebody"/>
              <w:rPr>
                <w:color w:val="000000"/>
              </w:rPr>
            </w:pPr>
            <w:r w:rsidRPr="009815FF">
              <w:rPr>
                <w:color w:val="000000"/>
              </w:rPr>
              <w:t>10%</w:t>
            </w:r>
          </w:p>
        </w:tc>
        <w:tc>
          <w:tcPr>
            <w:tcW w:w="1800" w:type="dxa"/>
            <w:noWrap/>
            <w:hideMark/>
          </w:tcPr>
          <w:p w14:paraId="505C59F0" w14:textId="77777777" w:rsidR="009815FF" w:rsidRPr="009815FF" w:rsidRDefault="009815FF" w:rsidP="005A4442">
            <w:pPr>
              <w:pStyle w:val="SCVtablebody"/>
              <w:rPr>
                <w:color w:val="000000"/>
              </w:rPr>
            </w:pPr>
            <w:r w:rsidRPr="009815FF">
              <w:rPr>
                <w:color w:val="000000"/>
              </w:rPr>
              <w:t>8%</w:t>
            </w:r>
          </w:p>
        </w:tc>
      </w:tr>
      <w:tr w:rsidR="009815FF" w:rsidRPr="009815FF" w14:paraId="5C23D112" w14:textId="77777777" w:rsidTr="00F73AF5">
        <w:trPr>
          <w:trHeight w:val="300"/>
        </w:trPr>
        <w:tc>
          <w:tcPr>
            <w:tcW w:w="2335" w:type="dxa"/>
            <w:noWrap/>
            <w:hideMark/>
          </w:tcPr>
          <w:p w14:paraId="69EC765B" w14:textId="77777777" w:rsidR="009815FF" w:rsidRPr="009815FF" w:rsidRDefault="009815FF" w:rsidP="005A4442">
            <w:pPr>
              <w:pStyle w:val="SCVtablebody"/>
              <w:rPr>
                <w:color w:val="000000"/>
              </w:rPr>
            </w:pPr>
            <w:r w:rsidRPr="009815FF">
              <w:rPr>
                <w:color w:val="000000"/>
              </w:rPr>
              <w:t>Private</w:t>
            </w:r>
          </w:p>
        </w:tc>
        <w:tc>
          <w:tcPr>
            <w:tcW w:w="1800" w:type="dxa"/>
            <w:noWrap/>
            <w:hideMark/>
          </w:tcPr>
          <w:p w14:paraId="2F857AE5" w14:textId="77777777" w:rsidR="009815FF" w:rsidRPr="009815FF" w:rsidRDefault="009815FF" w:rsidP="005A4442">
            <w:pPr>
              <w:pStyle w:val="SCVtablebody"/>
              <w:rPr>
                <w:color w:val="000000"/>
              </w:rPr>
            </w:pPr>
            <w:r w:rsidRPr="009815FF">
              <w:rPr>
                <w:color w:val="000000"/>
              </w:rPr>
              <w:t>19%</w:t>
            </w:r>
          </w:p>
        </w:tc>
        <w:tc>
          <w:tcPr>
            <w:tcW w:w="1800" w:type="dxa"/>
            <w:noWrap/>
            <w:hideMark/>
          </w:tcPr>
          <w:p w14:paraId="2EC87B02" w14:textId="77777777" w:rsidR="009815FF" w:rsidRPr="009815FF" w:rsidRDefault="009815FF" w:rsidP="005A4442">
            <w:pPr>
              <w:pStyle w:val="SCVtablebody"/>
              <w:rPr>
                <w:color w:val="000000"/>
              </w:rPr>
            </w:pPr>
            <w:r w:rsidRPr="009815FF">
              <w:rPr>
                <w:color w:val="000000"/>
              </w:rPr>
              <w:t>9%</w:t>
            </w:r>
          </w:p>
        </w:tc>
      </w:tr>
      <w:tr w:rsidR="009815FF" w:rsidRPr="009815FF" w14:paraId="497086F0" w14:textId="77777777" w:rsidTr="00F73AF5">
        <w:trPr>
          <w:trHeight w:val="300"/>
        </w:trPr>
        <w:tc>
          <w:tcPr>
            <w:tcW w:w="2335" w:type="dxa"/>
            <w:noWrap/>
            <w:hideMark/>
          </w:tcPr>
          <w:p w14:paraId="6518751B" w14:textId="77777777" w:rsidR="009815FF" w:rsidRPr="009815FF" w:rsidRDefault="009815FF" w:rsidP="005A4442">
            <w:pPr>
              <w:pStyle w:val="SCVtablebody"/>
              <w:rPr>
                <w:color w:val="000000"/>
              </w:rPr>
            </w:pPr>
            <w:r w:rsidRPr="009815FF">
              <w:rPr>
                <w:color w:val="000000"/>
              </w:rPr>
              <w:t>Regional</w:t>
            </w:r>
          </w:p>
        </w:tc>
        <w:tc>
          <w:tcPr>
            <w:tcW w:w="1800" w:type="dxa"/>
            <w:noWrap/>
            <w:hideMark/>
          </w:tcPr>
          <w:p w14:paraId="76517747" w14:textId="77777777" w:rsidR="009815FF" w:rsidRPr="009815FF" w:rsidRDefault="009815FF" w:rsidP="005A4442">
            <w:pPr>
              <w:pStyle w:val="SCVtablebody"/>
              <w:rPr>
                <w:color w:val="000000"/>
              </w:rPr>
            </w:pPr>
            <w:r w:rsidRPr="009815FF">
              <w:rPr>
                <w:color w:val="000000"/>
              </w:rPr>
              <w:t>7%</w:t>
            </w:r>
          </w:p>
        </w:tc>
        <w:tc>
          <w:tcPr>
            <w:tcW w:w="1800" w:type="dxa"/>
            <w:noWrap/>
            <w:hideMark/>
          </w:tcPr>
          <w:p w14:paraId="2E59E345" w14:textId="77777777" w:rsidR="009815FF" w:rsidRPr="009815FF" w:rsidRDefault="009815FF" w:rsidP="005A4442">
            <w:pPr>
              <w:pStyle w:val="SCVtablebody"/>
              <w:rPr>
                <w:color w:val="000000"/>
              </w:rPr>
            </w:pPr>
            <w:r w:rsidRPr="009815FF">
              <w:rPr>
                <w:color w:val="000000"/>
              </w:rPr>
              <w:t>12%</w:t>
            </w:r>
          </w:p>
        </w:tc>
      </w:tr>
      <w:tr w:rsidR="009815FF" w:rsidRPr="009815FF" w14:paraId="356C70B1" w14:textId="77777777" w:rsidTr="00F73AF5">
        <w:trPr>
          <w:trHeight w:val="300"/>
        </w:trPr>
        <w:tc>
          <w:tcPr>
            <w:tcW w:w="2335" w:type="dxa"/>
            <w:noWrap/>
            <w:hideMark/>
          </w:tcPr>
          <w:p w14:paraId="7CF579DA" w14:textId="77777777" w:rsidR="009815FF" w:rsidRPr="009815FF" w:rsidRDefault="009815FF" w:rsidP="005A4442">
            <w:pPr>
              <w:pStyle w:val="SCVtablebody"/>
              <w:rPr>
                <w:color w:val="000000"/>
              </w:rPr>
            </w:pPr>
            <w:r w:rsidRPr="009815FF">
              <w:rPr>
                <w:color w:val="000000"/>
              </w:rPr>
              <w:t>Tertiary</w:t>
            </w:r>
          </w:p>
        </w:tc>
        <w:tc>
          <w:tcPr>
            <w:tcW w:w="1800" w:type="dxa"/>
            <w:noWrap/>
            <w:hideMark/>
          </w:tcPr>
          <w:p w14:paraId="7050AA23" w14:textId="77777777" w:rsidR="009815FF" w:rsidRPr="009815FF" w:rsidRDefault="009815FF" w:rsidP="005A4442">
            <w:pPr>
              <w:pStyle w:val="SCVtablebody"/>
              <w:rPr>
                <w:color w:val="000000"/>
              </w:rPr>
            </w:pPr>
            <w:r w:rsidRPr="009815FF">
              <w:rPr>
                <w:color w:val="000000"/>
              </w:rPr>
              <w:t>24%</w:t>
            </w:r>
          </w:p>
        </w:tc>
        <w:tc>
          <w:tcPr>
            <w:tcW w:w="1800" w:type="dxa"/>
            <w:noWrap/>
            <w:hideMark/>
          </w:tcPr>
          <w:p w14:paraId="619BE9FD" w14:textId="77777777" w:rsidR="009815FF" w:rsidRPr="009815FF" w:rsidRDefault="009815FF" w:rsidP="005A4442">
            <w:pPr>
              <w:pStyle w:val="SCVtablebody"/>
              <w:rPr>
                <w:color w:val="000000"/>
              </w:rPr>
            </w:pPr>
            <w:r w:rsidRPr="009815FF">
              <w:rPr>
                <w:color w:val="000000"/>
              </w:rPr>
              <w:t>27%</w:t>
            </w:r>
          </w:p>
        </w:tc>
      </w:tr>
      <w:tr w:rsidR="009815FF" w:rsidRPr="009815FF" w14:paraId="12944091" w14:textId="77777777" w:rsidTr="00F73AF5">
        <w:trPr>
          <w:trHeight w:val="300"/>
        </w:trPr>
        <w:tc>
          <w:tcPr>
            <w:tcW w:w="2335" w:type="dxa"/>
            <w:noWrap/>
            <w:hideMark/>
          </w:tcPr>
          <w:p w14:paraId="1C2C11B7" w14:textId="77777777" w:rsidR="009815FF" w:rsidRPr="009815FF" w:rsidRDefault="009815FF" w:rsidP="005A4442">
            <w:pPr>
              <w:pStyle w:val="SCVtablebody"/>
              <w:rPr>
                <w:color w:val="000000"/>
              </w:rPr>
            </w:pPr>
            <w:r w:rsidRPr="009815FF">
              <w:rPr>
                <w:color w:val="000000"/>
              </w:rPr>
              <w:t>Major</w:t>
            </w:r>
          </w:p>
        </w:tc>
        <w:tc>
          <w:tcPr>
            <w:tcW w:w="1800" w:type="dxa"/>
            <w:noWrap/>
            <w:hideMark/>
          </w:tcPr>
          <w:p w14:paraId="61B06408" w14:textId="77777777" w:rsidR="009815FF" w:rsidRPr="009815FF" w:rsidRDefault="009815FF" w:rsidP="005A4442">
            <w:pPr>
              <w:pStyle w:val="SCVtablebody"/>
              <w:rPr>
                <w:color w:val="000000"/>
              </w:rPr>
            </w:pPr>
            <w:r w:rsidRPr="009815FF">
              <w:rPr>
                <w:color w:val="000000"/>
              </w:rPr>
              <w:t>24%</w:t>
            </w:r>
          </w:p>
        </w:tc>
        <w:tc>
          <w:tcPr>
            <w:tcW w:w="1800" w:type="dxa"/>
            <w:noWrap/>
            <w:hideMark/>
          </w:tcPr>
          <w:p w14:paraId="46FA7CD8" w14:textId="77777777" w:rsidR="009815FF" w:rsidRPr="009815FF" w:rsidRDefault="009815FF" w:rsidP="005A4442">
            <w:pPr>
              <w:pStyle w:val="SCVtablebody"/>
              <w:rPr>
                <w:color w:val="000000"/>
              </w:rPr>
            </w:pPr>
            <w:r w:rsidRPr="009815FF">
              <w:rPr>
                <w:color w:val="000000"/>
              </w:rPr>
              <w:t>29%</w:t>
            </w:r>
          </w:p>
        </w:tc>
      </w:tr>
    </w:tbl>
    <w:p w14:paraId="77D6CB08" w14:textId="097546B2" w:rsidR="00152EC1" w:rsidRDefault="00152EC1" w:rsidP="00FF5332">
      <w:pPr>
        <w:pStyle w:val="SCVtablefigurenote"/>
      </w:pPr>
      <w:r>
        <w:t xml:space="preserve">Note: Totals not 100% due to rounding </w:t>
      </w:r>
    </w:p>
    <w:p w14:paraId="2B38EEF4" w14:textId="77777777" w:rsidR="00152EC1" w:rsidRDefault="00152EC1" w:rsidP="00A17F27">
      <w:pPr>
        <w:pStyle w:val="SCVfigurecaption"/>
      </w:pPr>
      <w:r>
        <w:t xml:space="preserve">Figure 24. Percentage of sentinel events by location within health service 2021–22 and 2022–23 </w:t>
      </w:r>
    </w:p>
    <w:tbl>
      <w:tblPr>
        <w:tblStyle w:val="TableGrid"/>
        <w:tblW w:w="3792" w:type="pct"/>
        <w:tblLayout w:type="fixed"/>
        <w:tblLook w:val="0620" w:firstRow="1" w:lastRow="0" w:firstColumn="0" w:lastColumn="0" w:noHBand="1" w:noVBand="1"/>
      </w:tblPr>
      <w:tblGrid>
        <w:gridCol w:w="4860"/>
        <w:gridCol w:w="1440"/>
        <w:gridCol w:w="1440"/>
      </w:tblGrid>
      <w:tr w:rsidR="00BB08DC" w:rsidRPr="009815FF" w14:paraId="0B4B953C" w14:textId="77777777" w:rsidTr="00BB08DC">
        <w:trPr>
          <w:cnfStyle w:val="100000000000" w:firstRow="1" w:lastRow="0" w:firstColumn="0" w:lastColumn="0" w:oddVBand="0" w:evenVBand="0" w:oddHBand="0" w:evenHBand="0" w:firstRowFirstColumn="0" w:firstRowLastColumn="0" w:lastRowFirstColumn="0" w:lastRowLastColumn="0"/>
          <w:trHeight w:val="300"/>
          <w:tblHeader/>
        </w:trPr>
        <w:tc>
          <w:tcPr>
            <w:tcW w:w="4860" w:type="dxa"/>
            <w:noWrap/>
            <w:hideMark/>
          </w:tcPr>
          <w:p w14:paraId="77D8AEBE" w14:textId="77777777" w:rsidR="00BB08DC" w:rsidRPr="009815FF" w:rsidRDefault="00BB08DC" w:rsidP="00BB08DC">
            <w:pPr>
              <w:pStyle w:val="SCVtablecolhead"/>
            </w:pPr>
            <w:r w:rsidRPr="009815FF">
              <w:t>Location</w:t>
            </w:r>
          </w:p>
        </w:tc>
        <w:tc>
          <w:tcPr>
            <w:tcW w:w="1440" w:type="dxa"/>
            <w:noWrap/>
            <w:hideMark/>
          </w:tcPr>
          <w:p w14:paraId="4EB4996C" w14:textId="7AEF2BB9" w:rsidR="00BB08DC" w:rsidRPr="009815FF" w:rsidRDefault="00BB08DC" w:rsidP="00BB08DC">
            <w:pPr>
              <w:pStyle w:val="SCVtablecolhead"/>
            </w:pPr>
            <w:r w:rsidRPr="009815FF">
              <w:t>2021</w:t>
            </w:r>
            <w:r>
              <w:t>–</w:t>
            </w:r>
            <w:r w:rsidRPr="009815FF">
              <w:t>22</w:t>
            </w:r>
          </w:p>
        </w:tc>
        <w:tc>
          <w:tcPr>
            <w:tcW w:w="1440" w:type="dxa"/>
            <w:noWrap/>
            <w:hideMark/>
          </w:tcPr>
          <w:p w14:paraId="016E9B61" w14:textId="5F8FE104" w:rsidR="00BB08DC" w:rsidRPr="009815FF" w:rsidRDefault="00BB08DC" w:rsidP="00BB08DC">
            <w:pPr>
              <w:pStyle w:val="SCVtablecolhead"/>
            </w:pPr>
            <w:r w:rsidRPr="009815FF">
              <w:t>2022</w:t>
            </w:r>
            <w:r>
              <w:t>–</w:t>
            </w:r>
            <w:r w:rsidRPr="009815FF">
              <w:t>23</w:t>
            </w:r>
          </w:p>
        </w:tc>
      </w:tr>
      <w:tr w:rsidR="00BB08DC" w:rsidRPr="009815FF" w14:paraId="2E954F75" w14:textId="77777777" w:rsidTr="00BB08DC">
        <w:trPr>
          <w:trHeight w:val="300"/>
        </w:trPr>
        <w:tc>
          <w:tcPr>
            <w:tcW w:w="4860" w:type="dxa"/>
            <w:noWrap/>
            <w:hideMark/>
          </w:tcPr>
          <w:p w14:paraId="4A7745BC" w14:textId="77777777" w:rsidR="00BB08DC" w:rsidRPr="009815FF" w:rsidRDefault="00BB08DC" w:rsidP="005A4442">
            <w:pPr>
              <w:pStyle w:val="SCVtablebody"/>
            </w:pPr>
            <w:r w:rsidRPr="009815FF">
              <w:t>Recovery</w:t>
            </w:r>
          </w:p>
        </w:tc>
        <w:tc>
          <w:tcPr>
            <w:tcW w:w="1440" w:type="dxa"/>
            <w:noWrap/>
            <w:hideMark/>
          </w:tcPr>
          <w:p w14:paraId="5CBB2991" w14:textId="77777777" w:rsidR="00BB08DC" w:rsidRPr="009815FF" w:rsidRDefault="00BB08DC" w:rsidP="005A4442">
            <w:pPr>
              <w:pStyle w:val="SCVtablebody"/>
            </w:pPr>
            <w:r w:rsidRPr="009815FF">
              <w:t>1%</w:t>
            </w:r>
          </w:p>
        </w:tc>
        <w:tc>
          <w:tcPr>
            <w:tcW w:w="1440" w:type="dxa"/>
            <w:noWrap/>
            <w:hideMark/>
          </w:tcPr>
          <w:p w14:paraId="13368B93" w14:textId="77777777" w:rsidR="00BB08DC" w:rsidRPr="009815FF" w:rsidRDefault="00BB08DC" w:rsidP="005A4442">
            <w:pPr>
              <w:pStyle w:val="SCVtablebody"/>
            </w:pPr>
            <w:r w:rsidRPr="009815FF">
              <w:t>0%</w:t>
            </w:r>
          </w:p>
        </w:tc>
      </w:tr>
      <w:tr w:rsidR="00BB08DC" w:rsidRPr="009815FF" w14:paraId="51E942C1" w14:textId="77777777" w:rsidTr="00BB08DC">
        <w:trPr>
          <w:trHeight w:val="300"/>
        </w:trPr>
        <w:tc>
          <w:tcPr>
            <w:tcW w:w="4860" w:type="dxa"/>
            <w:noWrap/>
            <w:hideMark/>
          </w:tcPr>
          <w:p w14:paraId="4CA9ABDA" w14:textId="77777777" w:rsidR="00BB08DC" w:rsidRPr="009815FF" w:rsidRDefault="00BB08DC" w:rsidP="005A4442">
            <w:pPr>
              <w:pStyle w:val="SCVtablebody"/>
            </w:pPr>
            <w:r w:rsidRPr="009815FF">
              <w:t>Urgent Care Centre</w:t>
            </w:r>
          </w:p>
        </w:tc>
        <w:tc>
          <w:tcPr>
            <w:tcW w:w="1440" w:type="dxa"/>
            <w:noWrap/>
            <w:hideMark/>
          </w:tcPr>
          <w:p w14:paraId="2432A589" w14:textId="77777777" w:rsidR="00BB08DC" w:rsidRPr="009815FF" w:rsidRDefault="00BB08DC" w:rsidP="005A4442">
            <w:pPr>
              <w:pStyle w:val="SCVtablebody"/>
            </w:pPr>
            <w:r w:rsidRPr="009815FF">
              <w:t>0%</w:t>
            </w:r>
          </w:p>
        </w:tc>
        <w:tc>
          <w:tcPr>
            <w:tcW w:w="1440" w:type="dxa"/>
            <w:noWrap/>
            <w:hideMark/>
          </w:tcPr>
          <w:p w14:paraId="46053C5B" w14:textId="77777777" w:rsidR="00BB08DC" w:rsidRPr="009815FF" w:rsidRDefault="00BB08DC" w:rsidP="005A4442">
            <w:pPr>
              <w:pStyle w:val="SCVtablebody"/>
            </w:pPr>
            <w:r w:rsidRPr="009815FF">
              <w:t>0%</w:t>
            </w:r>
          </w:p>
        </w:tc>
      </w:tr>
      <w:tr w:rsidR="00BB08DC" w:rsidRPr="009815FF" w14:paraId="0265D86E" w14:textId="77777777" w:rsidTr="00BB08DC">
        <w:trPr>
          <w:trHeight w:val="300"/>
        </w:trPr>
        <w:tc>
          <w:tcPr>
            <w:tcW w:w="4860" w:type="dxa"/>
            <w:noWrap/>
            <w:hideMark/>
          </w:tcPr>
          <w:p w14:paraId="63441401" w14:textId="77777777" w:rsidR="00BB08DC" w:rsidRPr="009815FF" w:rsidRDefault="00BB08DC" w:rsidP="005A4442">
            <w:pPr>
              <w:pStyle w:val="SCVtablebody"/>
            </w:pPr>
            <w:r w:rsidRPr="009815FF">
              <w:t>Hospital grounds</w:t>
            </w:r>
          </w:p>
        </w:tc>
        <w:tc>
          <w:tcPr>
            <w:tcW w:w="1440" w:type="dxa"/>
            <w:noWrap/>
            <w:hideMark/>
          </w:tcPr>
          <w:p w14:paraId="45C0500A" w14:textId="77777777" w:rsidR="00BB08DC" w:rsidRPr="009815FF" w:rsidRDefault="00BB08DC" w:rsidP="005A4442">
            <w:pPr>
              <w:pStyle w:val="SCVtablebody"/>
            </w:pPr>
            <w:r w:rsidRPr="009815FF">
              <w:t>0%</w:t>
            </w:r>
          </w:p>
        </w:tc>
        <w:tc>
          <w:tcPr>
            <w:tcW w:w="1440" w:type="dxa"/>
            <w:noWrap/>
            <w:hideMark/>
          </w:tcPr>
          <w:p w14:paraId="7DCB7C20" w14:textId="77777777" w:rsidR="00BB08DC" w:rsidRPr="009815FF" w:rsidRDefault="00BB08DC" w:rsidP="005A4442">
            <w:pPr>
              <w:pStyle w:val="SCVtablebody"/>
            </w:pPr>
            <w:r w:rsidRPr="009815FF">
              <w:t>1%</w:t>
            </w:r>
          </w:p>
        </w:tc>
      </w:tr>
      <w:tr w:rsidR="00BB08DC" w:rsidRPr="009815FF" w14:paraId="6A7EBA19" w14:textId="77777777" w:rsidTr="00BB08DC">
        <w:trPr>
          <w:trHeight w:val="300"/>
        </w:trPr>
        <w:tc>
          <w:tcPr>
            <w:tcW w:w="4860" w:type="dxa"/>
            <w:noWrap/>
            <w:hideMark/>
          </w:tcPr>
          <w:p w14:paraId="4DD5CE57" w14:textId="77777777" w:rsidR="00BB08DC" w:rsidRPr="009815FF" w:rsidRDefault="00BB08DC" w:rsidP="005A4442">
            <w:pPr>
              <w:pStyle w:val="SCVtablebody"/>
            </w:pPr>
            <w:r w:rsidRPr="009815FF">
              <w:t>Unknown</w:t>
            </w:r>
          </w:p>
        </w:tc>
        <w:tc>
          <w:tcPr>
            <w:tcW w:w="1440" w:type="dxa"/>
            <w:noWrap/>
            <w:hideMark/>
          </w:tcPr>
          <w:p w14:paraId="1E59BBB2" w14:textId="77777777" w:rsidR="00BB08DC" w:rsidRPr="009815FF" w:rsidRDefault="00BB08DC" w:rsidP="005A4442">
            <w:pPr>
              <w:pStyle w:val="SCVtablebody"/>
            </w:pPr>
            <w:r w:rsidRPr="009815FF">
              <w:t>1%</w:t>
            </w:r>
          </w:p>
        </w:tc>
        <w:tc>
          <w:tcPr>
            <w:tcW w:w="1440" w:type="dxa"/>
            <w:noWrap/>
            <w:hideMark/>
          </w:tcPr>
          <w:p w14:paraId="73825834" w14:textId="77777777" w:rsidR="00BB08DC" w:rsidRPr="009815FF" w:rsidRDefault="00BB08DC" w:rsidP="005A4442">
            <w:pPr>
              <w:pStyle w:val="SCVtablebody"/>
            </w:pPr>
            <w:r w:rsidRPr="009815FF">
              <w:t>1%</w:t>
            </w:r>
          </w:p>
        </w:tc>
      </w:tr>
      <w:tr w:rsidR="00BB08DC" w:rsidRPr="009815FF" w14:paraId="4736E425" w14:textId="77777777" w:rsidTr="00BB08DC">
        <w:trPr>
          <w:trHeight w:val="300"/>
        </w:trPr>
        <w:tc>
          <w:tcPr>
            <w:tcW w:w="4860" w:type="dxa"/>
            <w:noWrap/>
            <w:hideMark/>
          </w:tcPr>
          <w:p w14:paraId="22DBC5F7" w14:textId="77777777" w:rsidR="00BB08DC" w:rsidRPr="009815FF" w:rsidRDefault="00BB08DC" w:rsidP="005A4442">
            <w:pPr>
              <w:pStyle w:val="SCVtablebody"/>
            </w:pPr>
            <w:r w:rsidRPr="009815FF">
              <w:t>Cardiac catheter lab</w:t>
            </w:r>
          </w:p>
        </w:tc>
        <w:tc>
          <w:tcPr>
            <w:tcW w:w="1440" w:type="dxa"/>
            <w:noWrap/>
            <w:hideMark/>
          </w:tcPr>
          <w:p w14:paraId="644647C1" w14:textId="77777777" w:rsidR="00BB08DC" w:rsidRPr="009815FF" w:rsidRDefault="00BB08DC" w:rsidP="005A4442">
            <w:pPr>
              <w:pStyle w:val="SCVtablebody"/>
            </w:pPr>
            <w:r w:rsidRPr="009815FF">
              <w:t>2%</w:t>
            </w:r>
          </w:p>
        </w:tc>
        <w:tc>
          <w:tcPr>
            <w:tcW w:w="1440" w:type="dxa"/>
            <w:noWrap/>
            <w:hideMark/>
          </w:tcPr>
          <w:p w14:paraId="773BABB3" w14:textId="77777777" w:rsidR="00BB08DC" w:rsidRPr="009815FF" w:rsidRDefault="00BB08DC" w:rsidP="005A4442">
            <w:pPr>
              <w:pStyle w:val="SCVtablebody"/>
            </w:pPr>
            <w:r w:rsidRPr="009815FF">
              <w:t>1%</w:t>
            </w:r>
          </w:p>
        </w:tc>
      </w:tr>
      <w:tr w:rsidR="00BB08DC" w:rsidRPr="009815FF" w14:paraId="11CDB01C" w14:textId="77777777" w:rsidTr="00BB08DC">
        <w:trPr>
          <w:trHeight w:val="300"/>
        </w:trPr>
        <w:tc>
          <w:tcPr>
            <w:tcW w:w="4860" w:type="dxa"/>
            <w:noWrap/>
            <w:hideMark/>
          </w:tcPr>
          <w:p w14:paraId="06D0C5F4" w14:textId="77777777" w:rsidR="00BB08DC" w:rsidRPr="009815FF" w:rsidRDefault="00BB08DC" w:rsidP="005A4442">
            <w:pPr>
              <w:pStyle w:val="SCVtablebody"/>
            </w:pPr>
            <w:r w:rsidRPr="009815FF">
              <w:t>Medical imaging</w:t>
            </w:r>
          </w:p>
        </w:tc>
        <w:tc>
          <w:tcPr>
            <w:tcW w:w="1440" w:type="dxa"/>
            <w:noWrap/>
            <w:hideMark/>
          </w:tcPr>
          <w:p w14:paraId="1246E3BB" w14:textId="77777777" w:rsidR="00BB08DC" w:rsidRPr="009815FF" w:rsidRDefault="00BB08DC" w:rsidP="005A4442">
            <w:pPr>
              <w:pStyle w:val="SCVtablebody"/>
            </w:pPr>
            <w:r w:rsidRPr="009815FF">
              <w:t>1%</w:t>
            </w:r>
          </w:p>
        </w:tc>
        <w:tc>
          <w:tcPr>
            <w:tcW w:w="1440" w:type="dxa"/>
            <w:noWrap/>
            <w:hideMark/>
          </w:tcPr>
          <w:p w14:paraId="449B385A" w14:textId="77777777" w:rsidR="00BB08DC" w:rsidRPr="009815FF" w:rsidRDefault="00BB08DC" w:rsidP="005A4442">
            <w:pPr>
              <w:pStyle w:val="SCVtablebody"/>
            </w:pPr>
            <w:r w:rsidRPr="009815FF">
              <w:t>1%</w:t>
            </w:r>
          </w:p>
        </w:tc>
      </w:tr>
      <w:tr w:rsidR="00BB08DC" w:rsidRPr="009815FF" w14:paraId="57DB8B6C" w14:textId="77777777" w:rsidTr="00BB08DC">
        <w:trPr>
          <w:trHeight w:val="300"/>
        </w:trPr>
        <w:tc>
          <w:tcPr>
            <w:tcW w:w="4860" w:type="dxa"/>
            <w:noWrap/>
            <w:hideMark/>
          </w:tcPr>
          <w:p w14:paraId="789926DD" w14:textId="77777777" w:rsidR="00BB08DC" w:rsidRPr="009815FF" w:rsidRDefault="00BB08DC" w:rsidP="005A4442">
            <w:pPr>
              <w:pStyle w:val="SCVtablebody"/>
            </w:pPr>
            <w:r w:rsidRPr="009815FF">
              <w:t>Pregnancy or Maternity Assessment Unit</w:t>
            </w:r>
          </w:p>
        </w:tc>
        <w:tc>
          <w:tcPr>
            <w:tcW w:w="1440" w:type="dxa"/>
            <w:noWrap/>
            <w:hideMark/>
          </w:tcPr>
          <w:p w14:paraId="2674F508" w14:textId="77777777" w:rsidR="00BB08DC" w:rsidRPr="009815FF" w:rsidRDefault="00BB08DC" w:rsidP="005A4442">
            <w:pPr>
              <w:pStyle w:val="SCVtablebody"/>
            </w:pPr>
            <w:r w:rsidRPr="009815FF">
              <w:t>0%</w:t>
            </w:r>
          </w:p>
        </w:tc>
        <w:tc>
          <w:tcPr>
            <w:tcW w:w="1440" w:type="dxa"/>
            <w:noWrap/>
            <w:hideMark/>
          </w:tcPr>
          <w:p w14:paraId="6FE8FA69" w14:textId="77777777" w:rsidR="00BB08DC" w:rsidRPr="009815FF" w:rsidRDefault="00BB08DC" w:rsidP="005A4442">
            <w:pPr>
              <w:pStyle w:val="SCVtablebody"/>
            </w:pPr>
            <w:r w:rsidRPr="009815FF">
              <w:t>1%</w:t>
            </w:r>
          </w:p>
        </w:tc>
      </w:tr>
      <w:tr w:rsidR="00BB08DC" w:rsidRPr="009815FF" w14:paraId="2F3AD7CC" w14:textId="77777777" w:rsidTr="00BB08DC">
        <w:trPr>
          <w:trHeight w:val="300"/>
        </w:trPr>
        <w:tc>
          <w:tcPr>
            <w:tcW w:w="4860" w:type="dxa"/>
            <w:noWrap/>
            <w:hideMark/>
          </w:tcPr>
          <w:p w14:paraId="43FFF8FD" w14:textId="77777777" w:rsidR="00BB08DC" w:rsidRPr="009815FF" w:rsidRDefault="00BB08DC" w:rsidP="005A4442">
            <w:pPr>
              <w:pStyle w:val="SCVtablebody"/>
            </w:pPr>
            <w:r w:rsidRPr="009815FF">
              <w:t>Outpatients clinic</w:t>
            </w:r>
          </w:p>
        </w:tc>
        <w:tc>
          <w:tcPr>
            <w:tcW w:w="1440" w:type="dxa"/>
            <w:noWrap/>
            <w:hideMark/>
          </w:tcPr>
          <w:p w14:paraId="4DFFD993" w14:textId="77777777" w:rsidR="00BB08DC" w:rsidRPr="009815FF" w:rsidRDefault="00BB08DC" w:rsidP="005A4442">
            <w:pPr>
              <w:pStyle w:val="SCVtablebody"/>
            </w:pPr>
            <w:r w:rsidRPr="009815FF">
              <w:t>2%</w:t>
            </w:r>
          </w:p>
        </w:tc>
        <w:tc>
          <w:tcPr>
            <w:tcW w:w="1440" w:type="dxa"/>
            <w:noWrap/>
            <w:hideMark/>
          </w:tcPr>
          <w:p w14:paraId="6B4ACA2C" w14:textId="77777777" w:rsidR="00BB08DC" w:rsidRPr="009815FF" w:rsidRDefault="00BB08DC" w:rsidP="005A4442">
            <w:pPr>
              <w:pStyle w:val="SCVtablebody"/>
            </w:pPr>
            <w:r w:rsidRPr="009815FF">
              <w:t>2%</w:t>
            </w:r>
          </w:p>
        </w:tc>
      </w:tr>
      <w:tr w:rsidR="00BB08DC" w:rsidRPr="009815FF" w14:paraId="0198E037" w14:textId="77777777" w:rsidTr="00BB08DC">
        <w:trPr>
          <w:trHeight w:val="300"/>
        </w:trPr>
        <w:tc>
          <w:tcPr>
            <w:tcW w:w="4860" w:type="dxa"/>
            <w:noWrap/>
            <w:hideMark/>
          </w:tcPr>
          <w:p w14:paraId="47309071" w14:textId="77777777" w:rsidR="00BB08DC" w:rsidRPr="009815FF" w:rsidRDefault="00BB08DC" w:rsidP="005A4442">
            <w:pPr>
              <w:pStyle w:val="SCVtablebody"/>
            </w:pPr>
            <w:r w:rsidRPr="009815FF">
              <w:t>Patient bathroom</w:t>
            </w:r>
          </w:p>
        </w:tc>
        <w:tc>
          <w:tcPr>
            <w:tcW w:w="1440" w:type="dxa"/>
            <w:noWrap/>
            <w:hideMark/>
          </w:tcPr>
          <w:p w14:paraId="2D222661" w14:textId="77777777" w:rsidR="00BB08DC" w:rsidRPr="009815FF" w:rsidRDefault="00BB08DC" w:rsidP="005A4442">
            <w:pPr>
              <w:pStyle w:val="SCVtablebody"/>
            </w:pPr>
            <w:r w:rsidRPr="009815FF">
              <w:t>4%</w:t>
            </w:r>
          </w:p>
        </w:tc>
        <w:tc>
          <w:tcPr>
            <w:tcW w:w="1440" w:type="dxa"/>
            <w:noWrap/>
            <w:hideMark/>
          </w:tcPr>
          <w:p w14:paraId="12271D39" w14:textId="77777777" w:rsidR="00BB08DC" w:rsidRPr="009815FF" w:rsidRDefault="00BB08DC" w:rsidP="005A4442">
            <w:pPr>
              <w:pStyle w:val="SCVtablebody"/>
            </w:pPr>
            <w:r w:rsidRPr="009815FF">
              <w:t>2%</w:t>
            </w:r>
          </w:p>
        </w:tc>
      </w:tr>
      <w:tr w:rsidR="00BB08DC" w:rsidRPr="009815FF" w14:paraId="70B86D3F" w14:textId="77777777" w:rsidTr="00BB08DC">
        <w:trPr>
          <w:trHeight w:val="300"/>
        </w:trPr>
        <w:tc>
          <w:tcPr>
            <w:tcW w:w="4860" w:type="dxa"/>
            <w:noWrap/>
            <w:hideMark/>
          </w:tcPr>
          <w:p w14:paraId="72AE4E85" w14:textId="77777777" w:rsidR="00BB08DC" w:rsidRPr="009815FF" w:rsidRDefault="00BB08DC" w:rsidP="005A4442">
            <w:pPr>
              <w:pStyle w:val="SCVtablebody"/>
            </w:pPr>
            <w:r w:rsidRPr="009815FF">
              <w:t>Private residence</w:t>
            </w:r>
          </w:p>
        </w:tc>
        <w:tc>
          <w:tcPr>
            <w:tcW w:w="1440" w:type="dxa"/>
            <w:noWrap/>
            <w:hideMark/>
          </w:tcPr>
          <w:p w14:paraId="240738E8" w14:textId="77777777" w:rsidR="00BB08DC" w:rsidRPr="009815FF" w:rsidRDefault="00BB08DC" w:rsidP="005A4442">
            <w:pPr>
              <w:pStyle w:val="SCVtablebody"/>
            </w:pPr>
            <w:r w:rsidRPr="009815FF">
              <w:t>1%</w:t>
            </w:r>
          </w:p>
        </w:tc>
        <w:tc>
          <w:tcPr>
            <w:tcW w:w="1440" w:type="dxa"/>
            <w:noWrap/>
            <w:hideMark/>
          </w:tcPr>
          <w:p w14:paraId="441EE809" w14:textId="77777777" w:rsidR="00BB08DC" w:rsidRPr="009815FF" w:rsidRDefault="00BB08DC" w:rsidP="005A4442">
            <w:pPr>
              <w:pStyle w:val="SCVtablebody"/>
            </w:pPr>
            <w:r w:rsidRPr="009815FF">
              <w:t>2%</w:t>
            </w:r>
          </w:p>
        </w:tc>
      </w:tr>
      <w:tr w:rsidR="00BB08DC" w:rsidRPr="009815FF" w14:paraId="78CF9A58" w14:textId="77777777" w:rsidTr="00BB08DC">
        <w:trPr>
          <w:trHeight w:val="300"/>
        </w:trPr>
        <w:tc>
          <w:tcPr>
            <w:tcW w:w="4860" w:type="dxa"/>
            <w:noWrap/>
            <w:hideMark/>
          </w:tcPr>
          <w:p w14:paraId="6F5818F9" w14:textId="2365F9E9" w:rsidR="00BB08DC" w:rsidRPr="009815FF" w:rsidRDefault="00BB08DC" w:rsidP="005A4442">
            <w:pPr>
              <w:pStyle w:val="SCVtablebody"/>
            </w:pPr>
            <w:r w:rsidRPr="009815FF">
              <w:t>Community or non</w:t>
            </w:r>
            <w:r>
              <w:t>-</w:t>
            </w:r>
            <w:r w:rsidRPr="009815FF">
              <w:t>healthcare facility location</w:t>
            </w:r>
          </w:p>
        </w:tc>
        <w:tc>
          <w:tcPr>
            <w:tcW w:w="1440" w:type="dxa"/>
            <w:noWrap/>
            <w:hideMark/>
          </w:tcPr>
          <w:p w14:paraId="21C30E35" w14:textId="77777777" w:rsidR="00BB08DC" w:rsidRPr="009815FF" w:rsidRDefault="00BB08DC" w:rsidP="005A4442">
            <w:pPr>
              <w:pStyle w:val="SCVtablebody"/>
            </w:pPr>
            <w:r w:rsidRPr="009815FF">
              <w:t>2%</w:t>
            </w:r>
          </w:p>
        </w:tc>
        <w:tc>
          <w:tcPr>
            <w:tcW w:w="1440" w:type="dxa"/>
            <w:noWrap/>
            <w:hideMark/>
          </w:tcPr>
          <w:p w14:paraId="5304C392" w14:textId="77777777" w:rsidR="00BB08DC" w:rsidRPr="009815FF" w:rsidRDefault="00BB08DC" w:rsidP="005A4442">
            <w:pPr>
              <w:pStyle w:val="SCVtablebody"/>
            </w:pPr>
            <w:r w:rsidRPr="009815FF">
              <w:t>3%</w:t>
            </w:r>
          </w:p>
        </w:tc>
      </w:tr>
      <w:tr w:rsidR="00BB08DC" w:rsidRPr="009815FF" w14:paraId="4F96162F" w14:textId="77777777" w:rsidTr="00BB08DC">
        <w:trPr>
          <w:trHeight w:val="300"/>
        </w:trPr>
        <w:tc>
          <w:tcPr>
            <w:tcW w:w="4860" w:type="dxa"/>
            <w:noWrap/>
            <w:hideMark/>
          </w:tcPr>
          <w:p w14:paraId="0F4DC00B" w14:textId="77777777" w:rsidR="00BB08DC" w:rsidRPr="009815FF" w:rsidRDefault="00BB08DC" w:rsidP="005A4442">
            <w:pPr>
              <w:pStyle w:val="SCVtablebody"/>
            </w:pPr>
            <w:r w:rsidRPr="009815FF">
              <w:t>Birth suite</w:t>
            </w:r>
          </w:p>
        </w:tc>
        <w:tc>
          <w:tcPr>
            <w:tcW w:w="1440" w:type="dxa"/>
            <w:noWrap/>
            <w:hideMark/>
          </w:tcPr>
          <w:p w14:paraId="34CD2B15" w14:textId="77777777" w:rsidR="00BB08DC" w:rsidRPr="009815FF" w:rsidRDefault="00BB08DC" w:rsidP="005A4442">
            <w:pPr>
              <w:pStyle w:val="SCVtablebody"/>
            </w:pPr>
            <w:r w:rsidRPr="009815FF">
              <w:t>5%</w:t>
            </w:r>
          </w:p>
        </w:tc>
        <w:tc>
          <w:tcPr>
            <w:tcW w:w="1440" w:type="dxa"/>
            <w:noWrap/>
            <w:hideMark/>
          </w:tcPr>
          <w:p w14:paraId="3DFA8A3D" w14:textId="77777777" w:rsidR="00BB08DC" w:rsidRPr="009815FF" w:rsidRDefault="00BB08DC" w:rsidP="005A4442">
            <w:pPr>
              <w:pStyle w:val="SCVtablebody"/>
            </w:pPr>
            <w:r w:rsidRPr="009815FF">
              <w:t>4%</w:t>
            </w:r>
          </w:p>
        </w:tc>
      </w:tr>
      <w:tr w:rsidR="00BB08DC" w:rsidRPr="009815FF" w14:paraId="107F262E" w14:textId="77777777" w:rsidTr="00BB08DC">
        <w:trPr>
          <w:trHeight w:val="300"/>
        </w:trPr>
        <w:tc>
          <w:tcPr>
            <w:tcW w:w="4860" w:type="dxa"/>
            <w:noWrap/>
            <w:hideMark/>
          </w:tcPr>
          <w:p w14:paraId="0FDDD404" w14:textId="77777777" w:rsidR="00BB08DC" w:rsidRPr="009815FF" w:rsidRDefault="00BB08DC" w:rsidP="005A4442">
            <w:pPr>
              <w:pStyle w:val="SCVtablebody"/>
            </w:pPr>
            <w:r w:rsidRPr="009815FF">
              <w:t>Operating theatre</w:t>
            </w:r>
          </w:p>
        </w:tc>
        <w:tc>
          <w:tcPr>
            <w:tcW w:w="1440" w:type="dxa"/>
            <w:noWrap/>
            <w:hideMark/>
          </w:tcPr>
          <w:p w14:paraId="4C1B50A1" w14:textId="77777777" w:rsidR="00BB08DC" w:rsidRPr="009815FF" w:rsidRDefault="00BB08DC" w:rsidP="005A4442">
            <w:pPr>
              <w:pStyle w:val="SCVtablebody"/>
            </w:pPr>
            <w:r w:rsidRPr="009815FF">
              <w:t>9%</w:t>
            </w:r>
          </w:p>
        </w:tc>
        <w:tc>
          <w:tcPr>
            <w:tcW w:w="1440" w:type="dxa"/>
            <w:noWrap/>
            <w:hideMark/>
          </w:tcPr>
          <w:p w14:paraId="4EF10CA6" w14:textId="77777777" w:rsidR="00BB08DC" w:rsidRPr="009815FF" w:rsidRDefault="00BB08DC" w:rsidP="005A4442">
            <w:pPr>
              <w:pStyle w:val="SCVtablebody"/>
            </w:pPr>
            <w:r w:rsidRPr="009815FF">
              <w:t>7%</w:t>
            </w:r>
          </w:p>
        </w:tc>
      </w:tr>
      <w:tr w:rsidR="00BB08DC" w:rsidRPr="009815FF" w14:paraId="727DAA81" w14:textId="77777777" w:rsidTr="00BB08DC">
        <w:trPr>
          <w:trHeight w:val="300"/>
        </w:trPr>
        <w:tc>
          <w:tcPr>
            <w:tcW w:w="4860" w:type="dxa"/>
            <w:noWrap/>
            <w:hideMark/>
          </w:tcPr>
          <w:p w14:paraId="6E18331D" w14:textId="77777777" w:rsidR="00BB08DC" w:rsidRPr="009815FF" w:rsidRDefault="00BB08DC" w:rsidP="005A4442">
            <w:pPr>
              <w:pStyle w:val="SCVtablebody"/>
            </w:pPr>
            <w:r w:rsidRPr="009815FF">
              <w:t>Intensive care unit</w:t>
            </w:r>
          </w:p>
        </w:tc>
        <w:tc>
          <w:tcPr>
            <w:tcW w:w="1440" w:type="dxa"/>
            <w:noWrap/>
            <w:hideMark/>
          </w:tcPr>
          <w:p w14:paraId="316DCE5B" w14:textId="77777777" w:rsidR="00BB08DC" w:rsidRPr="009815FF" w:rsidRDefault="00BB08DC" w:rsidP="005A4442">
            <w:pPr>
              <w:pStyle w:val="SCVtablebody"/>
            </w:pPr>
            <w:r w:rsidRPr="009815FF">
              <w:t>8%</w:t>
            </w:r>
          </w:p>
        </w:tc>
        <w:tc>
          <w:tcPr>
            <w:tcW w:w="1440" w:type="dxa"/>
            <w:noWrap/>
            <w:hideMark/>
          </w:tcPr>
          <w:p w14:paraId="5C924569" w14:textId="77777777" w:rsidR="00BB08DC" w:rsidRPr="009815FF" w:rsidRDefault="00BB08DC" w:rsidP="005A4442">
            <w:pPr>
              <w:pStyle w:val="SCVtablebody"/>
            </w:pPr>
            <w:r w:rsidRPr="009815FF">
              <w:t>9%</w:t>
            </w:r>
          </w:p>
        </w:tc>
      </w:tr>
      <w:tr w:rsidR="00BB08DC" w:rsidRPr="009815FF" w14:paraId="05231EE2" w14:textId="77777777" w:rsidTr="00BB08DC">
        <w:trPr>
          <w:trHeight w:val="300"/>
        </w:trPr>
        <w:tc>
          <w:tcPr>
            <w:tcW w:w="4860" w:type="dxa"/>
            <w:noWrap/>
            <w:hideMark/>
          </w:tcPr>
          <w:p w14:paraId="2221357C" w14:textId="77777777" w:rsidR="00BB08DC" w:rsidRPr="009815FF" w:rsidRDefault="00BB08DC" w:rsidP="005A4442">
            <w:pPr>
              <w:pStyle w:val="SCVtablebody"/>
            </w:pPr>
            <w:r w:rsidRPr="009815FF">
              <w:lastRenderedPageBreak/>
              <w:t>Patient room</w:t>
            </w:r>
          </w:p>
        </w:tc>
        <w:tc>
          <w:tcPr>
            <w:tcW w:w="1440" w:type="dxa"/>
            <w:noWrap/>
            <w:hideMark/>
          </w:tcPr>
          <w:p w14:paraId="6F0DA671" w14:textId="77777777" w:rsidR="00BB08DC" w:rsidRPr="009815FF" w:rsidRDefault="00BB08DC" w:rsidP="005A4442">
            <w:pPr>
              <w:pStyle w:val="SCVtablebody"/>
            </w:pPr>
            <w:r w:rsidRPr="009815FF">
              <w:t>13%</w:t>
            </w:r>
          </w:p>
        </w:tc>
        <w:tc>
          <w:tcPr>
            <w:tcW w:w="1440" w:type="dxa"/>
            <w:noWrap/>
            <w:hideMark/>
          </w:tcPr>
          <w:p w14:paraId="79B7396E" w14:textId="77777777" w:rsidR="00BB08DC" w:rsidRPr="009815FF" w:rsidRDefault="00BB08DC" w:rsidP="005A4442">
            <w:pPr>
              <w:pStyle w:val="SCVtablebody"/>
            </w:pPr>
            <w:r w:rsidRPr="009815FF">
              <w:t>10%</w:t>
            </w:r>
          </w:p>
        </w:tc>
      </w:tr>
      <w:tr w:rsidR="00BB08DC" w:rsidRPr="009815FF" w14:paraId="56AA47FB" w14:textId="77777777" w:rsidTr="00BB08DC">
        <w:trPr>
          <w:trHeight w:val="300"/>
        </w:trPr>
        <w:tc>
          <w:tcPr>
            <w:tcW w:w="4860" w:type="dxa"/>
            <w:noWrap/>
            <w:hideMark/>
          </w:tcPr>
          <w:p w14:paraId="3FA61291" w14:textId="77777777" w:rsidR="00BB08DC" w:rsidRPr="009815FF" w:rsidRDefault="00BB08DC" w:rsidP="005A4442">
            <w:pPr>
              <w:pStyle w:val="SCVtablebody"/>
            </w:pPr>
            <w:r w:rsidRPr="009815FF">
              <w:t>Other</w:t>
            </w:r>
          </w:p>
        </w:tc>
        <w:tc>
          <w:tcPr>
            <w:tcW w:w="1440" w:type="dxa"/>
            <w:noWrap/>
            <w:hideMark/>
          </w:tcPr>
          <w:p w14:paraId="61231AC4" w14:textId="77777777" w:rsidR="00BB08DC" w:rsidRPr="009815FF" w:rsidRDefault="00BB08DC" w:rsidP="005A4442">
            <w:pPr>
              <w:pStyle w:val="SCVtablebody"/>
            </w:pPr>
            <w:r w:rsidRPr="009815FF">
              <w:t>13%</w:t>
            </w:r>
          </w:p>
        </w:tc>
        <w:tc>
          <w:tcPr>
            <w:tcW w:w="1440" w:type="dxa"/>
            <w:noWrap/>
            <w:hideMark/>
          </w:tcPr>
          <w:p w14:paraId="1AC6C618" w14:textId="77777777" w:rsidR="00BB08DC" w:rsidRPr="009815FF" w:rsidRDefault="00BB08DC" w:rsidP="005A4442">
            <w:pPr>
              <w:pStyle w:val="SCVtablebody"/>
            </w:pPr>
            <w:r w:rsidRPr="009815FF">
              <w:t>11%</w:t>
            </w:r>
          </w:p>
        </w:tc>
      </w:tr>
      <w:tr w:rsidR="00BB08DC" w:rsidRPr="009815FF" w14:paraId="1F6B6691" w14:textId="77777777" w:rsidTr="00BB08DC">
        <w:trPr>
          <w:trHeight w:val="300"/>
        </w:trPr>
        <w:tc>
          <w:tcPr>
            <w:tcW w:w="4860" w:type="dxa"/>
            <w:noWrap/>
            <w:hideMark/>
          </w:tcPr>
          <w:p w14:paraId="7C9F738C" w14:textId="77777777" w:rsidR="00BB08DC" w:rsidRPr="009815FF" w:rsidRDefault="00BB08DC" w:rsidP="005A4442">
            <w:pPr>
              <w:pStyle w:val="SCVtablebody"/>
            </w:pPr>
            <w:r w:rsidRPr="009815FF">
              <w:t>Emergency department</w:t>
            </w:r>
          </w:p>
        </w:tc>
        <w:tc>
          <w:tcPr>
            <w:tcW w:w="1440" w:type="dxa"/>
            <w:noWrap/>
            <w:hideMark/>
          </w:tcPr>
          <w:p w14:paraId="0C20AB5D" w14:textId="77777777" w:rsidR="00BB08DC" w:rsidRPr="009815FF" w:rsidRDefault="00BB08DC" w:rsidP="005A4442">
            <w:pPr>
              <w:pStyle w:val="SCVtablebody"/>
            </w:pPr>
            <w:r w:rsidRPr="009815FF">
              <w:t>18%</w:t>
            </w:r>
          </w:p>
        </w:tc>
        <w:tc>
          <w:tcPr>
            <w:tcW w:w="1440" w:type="dxa"/>
            <w:noWrap/>
            <w:hideMark/>
          </w:tcPr>
          <w:p w14:paraId="5C5AB8AB" w14:textId="77777777" w:rsidR="00BB08DC" w:rsidRPr="009815FF" w:rsidRDefault="00BB08DC" w:rsidP="005A4442">
            <w:pPr>
              <w:pStyle w:val="SCVtablebody"/>
            </w:pPr>
            <w:r w:rsidRPr="009815FF">
              <w:t>18%</w:t>
            </w:r>
          </w:p>
        </w:tc>
      </w:tr>
      <w:tr w:rsidR="00BB08DC" w:rsidRPr="009815FF" w14:paraId="149FBF46" w14:textId="77777777" w:rsidTr="00BB08DC">
        <w:trPr>
          <w:trHeight w:val="300"/>
        </w:trPr>
        <w:tc>
          <w:tcPr>
            <w:tcW w:w="4860" w:type="dxa"/>
            <w:noWrap/>
            <w:hideMark/>
          </w:tcPr>
          <w:p w14:paraId="4404137C" w14:textId="77777777" w:rsidR="00BB08DC" w:rsidRPr="009815FF" w:rsidRDefault="00BB08DC" w:rsidP="005A4442">
            <w:pPr>
              <w:pStyle w:val="SCVtablebody"/>
            </w:pPr>
            <w:r w:rsidRPr="009815FF">
              <w:t>Ward</w:t>
            </w:r>
          </w:p>
        </w:tc>
        <w:tc>
          <w:tcPr>
            <w:tcW w:w="1440" w:type="dxa"/>
            <w:noWrap/>
            <w:hideMark/>
          </w:tcPr>
          <w:p w14:paraId="6B6C6638" w14:textId="77777777" w:rsidR="00BB08DC" w:rsidRPr="009815FF" w:rsidRDefault="00BB08DC" w:rsidP="005A4442">
            <w:pPr>
              <w:pStyle w:val="SCVtablebody"/>
            </w:pPr>
            <w:r w:rsidRPr="009815FF">
              <w:t>20%</w:t>
            </w:r>
          </w:p>
        </w:tc>
        <w:tc>
          <w:tcPr>
            <w:tcW w:w="1440" w:type="dxa"/>
            <w:noWrap/>
            <w:hideMark/>
          </w:tcPr>
          <w:p w14:paraId="389A5AF2" w14:textId="77777777" w:rsidR="00BB08DC" w:rsidRPr="009815FF" w:rsidRDefault="00BB08DC" w:rsidP="005A4442">
            <w:pPr>
              <w:pStyle w:val="SCVtablebody"/>
            </w:pPr>
            <w:r w:rsidRPr="009815FF">
              <w:t>26%</w:t>
            </w:r>
          </w:p>
        </w:tc>
      </w:tr>
    </w:tbl>
    <w:p w14:paraId="5B62BE6A" w14:textId="77777777" w:rsidR="00152EC1" w:rsidRDefault="00152EC1" w:rsidP="00035A91">
      <w:pPr>
        <w:pStyle w:val="Heading3"/>
      </w:pPr>
      <w:bookmarkStart w:id="43" w:name="_Toc173851141"/>
      <w:r>
        <w:t>Time to notify sentinel events</w:t>
      </w:r>
      <w:bookmarkEnd w:id="43"/>
      <w:r>
        <w:t xml:space="preserve"> </w:t>
      </w:r>
    </w:p>
    <w:p w14:paraId="762FD0CE" w14:textId="77777777" w:rsidR="00152EC1" w:rsidRDefault="00152EC1" w:rsidP="00C96A69">
      <w:pPr>
        <w:pStyle w:val="SCVbody"/>
      </w:pPr>
      <w:r>
        <w:t xml:space="preserve">Health services are required to notify SCV of a sentinel event within three business days of becoming aware of the event. </w:t>
      </w:r>
    </w:p>
    <w:p w14:paraId="236A690C" w14:textId="77777777" w:rsidR="00152EC1" w:rsidRDefault="00152EC1" w:rsidP="00C96A69">
      <w:pPr>
        <w:pStyle w:val="SCVbody"/>
      </w:pPr>
      <w:r>
        <w:t xml:space="preserve">For 2022–23: </w:t>
      </w:r>
    </w:p>
    <w:p w14:paraId="444CAEBA" w14:textId="77777777" w:rsidR="00152EC1" w:rsidRDefault="00152EC1" w:rsidP="00035A91">
      <w:pPr>
        <w:pStyle w:val="SCVbullet1"/>
      </w:pPr>
      <w:r>
        <w:t xml:space="preserve">the average days to notify a sentinel event was 27.7 business days, up from 22.5 business days in 2021–22 </w:t>
      </w:r>
    </w:p>
    <w:p w14:paraId="4CD7E658" w14:textId="77777777" w:rsidR="00152EC1" w:rsidRDefault="00152EC1" w:rsidP="00035A91">
      <w:pPr>
        <w:pStyle w:val="SCVbullet1"/>
      </w:pPr>
      <w:r>
        <w:t xml:space="preserve">23 per cent of sentinel events were notified within three business days, an increase from 17 per cent in 2021–22. </w:t>
      </w:r>
    </w:p>
    <w:p w14:paraId="11AC9078" w14:textId="77777777" w:rsidR="00152EC1" w:rsidRDefault="00152EC1" w:rsidP="00C96A69">
      <w:pPr>
        <w:pStyle w:val="SCVbody"/>
      </w:pPr>
      <w:r>
        <w:t xml:space="preserve">Services cited delays in determining the extent of harm to the patient and a delay to determining if an event met sentinel event criteria, as the most common reasons for delayed notification. </w:t>
      </w:r>
    </w:p>
    <w:p w14:paraId="39E8081E" w14:textId="6D81249C" w:rsidR="00152EC1" w:rsidRDefault="00152EC1" w:rsidP="00035A91">
      <w:pPr>
        <w:pStyle w:val="SCVfigurecaption"/>
      </w:pPr>
      <w:r>
        <w:t>Figure 25. Number of business days to notify sentinel events 2021–22 and 2022–</w:t>
      </w:r>
      <w:r w:rsidR="00BB08DC">
        <w:t>23</w:t>
      </w:r>
    </w:p>
    <w:tbl>
      <w:tblPr>
        <w:tblStyle w:val="TableGrid"/>
        <w:tblW w:w="6120" w:type="dxa"/>
        <w:tblLayout w:type="fixed"/>
        <w:tblLook w:val="0620" w:firstRow="1" w:lastRow="0" w:firstColumn="0" w:lastColumn="0" w:noHBand="1" w:noVBand="1"/>
      </w:tblPr>
      <w:tblGrid>
        <w:gridCol w:w="2040"/>
        <w:gridCol w:w="2040"/>
        <w:gridCol w:w="2040"/>
      </w:tblGrid>
      <w:tr w:rsidR="00BB08DC" w:rsidRPr="009815FF" w14:paraId="135D05C2" w14:textId="77777777" w:rsidTr="00B1670B">
        <w:trPr>
          <w:cnfStyle w:val="100000000000" w:firstRow="1" w:lastRow="0" w:firstColumn="0" w:lastColumn="0" w:oddVBand="0" w:evenVBand="0" w:oddHBand="0" w:evenHBand="0" w:firstRowFirstColumn="0" w:firstRowLastColumn="0" w:lastRowFirstColumn="0" w:lastRowLastColumn="0"/>
          <w:trHeight w:val="300"/>
          <w:tblHeader/>
        </w:trPr>
        <w:tc>
          <w:tcPr>
            <w:tcW w:w="2040" w:type="dxa"/>
            <w:noWrap/>
            <w:hideMark/>
          </w:tcPr>
          <w:p w14:paraId="43A407CE" w14:textId="04DDB890" w:rsidR="00BB08DC" w:rsidRPr="009815FF" w:rsidRDefault="00BB08DC" w:rsidP="00BB08DC">
            <w:pPr>
              <w:pStyle w:val="SCVtablecolhead"/>
            </w:pPr>
            <w:r w:rsidRPr="009815FF">
              <w:t>Notification days</w:t>
            </w:r>
          </w:p>
        </w:tc>
        <w:tc>
          <w:tcPr>
            <w:tcW w:w="2040" w:type="dxa"/>
            <w:noWrap/>
            <w:hideMark/>
          </w:tcPr>
          <w:p w14:paraId="220CA536" w14:textId="2028243C" w:rsidR="00BB08DC" w:rsidRPr="009815FF" w:rsidRDefault="00BB08DC" w:rsidP="00BB08DC">
            <w:pPr>
              <w:pStyle w:val="SCVtablecolhead"/>
            </w:pPr>
            <w:r w:rsidRPr="009815FF">
              <w:t>2021</w:t>
            </w:r>
            <w:r>
              <w:t>–</w:t>
            </w:r>
            <w:r w:rsidRPr="009815FF">
              <w:t>22</w:t>
            </w:r>
          </w:p>
        </w:tc>
        <w:tc>
          <w:tcPr>
            <w:tcW w:w="2040" w:type="dxa"/>
            <w:noWrap/>
            <w:hideMark/>
          </w:tcPr>
          <w:p w14:paraId="5A2ABC77" w14:textId="092BE352" w:rsidR="00BB08DC" w:rsidRPr="009815FF" w:rsidRDefault="00BB08DC" w:rsidP="00BB08DC">
            <w:pPr>
              <w:pStyle w:val="SCVtablecolhead"/>
            </w:pPr>
            <w:r w:rsidRPr="009815FF">
              <w:t>2022</w:t>
            </w:r>
            <w:r>
              <w:t>–</w:t>
            </w:r>
            <w:r w:rsidRPr="009815FF">
              <w:t>23</w:t>
            </w:r>
          </w:p>
        </w:tc>
      </w:tr>
      <w:tr w:rsidR="00BB08DC" w:rsidRPr="009815FF" w14:paraId="3F1F2356" w14:textId="77777777" w:rsidTr="00BB08DC">
        <w:trPr>
          <w:trHeight w:val="300"/>
        </w:trPr>
        <w:tc>
          <w:tcPr>
            <w:tcW w:w="2040" w:type="dxa"/>
            <w:noWrap/>
            <w:hideMark/>
          </w:tcPr>
          <w:p w14:paraId="72B2A75C" w14:textId="48FE25C8" w:rsidR="00BB08DC" w:rsidRPr="009815FF" w:rsidRDefault="00BB08DC" w:rsidP="005A4442">
            <w:pPr>
              <w:pStyle w:val="SCVtablebody"/>
            </w:pPr>
            <w:r w:rsidRPr="009815FF">
              <w:t>&gt;</w:t>
            </w:r>
            <w:r>
              <w:t xml:space="preserve"> </w:t>
            </w:r>
            <w:r w:rsidRPr="009815FF">
              <w:t>34</w:t>
            </w:r>
          </w:p>
        </w:tc>
        <w:tc>
          <w:tcPr>
            <w:tcW w:w="2040" w:type="dxa"/>
            <w:noWrap/>
            <w:hideMark/>
          </w:tcPr>
          <w:p w14:paraId="47004AA4" w14:textId="290E9057" w:rsidR="00BB08DC" w:rsidRPr="009815FF" w:rsidRDefault="00BB08DC" w:rsidP="005A4442">
            <w:pPr>
              <w:pStyle w:val="SCVtablebody"/>
            </w:pPr>
            <w:r w:rsidRPr="009815FF">
              <w:t>81</w:t>
            </w:r>
            <w:r>
              <w:t xml:space="preserve"> (34%)</w:t>
            </w:r>
          </w:p>
        </w:tc>
        <w:tc>
          <w:tcPr>
            <w:tcW w:w="2040" w:type="dxa"/>
            <w:noWrap/>
            <w:hideMark/>
          </w:tcPr>
          <w:p w14:paraId="713C5F99" w14:textId="07558F85" w:rsidR="00BB08DC" w:rsidRPr="009815FF" w:rsidRDefault="00BB08DC" w:rsidP="005A4442">
            <w:pPr>
              <w:pStyle w:val="SCVtablebody"/>
            </w:pPr>
            <w:r w:rsidRPr="009815FF">
              <w:t>61</w:t>
            </w:r>
            <w:r>
              <w:t xml:space="preserve"> (25%)</w:t>
            </w:r>
          </w:p>
        </w:tc>
      </w:tr>
      <w:tr w:rsidR="00BB08DC" w:rsidRPr="009815FF" w14:paraId="3C73B037" w14:textId="77777777" w:rsidTr="00BB08DC">
        <w:trPr>
          <w:trHeight w:val="300"/>
        </w:trPr>
        <w:tc>
          <w:tcPr>
            <w:tcW w:w="2040" w:type="dxa"/>
            <w:noWrap/>
            <w:hideMark/>
          </w:tcPr>
          <w:p w14:paraId="289B69BE" w14:textId="4E423E9E" w:rsidR="00BB08DC" w:rsidRPr="009815FF" w:rsidRDefault="00BB08DC" w:rsidP="005A4442">
            <w:pPr>
              <w:pStyle w:val="SCVtablebody"/>
            </w:pPr>
            <w:r w:rsidRPr="009815FF">
              <w:t>29</w:t>
            </w:r>
            <w:r>
              <w:t>–</w:t>
            </w:r>
            <w:r w:rsidRPr="009815FF">
              <w:t>33</w:t>
            </w:r>
          </w:p>
        </w:tc>
        <w:tc>
          <w:tcPr>
            <w:tcW w:w="2040" w:type="dxa"/>
            <w:noWrap/>
            <w:hideMark/>
          </w:tcPr>
          <w:p w14:paraId="7612AC1A" w14:textId="32FB1FE6" w:rsidR="00BB08DC" w:rsidRPr="009815FF" w:rsidRDefault="00BB08DC" w:rsidP="005A4442">
            <w:pPr>
              <w:pStyle w:val="SCVtablebody"/>
            </w:pPr>
            <w:r w:rsidRPr="009815FF">
              <w:t>48</w:t>
            </w:r>
            <w:r>
              <w:t xml:space="preserve"> (20%)</w:t>
            </w:r>
          </w:p>
        </w:tc>
        <w:tc>
          <w:tcPr>
            <w:tcW w:w="2040" w:type="dxa"/>
            <w:noWrap/>
            <w:hideMark/>
          </w:tcPr>
          <w:p w14:paraId="45614DCB" w14:textId="11472934" w:rsidR="00BB08DC" w:rsidRPr="009815FF" w:rsidRDefault="00BB08DC" w:rsidP="005A4442">
            <w:pPr>
              <w:pStyle w:val="SCVtablebody"/>
            </w:pPr>
            <w:r w:rsidRPr="009815FF">
              <w:t>5</w:t>
            </w:r>
            <w:r>
              <w:t xml:space="preserve"> (2%)</w:t>
            </w:r>
          </w:p>
        </w:tc>
      </w:tr>
      <w:tr w:rsidR="00BB08DC" w:rsidRPr="009815FF" w14:paraId="5E4B53B9" w14:textId="77777777" w:rsidTr="00BB08DC">
        <w:trPr>
          <w:trHeight w:val="300"/>
        </w:trPr>
        <w:tc>
          <w:tcPr>
            <w:tcW w:w="2040" w:type="dxa"/>
            <w:noWrap/>
            <w:hideMark/>
          </w:tcPr>
          <w:p w14:paraId="3D3C0E57" w14:textId="014CF665" w:rsidR="00BB08DC" w:rsidRPr="009815FF" w:rsidRDefault="00BB08DC" w:rsidP="005A4442">
            <w:pPr>
              <w:pStyle w:val="SCVtablebody"/>
            </w:pPr>
            <w:r w:rsidRPr="009815FF">
              <w:t>24</w:t>
            </w:r>
            <w:r>
              <w:t>–</w:t>
            </w:r>
            <w:r w:rsidRPr="009815FF">
              <w:t>28</w:t>
            </w:r>
          </w:p>
        </w:tc>
        <w:tc>
          <w:tcPr>
            <w:tcW w:w="2040" w:type="dxa"/>
            <w:noWrap/>
            <w:hideMark/>
          </w:tcPr>
          <w:p w14:paraId="577AB457" w14:textId="746F2E03" w:rsidR="00BB08DC" w:rsidRPr="009815FF" w:rsidRDefault="00BB08DC" w:rsidP="005A4442">
            <w:pPr>
              <w:pStyle w:val="SCVtablebody"/>
            </w:pPr>
            <w:r w:rsidRPr="009815FF">
              <w:t>30</w:t>
            </w:r>
            <w:r>
              <w:t xml:space="preserve"> (13%)</w:t>
            </w:r>
          </w:p>
        </w:tc>
        <w:tc>
          <w:tcPr>
            <w:tcW w:w="2040" w:type="dxa"/>
            <w:noWrap/>
            <w:hideMark/>
          </w:tcPr>
          <w:p w14:paraId="19656040" w14:textId="72046204" w:rsidR="00BB08DC" w:rsidRPr="009815FF" w:rsidRDefault="00BB08DC" w:rsidP="005A4442">
            <w:pPr>
              <w:pStyle w:val="SCVtablebody"/>
            </w:pPr>
            <w:r w:rsidRPr="009815FF">
              <w:t>11</w:t>
            </w:r>
            <w:r>
              <w:t xml:space="preserve"> (4%)</w:t>
            </w:r>
          </w:p>
        </w:tc>
      </w:tr>
      <w:tr w:rsidR="00BB08DC" w:rsidRPr="009815FF" w14:paraId="1C1A3D1D" w14:textId="77777777" w:rsidTr="00BB08DC">
        <w:trPr>
          <w:trHeight w:val="300"/>
        </w:trPr>
        <w:tc>
          <w:tcPr>
            <w:tcW w:w="2040" w:type="dxa"/>
            <w:noWrap/>
            <w:hideMark/>
          </w:tcPr>
          <w:p w14:paraId="0AD7D540" w14:textId="75305C1D" w:rsidR="00BB08DC" w:rsidRPr="009815FF" w:rsidRDefault="00BB08DC" w:rsidP="005A4442">
            <w:pPr>
              <w:pStyle w:val="SCVtablebody"/>
            </w:pPr>
            <w:r w:rsidRPr="009815FF">
              <w:t>19</w:t>
            </w:r>
            <w:r>
              <w:t>–</w:t>
            </w:r>
            <w:r w:rsidRPr="009815FF">
              <w:t>23</w:t>
            </w:r>
          </w:p>
        </w:tc>
        <w:tc>
          <w:tcPr>
            <w:tcW w:w="2040" w:type="dxa"/>
            <w:noWrap/>
            <w:hideMark/>
          </w:tcPr>
          <w:p w14:paraId="2AD6F771" w14:textId="3EE21711" w:rsidR="00BB08DC" w:rsidRPr="009815FF" w:rsidRDefault="00BB08DC" w:rsidP="005A4442">
            <w:pPr>
              <w:pStyle w:val="SCVtablebody"/>
            </w:pPr>
            <w:r w:rsidRPr="009815FF">
              <w:t>10</w:t>
            </w:r>
            <w:r>
              <w:t xml:space="preserve"> (4%)</w:t>
            </w:r>
          </w:p>
        </w:tc>
        <w:tc>
          <w:tcPr>
            <w:tcW w:w="2040" w:type="dxa"/>
            <w:noWrap/>
            <w:hideMark/>
          </w:tcPr>
          <w:p w14:paraId="13DF6971" w14:textId="1100F8CA" w:rsidR="00BB08DC" w:rsidRPr="009815FF" w:rsidRDefault="00BB08DC" w:rsidP="005A4442">
            <w:pPr>
              <w:pStyle w:val="SCVtablebody"/>
            </w:pPr>
            <w:r w:rsidRPr="009815FF">
              <w:t>17</w:t>
            </w:r>
            <w:r>
              <w:t xml:space="preserve"> (7%)</w:t>
            </w:r>
          </w:p>
        </w:tc>
      </w:tr>
      <w:tr w:rsidR="00BB08DC" w:rsidRPr="009815FF" w14:paraId="384B3AC8" w14:textId="77777777" w:rsidTr="00BB08DC">
        <w:trPr>
          <w:trHeight w:val="300"/>
        </w:trPr>
        <w:tc>
          <w:tcPr>
            <w:tcW w:w="2040" w:type="dxa"/>
            <w:noWrap/>
            <w:hideMark/>
          </w:tcPr>
          <w:p w14:paraId="35A73310" w14:textId="5C048D0D" w:rsidR="00BB08DC" w:rsidRPr="009815FF" w:rsidRDefault="00BB08DC" w:rsidP="005A4442">
            <w:pPr>
              <w:pStyle w:val="SCVtablebody"/>
            </w:pPr>
            <w:r w:rsidRPr="009815FF">
              <w:t>14</w:t>
            </w:r>
            <w:r>
              <w:t>–</w:t>
            </w:r>
            <w:r w:rsidRPr="009815FF">
              <w:t>18</w:t>
            </w:r>
          </w:p>
        </w:tc>
        <w:tc>
          <w:tcPr>
            <w:tcW w:w="2040" w:type="dxa"/>
            <w:noWrap/>
            <w:hideMark/>
          </w:tcPr>
          <w:p w14:paraId="03947764" w14:textId="1727552D" w:rsidR="00BB08DC" w:rsidRPr="009815FF" w:rsidRDefault="00BB08DC" w:rsidP="005A4442">
            <w:pPr>
              <w:pStyle w:val="SCVtablebody"/>
            </w:pPr>
            <w:r w:rsidRPr="009815FF">
              <w:t>17</w:t>
            </w:r>
            <w:r>
              <w:t xml:space="preserve"> (7%)</w:t>
            </w:r>
          </w:p>
        </w:tc>
        <w:tc>
          <w:tcPr>
            <w:tcW w:w="2040" w:type="dxa"/>
            <w:noWrap/>
            <w:hideMark/>
          </w:tcPr>
          <w:p w14:paraId="71B4EB8D" w14:textId="04DC2D94" w:rsidR="00BB08DC" w:rsidRPr="009815FF" w:rsidRDefault="00BB08DC" w:rsidP="005A4442">
            <w:pPr>
              <w:pStyle w:val="SCVtablebody"/>
            </w:pPr>
            <w:r w:rsidRPr="009815FF">
              <w:t>26</w:t>
            </w:r>
            <w:r>
              <w:t xml:space="preserve"> (11%)</w:t>
            </w:r>
          </w:p>
        </w:tc>
      </w:tr>
      <w:tr w:rsidR="00BB08DC" w:rsidRPr="009815FF" w14:paraId="7DFABF38" w14:textId="77777777" w:rsidTr="00BB08DC">
        <w:trPr>
          <w:trHeight w:val="300"/>
        </w:trPr>
        <w:tc>
          <w:tcPr>
            <w:tcW w:w="2040" w:type="dxa"/>
            <w:noWrap/>
            <w:hideMark/>
          </w:tcPr>
          <w:p w14:paraId="391AD7E8" w14:textId="72F17A67" w:rsidR="00BB08DC" w:rsidRPr="009815FF" w:rsidRDefault="00BB08DC" w:rsidP="005A4442">
            <w:pPr>
              <w:pStyle w:val="SCVtablebody"/>
            </w:pPr>
            <w:r w:rsidRPr="009815FF">
              <w:t>9</w:t>
            </w:r>
            <w:r>
              <w:t>–</w:t>
            </w:r>
            <w:r w:rsidRPr="009815FF">
              <w:t>13</w:t>
            </w:r>
          </w:p>
        </w:tc>
        <w:tc>
          <w:tcPr>
            <w:tcW w:w="2040" w:type="dxa"/>
            <w:noWrap/>
            <w:hideMark/>
          </w:tcPr>
          <w:p w14:paraId="14CF4805" w14:textId="5D47A3B2" w:rsidR="00BB08DC" w:rsidRPr="009815FF" w:rsidRDefault="00BB08DC" w:rsidP="005A4442">
            <w:pPr>
              <w:pStyle w:val="SCVtablebody"/>
            </w:pPr>
            <w:r w:rsidRPr="009815FF">
              <w:t>9</w:t>
            </w:r>
            <w:r>
              <w:t xml:space="preserve"> (4%)</w:t>
            </w:r>
          </w:p>
        </w:tc>
        <w:tc>
          <w:tcPr>
            <w:tcW w:w="2040" w:type="dxa"/>
            <w:noWrap/>
            <w:hideMark/>
          </w:tcPr>
          <w:p w14:paraId="6F0A9D63" w14:textId="11AFE999" w:rsidR="00BB08DC" w:rsidRPr="009815FF" w:rsidRDefault="00BB08DC" w:rsidP="005A4442">
            <w:pPr>
              <w:pStyle w:val="SCVtablebody"/>
            </w:pPr>
            <w:r w:rsidRPr="009815FF">
              <w:t>27</w:t>
            </w:r>
            <w:r>
              <w:t xml:space="preserve"> (11%)</w:t>
            </w:r>
          </w:p>
        </w:tc>
      </w:tr>
      <w:tr w:rsidR="00BB08DC" w:rsidRPr="009815FF" w14:paraId="63C0C6FD" w14:textId="77777777" w:rsidTr="00BB08DC">
        <w:trPr>
          <w:trHeight w:val="300"/>
        </w:trPr>
        <w:tc>
          <w:tcPr>
            <w:tcW w:w="2040" w:type="dxa"/>
            <w:noWrap/>
            <w:hideMark/>
          </w:tcPr>
          <w:p w14:paraId="1786D5A3" w14:textId="354B1460" w:rsidR="00BB08DC" w:rsidRPr="009815FF" w:rsidRDefault="00BB08DC" w:rsidP="005A4442">
            <w:pPr>
              <w:pStyle w:val="SCVtablebody"/>
            </w:pPr>
            <w:r w:rsidRPr="009815FF">
              <w:t>4</w:t>
            </w:r>
            <w:r>
              <w:t>–</w:t>
            </w:r>
            <w:r w:rsidRPr="009815FF">
              <w:t>8</w:t>
            </w:r>
          </w:p>
        </w:tc>
        <w:tc>
          <w:tcPr>
            <w:tcW w:w="2040" w:type="dxa"/>
            <w:noWrap/>
            <w:hideMark/>
          </w:tcPr>
          <w:p w14:paraId="7A69D158" w14:textId="365D11CB" w:rsidR="00BB08DC" w:rsidRPr="009815FF" w:rsidRDefault="00BB08DC" w:rsidP="005A4442">
            <w:pPr>
              <w:pStyle w:val="SCVtablebody"/>
            </w:pPr>
            <w:r w:rsidRPr="009815FF">
              <w:t>5</w:t>
            </w:r>
            <w:r>
              <w:t xml:space="preserve"> (2%)</w:t>
            </w:r>
          </w:p>
        </w:tc>
        <w:tc>
          <w:tcPr>
            <w:tcW w:w="2040" w:type="dxa"/>
            <w:noWrap/>
            <w:hideMark/>
          </w:tcPr>
          <w:p w14:paraId="48910592" w14:textId="3BAA9D44" w:rsidR="00BB08DC" w:rsidRPr="009815FF" w:rsidRDefault="00BB08DC" w:rsidP="005A4442">
            <w:pPr>
              <w:pStyle w:val="SCVtablebody"/>
            </w:pPr>
            <w:r w:rsidRPr="009815FF">
              <w:t>41</w:t>
            </w:r>
            <w:r>
              <w:t xml:space="preserve"> (17%)</w:t>
            </w:r>
          </w:p>
        </w:tc>
      </w:tr>
      <w:tr w:rsidR="00BB08DC" w:rsidRPr="009815FF" w14:paraId="3684B5DD" w14:textId="77777777" w:rsidTr="00BB08DC">
        <w:trPr>
          <w:trHeight w:val="300"/>
        </w:trPr>
        <w:tc>
          <w:tcPr>
            <w:tcW w:w="2040" w:type="dxa"/>
            <w:noWrap/>
            <w:hideMark/>
          </w:tcPr>
          <w:p w14:paraId="759ED15E" w14:textId="1C59758D" w:rsidR="00BB08DC" w:rsidRPr="009815FF" w:rsidRDefault="00BB08DC" w:rsidP="005A4442">
            <w:pPr>
              <w:pStyle w:val="SCVtablebody"/>
            </w:pPr>
            <w:r w:rsidRPr="009815FF">
              <w:t>&lt;</w:t>
            </w:r>
            <w:r>
              <w:t xml:space="preserve"> </w:t>
            </w:r>
            <w:r w:rsidRPr="009815FF">
              <w:t>4</w:t>
            </w:r>
          </w:p>
        </w:tc>
        <w:tc>
          <w:tcPr>
            <w:tcW w:w="2040" w:type="dxa"/>
            <w:noWrap/>
            <w:hideMark/>
          </w:tcPr>
          <w:p w14:paraId="0E30E9EC" w14:textId="24C873F2" w:rsidR="00BB08DC" w:rsidRPr="009815FF" w:rsidRDefault="00BB08DC" w:rsidP="005A4442">
            <w:pPr>
              <w:pStyle w:val="SCVtablebody"/>
            </w:pPr>
            <w:r w:rsidRPr="009815FF">
              <w:t>40</w:t>
            </w:r>
            <w:r>
              <w:t xml:space="preserve"> (17%)</w:t>
            </w:r>
          </w:p>
        </w:tc>
        <w:tc>
          <w:tcPr>
            <w:tcW w:w="2040" w:type="dxa"/>
            <w:noWrap/>
            <w:hideMark/>
          </w:tcPr>
          <w:p w14:paraId="058AB251" w14:textId="238DBE42" w:rsidR="00BB08DC" w:rsidRPr="009815FF" w:rsidRDefault="00BB08DC" w:rsidP="005A4442">
            <w:pPr>
              <w:pStyle w:val="SCVtablebody"/>
            </w:pPr>
            <w:r w:rsidRPr="009815FF">
              <w:t>57</w:t>
            </w:r>
            <w:r>
              <w:t xml:space="preserve"> (23%)</w:t>
            </w:r>
          </w:p>
        </w:tc>
      </w:tr>
    </w:tbl>
    <w:p w14:paraId="158C36C6" w14:textId="6DEB09FE" w:rsidR="00152EC1" w:rsidRDefault="00152EC1" w:rsidP="00FF5332">
      <w:pPr>
        <w:pStyle w:val="SCVtablefigurenote"/>
      </w:pPr>
      <w:r>
        <w:t xml:space="preserve">Note: Totals not 100% due to rounding </w:t>
      </w:r>
    </w:p>
    <w:p w14:paraId="002CE6D0" w14:textId="76429678" w:rsidR="00152EC1" w:rsidRDefault="00152EC1" w:rsidP="00035A91">
      <w:pPr>
        <w:pStyle w:val="Heading3"/>
      </w:pPr>
      <w:bookmarkStart w:id="44" w:name="_Toc173851142"/>
      <w:r>
        <w:t>Time to review sentinel events</w:t>
      </w:r>
      <w:bookmarkEnd w:id="44"/>
      <w:r w:rsidR="00FB5F78">
        <w:t xml:space="preserve"> </w:t>
      </w:r>
    </w:p>
    <w:p w14:paraId="559F7C53" w14:textId="77777777" w:rsidR="00152EC1" w:rsidRDefault="00152EC1" w:rsidP="00C96A69">
      <w:pPr>
        <w:pStyle w:val="SCVbody"/>
      </w:pPr>
      <w:r>
        <w:t>Time to review sentinel events is a new indicator, measuring the time taken from sentinel event notification to the submission of the recommendations formed by the health service’s review of the event (Part C of the sentinel event report). SCV plans to monitor this indicator to inform whether the timeframes set for health services require amendment and to identify where services may require further support.</w:t>
      </w:r>
    </w:p>
    <w:p w14:paraId="62714FEC" w14:textId="77777777" w:rsidR="00152EC1" w:rsidRDefault="00152EC1" w:rsidP="00C96A69">
      <w:pPr>
        <w:pStyle w:val="SCVbody"/>
      </w:pPr>
      <w:r>
        <w:lastRenderedPageBreak/>
        <w:t>The required timeframe for sentinel event report Part C submission for a health service is:</w:t>
      </w:r>
    </w:p>
    <w:p w14:paraId="3013FBCF" w14:textId="77777777" w:rsidR="00152EC1" w:rsidRDefault="00152EC1" w:rsidP="00035A91">
      <w:pPr>
        <w:pStyle w:val="SCVbullet1"/>
      </w:pPr>
      <w:r>
        <w:t>50 business days for a single agency review</w:t>
      </w:r>
    </w:p>
    <w:p w14:paraId="09AFFD55" w14:textId="77777777" w:rsidR="00152EC1" w:rsidRDefault="00152EC1" w:rsidP="00035A91">
      <w:pPr>
        <w:pStyle w:val="SCVbullet1"/>
      </w:pPr>
      <w:r>
        <w:t>75 business days for approved multi-agency review.</w:t>
      </w:r>
    </w:p>
    <w:p w14:paraId="3F966425" w14:textId="77777777" w:rsidR="00152EC1" w:rsidRDefault="00152EC1" w:rsidP="00C96A69">
      <w:pPr>
        <w:pStyle w:val="SCVbody"/>
      </w:pPr>
      <w:r>
        <w:t>Average days to complete a review for 2022–23 were:</w:t>
      </w:r>
    </w:p>
    <w:p w14:paraId="078CB71C" w14:textId="77777777" w:rsidR="00152EC1" w:rsidRDefault="00152EC1" w:rsidP="00035A91">
      <w:pPr>
        <w:pStyle w:val="SCVbullet1"/>
      </w:pPr>
      <w:r>
        <w:t>for a single agency review, 89 business days</w:t>
      </w:r>
    </w:p>
    <w:p w14:paraId="3C597494" w14:textId="77777777" w:rsidR="00152EC1" w:rsidRDefault="00152EC1" w:rsidP="00035A91">
      <w:pPr>
        <w:pStyle w:val="SCVbullet1"/>
      </w:pPr>
      <w:r>
        <w:t>for a multi-agency review, 105 business days.</w:t>
      </w:r>
    </w:p>
    <w:p w14:paraId="23600421" w14:textId="77777777" w:rsidR="00152EC1" w:rsidRDefault="00152EC1" w:rsidP="00035A91">
      <w:pPr>
        <w:pStyle w:val="SCVfigurecaption"/>
      </w:pPr>
      <w:r>
        <w:t xml:space="preserve">Figure 26. Number of business days to complete a sentinel event review 2021–22 and 2022–23 </w:t>
      </w:r>
    </w:p>
    <w:tbl>
      <w:tblPr>
        <w:tblStyle w:val="TableGrid"/>
        <w:tblW w:w="6750" w:type="dxa"/>
        <w:tblLayout w:type="fixed"/>
        <w:tblLook w:val="0620" w:firstRow="1" w:lastRow="0" w:firstColumn="0" w:lastColumn="0" w:noHBand="1" w:noVBand="1"/>
      </w:tblPr>
      <w:tblGrid>
        <w:gridCol w:w="3240"/>
        <w:gridCol w:w="1755"/>
        <w:gridCol w:w="1755"/>
      </w:tblGrid>
      <w:tr w:rsidR="009815FF" w:rsidRPr="009815FF" w14:paraId="4626B13F" w14:textId="77777777" w:rsidTr="00B1670B">
        <w:trPr>
          <w:cnfStyle w:val="100000000000" w:firstRow="1" w:lastRow="0" w:firstColumn="0" w:lastColumn="0" w:oddVBand="0" w:evenVBand="0" w:oddHBand="0" w:evenHBand="0" w:firstRowFirstColumn="0" w:firstRowLastColumn="0" w:lastRowFirstColumn="0" w:lastRowLastColumn="0"/>
          <w:trHeight w:val="300"/>
          <w:tblHeader/>
        </w:trPr>
        <w:tc>
          <w:tcPr>
            <w:tcW w:w="3240" w:type="dxa"/>
            <w:noWrap/>
            <w:hideMark/>
          </w:tcPr>
          <w:p w14:paraId="2958FF50" w14:textId="77777777" w:rsidR="009815FF" w:rsidRPr="009815FF" w:rsidRDefault="009815FF" w:rsidP="00B1670B">
            <w:pPr>
              <w:pStyle w:val="SCVtablecolhead"/>
            </w:pPr>
            <w:r w:rsidRPr="009815FF">
              <w:t>Days to complete a review</w:t>
            </w:r>
          </w:p>
        </w:tc>
        <w:tc>
          <w:tcPr>
            <w:tcW w:w="1755" w:type="dxa"/>
            <w:noWrap/>
            <w:hideMark/>
          </w:tcPr>
          <w:p w14:paraId="56475DCD" w14:textId="19E5C00F" w:rsidR="009815FF" w:rsidRPr="009815FF" w:rsidRDefault="009815FF" w:rsidP="00B1670B">
            <w:pPr>
              <w:pStyle w:val="SCVtablecolhead"/>
            </w:pPr>
            <w:r w:rsidRPr="009815FF">
              <w:t>2021</w:t>
            </w:r>
            <w:r w:rsidR="00B1670B">
              <w:t>–</w:t>
            </w:r>
            <w:r w:rsidRPr="009815FF">
              <w:t>22</w:t>
            </w:r>
          </w:p>
        </w:tc>
        <w:tc>
          <w:tcPr>
            <w:tcW w:w="1755" w:type="dxa"/>
            <w:noWrap/>
            <w:hideMark/>
          </w:tcPr>
          <w:p w14:paraId="0AE67517" w14:textId="5F097919" w:rsidR="009815FF" w:rsidRPr="009815FF" w:rsidRDefault="009815FF" w:rsidP="00B1670B">
            <w:pPr>
              <w:pStyle w:val="SCVtablecolhead"/>
            </w:pPr>
            <w:r w:rsidRPr="009815FF">
              <w:t>2022</w:t>
            </w:r>
            <w:r w:rsidR="00B1670B">
              <w:t>–</w:t>
            </w:r>
            <w:r w:rsidRPr="009815FF">
              <w:t>23</w:t>
            </w:r>
          </w:p>
        </w:tc>
      </w:tr>
      <w:tr w:rsidR="009815FF" w:rsidRPr="009815FF" w14:paraId="497725F5" w14:textId="77777777" w:rsidTr="00B1670B">
        <w:trPr>
          <w:trHeight w:val="300"/>
        </w:trPr>
        <w:tc>
          <w:tcPr>
            <w:tcW w:w="3240" w:type="dxa"/>
            <w:noWrap/>
            <w:hideMark/>
          </w:tcPr>
          <w:p w14:paraId="556A9913" w14:textId="63ECFA9C" w:rsidR="009815FF" w:rsidRPr="009815FF" w:rsidRDefault="009815FF" w:rsidP="005A4442">
            <w:pPr>
              <w:pStyle w:val="SCVtablebody"/>
            </w:pPr>
            <w:r w:rsidRPr="009815FF">
              <w:t>&gt;</w:t>
            </w:r>
            <w:r w:rsidR="00B1670B">
              <w:t xml:space="preserve"> </w:t>
            </w:r>
            <w:r w:rsidRPr="009815FF">
              <w:t>100</w:t>
            </w:r>
          </w:p>
        </w:tc>
        <w:tc>
          <w:tcPr>
            <w:tcW w:w="1755" w:type="dxa"/>
            <w:noWrap/>
            <w:hideMark/>
          </w:tcPr>
          <w:p w14:paraId="757F49E9" w14:textId="6A6B5B5F" w:rsidR="009815FF" w:rsidRPr="009815FF" w:rsidRDefault="009815FF" w:rsidP="005A4442">
            <w:pPr>
              <w:pStyle w:val="SCVtablebody"/>
            </w:pPr>
            <w:r w:rsidRPr="009815FF">
              <w:t>23</w:t>
            </w:r>
          </w:p>
        </w:tc>
        <w:tc>
          <w:tcPr>
            <w:tcW w:w="1755" w:type="dxa"/>
            <w:noWrap/>
            <w:hideMark/>
          </w:tcPr>
          <w:p w14:paraId="2F4371F2" w14:textId="339D35CB" w:rsidR="009815FF" w:rsidRPr="009815FF" w:rsidRDefault="009815FF" w:rsidP="005A4442">
            <w:pPr>
              <w:pStyle w:val="SCVtablebody"/>
            </w:pPr>
            <w:r w:rsidRPr="009815FF">
              <w:t>26</w:t>
            </w:r>
          </w:p>
        </w:tc>
      </w:tr>
      <w:tr w:rsidR="009815FF" w:rsidRPr="009815FF" w14:paraId="353EE585" w14:textId="77777777" w:rsidTr="00B1670B">
        <w:trPr>
          <w:trHeight w:val="300"/>
        </w:trPr>
        <w:tc>
          <w:tcPr>
            <w:tcW w:w="3240" w:type="dxa"/>
            <w:noWrap/>
            <w:hideMark/>
          </w:tcPr>
          <w:p w14:paraId="7AF8080F" w14:textId="6319C48B" w:rsidR="009815FF" w:rsidRPr="009815FF" w:rsidRDefault="009815FF" w:rsidP="005A4442">
            <w:pPr>
              <w:pStyle w:val="SCVtablebody"/>
            </w:pPr>
            <w:r w:rsidRPr="009815FF">
              <w:t>90</w:t>
            </w:r>
            <w:r w:rsidR="00B1670B">
              <w:t>–</w:t>
            </w:r>
            <w:r w:rsidRPr="009815FF">
              <w:t>100</w:t>
            </w:r>
          </w:p>
        </w:tc>
        <w:tc>
          <w:tcPr>
            <w:tcW w:w="1755" w:type="dxa"/>
            <w:noWrap/>
            <w:hideMark/>
          </w:tcPr>
          <w:p w14:paraId="185A2269" w14:textId="4D6D7845" w:rsidR="009815FF" w:rsidRPr="009815FF" w:rsidRDefault="009815FF" w:rsidP="005A4442">
            <w:pPr>
              <w:pStyle w:val="SCVtablebody"/>
            </w:pPr>
            <w:r w:rsidRPr="009815FF">
              <w:t>8</w:t>
            </w:r>
          </w:p>
        </w:tc>
        <w:tc>
          <w:tcPr>
            <w:tcW w:w="1755" w:type="dxa"/>
            <w:noWrap/>
            <w:hideMark/>
          </w:tcPr>
          <w:p w14:paraId="54E6CC77" w14:textId="31258503" w:rsidR="009815FF" w:rsidRPr="009815FF" w:rsidRDefault="009815FF" w:rsidP="005A4442">
            <w:pPr>
              <w:pStyle w:val="SCVtablebody"/>
            </w:pPr>
            <w:r w:rsidRPr="009815FF">
              <w:t>11</w:t>
            </w:r>
          </w:p>
        </w:tc>
      </w:tr>
      <w:tr w:rsidR="009815FF" w:rsidRPr="009815FF" w14:paraId="1B554FBA" w14:textId="77777777" w:rsidTr="00B1670B">
        <w:trPr>
          <w:trHeight w:val="300"/>
        </w:trPr>
        <w:tc>
          <w:tcPr>
            <w:tcW w:w="3240" w:type="dxa"/>
            <w:noWrap/>
            <w:hideMark/>
          </w:tcPr>
          <w:p w14:paraId="48F7F58F" w14:textId="0B7F9C39" w:rsidR="009815FF" w:rsidRPr="009815FF" w:rsidRDefault="009815FF" w:rsidP="005A4442">
            <w:pPr>
              <w:pStyle w:val="SCVtablebody"/>
            </w:pPr>
            <w:r w:rsidRPr="009815FF">
              <w:t>80</w:t>
            </w:r>
            <w:r w:rsidR="00B1670B">
              <w:t>–</w:t>
            </w:r>
            <w:r w:rsidRPr="009815FF">
              <w:t>89</w:t>
            </w:r>
          </w:p>
        </w:tc>
        <w:tc>
          <w:tcPr>
            <w:tcW w:w="1755" w:type="dxa"/>
            <w:noWrap/>
            <w:hideMark/>
          </w:tcPr>
          <w:p w14:paraId="6B944B69" w14:textId="6CCB46F1" w:rsidR="009815FF" w:rsidRPr="009815FF" w:rsidRDefault="009815FF" w:rsidP="005A4442">
            <w:pPr>
              <w:pStyle w:val="SCVtablebody"/>
            </w:pPr>
            <w:r w:rsidRPr="009815FF">
              <w:t>4</w:t>
            </w:r>
          </w:p>
        </w:tc>
        <w:tc>
          <w:tcPr>
            <w:tcW w:w="1755" w:type="dxa"/>
            <w:noWrap/>
            <w:hideMark/>
          </w:tcPr>
          <w:p w14:paraId="331DDA88" w14:textId="076C9CE2" w:rsidR="009815FF" w:rsidRPr="009815FF" w:rsidRDefault="009815FF" w:rsidP="005A4442">
            <w:pPr>
              <w:pStyle w:val="SCVtablebody"/>
            </w:pPr>
            <w:r w:rsidRPr="009815FF">
              <w:t>5</w:t>
            </w:r>
          </w:p>
        </w:tc>
      </w:tr>
      <w:tr w:rsidR="009815FF" w:rsidRPr="009815FF" w14:paraId="4BDB60BF" w14:textId="77777777" w:rsidTr="00B1670B">
        <w:trPr>
          <w:trHeight w:val="300"/>
        </w:trPr>
        <w:tc>
          <w:tcPr>
            <w:tcW w:w="3240" w:type="dxa"/>
            <w:noWrap/>
            <w:hideMark/>
          </w:tcPr>
          <w:p w14:paraId="32E04E84" w14:textId="39B06682" w:rsidR="009815FF" w:rsidRPr="009815FF" w:rsidRDefault="009815FF" w:rsidP="005A4442">
            <w:pPr>
              <w:pStyle w:val="SCVtablebody"/>
            </w:pPr>
            <w:r w:rsidRPr="009815FF">
              <w:t>70</w:t>
            </w:r>
            <w:r w:rsidR="00B1670B">
              <w:t>–</w:t>
            </w:r>
            <w:r w:rsidRPr="009815FF">
              <w:t>79</w:t>
            </w:r>
          </w:p>
        </w:tc>
        <w:tc>
          <w:tcPr>
            <w:tcW w:w="1755" w:type="dxa"/>
            <w:noWrap/>
            <w:hideMark/>
          </w:tcPr>
          <w:p w14:paraId="6230DD6A" w14:textId="7BABDE7B" w:rsidR="009815FF" w:rsidRPr="009815FF" w:rsidRDefault="009815FF" w:rsidP="005A4442">
            <w:pPr>
              <w:pStyle w:val="SCVtablebody"/>
            </w:pPr>
            <w:r w:rsidRPr="009815FF">
              <w:t>19</w:t>
            </w:r>
          </w:p>
        </w:tc>
        <w:tc>
          <w:tcPr>
            <w:tcW w:w="1755" w:type="dxa"/>
            <w:noWrap/>
            <w:hideMark/>
          </w:tcPr>
          <w:p w14:paraId="07AB25F2" w14:textId="0B8318B6" w:rsidR="009815FF" w:rsidRPr="009815FF" w:rsidRDefault="009815FF" w:rsidP="005A4442">
            <w:pPr>
              <w:pStyle w:val="SCVtablebody"/>
            </w:pPr>
            <w:r w:rsidRPr="009815FF">
              <w:t>14</w:t>
            </w:r>
          </w:p>
        </w:tc>
      </w:tr>
      <w:tr w:rsidR="009815FF" w:rsidRPr="009815FF" w14:paraId="4FDEF4B3" w14:textId="77777777" w:rsidTr="00B1670B">
        <w:trPr>
          <w:trHeight w:val="300"/>
        </w:trPr>
        <w:tc>
          <w:tcPr>
            <w:tcW w:w="3240" w:type="dxa"/>
            <w:noWrap/>
            <w:hideMark/>
          </w:tcPr>
          <w:p w14:paraId="3A1B6331" w14:textId="5FF8BA5A" w:rsidR="009815FF" w:rsidRPr="009815FF" w:rsidRDefault="009815FF" w:rsidP="005A4442">
            <w:pPr>
              <w:pStyle w:val="SCVtablebody"/>
            </w:pPr>
            <w:r w:rsidRPr="009815FF">
              <w:t>60</w:t>
            </w:r>
            <w:r w:rsidR="00B1670B">
              <w:t>–</w:t>
            </w:r>
            <w:r w:rsidRPr="009815FF">
              <w:t>69</w:t>
            </w:r>
          </w:p>
        </w:tc>
        <w:tc>
          <w:tcPr>
            <w:tcW w:w="1755" w:type="dxa"/>
            <w:noWrap/>
            <w:hideMark/>
          </w:tcPr>
          <w:p w14:paraId="47B9268B" w14:textId="22956246" w:rsidR="009815FF" w:rsidRPr="009815FF" w:rsidRDefault="009815FF" w:rsidP="005A4442">
            <w:pPr>
              <w:pStyle w:val="SCVtablebody"/>
            </w:pPr>
            <w:r w:rsidRPr="009815FF">
              <w:t>8</w:t>
            </w:r>
          </w:p>
        </w:tc>
        <w:tc>
          <w:tcPr>
            <w:tcW w:w="1755" w:type="dxa"/>
            <w:noWrap/>
            <w:hideMark/>
          </w:tcPr>
          <w:p w14:paraId="250870E0" w14:textId="3F57B3B1" w:rsidR="009815FF" w:rsidRPr="009815FF" w:rsidRDefault="009815FF" w:rsidP="005A4442">
            <w:pPr>
              <w:pStyle w:val="SCVtablebody"/>
            </w:pPr>
            <w:r w:rsidRPr="009815FF">
              <w:t>7</w:t>
            </w:r>
          </w:p>
        </w:tc>
      </w:tr>
      <w:tr w:rsidR="009815FF" w:rsidRPr="009815FF" w14:paraId="74DC3BEF" w14:textId="77777777" w:rsidTr="00B1670B">
        <w:trPr>
          <w:trHeight w:val="300"/>
        </w:trPr>
        <w:tc>
          <w:tcPr>
            <w:tcW w:w="3240" w:type="dxa"/>
            <w:noWrap/>
            <w:hideMark/>
          </w:tcPr>
          <w:p w14:paraId="375E6120" w14:textId="1EE19822" w:rsidR="009815FF" w:rsidRPr="009815FF" w:rsidRDefault="009815FF" w:rsidP="005A4442">
            <w:pPr>
              <w:pStyle w:val="SCVtablebody"/>
            </w:pPr>
            <w:r w:rsidRPr="009815FF">
              <w:t>50</w:t>
            </w:r>
            <w:r w:rsidR="00B1670B">
              <w:t>–</w:t>
            </w:r>
            <w:r w:rsidRPr="009815FF">
              <w:t>59</w:t>
            </w:r>
          </w:p>
        </w:tc>
        <w:tc>
          <w:tcPr>
            <w:tcW w:w="1755" w:type="dxa"/>
            <w:noWrap/>
            <w:hideMark/>
          </w:tcPr>
          <w:p w14:paraId="3AC0EA42" w14:textId="7243393E" w:rsidR="009815FF" w:rsidRPr="009815FF" w:rsidRDefault="009815FF" w:rsidP="005A4442">
            <w:pPr>
              <w:pStyle w:val="SCVtablebody"/>
            </w:pPr>
            <w:r w:rsidRPr="009815FF">
              <w:t>27</w:t>
            </w:r>
          </w:p>
        </w:tc>
        <w:tc>
          <w:tcPr>
            <w:tcW w:w="1755" w:type="dxa"/>
            <w:noWrap/>
            <w:hideMark/>
          </w:tcPr>
          <w:p w14:paraId="15E7B375" w14:textId="57E7CA28" w:rsidR="009815FF" w:rsidRPr="009815FF" w:rsidRDefault="009815FF" w:rsidP="005A4442">
            <w:pPr>
              <w:pStyle w:val="SCVtablebody"/>
            </w:pPr>
            <w:r w:rsidRPr="009815FF">
              <w:t>33</w:t>
            </w:r>
          </w:p>
        </w:tc>
      </w:tr>
      <w:tr w:rsidR="009815FF" w:rsidRPr="009815FF" w14:paraId="1CEAE5EF" w14:textId="77777777" w:rsidTr="00B1670B">
        <w:trPr>
          <w:trHeight w:val="300"/>
        </w:trPr>
        <w:tc>
          <w:tcPr>
            <w:tcW w:w="3240" w:type="dxa"/>
            <w:noWrap/>
            <w:hideMark/>
          </w:tcPr>
          <w:p w14:paraId="3FF43503" w14:textId="75EEC448" w:rsidR="009815FF" w:rsidRPr="009815FF" w:rsidRDefault="009815FF" w:rsidP="005A4442">
            <w:pPr>
              <w:pStyle w:val="SCVtablebody"/>
            </w:pPr>
            <w:r w:rsidRPr="009815FF">
              <w:t>&lt;</w:t>
            </w:r>
            <w:r w:rsidR="00B1670B">
              <w:t xml:space="preserve"> </w:t>
            </w:r>
            <w:r w:rsidRPr="009815FF">
              <w:t>50</w:t>
            </w:r>
          </w:p>
        </w:tc>
        <w:tc>
          <w:tcPr>
            <w:tcW w:w="1755" w:type="dxa"/>
            <w:noWrap/>
            <w:hideMark/>
          </w:tcPr>
          <w:p w14:paraId="16A2913B" w14:textId="2076502E" w:rsidR="009815FF" w:rsidRPr="009815FF" w:rsidRDefault="009815FF" w:rsidP="005A4442">
            <w:pPr>
              <w:pStyle w:val="SCVtablebody"/>
            </w:pPr>
            <w:r w:rsidRPr="009815FF">
              <w:t>10</w:t>
            </w:r>
          </w:p>
        </w:tc>
        <w:tc>
          <w:tcPr>
            <w:tcW w:w="1755" w:type="dxa"/>
            <w:noWrap/>
            <w:hideMark/>
          </w:tcPr>
          <w:p w14:paraId="75AA2F71" w14:textId="17F80220" w:rsidR="009815FF" w:rsidRPr="009815FF" w:rsidRDefault="009815FF" w:rsidP="005A4442">
            <w:pPr>
              <w:pStyle w:val="SCVtablebody"/>
            </w:pPr>
            <w:r w:rsidRPr="009815FF">
              <w:t>5</w:t>
            </w:r>
          </w:p>
        </w:tc>
      </w:tr>
    </w:tbl>
    <w:p w14:paraId="7029DBCC" w14:textId="77777777" w:rsidR="00152EC1" w:rsidRDefault="00152EC1" w:rsidP="00035A91">
      <w:pPr>
        <w:pStyle w:val="Heading1"/>
      </w:pPr>
      <w:bookmarkStart w:id="45" w:name="_Toc173851143"/>
      <w:r>
        <w:lastRenderedPageBreak/>
        <w:t>Appendix 1: Guide to strength of recommendations</w:t>
      </w:r>
      <w:bookmarkEnd w:id="45"/>
      <w:r>
        <w:t xml:space="preserve"> </w:t>
      </w:r>
    </w:p>
    <w:p w14:paraId="04202003" w14:textId="315B3F62" w:rsidR="00035A91" w:rsidRDefault="00152EC1" w:rsidP="00035A91">
      <w:pPr>
        <w:pStyle w:val="SCVtablecaption"/>
      </w:pPr>
      <w:r>
        <w:t xml:space="preserve">Table 4. Strength of recommendations </w:t>
      </w:r>
    </w:p>
    <w:tbl>
      <w:tblPr>
        <w:tblStyle w:val="TableGrid"/>
        <w:tblW w:w="0" w:type="auto"/>
        <w:tblLook w:val="04A0" w:firstRow="1" w:lastRow="0" w:firstColumn="1" w:lastColumn="0" w:noHBand="0" w:noVBand="1"/>
      </w:tblPr>
      <w:tblGrid>
        <w:gridCol w:w="2070"/>
        <w:gridCol w:w="3249"/>
        <w:gridCol w:w="4887"/>
      </w:tblGrid>
      <w:tr w:rsidR="00035A91" w14:paraId="38C72F04" w14:textId="77777777" w:rsidTr="00FF5332">
        <w:trPr>
          <w:cnfStyle w:val="100000000000" w:firstRow="1" w:lastRow="0" w:firstColumn="0" w:lastColumn="0" w:oddVBand="0" w:evenVBand="0" w:oddHBand="0" w:evenHBand="0" w:firstRowFirstColumn="0" w:firstRowLastColumn="0" w:lastRowFirstColumn="0" w:lastRowLastColumn="0"/>
          <w:tblHeader/>
        </w:trPr>
        <w:tc>
          <w:tcPr>
            <w:tcW w:w="2070" w:type="dxa"/>
          </w:tcPr>
          <w:p w14:paraId="5F78D64D" w14:textId="6BCCE158" w:rsidR="00035A91" w:rsidRDefault="00035A91" w:rsidP="00C24140">
            <w:pPr>
              <w:pStyle w:val="SCVtablecolhead"/>
            </w:pPr>
            <w:r>
              <w:t>Recommendation strength</w:t>
            </w:r>
          </w:p>
        </w:tc>
        <w:tc>
          <w:tcPr>
            <w:tcW w:w="3150" w:type="dxa"/>
          </w:tcPr>
          <w:p w14:paraId="39C21F31" w14:textId="2F2E1202" w:rsidR="00035A91" w:rsidRDefault="00035A91" w:rsidP="00C24140">
            <w:pPr>
              <w:pStyle w:val="SCVtablecolhead"/>
            </w:pPr>
            <w:r>
              <w:t>Recommendation category</w:t>
            </w:r>
          </w:p>
        </w:tc>
        <w:tc>
          <w:tcPr>
            <w:tcW w:w="4984" w:type="dxa"/>
          </w:tcPr>
          <w:p w14:paraId="67335EC2" w14:textId="7E161CC9" w:rsidR="00035A91" w:rsidRDefault="00035A91" w:rsidP="00C24140">
            <w:pPr>
              <w:pStyle w:val="SCVtablecolhead"/>
            </w:pPr>
            <w:r>
              <w:t xml:space="preserve">Example </w:t>
            </w:r>
          </w:p>
        </w:tc>
      </w:tr>
      <w:tr w:rsidR="00035A91" w14:paraId="087B1028" w14:textId="77777777" w:rsidTr="00FF5332">
        <w:tc>
          <w:tcPr>
            <w:tcW w:w="2070" w:type="dxa"/>
          </w:tcPr>
          <w:p w14:paraId="4C636D91" w14:textId="2FD0D041" w:rsidR="00035A91" w:rsidRDefault="00FF5332" w:rsidP="00793823">
            <w:pPr>
              <w:pStyle w:val="SCVtablebody"/>
            </w:pPr>
            <w:r>
              <w:t>Strong actions</w:t>
            </w:r>
          </w:p>
        </w:tc>
        <w:tc>
          <w:tcPr>
            <w:tcW w:w="3150" w:type="dxa"/>
          </w:tcPr>
          <w:p w14:paraId="1D6F2799" w14:textId="6891472F" w:rsidR="00035A91" w:rsidRDefault="00FF5332" w:rsidP="00793823">
            <w:pPr>
              <w:pStyle w:val="SCVtablebody"/>
            </w:pPr>
            <w:r>
              <w:t>Architectural/physical changes in surroundings</w:t>
            </w:r>
          </w:p>
        </w:tc>
        <w:tc>
          <w:tcPr>
            <w:tcW w:w="4984" w:type="dxa"/>
          </w:tcPr>
          <w:p w14:paraId="4C4EDCD7" w14:textId="66F06C41" w:rsidR="00035A91" w:rsidRDefault="00FF5332" w:rsidP="00793823">
            <w:pPr>
              <w:pStyle w:val="SCVtablebody"/>
            </w:pPr>
            <w:r>
              <w:t xml:space="preserve">Replace revolving doors at the main entrance into the building with powered sliding or swinging doors to reduce patient falls </w:t>
            </w:r>
          </w:p>
        </w:tc>
      </w:tr>
      <w:tr w:rsidR="00035A91" w14:paraId="3AD66DEF" w14:textId="77777777" w:rsidTr="00FF5332">
        <w:tc>
          <w:tcPr>
            <w:tcW w:w="2070" w:type="dxa"/>
          </w:tcPr>
          <w:p w14:paraId="74277F28" w14:textId="73888A63" w:rsidR="00035A91" w:rsidRDefault="00FF5332" w:rsidP="00793823">
            <w:pPr>
              <w:pStyle w:val="SCVtablebody"/>
            </w:pPr>
            <w:r>
              <w:t>Strong actions</w:t>
            </w:r>
          </w:p>
        </w:tc>
        <w:tc>
          <w:tcPr>
            <w:tcW w:w="3150" w:type="dxa"/>
          </w:tcPr>
          <w:p w14:paraId="2A461D50" w14:textId="10EDBF32" w:rsidR="00035A91" w:rsidRDefault="00FF5332" w:rsidP="00793823">
            <w:pPr>
              <w:pStyle w:val="SCVtablebody"/>
            </w:pPr>
            <w:r>
              <w:t>New devices with usability testing</w:t>
            </w:r>
          </w:p>
        </w:tc>
        <w:tc>
          <w:tcPr>
            <w:tcW w:w="4984" w:type="dxa"/>
          </w:tcPr>
          <w:p w14:paraId="5EDF6299" w14:textId="75F8DAD7" w:rsidR="00035A91" w:rsidRDefault="00FF5332" w:rsidP="00793823">
            <w:pPr>
              <w:pStyle w:val="SCVtablebody"/>
            </w:pPr>
            <w:r>
              <w:t xml:space="preserve">Perform pre-purchase testing of blood glucose monitors and test strips to select the most appropriate for the patient population </w:t>
            </w:r>
          </w:p>
        </w:tc>
      </w:tr>
      <w:tr w:rsidR="00035A91" w14:paraId="40F8CA7E" w14:textId="77777777" w:rsidTr="00FF5332">
        <w:tc>
          <w:tcPr>
            <w:tcW w:w="2070" w:type="dxa"/>
          </w:tcPr>
          <w:p w14:paraId="4F44484F" w14:textId="7251E653" w:rsidR="00035A91" w:rsidRDefault="00FF5332" w:rsidP="00793823">
            <w:pPr>
              <w:pStyle w:val="SCVtablebody"/>
            </w:pPr>
            <w:r>
              <w:t>Strong actions</w:t>
            </w:r>
          </w:p>
        </w:tc>
        <w:tc>
          <w:tcPr>
            <w:tcW w:w="3150" w:type="dxa"/>
          </w:tcPr>
          <w:p w14:paraId="0996DA6A" w14:textId="00B9E0FC" w:rsidR="00035A91" w:rsidRDefault="00FF5332" w:rsidP="00793823">
            <w:pPr>
              <w:pStyle w:val="SCVtablebody"/>
            </w:pPr>
            <w:r>
              <w:t xml:space="preserve">Engineering control (forcing functions that force the user to complete the action) </w:t>
            </w:r>
          </w:p>
        </w:tc>
        <w:tc>
          <w:tcPr>
            <w:tcW w:w="4984" w:type="dxa"/>
          </w:tcPr>
          <w:p w14:paraId="7B45D491" w14:textId="1A9C7ED1" w:rsidR="00035A91" w:rsidRDefault="00FF5332" w:rsidP="00793823">
            <w:pPr>
              <w:pStyle w:val="SCVtablebody"/>
            </w:pPr>
            <w:r>
              <w:t xml:space="preserve">Eliminate the use of universal adapters and peripheral devices for medical equipment; use tubing/fittings that can only be connected the correct way </w:t>
            </w:r>
          </w:p>
        </w:tc>
      </w:tr>
      <w:tr w:rsidR="00035A91" w14:paraId="2ECFB1FE" w14:textId="77777777" w:rsidTr="00FF5332">
        <w:tc>
          <w:tcPr>
            <w:tcW w:w="2070" w:type="dxa"/>
          </w:tcPr>
          <w:p w14:paraId="237D1B84" w14:textId="1A2D1D3E" w:rsidR="00035A91" w:rsidRDefault="00FF5332" w:rsidP="00793823">
            <w:pPr>
              <w:pStyle w:val="SCVtablebody"/>
            </w:pPr>
            <w:r>
              <w:t>Strong actions</w:t>
            </w:r>
          </w:p>
        </w:tc>
        <w:tc>
          <w:tcPr>
            <w:tcW w:w="3150" w:type="dxa"/>
          </w:tcPr>
          <w:p w14:paraId="11956555" w14:textId="1ED15BD1" w:rsidR="00035A91" w:rsidRDefault="00FF5332" w:rsidP="00793823">
            <w:pPr>
              <w:pStyle w:val="SCVtablebody"/>
            </w:pPr>
            <w:r>
              <w:t>Simplify process and remove unnecessary steps</w:t>
            </w:r>
          </w:p>
        </w:tc>
        <w:tc>
          <w:tcPr>
            <w:tcW w:w="4984" w:type="dxa"/>
          </w:tcPr>
          <w:p w14:paraId="2B5D2135" w14:textId="65F70654" w:rsidR="00035A91" w:rsidRDefault="00FF5332" w:rsidP="00793823">
            <w:pPr>
              <w:pStyle w:val="SCVtablebody"/>
            </w:pPr>
            <w:r>
              <w:t xml:space="preserve">Remove unnecessary steps in a process; standardise the make and model of medication pumps used throughout the organisation; use barcoding for medication administration </w:t>
            </w:r>
          </w:p>
        </w:tc>
      </w:tr>
      <w:tr w:rsidR="00035A91" w14:paraId="1D25E42F" w14:textId="77777777" w:rsidTr="00FF5332">
        <w:tc>
          <w:tcPr>
            <w:tcW w:w="2070" w:type="dxa"/>
          </w:tcPr>
          <w:p w14:paraId="70EC188A" w14:textId="6D0D885F" w:rsidR="00035A91" w:rsidRDefault="00FF5332" w:rsidP="00793823">
            <w:pPr>
              <w:pStyle w:val="SCVtablebody"/>
            </w:pPr>
            <w:r>
              <w:t>Strong actions</w:t>
            </w:r>
          </w:p>
        </w:tc>
        <w:tc>
          <w:tcPr>
            <w:tcW w:w="3150" w:type="dxa"/>
          </w:tcPr>
          <w:p w14:paraId="2C7659F9" w14:textId="59A00DED" w:rsidR="00035A91" w:rsidRDefault="00FF5332" w:rsidP="00793823">
            <w:pPr>
              <w:pStyle w:val="SCVtablebody"/>
            </w:pPr>
            <w:r>
              <w:t>Tangible involvement by leadership</w:t>
            </w:r>
          </w:p>
        </w:tc>
        <w:tc>
          <w:tcPr>
            <w:tcW w:w="4984" w:type="dxa"/>
          </w:tcPr>
          <w:p w14:paraId="53667867" w14:textId="63355FBE" w:rsidR="00035A91" w:rsidRDefault="00FF5332" w:rsidP="00793823">
            <w:pPr>
              <w:pStyle w:val="SCVtablebody"/>
            </w:pPr>
            <w:r>
              <w:t xml:space="preserve">Participate in unit patient safety evaluations and interact with staff, purchase needed equipment, ensure staffing and workload is balanced </w:t>
            </w:r>
          </w:p>
        </w:tc>
      </w:tr>
      <w:tr w:rsidR="00035A91" w14:paraId="25A392F9" w14:textId="77777777" w:rsidTr="00FF5332">
        <w:tc>
          <w:tcPr>
            <w:tcW w:w="2070" w:type="dxa"/>
          </w:tcPr>
          <w:p w14:paraId="51AF8D9B" w14:textId="16276E40" w:rsidR="00035A91" w:rsidRDefault="00FF5332" w:rsidP="00793823">
            <w:pPr>
              <w:pStyle w:val="SCVtablebody"/>
            </w:pPr>
            <w:r>
              <w:t>Moderate actions</w:t>
            </w:r>
          </w:p>
        </w:tc>
        <w:tc>
          <w:tcPr>
            <w:tcW w:w="3150" w:type="dxa"/>
          </w:tcPr>
          <w:p w14:paraId="56D8456E" w14:textId="662B4E1F" w:rsidR="00035A91" w:rsidRDefault="00FF5332" w:rsidP="00793823">
            <w:pPr>
              <w:pStyle w:val="SCVtablebody"/>
            </w:pPr>
            <w:r>
              <w:t>Redundancy</w:t>
            </w:r>
          </w:p>
        </w:tc>
        <w:tc>
          <w:tcPr>
            <w:tcW w:w="4984" w:type="dxa"/>
          </w:tcPr>
          <w:p w14:paraId="41EC69CC" w14:textId="726ED647" w:rsidR="00035A91" w:rsidRDefault="00FF5332" w:rsidP="00793823">
            <w:pPr>
              <w:pStyle w:val="SCVtablebody"/>
            </w:pPr>
            <w:r>
              <w:t xml:space="preserve">Use two registered nurses to independently calculate high-risk medication dosages </w:t>
            </w:r>
          </w:p>
        </w:tc>
      </w:tr>
      <w:tr w:rsidR="00035A91" w14:paraId="3D06210C" w14:textId="77777777" w:rsidTr="00FF5332">
        <w:tc>
          <w:tcPr>
            <w:tcW w:w="2070" w:type="dxa"/>
          </w:tcPr>
          <w:p w14:paraId="0F4A2876" w14:textId="4D679859" w:rsidR="00035A91" w:rsidRDefault="00FF5332" w:rsidP="00793823">
            <w:pPr>
              <w:pStyle w:val="SCVtablebody"/>
            </w:pPr>
            <w:r>
              <w:t>Moderate actions</w:t>
            </w:r>
          </w:p>
        </w:tc>
        <w:tc>
          <w:tcPr>
            <w:tcW w:w="3150" w:type="dxa"/>
          </w:tcPr>
          <w:p w14:paraId="2AFEEDB7" w14:textId="52CAD4B6" w:rsidR="00035A91" w:rsidRDefault="00FF5332" w:rsidP="00793823">
            <w:pPr>
              <w:pStyle w:val="SCVtablebody"/>
            </w:pPr>
            <w:r>
              <w:t>Increase in staffing/decrease in workload</w:t>
            </w:r>
          </w:p>
        </w:tc>
        <w:tc>
          <w:tcPr>
            <w:tcW w:w="4984" w:type="dxa"/>
          </w:tcPr>
          <w:p w14:paraId="10F25DD3" w14:textId="22F98C7C" w:rsidR="00035A91" w:rsidRDefault="00FF5332" w:rsidP="00793823">
            <w:pPr>
              <w:pStyle w:val="SCVtablebody"/>
            </w:pPr>
            <w:r>
              <w:t xml:space="preserve">Make float staff available to assist when workloads peak during the day </w:t>
            </w:r>
          </w:p>
        </w:tc>
      </w:tr>
      <w:tr w:rsidR="00035A91" w14:paraId="7F7D31C9" w14:textId="77777777" w:rsidTr="00FF5332">
        <w:tc>
          <w:tcPr>
            <w:tcW w:w="2070" w:type="dxa"/>
          </w:tcPr>
          <w:p w14:paraId="2F2EA872" w14:textId="1BFC3068" w:rsidR="00035A91" w:rsidRDefault="00FF5332" w:rsidP="00793823">
            <w:pPr>
              <w:pStyle w:val="SCVtablebody"/>
            </w:pPr>
            <w:r>
              <w:t>Moderate actions</w:t>
            </w:r>
          </w:p>
        </w:tc>
        <w:tc>
          <w:tcPr>
            <w:tcW w:w="3150" w:type="dxa"/>
          </w:tcPr>
          <w:p w14:paraId="2C00E426" w14:textId="30158840" w:rsidR="00035A91" w:rsidRDefault="00FF5332" w:rsidP="00793823">
            <w:pPr>
              <w:pStyle w:val="SCVtablebody"/>
            </w:pPr>
            <w:r>
              <w:t>Software enhancements or modifications</w:t>
            </w:r>
          </w:p>
        </w:tc>
        <w:tc>
          <w:tcPr>
            <w:tcW w:w="4984" w:type="dxa"/>
          </w:tcPr>
          <w:p w14:paraId="393D4B44" w14:textId="5090AE6F" w:rsidR="00035A91" w:rsidRDefault="00FF5332" w:rsidP="00793823">
            <w:pPr>
              <w:pStyle w:val="SCVtablebody"/>
            </w:pPr>
            <w:r>
              <w:t xml:space="preserve">Use computer alerts for drug-to-drug interactions </w:t>
            </w:r>
          </w:p>
        </w:tc>
      </w:tr>
      <w:tr w:rsidR="00FF5332" w14:paraId="2441DFF7" w14:textId="77777777" w:rsidTr="00FF5332">
        <w:tc>
          <w:tcPr>
            <w:tcW w:w="2070" w:type="dxa"/>
          </w:tcPr>
          <w:p w14:paraId="71544DC1" w14:textId="6A07467B" w:rsidR="00FF5332" w:rsidRDefault="00FF5332" w:rsidP="00FF5332">
            <w:pPr>
              <w:pStyle w:val="SCVtablebody"/>
            </w:pPr>
            <w:r w:rsidRPr="009C1492">
              <w:t>Moderate actions</w:t>
            </w:r>
          </w:p>
        </w:tc>
        <w:tc>
          <w:tcPr>
            <w:tcW w:w="3150" w:type="dxa"/>
          </w:tcPr>
          <w:p w14:paraId="4A37DEB9" w14:textId="3CF7F672" w:rsidR="00FF5332" w:rsidRDefault="00FF5332" w:rsidP="00FF5332">
            <w:pPr>
              <w:pStyle w:val="SCVtablebody"/>
            </w:pPr>
            <w:r>
              <w:t>Eliminate/reduce distractions</w:t>
            </w:r>
          </w:p>
        </w:tc>
        <w:tc>
          <w:tcPr>
            <w:tcW w:w="4984" w:type="dxa"/>
          </w:tcPr>
          <w:p w14:paraId="5C68318D" w14:textId="184F9082" w:rsidR="00FF5332" w:rsidRDefault="00FF5332" w:rsidP="00FF5332">
            <w:pPr>
              <w:pStyle w:val="SCVtablebody"/>
            </w:pPr>
            <w:r>
              <w:t xml:space="preserve">Provide quiet rooms for programming patient-controlled analgesia pumps; remove distractions for nurses when programming medication pumps </w:t>
            </w:r>
          </w:p>
        </w:tc>
      </w:tr>
      <w:tr w:rsidR="00FF5332" w14:paraId="409DE122" w14:textId="77777777" w:rsidTr="00FF5332">
        <w:tc>
          <w:tcPr>
            <w:tcW w:w="2070" w:type="dxa"/>
          </w:tcPr>
          <w:p w14:paraId="7DF37277" w14:textId="3427D89E" w:rsidR="00FF5332" w:rsidRDefault="00FF5332" w:rsidP="00FF5332">
            <w:pPr>
              <w:pStyle w:val="SCVtablebody"/>
            </w:pPr>
            <w:r w:rsidRPr="009C1492">
              <w:t>Moderate actions</w:t>
            </w:r>
          </w:p>
        </w:tc>
        <w:tc>
          <w:tcPr>
            <w:tcW w:w="3150" w:type="dxa"/>
          </w:tcPr>
          <w:p w14:paraId="7F7B4AF8" w14:textId="3243B4F3" w:rsidR="00FF5332" w:rsidRDefault="00FF5332" w:rsidP="00FF5332">
            <w:pPr>
              <w:pStyle w:val="SCVtablebody"/>
            </w:pPr>
            <w:r>
              <w:t xml:space="preserve">Education using simulation-based training with periodic refresher sessions/observations </w:t>
            </w:r>
          </w:p>
        </w:tc>
        <w:tc>
          <w:tcPr>
            <w:tcW w:w="4984" w:type="dxa"/>
          </w:tcPr>
          <w:p w14:paraId="37F80328" w14:textId="76EFF8F6" w:rsidR="00FF5332" w:rsidRDefault="00FF5332" w:rsidP="00FF5332">
            <w:pPr>
              <w:pStyle w:val="SCVtablebody"/>
            </w:pPr>
            <w:r>
              <w:t xml:space="preserve">Conduct patient handover in a simulation lab environment, with after-action critiques and debriefing </w:t>
            </w:r>
          </w:p>
        </w:tc>
      </w:tr>
      <w:tr w:rsidR="00FF5332" w14:paraId="14A0C9D0" w14:textId="77777777" w:rsidTr="00FF5332">
        <w:tc>
          <w:tcPr>
            <w:tcW w:w="2070" w:type="dxa"/>
          </w:tcPr>
          <w:p w14:paraId="04941C27" w14:textId="77ADE981" w:rsidR="00FF5332" w:rsidRDefault="00FF5332" w:rsidP="00FF5332">
            <w:pPr>
              <w:pStyle w:val="SCVtablebody"/>
            </w:pPr>
            <w:r w:rsidRPr="009C1492">
              <w:lastRenderedPageBreak/>
              <w:t>Moderate actions</w:t>
            </w:r>
          </w:p>
        </w:tc>
        <w:tc>
          <w:tcPr>
            <w:tcW w:w="3150" w:type="dxa"/>
          </w:tcPr>
          <w:p w14:paraId="4108ABBB" w14:textId="09E7D1EA" w:rsidR="00FF5332" w:rsidRDefault="00FF5332" w:rsidP="00FF5332">
            <w:pPr>
              <w:pStyle w:val="SCVtablebody"/>
            </w:pPr>
            <w:r>
              <w:t xml:space="preserve">Checklist/cognitive aids </w:t>
            </w:r>
          </w:p>
        </w:tc>
        <w:tc>
          <w:tcPr>
            <w:tcW w:w="4984" w:type="dxa"/>
          </w:tcPr>
          <w:p w14:paraId="04B0FB2E" w14:textId="011D3984" w:rsidR="00FF5332" w:rsidRDefault="00FF5332" w:rsidP="00FF5332">
            <w:pPr>
              <w:pStyle w:val="SCVtablebody"/>
            </w:pPr>
            <w:r>
              <w:t xml:space="preserve">Use pre-induction and pre-incision checklists in operating rooms; use a checklist when reprocessing flexible fibre optic endoscopes </w:t>
            </w:r>
          </w:p>
        </w:tc>
      </w:tr>
      <w:tr w:rsidR="00FF5332" w14:paraId="33BCF8A7" w14:textId="77777777" w:rsidTr="00FF5332">
        <w:tc>
          <w:tcPr>
            <w:tcW w:w="2070" w:type="dxa"/>
          </w:tcPr>
          <w:p w14:paraId="0DB8AECE" w14:textId="65E3FE56" w:rsidR="00FF5332" w:rsidRDefault="00FF5332" w:rsidP="00FF5332">
            <w:pPr>
              <w:pStyle w:val="SCVtablebody"/>
            </w:pPr>
            <w:r w:rsidRPr="009C1492">
              <w:t>Moderate actions</w:t>
            </w:r>
          </w:p>
        </w:tc>
        <w:tc>
          <w:tcPr>
            <w:tcW w:w="3150" w:type="dxa"/>
          </w:tcPr>
          <w:p w14:paraId="0116C22C" w14:textId="019D8A5B" w:rsidR="00FF5332" w:rsidRDefault="00FF5332" w:rsidP="00FF5332">
            <w:pPr>
              <w:pStyle w:val="SCVtablebody"/>
            </w:pPr>
            <w:r>
              <w:t>Eliminate look- and sound-alikes</w:t>
            </w:r>
          </w:p>
        </w:tc>
        <w:tc>
          <w:tcPr>
            <w:tcW w:w="4984" w:type="dxa"/>
          </w:tcPr>
          <w:p w14:paraId="6123C156" w14:textId="5104BC91" w:rsidR="00FF5332" w:rsidRDefault="00FF5332" w:rsidP="00FF5332">
            <w:pPr>
              <w:pStyle w:val="SCVtablebody"/>
            </w:pPr>
            <w:r>
              <w:t xml:space="preserve">Do not store lookalikes next to one another in the medication room </w:t>
            </w:r>
          </w:p>
        </w:tc>
      </w:tr>
      <w:tr w:rsidR="00FF5332" w14:paraId="04DEAB21" w14:textId="77777777" w:rsidTr="00FF5332">
        <w:tc>
          <w:tcPr>
            <w:tcW w:w="2070" w:type="dxa"/>
          </w:tcPr>
          <w:p w14:paraId="2759BA29" w14:textId="76A10879" w:rsidR="00FF5332" w:rsidRDefault="00FF5332" w:rsidP="00FF5332">
            <w:pPr>
              <w:pStyle w:val="SCVtablebody"/>
            </w:pPr>
            <w:r w:rsidRPr="009C1492">
              <w:t>Moderate actions</w:t>
            </w:r>
          </w:p>
        </w:tc>
        <w:tc>
          <w:tcPr>
            <w:tcW w:w="3150" w:type="dxa"/>
          </w:tcPr>
          <w:p w14:paraId="38477383" w14:textId="1B7CB119" w:rsidR="00FF5332" w:rsidRDefault="00FF5332" w:rsidP="00FF5332">
            <w:pPr>
              <w:pStyle w:val="SCVtablebody"/>
            </w:pPr>
            <w:r>
              <w:t>Standardised communication tools</w:t>
            </w:r>
          </w:p>
        </w:tc>
        <w:tc>
          <w:tcPr>
            <w:tcW w:w="4984" w:type="dxa"/>
          </w:tcPr>
          <w:p w14:paraId="28274068" w14:textId="06B1304C" w:rsidR="00FF5332" w:rsidRDefault="00FF5332" w:rsidP="00FF5332">
            <w:pPr>
              <w:pStyle w:val="SCVtablebody"/>
            </w:pPr>
            <w:r>
              <w:t xml:space="preserve">Use read-back for all critical lab values; use read-back or repeat-back for all verbal medication orders, use a standardised patient handover format </w:t>
            </w:r>
          </w:p>
        </w:tc>
      </w:tr>
      <w:tr w:rsidR="00FF5332" w14:paraId="2DDAF66F" w14:textId="77777777" w:rsidTr="00FF5332">
        <w:tc>
          <w:tcPr>
            <w:tcW w:w="2070" w:type="dxa"/>
          </w:tcPr>
          <w:p w14:paraId="507B0E3D" w14:textId="39A14BDA" w:rsidR="00FF5332" w:rsidRDefault="00FF5332" w:rsidP="00793823">
            <w:pPr>
              <w:pStyle w:val="SCVtablebody"/>
            </w:pPr>
            <w:r>
              <w:t>Weak actions</w:t>
            </w:r>
          </w:p>
        </w:tc>
        <w:tc>
          <w:tcPr>
            <w:tcW w:w="3150" w:type="dxa"/>
          </w:tcPr>
          <w:p w14:paraId="1BDE0AB6" w14:textId="3BA82E95" w:rsidR="00FF5332" w:rsidRDefault="00FF5332" w:rsidP="00793823">
            <w:pPr>
              <w:pStyle w:val="SCVtablebody"/>
            </w:pPr>
            <w:r>
              <w:t>Double checks</w:t>
            </w:r>
          </w:p>
        </w:tc>
        <w:tc>
          <w:tcPr>
            <w:tcW w:w="4984" w:type="dxa"/>
          </w:tcPr>
          <w:p w14:paraId="304DA5B6" w14:textId="42BB9105" w:rsidR="00FF5332" w:rsidRDefault="00FF5332" w:rsidP="00793823">
            <w:pPr>
              <w:pStyle w:val="SCVtablebody"/>
            </w:pPr>
            <w:r>
              <w:t>One person calculates dosage, another person reviews their calculation</w:t>
            </w:r>
          </w:p>
        </w:tc>
      </w:tr>
      <w:tr w:rsidR="00FF5332" w14:paraId="22F70DBA" w14:textId="77777777" w:rsidTr="00FF5332">
        <w:tc>
          <w:tcPr>
            <w:tcW w:w="2070" w:type="dxa"/>
          </w:tcPr>
          <w:p w14:paraId="1AB5E918" w14:textId="1D2CD699" w:rsidR="00FF5332" w:rsidRDefault="00FF5332" w:rsidP="00793823">
            <w:pPr>
              <w:pStyle w:val="SCVtablebody"/>
            </w:pPr>
            <w:r>
              <w:t>Weak actions</w:t>
            </w:r>
          </w:p>
        </w:tc>
        <w:tc>
          <w:tcPr>
            <w:tcW w:w="3150" w:type="dxa"/>
          </w:tcPr>
          <w:p w14:paraId="4FBC0EF1" w14:textId="402B4A90" w:rsidR="00FF5332" w:rsidRDefault="00FF5332" w:rsidP="00793823">
            <w:pPr>
              <w:pStyle w:val="SCVtablebody"/>
            </w:pPr>
            <w:r>
              <w:t>Warnings</w:t>
            </w:r>
          </w:p>
        </w:tc>
        <w:tc>
          <w:tcPr>
            <w:tcW w:w="4984" w:type="dxa"/>
          </w:tcPr>
          <w:p w14:paraId="7C96097D" w14:textId="4A373365" w:rsidR="00FF5332" w:rsidRDefault="00FF5332" w:rsidP="00793823">
            <w:pPr>
              <w:pStyle w:val="SCVtablebody"/>
            </w:pPr>
            <w:r>
              <w:t>Add audible alarms or caution labels</w:t>
            </w:r>
          </w:p>
        </w:tc>
      </w:tr>
      <w:tr w:rsidR="00FF5332" w14:paraId="708CD090" w14:textId="77777777" w:rsidTr="00FF5332">
        <w:tc>
          <w:tcPr>
            <w:tcW w:w="2070" w:type="dxa"/>
          </w:tcPr>
          <w:p w14:paraId="2FE3A512" w14:textId="3CC05F98" w:rsidR="00FF5332" w:rsidRDefault="00FF5332" w:rsidP="00793823">
            <w:pPr>
              <w:pStyle w:val="SCVtablebody"/>
            </w:pPr>
            <w:r>
              <w:t>Weak actions</w:t>
            </w:r>
          </w:p>
        </w:tc>
        <w:tc>
          <w:tcPr>
            <w:tcW w:w="3150" w:type="dxa"/>
          </w:tcPr>
          <w:p w14:paraId="4B407C54" w14:textId="1568670E" w:rsidR="00FF5332" w:rsidRDefault="00FF5332" w:rsidP="00793823">
            <w:pPr>
              <w:pStyle w:val="SCVtablebody"/>
            </w:pPr>
            <w:r>
              <w:t>New procedure/memorandum/policy</w:t>
            </w:r>
          </w:p>
        </w:tc>
        <w:tc>
          <w:tcPr>
            <w:tcW w:w="4984" w:type="dxa"/>
          </w:tcPr>
          <w:p w14:paraId="03EE85BA" w14:textId="225BBBA1" w:rsidR="00FF5332" w:rsidRDefault="00FF5332" w:rsidP="00793823">
            <w:pPr>
              <w:pStyle w:val="SCVtablebody"/>
            </w:pPr>
            <w:r>
              <w:t>Remember to check intravenous sites every two hours</w:t>
            </w:r>
          </w:p>
        </w:tc>
      </w:tr>
      <w:tr w:rsidR="00FF5332" w14:paraId="56BF7C32" w14:textId="77777777" w:rsidTr="00FF5332">
        <w:tc>
          <w:tcPr>
            <w:tcW w:w="2070" w:type="dxa"/>
          </w:tcPr>
          <w:p w14:paraId="7BCD6855" w14:textId="6A81A019" w:rsidR="00FF5332" w:rsidRDefault="00FF5332" w:rsidP="00793823">
            <w:pPr>
              <w:pStyle w:val="SCVtablebody"/>
            </w:pPr>
            <w:r>
              <w:t xml:space="preserve">Weak actions </w:t>
            </w:r>
            <w:r>
              <w:tab/>
            </w:r>
          </w:p>
        </w:tc>
        <w:tc>
          <w:tcPr>
            <w:tcW w:w="3150" w:type="dxa"/>
          </w:tcPr>
          <w:p w14:paraId="122890D9" w14:textId="11D4F34E" w:rsidR="00FF5332" w:rsidRDefault="00FF5332" w:rsidP="00793823">
            <w:pPr>
              <w:pStyle w:val="SCVtablebody"/>
            </w:pPr>
            <w:r>
              <w:t>Training</w:t>
            </w:r>
          </w:p>
        </w:tc>
        <w:tc>
          <w:tcPr>
            <w:tcW w:w="4984" w:type="dxa"/>
          </w:tcPr>
          <w:p w14:paraId="394993FF" w14:textId="13632D95" w:rsidR="00FF5332" w:rsidRDefault="00FF5332" w:rsidP="00793823">
            <w:pPr>
              <w:pStyle w:val="SCVtablebody"/>
            </w:pPr>
            <w:r>
              <w:t xml:space="preserve">Demonstrate the defibrillator during an </w:t>
            </w:r>
            <w:proofErr w:type="spellStart"/>
            <w:r>
              <w:t>inservice</w:t>
            </w:r>
            <w:proofErr w:type="spellEnd"/>
            <w:r>
              <w:t xml:space="preserve"> training</w:t>
            </w:r>
          </w:p>
        </w:tc>
      </w:tr>
    </w:tbl>
    <w:p w14:paraId="25A49FF0" w14:textId="1E8E61D2" w:rsidR="00152EC1" w:rsidRDefault="00152EC1" w:rsidP="00FF5332">
      <w:pPr>
        <w:pStyle w:val="SCVtablebody"/>
      </w:pPr>
    </w:p>
    <w:sectPr w:rsidR="00152EC1" w:rsidSect="005171D2">
      <w:headerReference w:type="even" r:id="rId79"/>
      <w:headerReference w:type="default" r:id="rId80"/>
      <w:footerReference w:type="even" r:id="rId81"/>
      <w:footerReference w:type="default" r:id="rId82"/>
      <w:pgSz w:w="11906" w:h="16838" w:code="9"/>
      <w:pgMar w:top="2880" w:right="850" w:bottom="1368" w:left="850" w:header="85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693B2" w14:textId="77777777" w:rsidR="00863D62" w:rsidRDefault="00863D62" w:rsidP="002D711A">
      <w:pPr>
        <w:spacing w:after="0" w:line="240" w:lineRule="auto"/>
      </w:pPr>
      <w:r>
        <w:separator/>
      </w:r>
    </w:p>
  </w:endnote>
  <w:endnote w:type="continuationSeparator" w:id="0">
    <w:p w14:paraId="26A3E241" w14:textId="77777777" w:rsidR="00863D62" w:rsidRDefault="00863D62"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C451E" w14:textId="77777777" w:rsidR="00C50A2B" w:rsidRDefault="00651BA6">
    <w:pPr>
      <w:pStyle w:val="Footer"/>
    </w:pPr>
    <w:r>
      <mc:AlternateContent>
        <mc:Choice Requires="wps">
          <w:drawing>
            <wp:anchor distT="0" distB="0" distL="114300" distR="114300" simplePos="0" relativeHeight="251722752" behindDoc="0" locked="0" layoutInCell="0" allowOverlap="1" wp14:anchorId="1812CD6D" wp14:editId="245F9EB3">
              <wp:simplePos x="0" y="0"/>
              <wp:positionH relativeFrom="page">
                <wp:posOffset>0</wp:posOffset>
              </wp:positionH>
              <wp:positionV relativeFrom="page">
                <wp:posOffset>10189687</wp:posOffset>
              </wp:positionV>
              <wp:extent cx="7560310" cy="311785"/>
              <wp:effectExtent l="0" t="0" r="0" b="12065"/>
              <wp:wrapNone/>
              <wp:docPr id="8" name="MSIPCM85da41e59cf8990602f6e330"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6F7964"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12CD6D" id="_x0000_t202" coordsize="21600,21600" o:spt="202" path="m,l,21600r21600,l21600,xe">
              <v:stroke joinstyle="miter"/>
              <v:path gradientshapeok="t" o:connecttype="rect"/>
            </v:shapetype>
            <v:shape id="MSIPCM85da41e59cf8990602f6e330"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722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D6F7964"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C9E8" w14:textId="77777777" w:rsidR="00C50A2B" w:rsidRPr="006B337A" w:rsidRDefault="00651BA6" w:rsidP="006B337A">
    <w:pPr>
      <w:pStyle w:val="SCVheaderempty"/>
    </w:pPr>
    <w:r>
      <w:rPr>
        <w:noProof/>
      </w:rPr>
      <mc:AlternateContent>
        <mc:Choice Requires="wps">
          <w:drawing>
            <wp:anchor distT="0" distB="0" distL="114300" distR="114300" simplePos="0" relativeHeight="251721728" behindDoc="0" locked="0" layoutInCell="0" allowOverlap="1" wp14:anchorId="0357F32D" wp14:editId="6018B706">
              <wp:simplePos x="0" y="0"/>
              <wp:positionH relativeFrom="page">
                <wp:posOffset>0</wp:posOffset>
              </wp:positionH>
              <wp:positionV relativeFrom="page">
                <wp:posOffset>10189210</wp:posOffset>
              </wp:positionV>
              <wp:extent cx="7560310" cy="311785"/>
              <wp:effectExtent l="0" t="0" r="0" b="12065"/>
              <wp:wrapNone/>
              <wp:docPr id="2" name="MSIPCM4fe946caa31db4b464ad4a8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142AB3"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57F32D" id="_x0000_t202" coordsize="21600,21600" o:spt="202" path="m,l,21600r21600,l21600,xe">
              <v:stroke joinstyle="miter"/>
              <v:path gradientshapeok="t" o:connecttype="rect"/>
            </v:shapetype>
            <v:shape id="MSIPCM4fe946caa31db4b464ad4a8e"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721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5142AB3"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C85BE" w14:textId="77777777" w:rsidR="00C50A2B" w:rsidRPr="002A5891" w:rsidRDefault="00651BA6" w:rsidP="006B337A">
    <w:pPr>
      <w:pStyle w:val="SCVfooterempty"/>
    </w:pPr>
    <w:r>
      <w:rPr>
        <w:noProof/>
      </w:rPr>
      <mc:AlternateContent>
        <mc:Choice Requires="wps">
          <w:drawing>
            <wp:anchor distT="0" distB="0" distL="114300" distR="114300" simplePos="0" relativeHeight="251724800" behindDoc="0" locked="0" layoutInCell="0" allowOverlap="1" wp14:anchorId="71CF2ADA" wp14:editId="33ABE71B">
              <wp:simplePos x="0" y="0"/>
              <wp:positionH relativeFrom="page">
                <wp:posOffset>0</wp:posOffset>
              </wp:positionH>
              <wp:positionV relativeFrom="page">
                <wp:posOffset>10189210</wp:posOffset>
              </wp:positionV>
              <wp:extent cx="7560310" cy="311785"/>
              <wp:effectExtent l="0" t="0" r="0" b="12065"/>
              <wp:wrapNone/>
              <wp:docPr id="14" name="MSIPCM95f549839bdbab76079cfd26"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CB6E4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CF2ADA" id="_x0000_t202" coordsize="21600,21600" o:spt="202" path="m,l,21600r21600,l21600,xe">
              <v:stroke joinstyle="miter"/>
              <v:path gradientshapeok="t" o:connecttype="rect"/>
            </v:shapetype>
            <v:shape id="MSIPCM95f549839bdbab76079cfd26"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724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1CB6E4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5CED" w14:textId="77777777" w:rsidR="00C50A2B" w:rsidRPr="00F57F3B" w:rsidRDefault="007B50A7" w:rsidP="00F57F3B">
    <w:pPr>
      <w:pStyle w:val="Footer"/>
    </w:pPr>
    <w:r>
      <mc:AlternateContent>
        <mc:Choice Requires="wps">
          <w:drawing>
            <wp:anchor distT="0" distB="0" distL="114300" distR="114300" simplePos="0" relativeHeight="251731968" behindDoc="0" locked="0" layoutInCell="0" allowOverlap="1" wp14:anchorId="64CDBEAA" wp14:editId="44186104">
              <wp:simplePos x="0" y="0"/>
              <wp:positionH relativeFrom="page">
                <wp:posOffset>0</wp:posOffset>
              </wp:positionH>
              <wp:positionV relativeFrom="page">
                <wp:posOffset>10189210</wp:posOffset>
              </wp:positionV>
              <wp:extent cx="7560310" cy="311785"/>
              <wp:effectExtent l="0" t="0" r="0" b="12065"/>
              <wp:wrapNone/>
              <wp:docPr id="5" name="MSIPCM2eec48c383ffeff6c2ba328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EB9E5" w14:textId="77777777" w:rsidR="007B50A7" w:rsidRPr="007B50A7" w:rsidRDefault="007B50A7" w:rsidP="007B50A7">
                          <w:pPr>
                            <w:spacing w:before="0" w:after="0"/>
                            <w:jc w:val="center"/>
                            <w:rPr>
                              <w:rFonts w:ascii="Arial Black" w:hAnsi="Arial Black"/>
                              <w:color w:val="000000"/>
                            </w:rPr>
                          </w:pPr>
                          <w:r w:rsidRPr="007B50A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CDBEAA" id="_x0000_t202" coordsize="21600,21600" o:spt="202" path="m,l,21600r21600,l21600,xe">
              <v:stroke joinstyle="miter"/>
              <v:path gradientshapeok="t" o:connecttype="rect"/>
            </v:shapetype>
            <v:shape id="MSIPCM2eec48c383ffeff6c2ba328f"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731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0DEB9E5" w14:textId="77777777" w:rsidR="007B50A7" w:rsidRPr="007B50A7" w:rsidRDefault="007B50A7" w:rsidP="007B50A7">
                    <w:pPr>
                      <w:spacing w:before="0" w:after="0"/>
                      <w:jc w:val="center"/>
                      <w:rPr>
                        <w:rFonts w:ascii="Arial Black" w:hAnsi="Arial Black"/>
                        <w:color w:val="000000"/>
                      </w:rPr>
                    </w:pPr>
                    <w:r w:rsidRPr="007B50A7">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9E532" w14:textId="77777777" w:rsidR="00C50A2B" w:rsidRDefault="00C50A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42B80" w14:textId="77777777" w:rsidR="00C50A2B" w:rsidRPr="002A5891" w:rsidRDefault="00B533B5" w:rsidP="00BC437C">
    <w:pPr>
      <w:pStyle w:val="SCVfooterempty"/>
    </w:pPr>
    <w:r>
      <w:rPr>
        <w:noProof/>
      </w:rPr>
      <mc:AlternateContent>
        <mc:Choice Requires="wps">
          <w:drawing>
            <wp:anchor distT="0" distB="0" distL="114300" distR="114300" simplePos="0" relativeHeight="251730944" behindDoc="0" locked="0" layoutInCell="0" allowOverlap="1" wp14:anchorId="083D2364" wp14:editId="2C83678E">
              <wp:simplePos x="0" y="0"/>
              <wp:positionH relativeFrom="page">
                <wp:posOffset>0</wp:posOffset>
              </wp:positionH>
              <wp:positionV relativeFrom="page">
                <wp:posOffset>10189687</wp:posOffset>
              </wp:positionV>
              <wp:extent cx="7560310" cy="311785"/>
              <wp:effectExtent l="0" t="0" r="0" b="12065"/>
              <wp:wrapNone/>
              <wp:docPr id="4" name="MSIPCMf23947a4bb1f3d4817ef4c5c"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9315E" w14:textId="77777777" w:rsidR="00B533B5" w:rsidRPr="00B533B5" w:rsidRDefault="00B533B5" w:rsidP="00B533B5">
                          <w:pPr>
                            <w:spacing w:before="0" w:after="0"/>
                            <w:jc w:val="center"/>
                            <w:rPr>
                              <w:rFonts w:ascii="Arial Black" w:hAnsi="Arial Black"/>
                              <w:color w:val="000000"/>
                            </w:rPr>
                          </w:pPr>
                          <w:r w:rsidRPr="00B533B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3D2364" id="_x0000_t202" coordsize="21600,21600" o:spt="202" path="m,l,21600r21600,l21600,xe">
              <v:stroke joinstyle="miter"/>
              <v:path gradientshapeok="t" o:connecttype="rect"/>
            </v:shapetype>
            <v:shape id="MSIPCMf23947a4bb1f3d4817ef4c5c" o:spid="_x0000_s1030" type="#_x0000_t202" alt="{&quot;HashCode&quot;:904758361,&quot;Height&quot;:841.0,&quot;Width&quot;:595.0,&quot;Placement&quot;:&quot;Footer&quot;,&quot;Index&quot;:&quot;OddAndEven&quot;,&quot;Section&quot;:4,&quot;Top&quot;:0.0,&quot;Left&quot;:0.0}" style="position:absolute;margin-left:0;margin-top:802.35pt;width:595.3pt;height:24.55pt;z-index:251730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0479315E" w14:textId="77777777" w:rsidR="00B533B5" w:rsidRPr="00B533B5" w:rsidRDefault="00B533B5" w:rsidP="00B533B5">
                    <w:pPr>
                      <w:spacing w:before="0" w:after="0"/>
                      <w:jc w:val="center"/>
                      <w:rPr>
                        <w:rFonts w:ascii="Arial Black" w:hAnsi="Arial Black"/>
                        <w:color w:val="000000"/>
                      </w:rPr>
                    </w:pPr>
                    <w:r w:rsidRPr="00B533B5">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728896" behindDoc="0" locked="0" layoutInCell="0" allowOverlap="1" wp14:anchorId="48287D37" wp14:editId="54587D86">
              <wp:simplePos x="0" y="0"/>
              <wp:positionH relativeFrom="page">
                <wp:posOffset>0</wp:posOffset>
              </wp:positionH>
              <wp:positionV relativeFrom="page">
                <wp:posOffset>10189687</wp:posOffset>
              </wp:positionV>
              <wp:extent cx="7560310" cy="311785"/>
              <wp:effectExtent l="0" t="0" r="0" b="12065"/>
              <wp:wrapNone/>
              <wp:docPr id="20" name="MSIPCMd08d4d098ab544d95265a8fb"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9F6C0C"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287D37" id="MSIPCMd08d4d098ab544d95265a8fb" o:spid="_x0000_s1031" type="#_x0000_t202" alt="{&quot;HashCode&quot;:904758361,&quot;Height&quot;:841.0,&quot;Width&quot;:595.0,&quot;Placement&quot;:&quot;Footer&quot;,&quot;Index&quot;:&quot;OddAndEven&quot;,&quot;Section&quot;:5,&quot;Top&quot;:0.0,&quot;Left&quot;:0.0}" style="position:absolute;margin-left:0;margin-top:802.35pt;width:595.3pt;height:24.55pt;z-index:251728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B9F6C0C"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66837" w14:textId="77777777" w:rsidR="00C50A2B" w:rsidRPr="002A5891" w:rsidRDefault="00B533B5" w:rsidP="00BC437C">
    <w:pPr>
      <w:pStyle w:val="SCVfooterempty"/>
    </w:pPr>
    <w:r>
      <w:rPr>
        <w:noProof/>
      </w:rPr>
      <mc:AlternateContent>
        <mc:Choice Requires="wps">
          <w:drawing>
            <wp:anchor distT="0" distB="0" distL="114300" distR="114300" simplePos="0" relativeHeight="251729920" behindDoc="0" locked="0" layoutInCell="0" allowOverlap="1" wp14:anchorId="61D44FA6" wp14:editId="29008892">
              <wp:simplePos x="0" y="0"/>
              <wp:positionH relativeFrom="page">
                <wp:posOffset>0</wp:posOffset>
              </wp:positionH>
              <wp:positionV relativeFrom="page">
                <wp:posOffset>10189210</wp:posOffset>
              </wp:positionV>
              <wp:extent cx="7560310" cy="311785"/>
              <wp:effectExtent l="0" t="0" r="0" b="12065"/>
              <wp:wrapNone/>
              <wp:docPr id="3" name="MSIPCMa86f41f7acc232de8e835610"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503B6F" w14:textId="77777777" w:rsidR="00B533B5" w:rsidRPr="00B533B5" w:rsidRDefault="00B533B5" w:rsidP="00B533B5">
                          <w:pPr>
                            <w:spacing w:before="0" w:after="0"/>
                            <w:jc w:val="center"/>
                            <w:rPr>
                              <w:rFonts w:ascii="Arial Black" w:hAnsi="Arial Black"/>
                              <w:color w:val="000000"/>
                            </w:rPr>
                          </w:pPr>
                          <w:r w:rsidRPr="00B533B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44FA6" id="_x0000_t202" coordsize="21600,21600" o:spt="202" path="m,l,21600r21600,l21600,xe">
              <v:stroke joinstyle="miter"/>
              <v:path gradientshapeok="t" o:connecttype="rect"/>
            </v:shapetype>
            <v:shape id="MSIPCMa86f41f7acc232de8e835610" o:spid="_x0000_s1032" type="#_x0000_t202" alt="{&quot;HashCode&quot;:904758361,&quot;Height&quot;:841.0,&quot;Width&quot;:595.0,&quot;Placement&quot;:&quot;Footer&quot;,&quot;Index&quot;:&quot;Primary&quot;,&quot;Section&quot;:4,&quot;Top&quot;:0.0,&quot;Left&quot;:0.0}" style="position:absolute;margin-left:0;margin-top:802.3pt;width:595.3pt;height:24.55pt;z-index:251729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7A503B6F" w14:textId="77777777" w:rsidR="00B533B5" w:rsidRPr="00B533B5" w:rsidRDefault="00B533B5" w:rsidP="00B533B5">
                    <w:pPr>
                      <w:spacing w:before="0" w:after="0"/>
                      <w:jc w:val="center"/>
                      <w:rPr>
                        <w:rFonts w:ascii="Arial Black" w:hAnsi="Arial Black"/>
                        <w:color w:val="000000"/>
                      </w:rPr>
                    </w:pPr>
                    <w:r w:rsidRPr="00B533B5">
                      <w:rPr>
                        <w:rFonts w:ascii="Arial Black" w:hAnsi="Arial Black"/>
                        <w:color w:val="000000"/>
                      </w:rPr>
                      <w:t>OFFICIAL</w:t>
                    </w:r>
                  </w:p>
                </w:txbxContent>
              </v:textbox>
              <w10:wrap anchorx="page" anchory="page"/>
            </v:shape>
          </w:pict>
        </mc:Fallback>
      </mc:AlternateContent>
    </w:r>
    <w:r w:rsidR="00651BA6">
      <w:rPr>
        <w:noProof/>
      </w:rPr>
      <mc:AlternateContent>
        <mc:Choice Requires="wps">
          <w:drawing>
            <wp:anchor distT="0" distB="0" distL="114300" distR="114300" simplePos="0" relativeHeight="251727872" behindDoc="0" locked="0" layoutInCell="0" allowOverlap="1" wp14:anchorId="148406C8" wp14:editId="2804F3E9">
              <wp:simplePos x="0" y="0"/>
              <wp:positionH relativeFrom="page">
                <wp:posOffset>0</wp:posOffset>
              </wp:positionH>
              <wp:positionV relativeFrom="page">
                <wp:posOffset>10189210</wp:posOffset>
              </wp:positionV>
              <wp:extent cx="7560310" cy="311785"/>
              <wp:effectExtent l="0" t="0" r="0" b="12065"/>
              <wp:wrapNone/>
              <wp:docPr id="19" name="MSIPCM27e14e23aaba14f2ae2f9ee4"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66D81"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48406C8" id="MSIPCM27e14e23aaba14f2ae2f9ee4" o:spid="_x0000_s1033" type="#_x0000_t202" alt="{&quot;HashCode&quot;:904758361,&quot;Height&quot;:841.0,&quot;Width&quot;:595.0,&quot;Placement&quot;:&quot;Footer&quot;,&quot;Index&quot;:&quot;Primary&quot;,&quot;Section&quot;:5,&quot;Top&quot;:0.0,&quot;Left&quot;:0.0}" style="position:absolute;margin-left:0;margin-top:802.3pt;width:595.3pt;height:24.55pt;z-index:251727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22C66D81"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5D2EF" w14:textId="77777777" w:rsidR="00863D62" w:rsidRDefault="00863D62" w:rsidP="00E33E08">
      <w:pPr>
        <w:spacing w:before="0" w:after="0" w:line="240" w:lineRule="auto"/>
      </w:pPr>
    </w:p>
  </w:footnote>
  <w:footnote w:type="continuationSeparator" w:id="0">
    <w:p w14:paraId="6B04EC36" w14:textId="77777777" w:rsidR="00863D62" w:rsidRDefault="00863D62"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12B1F" w14:textId="77777777" w:rsidR="00AA4288" w:rsidRDefault="005619BB" w:rsidP="00AA4288">
    <w:pPr>
      <w:pStyle w:val="SCVheaderempty"/>
    </w:pPr>
    <w:r>
      <w:rPr>
        <w:noProof/>
      </w:rPr>
      <w:drawing>
        <wp:anchor distT="0" distB="0" distL="114300" distR="114300" simplePos="0" relativeHeight="251716608" behindDoc="1" locked="1" layoutInCell="1" allowOverlap="1" wp14:anchorId="3DF94F31" wp14:editId="205FD8F4">
          <wp:simplePos x="0" y="0"/>
          <wp:positionH relativeFrom="page">
            <wp:align>left</wp:align>
          </wp:positionH>
          <wp:positionV relativeFrom="page">
            <wp:align>top</wp:align>
          </wp:positionV>
          <wp:extent cx="7563600" cy="10697040"/>
          <wp:effectExtent l="0" t="0" r="0" b="9525"/>
          <wp:wrapNone/>
          <wp:docPr id="1" name="Picture 1"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3119" w14:textId="202DF148" w:rsidR="00C50A2B" w:rsidRDefault="00C50A2B" w:rsidP="00947A0F">
    <w:pPr>
      <w:pStyle w:val="SCVhead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C95AF" w14:textId="77777777" w:rsidR="000C0AE9" w:rsidRDefault="000C0AE9" w:rsidP="00AA4288">
    <w:pPr>
      <w:pStyle w:val="SCVheaderempty"/>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CE8D0" w14:textId="77777777" w:rsidR="00C50A2B" w:rsidRDefault="00C50A2B" w:rsidP="0086277A">
    <w:pPr>
      <w:pStyle w:val="NoSpac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9569" w14:textId="6F8ADFE1" w:rsidR="00C50A2B" w:rsidRDefault="00C50A2B" w:rsidP="006B337A">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ED648" w14:textId="1D8E1A12" w:rsidR="00C50A2B" w:rsidRDefault="00C50A2B" w:rsidP="00BC437C">
    <w:pPr>
      <w:pStyle w:val="SCVheaderempt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4B5B"/>
    <w:multiLevelType w:val="multilevel"/>
    <w:tmpl w:val="6B06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25F6D"/>
    <w:multiLevelType w:val="hybridMultilevel"/>
    <w:tmpl w:val="0E924A5E"/>
    <w:lvl w:ilvl="0" w:tplc="5FDCE7B8">
      <w:start w:val="1"/>
      <w:numFmt w:val="decimal"/>
      <w:lvlText w:val="%1."/>
      <w:lvlJc w:val="left"/>
      <w:pPr>
        <w:ind w:left="720" w:hanging="360"/>
      </w:pPr>
      <w:rPr>
        <w:rFonts w:ascii="Arial" w:hAnsi="Arial" w:cs="Arial" w:hint="default"/>
        <w:color w:val="2222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554BA9"/>
    <w:multiLevelType w:val="hybridMultilevel"/>
    <w:tmpl w:val="B5BEC6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55405"/>
    <w:multiLevelType w:val="hybridMultilevel"/>
    <w:tmpl w:val="019067B0"/>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26FF3"/>
    <w:multiLevelType w:val="multilevel"/>
    <w:tmpl w:val="3A64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0B00AB"/>
    <w:multiLevelType w:val="hybridMultilevel"/>
    <w:tmpl w:val="BE22B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8137B2"/>
    <w:multiLevelType w:val="hybridMultilevel"/>
    <w:tmpl w:val="E766ED20"/>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80843"/>
    <w:multiLevelType w:val="hybridMultilevel"/>
    <w:tmpl w:val="4DB8249A"/>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A079E"/>
    <w:multiLevelType w:val="multilevel"/>
    <w:tmpl w:val="EF1E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E891D52"/>
    <w:multiLevelType w:val="hybridMultilevel"/>
    <w:tmpl w:val="333E6250"/>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2474D"/>
    <w:multiLevelType w:val="hybridMultilevel"/>
    <w:tmpl w:val="3664F178"/>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250A3"/>
    <w:multiLevelType w:val="hybridMultilevel"/>
    <w:tmpl w:val="A844B75E"/>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F7F87"/>
    <w:multiLevelType w:val="multilevel"/>
    <w:tmpl w:val="5F0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476CBA"/>
    <w:multiLevelType w:val="hybridMultilevel"/>
    <w:tmpl w:val="F21A90EA"/>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A5655"/>
    <w:multiLevelType w:val="multilevel"/>
    <w:tmpl w:val="0D7C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226D96"/>
    <w:multiLevelType w:val="multilevel"/>
    <w:tmpl w:val="DB7E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E24AFF"/>
    <w:multiLevelType w:val="multilevel"/>
    <w:tmpl w:val="AED8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D232EF"/>
    <w:multiLevelType w:val="hybridMultilevel"/>
    <w:tmpl w:val="5B86964E"/>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0" w15:restartNumberingAfterBreak="0">
    <w:nsid w:val="396520A7"/>
    <w:multiLevelType w:val="hybridMultilevel"/>
    <w:tmpl w:val="9B2A4AF0"/>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71318"/>
    <w:multiLevelType w:val="hybridMultilevel"/>
    <w:tmpl w:val="799C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672E8A"/>
    <w:multiLevelType w:val="hybridMultilevel"/>
    <w:tmpl w:val="1CAA26CE"/>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8B1C98"/>
    <w:multiLevelType w:val="hybridMultilevel"/>
    <w:tmpl w:val="6F988292"/>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C14EA1"/>
    <w:multiLevelType w:val="hybridMultilevel"/>
    <w:tmpl w:val="67A0E7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E2239B"/>
    <w:multiLevelType w:val="multilevel"/>
    <w:tmpl w:val="48C8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27" w15:restartNumberingAfterBreak="0">
    <w:nsid w:val="3FB71E28"/>
    <w:multiLevelType w:val="hybridMultilevel"/>
    <w:tmpl w:val="457CFAF8"/>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291FB1"/>
    <w:multiLevelType w:val="hybridMultilevel"/>
    <w:tmpl w:val="16D2C4AC"/>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B22FF3"/>
    <w:multiLevelType w:val="multilevel"/>
    <w:tmpl w:val="66E8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EE198B"/>
    <w:multiLevelType w:val="hybridMultilevel"/>
    <w:tmpl w:val="CDDC26B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31C43C6"/>
    <w:multiLevelType w:val="hybridMultilevel"/>
    <w:tmpl w:val="83FCFA64"/>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4947B9"/>
    <w:multiLevelType w:val="hybridMultilevel"/>
    <w:tmpl w:val="91527DCE"/>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AC7B15"/>
    <w:multiLevelType w:val="hybridMultilevel"/>
    <w:tmpl w:val="76483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534B1D"/>
    <w:multiLevelType w:val="multilevel"/>
    <w:tmpl w:val="D50A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CD22C3"/>
    <w:multiLevelType w:val="hybridMultilevel"/>
    <w:tmpl w:val="0D329826"/>
    <w:lvl w:ilvl="0" w:tplc="03F89754">
      <w:start w:val="1"/>
      <w:numFmt w:val="decimal"/>
      <w:lvlText w:val="%1."/>
      <w:lvlJc w:val="left"/>
      <w:pPr>
        <w:ind w:left="720" w:hanging="360"/>
      </w:pPr>
      <w:rPr>
        <w:rFonts w:ascii="Arial" w:hAnsi="Arial" w:cs="Arial" w:hint="default"/>
        <w:color w:val="2222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E4288F"/>
    <w:multiLevelType w:val="hybridMultilevel"/>
    <w:tmpl w:val="5CF8233E"/>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6C6DD3"/>
    <w:multiLevelType w:val="hybridMultilevel"/>
    <w:tmpl w:val="FBD000E0"/>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4D1C7208"/>
    <w:multiLevelType w:val="multilevel"/>
    <w:tmpl w:val="B956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D7E1A82"/>
    <w:multiLevelType w:val="multilevel"/>
    <w:tmpl w:val="60C2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DB673EC"/>
    <w:multiLevelType w:val="hybridMultilevel"/>
    <w:tmpl w:val="CCA09A44"/>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517E89"/>
    <w:multiLevelType w:val="hybridMultilevel"/>
    <w:tmpl w:val="5B1C9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7D7A1F"/>
    <w:multiLevelType w:val="hybridMultilevel"/>
    <w:tmpl w:val="99DE4920"/>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610B4B"/>
    <w:multiLevelType w:val="hybridMultilevel"/>
    <w:tmpl w:val="01CC368A"/>
    <w:lvl w:ilvl="0" w:tplc="CEC86EDE">
      <w:start w:val="1"/>
      <w:numFmt w:val="bullet"/>
      <w:lvlText w:val=""/>
      <w:lvlJc w:val="left"/>
      <w:pPr>
        <w:ind w:left="720" w:hanging="360"/>
      </w:pPr>
      <w:rPr>
        <w:rFonts w:ascii="Symbol" w:hAnsi="Symbol" w:hint="default"/>
      </w:rPr>
    </w:lvl>
    <w:lvl w:ilvl="1" w:tplc="D7D24716">
      <w:start w:val="1"/>
      <w:numFmt w:val="bullet"/>
      <w:lvlText w:val="o"/>
      <w:lvlJc w:val="left"/>
      <w:pPr>
        <w:ind w:left="1440" w:hanging="360"/>
      </w:pPr>
      <w:rPr>
        <w:rFonts w:ascii="Courier New" w:hAnsi="Courier New" w:hint="default"/>
      </w:rPr>
    </w:lvl>
    <w:lvl w:ilvl="2" w:tplc="6840F272">
      <w:start w:val="1"/>
      <w:numFmt w:val="bullet"/>
      <w:lvlText w:val=""/>
      <w:lvlJc w:val="left"/>
      <w:pPr>
        <w:ind w:left="2160" w:hanging="360"/>
      </w:pPr>
      <w:rPr>
        <w:rFonts w:ascii="Wingdings" w:hAnsi="Wingdings" w:hint="default"/>
      </w:rPr>
    </w:lvl>
    <w:lvl w:ilvl="3" w:tplc="924045F0">
      <w:start w:val="1"/>
      <w:numFmt w:val="bullet"/>
      <w:lvlText w:val=""/>
      <w:lvlJc w:val="left"/>
      <w:pPr>
        <w:ind w:left="2880" w:hanging="360"/>
      </w:pPr>
      <w:rPr>
        <w:rFonts w:ascii="Symbol" w:hAnsi="Symbol" w:hint="default"/>
      </w:rPr>
    </w:lvl>
    <w:lvl w:ilvl="4" w:tplc="695425DA">
      <w:start w:val="1"/>
      <w:numFmt w:val="bullet"/>
      <w:lvlText w:val="o"/>
      <w:lvlJc w:val="left"/>
      <w:pPr>
        <w:ind w:left="3600" w:hanging="360"/>
      </w:pPr>
      <w:rPr>
        <w:rFonts w:ascii="Courier New" w:hAnsi="Courier New" w:hint="default"/>
      </w:rPr>
    </w:lvl>
    <w:lvl w:ilvl="5" w:tplc="A3323AEA">
      <w:start w:val="1"/>
      <w:numFmt w:val="bullet"/>
      <w:lvlText w:val=""/>
      <w:lvlJc w:val="left"/>
      <w:pPr>
        <w:ind w:left="4320" w:hanging="360"/>
      </w:pPr>
      <w:rPr>
        <w:rFonts w:ascii="Wingdings" w:hAnsi="Wingdings" w:hint="default"/>
      </w:rPr>
    </w:lvl>
    <w:lvl w:ilvl="6" w:tplc="A6F0E210">
      <w:start w:val="1"/>
      <w:numFmt w:val="bullet"/>
      <w:lvlText w:val=""/>
      <w:lvlJc w:val="left"/>
      <w:pPr>
        <w:ind w:left="5040" w:hanging="360"/>
      </w:pPr>
      <w:rPr>
        <w:rFonts w:ascii="Symbol" w:hAnsi="Symbol" w:hint="default"/>
      </w:rPr>
    </w:lvl>
    <w:lvl w:ilvl="7" w:tplc="2DA2E564">
      <w:start w:val="1"/>
      <w:numFmt w:val="bullet"/>
      <w:lvlText w:val="o"/>
      <w:lvlJc w:val="left"/>
      <w:pPr>
        <w:ind w:left="5760" w:hanging="360"/>
      </w:pPr>
      <w:rPr>
        <w:rFonts w:ascii="Courier New" w:hAnsi="Courier New" w:hint="default"/>
      </w:rPr>
    </w:lvl>
    <w:lvl w:ilvl="8" w:tplc="D59AF60C">
      <w:start w:val="1"/>
      <w:numFmt w:val="bullet"/>
      <w:lvlText w:val=""/>
      <w:lvlJc w:val="left"/>
      <w:pPr>
        <w:ind w:left="6480" w:hanging="360"/>
      </w:pPr>
      <w:rPr>
        <w:rFonts w:ascii="Wingdings" w:hAnsi="Wingdings" w:hint="default"/>
      </w:rPr>
    </w:lvl>
  </w:abstractNum>
  <w:abstractNum w:abstractNumId="45" w15:restartNumberingAfterBreak="0">
    <w:nsid w:val="53E37F3C"/>
    <w:multiLevelType w:val="hybridMultilevel"/>
    <w:tmpl w:val="2E3620D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47" w15:restartNumberingAfterBreak="0">
    <w:nsid w:val="54311FDA"/>
    <w:multiLevelType w:val="hybridMultilevel"/>
    <w:tmpl w:val="3B14C346"/>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3753C6"/>
    <w:multiLevelType w:val="multilevel"/>
    <w:tmpl w:val="361C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9782ACF"/>
    <w:multiLevelType w:val="hybridMultilevel"/>
    <w:tmpl w:val="2F54F34E"/>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7A7170"/>
    <w:multiLevelType w:val="hybridMultilevel"/>
    <w:tmpl w:val="37DEADA8"/>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C819A2"/>
    <w:multiLevelType w:val="multilevel"/>
    <w:tmpl w:val="1DAA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D738E8"/>
    <w:multiLevelType w:val="hybridMultilevel"/>
    <w:tmpl w:val="B4DCD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4" w15:restartNumberingAfterBreak="0">
    <w:nsid w:val="616A766B"/>
    <w:multiLevelType w:val="hybridMultilevel"/>
    <w:tmpl w:val="642E8E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56" w15:restartNumberingAfterBreak="0">
    <w:nsid w:val="63587188"/>
    <w:multiLevelType w:val="hybridMultilevel"/>
    <w:tmpl w:val="6F383A92"/>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EA5D46"/>
    <w:multiLevelType w:val="hybridMultilevel"/>
    <w:tmpl w:val="17186A08"/>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CE015E"/>
    <w:multiLevelType w:val="multilevel"/>
    <w:tmpl w:val="253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50E0517"/>
    <w:multiLevelType w:val="multilevel"/>
    <w:tmpl w:val="D1E8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54F65D2"/>
    <w:multiLevelType w:val="hybridMultilevel"/>
    <w:tmpl w:val="F680268C"/>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AF25C3"/>
    <w:multiLevelType w:val="hybridMultilevel"/>
    <w:tmpl w:val="E1DC4714"/>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BE5288"/>
    <w:multiLevelType w:val="multilevel"/>
    <w:tmpl w:val="0058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6D54E65"/>
    <w:multiLevelType w:val="multilevel"/>
    <w:tmpl w:val="60B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B7E1A39"/>
    <w:multiLevelType w:val="multilevel"/>
    <w:tmpl w:val="56B0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FCE11EA"/>
    <w:multiLevelType w:val="hybridMultilevel"/>
    <w:tmpl w:val="0590BBD8"/>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08914D3"/>
    <w:multiLevelType w:val="multilevel"/>
    <w:tmpl w:val="3052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5631798"/>
    <w:multiLevelType w:val="hybridMultilevel"/>
    <w:tmpl w:val="BEE6F6C8"/>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9" w15:restartNumberingAfterBreak="0">
    <w:nsid w:val="7A2E11F1"/>
    <w:multiLevelType w:val="multilevel"/>
    <w:tmpl w:val="04268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BBD544C"/>
    <w:multiLevelType w:val="multilevel"/>
    <w:tmpl w:val="7BA8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EA606AD"/>
    <w:multiLevelType w:val="hybridMultilevel"/>
    <w:tmpl w:val="A436264A"/>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A36296"/>
    <w:multiLevelType w:val="hybridMultilevel"/>
    <w:tmpl w:val="9D6E1470"/>
    <w:lvl w:ilvl="0" w:tplc="CE7267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5434440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90504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16214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12495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44422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0943951">
    <w:abstractNumId w:val="53"/>
  </w:num>
  <w:num w:numId="7" w16cid:durableId="557860659">
    <w:abstractNumId w:val="68"/>
  </w:num>
  <w:num w:numId="8" w16cid:durableId="230774056">
    <w:abstractNumId w:val="26"/>
  </w:num>
  <w:num w:numId="9" w16cid:durableId="660351670">
    <w:abstractNumId w:val="9"/>
  </w:num>
  <w:num w:numId="10" w16cid:durableId="590508275">
    <w:abstractNumId w:val="55"/>
  </w:num>
  <w:num w:numId="11" w16cid:durableId="1708992363">
    <w:abstractNumId w:val="46"/>
  </w:num>
  <w:num w:numId="12" w16cid:durableId="670328425">
    <w:abstractNumId w:val="38"/>
  </w:num>
  <w:num w:numId="13" w16cid:durableId="1298024461">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1422530">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6561308">
    <w:abstractNumId w:val="25"/>
  </w:num>
  <w:num w:numId="16" w16cid:durableId="2119057650">
    <w:abstractNumId w:val="58"/>
  </w:num>
  <w:num w:numId="17" w16cid:durableId="1373308709">
    <w:abstractNumId w:val="48"/>
  </w:num>
  <w:num w:numId="18" w16cid:durableId="1662152320">
    <w:abstractNumId w:val="17"/>
  </w:num>
  <w:num w:numId="19" w16cid:durableId="731543240">
    <w:abstractNumId w:val="40"/>
  </w:num>
  <w:num w:numId="20" w16cid:durableId="1705668784">
    <w:abstractNumId w:val="16"/>
  </w:num>
  <w:num w:numId="21" w16cid:durableId="1132017483">
    <w:abstractNumId w:val="64"/>
  </w:num>
  <w:num w:numId="22" w16cid:durableId="937516723">
    <w:abstractNumId w:val="8"/>
  </w:num>
  <w:num w:numId="23" w16cid:durableId="1738821424">
    <w:abstractNumId w:val="59"/>
  </w:num>
  <w:num w:numId="24" w16cid:durableId="1554997104">
    <w:abstractNumId w:val="29"/>
  </w:num>
  <w:num w:numId="25" w16cid:durableId="1976176901">
    <w:abstractNumId w:val="34"/>
  </w:num>
  <w:num w:numId="26" w16cid:durableId="805582509">
    <w:abstractNumId w:val="13"/>
  </w:num>
  <w:num w:numId="27" w16cid:durableId="1543789700">
    <w:abstractNumId w:val="69"/>
  </w:num>
  <w:num w:numId="28" w16cid:durableId="1879079578">
    <w:abstractNumId w:val="62"/>
  </w:num>
  <w:num w:numId="29" w16cid:durableId="1579365981">
    <w:abstractNumId w:val="15"/>
  </w:num>
  <w:num w:numId="30" w16cid:durableId="570698919">
    <w:abstractNumId w:val="70"/>
  </w:num>
  <w:num w:numId="31" w16cid:durableId="1314062614">
    <w:abstractNumId w:val="33"/>
  </w:num>
  <w:num w:numId="32" w16cid:durableId="563107116">
    <w:abstractNumId w:val="42"/>
  </w:num>
  <w:num w:numId="33" w16cid:durableId="920603845">
    <w:abstractNumId w:val="5"/>
  </w:num>
  <w:num w:numId="34" w16cid:durableId="975335995">
    <w:abstractNumId w:val="44"/>
  </w:num>
  <w:num w:numId="35" w16cid:durableId="1491947468">
    <w:abstractNumId w:val="39"/>
  </w:num>
  <w:num w:numId="36" w16cid:durableId="62337960">
    <w:abstractNumId w:val="66"/>
  </w:num>
  <w:num w:numId="37" w16cid:durableId="16201429">
    <w:abstractNumId w:val="0"/>
  </w:num>
  <w:num w:numId="38" w16cid:durableId="378289397">
    <w:abstractNumId w:val="63"/>
  </w:num>
  <w:num w:numId="39" w16cid:durableId="36438181">
    <w:abstractNumId w:val="4"/>
  </w:num>
  <w:num w:numId="40" w16cid:durableId="1158381401">
    <w:abstractNumId w:val="51"/>
  </w:num>
  <w:num w:numId="41" w16cid:durableId="345178408">
    <w:abstractNumId w:val="1"/>
  </w:num>
  <w:num w:numId="42" w16cid:durableId="1602763609">
    <w:abstractNumId w:val="35"/>
  </w:num>
  <w:num w:numId="43" w16cid:durableId="759377847">
    <w:abstractNumId w:val="21"/>
  </w:num>
  <w:num w:numId="44" w16cid:durableId="545532229">
    <w:abstractNumId w:val="23"/>
  </w:num>
  <w:num w:numId="45" w16cid:durableId="1771581838">
    <w:abstractNumId w:val="47"/>
  </w:num>
  <w:num w:numId="46" w16cid:durableId="1914392096">
    <w:abstractNumId w:val="49"/>
  </w:num>
  <w:num w:numId="47" w16cid:durableId="1632711523">
    <w:abstractNumId w:val="6"/>
  </w:num>
  <w:num w:numId="48" w16cid:durableId="1276861078">
    <w:abstractNumId w:val="67"/>
  </w:num>
  <w:num w:numId="49" w16cid:durableId="1664431188">
    <w:abstractNumId w:val="31"/>
  </w:num>
  <w:num w:numId="50" w16cid:durableId="931741832">
    <w:abstractNumId w:val="50"/>
  </w:num>
  <w:num w:numId="51" w16cid:durableId="1008404537">
    <w:abstractNumId w:val="12"/>
  </w:num>
  <w:num w:numId="52" w16cid:durableId="2087653757">
    <w:abstractNumId w:val="45"/>
  </w:num>
  <w:num w:numId="53" w16cid:durableId="297076008">
    <w:abstractNumId w:val="2"/>
  </w:num>
  <w:num w:numId="54" w16cid:durableId="1938559388">
    <w:abstractNumId w:val="41"/>
  </w:num>
  <w:num w:numId="55" w16cid:durableId="990595048">
    <w:abstractNumId w:val="57"/>
  </w:num>
  <w:num w:numId="56" w16cid:durableId="1683358582">
    <w:abstractNumId w:val="61"/>
  </w:num>
  <w:num w:numId="57" w16cid:durableId="2006785904">
    <w:abstractNumId w:val="37"/>
  </w:num>
  <w:num w:numId="58" w16cid:durableId="1948584256">
    <w:abstractNumId w:val="3"/>
  </w:num>
  <w:num w:numId="59" w16cid:durableId="247346091">
    <w:abstractNumId w:val="30"/>
  </w:num>
  <w:num w:numId="60" w16cid:durableId="1688603733">
    <w:abstractNumId w:val="24"/>
  </w:num>
  <w:num w:numId="61" w16cid:durableId="665981473">
    <w:abstractNumId w:val="11"/>
  </w:num>
  <w:num w:numId="62" w16cid:durableId="719330271">
    <w:abstractNumId w:val="71"/>
  </w:num>
  <w:num w:numId="63" w16cid:durableId="195049331">
    <w:abstractNumId w:val="60"/>
  </w:num>
  <w:num w:numId="64" w16cid:durableId="1051924059">
    <w:abstractNumId w:val="56"/>
  </w:num>
  <w:num w:numId="65" w16cid:durableId="1644507431">
    <w:abstractNumId w:val="43"/>
  </w:num>
  <w:num w:numId="66" w16cid:durableId="517893814">
    <w:abstractNumId w:val="72"/>
  </w:num>
  <w:num w:numId="67" w16cid:durableId="281813275">
    <w:abstractNumId w:val="32"/>
  </w:num>
  <w:num w:numId="68" w16cid:durableId="1030882539">
    <w:abstractNumId w:val="36"/>
  </w:num>
  <w:num w:numId="69" w16cid:durableId="463819185">
    <w:abstractNumId w:val="28"/>
  </w:num>
  <w:num w:numId="70" w16cid:durableId="1819492263">
    <w:abstractNumId w:val="20"/>
  </w:num>
  <w:num w:numId="71" w16cid:durableId="1804303592">
    <w:abstractNumId w:val="14"/>
  </w:num>
  <w:num w:numId="72" w16cid:durableId="863439936">
    <w:abstractNumId w:val="10"/>
  </w:num>
  <w:num w:numId="73" w16cid:durableId="2115126911">
    <w:abstractNumId w:val="18"/>
  </w:num>
  <w:num w:numId="74" w16cid:durableId="1189953578">
    <w:abstractNumId w:val="27"/>
  </w:num>
  <w:num w:numId="75" w16cid:durableId="1015234402">
    <w:abstractNumId w:val="54"/>
  </w:num>
  <w:num w:numId="76" w16cid:durableId="1581402613">
    <w:abstractNumId w:val="7"/>
  </w:num>
  <w:num w:numId="77" w16cid:durableId="1284850314">
    <w:abstractNumId w:val="65"/>
  </w:num>
  <w:num w:numId="78" w16cid:durableId="1012798616">
    <w:abstractNumId w:val="22"/>
  </w:num>
  <w:num w:numId="79" w16cid:durableId="1346176462">
    <w:abstractNumId w:val="5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48"/>
    <w:rsid w:val="00000FDE"/>
    <w:rsid w:val="00010B64"/>
    <w:rsid w:val="00012F6F"/>
    <w:rsid w:val="00014213"/>
    <w:rsid w:val="00014B55"/>
    <w:rsid w:val="00020E3E"/>
    <w:rsid w:val="0002328B"/>
    <w:rsid w:val="00023BF3"/>
    <w:rsid w:val="00026811"/>
    <w:rsid w:val="000270A1"/>
    <w:rsid w:val="000348BE"/>
    <w:rsid w:val="00035A91"/>
    <w:rsid w:val="0004185E"/>
    <w:rsid w:val="0004698F"/>
    <w:rsid w:val="000477DC"/>
    <w:rsid w:val="00056988"/>
    <w:rsid w:val="000624EB"/>
    <w:rsid w:val="00070748"/>
    <w:rsid w:val="00072279"/>
    <w:rsid w:val="00075E6C"/>
    <w:rsid w:val="00081C12"/>
    <w:rsid w:val="00082651"/>
    <w:rsid w:val="00087D42"/>
    <w:rsid w:val="00093E3A"/>
    <w:rsid w:val="000A2620"/>
    <w:rsid w:val="000A6A76"/>
    <w:rsid w:val="000A6F15"/>
    <w:rsid w:val="000B29AD"/>
    <w:rsid w:val="000B7B42"/>
    <w:rsid w:val="000C0AE9"/>
    <w:rsid w:val="000C6372"/>
    <w:rsid w:val="000D7841"/>
    <w:rsid w:val="000E392D"/>
    <w:rsid w:val="000E39B6"/>
    <w:rsid w:val="000E3D05"/>
    <w:rsid w:val="000F4288"/>
    <w:rsid w:val="000F68D9"/>
    <w:rsid w:val="000F7165"/>
    <w:rsid w:val="00100361"/>
    <w:rsid w:val="00102379"/>
    <w:rsid w:val="00103722"/>
    <w:rsid w:val="00105EB8"/>
    <w:rsid w:val="001065D6"/>
    <w:rsid w:val="001068D5"/>
    <w:rsid w:val="0011297B"/>
    <w:rsid w:val="00114145"/>
    <w:rsid w:val="00115B6C"/>
    <w:rsid w:val="0011640C"/>
    <w:rsid w:val="00121252"/>
    <w:rsid w:val="00124609"/>
    <w:rsid w:val="001254CE"/>
    <w:rsid w:val="00132215"/>
    <w:rsid w:val="00141A34"/>
    <w:rsid w:val="001422CC"/>
    <w:rsid w:val="00142CC3"/>
    <w:rsid w:val="00145346"/>
    <w:rsid w:val="00150333"/>
    <w:rsid w:val="00152EC1"/>
    <w:rsid w:val="00154EF9"/>
    <w:rsid w:val="00160CF0"/>
    <w:rsid w:val="001617B6"/>
    <w:rsid w:val="001632C7"/>
    <w:rsid w:val="00165E66"/>
    <w:rsid w:val="00166C00"/>
    <w:rsid w:val="00171E43"/>
    <w:rsid w:val="00174F38"/>
    <w:rsid w:val="00176FF2"/>
    <w:rsid w:val="00182767"/>
    <w:rsid w:val="001849FD"/>
    <w:rsid w:val="0019351B"/>
    <w:rsid w:val="00194B79"/>
    <w:rsid w:val="00196143"/>
    <w:rsid w:val="001A24FC"/>
    <w:rsid w:val="001A4E02"/>
    <w:rsid w:val="001C6728"/>
    <w:rsid w:val="001C7BAE"/>
    <w:rsid w:val="001D6275"/>
    <w:rsid w:val="001E31FA"/>
    <w:rsid w:val="001E48F9"/>
    <w:rsid w:val="001E64F6"/>
    <w:rsid w:val="001E7AEB"/>
    <w:rsid w:val="001F1470"/>
    <w:rsid w:val="00202D14"/>
    <w:rsid w:val="00204B82"/>
    <w:rsid w:val="00205C68"/>
    <w:rsid w:val="00222BEB"/>
    <w:rsid w:val="00223217"/>
    <w:rsid w:val="00225E60"/>
    <w:rsid w:val="00230BBB"/>
    <w:rsid w:val="0023202C"/>
    <w:rsid w:val="00233051"/>
    <w:rsid w:val="0023360F"/>
    <w:rsid w:val="00234253"/>
    <w:rsid w:val="00234619"/>
    <w:rsid w:val="002417E2"/>
    <w:rsid w:val="00245043"/>
    <w:rsid w:val="0025578B"/>
    <w:rsid w:val="002570BD"/>
    <w:rsid w:val="00257B2D"/>
    <w:rsid w:val="0026028E"/>
    <w:rsid w:val="00265AB4"/>
    <w:rsid w:val="00267D39"/>
    <w:rsid w:val="00272EC4"/>
    <w:rsid w:val="00276717"/>
    <w:rsid w:val="00282118"/>
    <w:rsid w:val="00284FA2"/>
    <w:rsid w:val="00286657"/>
    <w:rsid w:val="00292657"/>
    <w:rsid w:val="00292D36"/>
    <w:rsid w:val="00294A5A"/>
    <w:rsid w:val="00297281"/>
    <w:rsid w:val="00297A47"/>
    <w:rsid w:val="002A2145"/>
    <w:rsid w:val="002A4AD5"/>
    <w:rsid w:val="002A5891"/>
    <w:rsid w:val="002A7AA1"/>
    <w:rsid w:val="002B03F1"/>
    <w:rsid w:val="002B064D"/>
    <w:rsid w:val="002B5E2B"/>
    <w:rsid w:val="002B6DAA"/>
    <w:rsid w:val="002C7D53"/>
    <w:rsid w:val="002D15D2"/>
    <w:rsid w:val="002D2B44"/>
    <w:rsid w:val="002D6F3C"/>
    <w:rsid w:val="002D70F7"/>
    <w:rsid w:val="002D711A"/>
    <w:rsid w:val="002D7336"/>
    <w:rsid w:val="002E3396"/>
    <w:rsid w:val="002E61E8"/>
    <w:rsid w:val="002F2953"/>
    <w:rsid w:val="002F4173"/>
    <w:rsid w:val="002F52A7"/>
    <w:rsid w:val="00303E66"/>
    <w:rsid w:val="0031149C"/>
    <w:rsid w:val="00315B8F"/>
    <w:rsid w:val="0031645A"/>
    <w:rsid w:val="00316FC9"/>
    <w:rsid w:val="00325596"/>
    <w:rsid w:val="00325E21"/>
    <w:rsid w:val="00345B45"/>
    <w:rsid w:val="00345F0B"/>
    <w:rsid w:val="00350441"/>
    <w:rsid w:val="00354D98"/>
    <w:rsid w:val="0036778F"/>
    <w:rsid w:val="00381BCD"/>
    <w:rsid w:val="0038771C"/>
    <w:rsid w:val="003A24F9"/>
    <w:rsid w:val="003A430B"/>
    <w:rsid w:val="003A541A"/>
    <w:rsid w:val="003A6793"/>
    <w:rsid w:val="003A6923"/>
    <w:rsid w:val="003B165A"/>
    <w:rsid w:val="003C1EED"/>
    <w:rsid w:val="003C2C67"/>
    <w:rsid w:val="003C2D4C"/>
    <w:rsid w:val="003C3B3A"/>
    <w:rsid w:val="003C5BA4"/>
    <w:rsid w:val="003E3E26"/>
    <w:rsid w:val="003F1295"/>
    <w:rsid w:val="003F5102"/>
    <w:rsid w:val="003F76FC"/>
    <w:rsid w:val="004002EB"/>
    <w:rsid w:val="00407A79"/>
    <w:rsid w:val="004108A6"/>
    <w:rsid w:val="0041136E"/>
    <w:rsid w:val="00413B0E"/>
    <w:rsid w:val="00414BA4"/>
    <w:rsid w:val="00420961"/>
    <w:rsid w:val="00422DDC"/>
    <w:rsid w:val="004231B5"/>
    <w:rsid w:val="004236C8"/>
    <w:rsid w:val="00427681"/>
    <w:rsid w:val="00433DB7"/>
    <w:rsid w:val="0043696B"/>
    <w:rsid w:val="004370FA"/>
    <w:rsid w:val="00446A60"/>
    <w:rsid w:val="004505F7"/>
    <w:rsid w:val="00453750"/>
    <w:rsid w:val="00456941"/>
    <w:rsid w:val="00463C5A"/>
    <w:rsid w:val="00464ADC"/>
    <w:rsid w:val="004702EA"/>
    <w:rsid w:val="004777DB"/>
    <w:rsid w:val="0048259C"/>
    <w:rsid w:val="00482D02"/>
    <w:rsid w:val="00484326"/>
    <w:rsid w:val="00490369"/>
    <w:rsid w:val="00497EB0"/>
    <w:rsid w:val="004A7519"/>
    <w:rsid w:val="004B2F2A"/>
    <w:rsid w:val="004B64B1"/>
    <w:rsid w:val="004D01AC"/>
    <w:rsid w:val="004D19D4"/>
    <w:rsid w:val="004D3518"/>
    <w:rsid w:val="004D62D6"/>
    <w:rsid w:val="004D6898"/>
    <w:rsid w:val="004D7778"/>
    <w:rsid w:val="004E0327"/>
    <w:rsid w:val="004F2019"/>
    <w:rsid w:val="004F3F4E"/>
    <w:rsid w:val="00501DA9"/>
    <w:rsid w:val="005079B2"/>
    <w:rsid w:val="00510167"/>
    <w:rsid w:val="00511E12"/>
    <w:rsid w:val="00513E86"/>
    <w:rsid w:val="0051462C"/>
    <w:rsid w:val="00515958"/>
    <w:rsid w:val="005171D2"/>
    <w:rsid w:val="00523E77"/>
    <w:rsid w:val="005306A2"/>
    <w:rsid w:val="005318B6"/>
    <w:rsid w:val="0053416C"/>
    <w:rsid w:val="00540761"/>
    <w:rsid w:val="005416D7"/>
    <w:rsid w:val="00541C2F"/>
    <w:rsid w:val="005450D9"/>
    <w:rsid w:val="00547A71"/>
    <w:rsid w:val="00552DE4"/>
    <w:rsid w:val="00553F79"/>
    <w:rsid w:val="005619BB"/>
    <w:rsid w:val="00563527"/>
    <w:rsid w:val="00571BD8"/>
    <w:rsid w:val="0057407A"/>
    <w:rsid w:val="005759DB"/>
    <w:rsid w:val="00576382"/>
    <w:rsid w:val="0058124E"/>
    <w:rsid w:val="005848A5"/>
    <w:rsid w:val="005875A3"/>
    <w:rsid w:val="0059267A"/>
    <w:rsid w:val="00593A04"/>
    <w:rsid w:val="005953EA"/>
    <w:rsid w:val="005A3416"/>
    <w:rsid w:val="005A42F2"/>
    <w:rsid w:val="005A4442"/>
    <w:rsid w:val="005B27FE"/>
    <w:rsid w:val="005B3365"/>
    <w:rsid w:val="005B6652"/>
    <w:rsid w:val="005B76DF"/>
    <w:rsid w:val="005B79CB"/>
    <w:rsid w:val="005C04F0"/>
    <w:rsid w:val="005C07D3"/>
    <w:rsid w:val="005C0AF3"/>
    <w:rsid w:val="005C12A8"/>
    <w:rsid w:val="005E08D7"/>
    <w:rsid w:val="005E4C16"/>
    <w:rsid w:val="005E57E1"/>
    <w:rsid w:val="005E5947"/>
    <w:rsid w:val="005F474C"/>
    <w:rsid w:val="005F5FDC"/>
    <w:rsid w:val="005F61DF"/>
    <w:rsid w:val="0060163A"/>
    <w:rsid w:val="006023F9"/>
    <w:rsid w:val="00610559"/>
    <w:rsid w:val="00614076"/>
    <w:rsid w:val="00616087"/>
    <w:rsid w:val="006179DA"/>
    <w:rsid w:val="00617BB5"/>
    <w:rsid w:val="006208C4"/>
    <w:rsid w:val="00625300"/>
    <w:rsid w:val="00630DB6"/>
    <w:rsid w:val="00632F2E"/>
    <w:rsid w:val="006332F6"/>
    <w:rsid w:val="00633C69"/>
    <w:rsid w:val="006413F2"/>
    <w:rsid w:val="00645E9B"/>
    <w:rsid w:val="00651BA6"/>
    <w:rsid w:val="006534B2"/>
    <w:rsid w:val="0065615D"/>
    <w:rsid w:val="00657011"/>
    <w:rsid w:val="006650B5"/>
    <w:rsid w:val="006651B1"/>
    <w:rsid w:val="00665778"/>
    <w:rsid w:val="00665B09"/>
    <w:rsid w:val="00666830"/>
    <w:rsid w:val="00670052"/>
    <w:rsid w:val="00676E5F"/>
    <w:rsid w:val="006945CA"/>
    <w:rsid w:val="006A3309"/>
    <w:rsid w:val="006A3A5A"/>
    <w:rsid w:val="006A5B34"/>
    <w:rsid w:val="006B1209"/>
    <w:rsid w:val="006B2D54"/>
    <w:rsid w:val="006B337A"/>
    <w:rsid w:val="006C77A9"/>
    <w:rsid w:val="006D4720"/>
    <w:rsid w:val="006D5B85"/>
    <w:rsid w:val="006D5BAE"/>
    <w:rsid w:val="006D7F85"/>
    <w:rsid w:val="006E4C46"/>
    <w:rsid w:val="006E6CDF"/>
    <w:rsid w:val="006E7C80"/>
    <w:rsid w:val="006F37F2"/>
    <w:rsid w:val="006F6693"/>
    <w:rsid w:val="0070273F"/>
    <w:rsid w:val="00704EAC"/>
    <w:rsid w:val="00706267"/>
    <w:rsid w:val="00707FE8"/>
    <w:rsid w:val="0071451B"/>
    <w:rsid w:val="00714AAE"/>
    <w:rsid w:val="00724197"/>
    <w:rsid w:val="00724962"/>
    <w:rsid w:val="00724A0F"/>
    <w:rsid w:val="00726D2F"/>
    <w:rsid w:val="007304AE"/>
    <w:rsid w:val="00736732"/>
    <w:rsid w:val="00740019"/>
    <w:rsid w:val="007432F9"/>
    <w:rsid w:val="00745DBD"/>
    <w:rsid w:val="00746426"/>
    <w:rsid w:val="00750BF9"/>
    <w:rsid w:val="00750CBE"/>
    <w:rsid w:val="0075646A"/>
    <w:rsid w:val="00757FDD"/>
    <w:rsid w:val="007650D2"/>
    <w:rsid w:val="007655B4"/>
    <w:rsid w:val="00766B5A"/>
    <w:rsid w:val="00767B8C"/>
    <w:rsid w:val="00772209"/>
    <w:rsid w:val="007753EA"/>
    <w:rsid w:val="007770A5"/>
    <w:rsid w:val="007834F2"/>
    <w:rsid w:val="0078432C"/>
    <w:rsid w:val="007848F4"/>
    <w:rsid w:val="00787837"/>
    <w:rsid w:val="00791020"/>
    <w:rsid w:val="00793823"/>
    <w:rsid w:val="007960D3"/>
    <w:rsid w:val="00796484"/>
    <w:rsid w:val="007A04D2"/>
    <w:rsid w:val="007A4C57"/>
    <w:rsid w:val="007A5F82"/>
    <w:rsid w:val="007A72C1"/>
    <w:rsid w:val="007B19B7"/>
    <w:rsid w:val="007B2F63"/>
    <w:rsid w:val="007B40A2"/>
    <w:rsid w:val="007B50A7"/>
    <w:rsid w:val="007B55C7"/>
    <w:rsid w:val="007D5F9E"/>
    <w:rsid w:val="007D6713"/>
    <w:rsid w:val="007E098F"/>
    <w:rsid w:val="007E3BA2"/>
    <w:rsid w:val="007F1A4C"/>
    <w:rsid w:val="007F723F"/>
    <w:rsid w:val="007F7426"/>
    <w:rsid w:val="008022C3"/>
    <w:rsid w:val="008041E6"/>
    <w:rsid w:val="00804883"/>
    <w:rsid w:val="008065D2"/>
    <w:rsid w:val="00815A8A"/>
    <w:rsid w:val="00816796"/>
    <w:rsid w:val="0082194C"/>
    <w:rsid w:val="008222FF"/>
    <w:rsid w:val="008241FF"/>
    <w:rsid w:val="008270C1"/>
    <w:rsid w:val="0082721A"/>
    <w:rsid w:val="00827454"/>
    <w:rsid w:val="0083539D"/>
    <w:rsid w:val="00836CC9"/>
    <w:rsid w:val="008411E9"/>
    <w:rsid w:val="00841617"/>
    <w:rsid w:val="0084200F"/>
    <w:rsid w:val="00843B2C"/>
    <w:rsid w:val="00844F16"/>
    <w:rsid w:val="00847745"/>
    <w:rsid w:val="00855FF9"/>
    <w:rsid w:val="0086277A"/>
    <w:rsid w:val="00863D62"/>
    <w:rsid w:val="00865A5B"/>
    <w:rsid w:val="008668A8"/>
    <w:rsid w:val="008719DF"/>
    <w:rsid w:val="00874E53"/>
    <w:rsid w:val="008768AD"/>
    <w:rsid w:val="00880AC4"/>
    <w:rsid w:val="0089558F"/>
    <w:rsid w:val="00896D28"/>
    <w:rsid w:val="00897447"/>
    <w:rsid w:val="008A0C56"/>
    <w:rsid w:val="008A4900"/>
    <w:rsid w:val="008A55FE"/>
    <w:rsid w:val="008A5B8A"/>
    <w:rsid w:val="008B146D"/>
    <w:rsid w:val="008B4221"/>
    <w:rsid w:val="008B42AD"/>
    <w:rsid w:val="008B5666"/>
    <w:rsid w:val="008D0281"/>
    <w:rsid w:val="008D13F4"/>
    <w:rsid w:val="008D1DD2"/>
    <w:rsid w:val="008D6AEE"/>
    <w:rsid w:val="008D7CB1"/>
    <w:rsid w:val="008E2348"/>
    <w:rsid w:val="008E347D"/>
    <w:rsid w:val="008E4DFC"/>
    <w:rsid w:val="008F04C8"/>
    <w:rsid w:val="008F6D45"/>
    <w:rsid w:val="00903F5A"/>
    <w:rsid w:val="00903F81"/>
    <w:rsid w:val="00904DFF"/>
    <w:rsid w:val="00905E6A"/>
    <w:rsid w:val="00907FF7"/>
    <w:rsid w:val="00916FB6"/>
    <w:rsid w:val="00920E37"/>
    <w:rsid w:val="00922944"/>
    <w:rsid w:val="0092465E"/>
    <w:rsid w:val="00931FD9"/>
    <w:rsid w:val="00934C41"/>
    <w:rsid w:val="00936479"/>
    <w:rsid w:val="00937A10"/>
    <w:rsid w:val="00943701"/>
    <w:rsid w:val="009464B0"/>
    <w:rsid w:val="00947A0F"/>
    <w:rsid w:val="0095384B"/>
    <w:rsid w:val="009545F7"/>
    <w:rsid w:val="009579EA"/>
    <w:rsid w:val="00965662"/>
    <w:rsid w:val="00966115"/>
    <w:rsid w:val="0097016F"/>
    <w:rsid w:val="00972812"/>
    <w:rsid w:val="00972A76"/>
    <w:rsid w:val="009815FF"/>
    <w:rsid w:val="009834C0"/>
    <w:rsid w:val="00986AAC"/>
    <w:rsid w:val="00986B80"/>
    <w:rsid w:val="009905FA"/>
    <w:rsid w:val="00994ECF"/>
    <w:rsid w:val="00995526"/>
    <w:rsid w:val="00997165"/>
    <w:rsid w:val="0099798F"/>
    <w:rsid w:val="00997E20"/>
    <w:rsid w:val="009A0E50"/>
    <w:rsid w:val="009A1DA2"/>
    <w:rsid w:val="009A35AA"/>
    <w:rsid w:val="009A3704"/>
    <w:rsid w:val="009A4739"/>
    <w:rsid w:val="009A674F"/>
    <w:rsid w:val="009A6D22"/>
    <w:rsid w:val="009B1988"/>
    <w:rsid w:val="009B199C"/>
    <w:rsid w:val="009B3849"/>
    <w:rsid w:val="009B5068"/>
    <w:rsid w:val="009B5979"/>
    <w:rsid w:val="009B61F1"/>
    <w:rsid w:val="009B62E0"/>
    <w:rsid w:val="009C3D88"/>
    <w:rsid w:val="009C526A"/>
    <w:rsid w:val="009C7708"/>
    <w:rsid w:val="009E0ECD"/>
    <w:rsid w:val="009E1651"/>
    <w:rsid w:val="009E30FB"/>
    <w:rsid w:val="009E3858"/>
    <w:rsid w:val="009E467D"/>
    <w:rsid w:val="009E70DD"/>
    <w:rsid w:val="009F2ED9"/>
    <w:rsid w:val="009F3231"/>
    <w:rsid w:val="009F5C58"/>
    <w:rsid w:val="00A023A0"/>
    <w:rsid w:val="00A034F7"/>
    <w:rsid w:val="00A05EBC"/>
    <w:rsid w:val="00A1352A"/>
    <w:rsid w:val="00A1562B"/>
    <w:rsid w:val="00A170F4"/>
    <w:rsid w:val="00A17F27"/>
    <w:rsid w:val="00A21408"/>
    <w:rsid w:val="00A21CFD"/>
    <w:rsid w:val="00A23BA4"/>
    <w:rsid w:val="00A25B78"/>
    <w:rsid w:val="00A27B01"/>
    <w:rsid w:val="00A400CC"/>
    <w:rsid w:val="00A40495"/>
    <w:rsid w:val="00A45CB0"/>
    <w:rsid w:val="00A46288"/>
    <w:rsid w:val="00A46BA8"/>
    <w:rsid w:val="00A47634"/>
    <w:rsid w:val="00A568A8"/>
    <w:rsid w:val="00A612FE"/>
    <w:rsid w:val="00A66F4D"/>
    <w:rsid w:val="00A703B3"/>
    <w:rsid w:val="00A70B49"/>
    <w:rsid w:val="00A73C87"/>
    <w:rsid w:val="00A7407D"/>
    <w:rsid w:val="00A740D4"/>
    <w:rsid w:val="00A8084F"/>
    <w:rsid w:val="00A83999"/>
    <w:rsid w:val="00A83AFC"/>
    <w:rsid w:val="00A856B6"/>
    <w:rsid w:val="00A906DC"/>
    <w:rsid w:val="00A92D94"/>
    <w:rsid w:val="00A977F1"/>
    <w:rsid w:val="00AA26B8"/>
    <w:rsid w:val="00AA4288"/>
    <w:rsid w:val="00AA4907"/>
    <w:rsid w:val="00AA706B"/>
    <w:rsid w:val="00AB00C3"/>
    <w:rsid w:val="00AB1B76"/>
    <w:rsid w:val="00AB24E4"/>
    <w:rsid w:val="00AC0B87"/>
    <w:rsid w:val="00AC2624"/>
    <w:rsid w:val="00AC32A8"/>
    <w:rsid w:val="00AD1351"/>
    <w:rsid w:val="00AD4528"/>
    <w:rsid w:val="00AD6F0A"/>
    <w:rsid w:val="00AD7E4E"/>
    <w:rsid w:val="00AE0360"/>
    <w:rsid w:val="00AE271D"/>
    <w:rsid w:val="00AF143A"/>
    <w:rsid w:val="00AF4D58"/>
    <w:rsid w:val="00AF54A3"/>
    <w:rsid w:val="00AF6666"/>
    <w:rsid w:val="00AF7BC5"/>
    <w:rsid w:val="00B02519"/>
    <w:rsid w:val="00B1058D"/>
    <w:rsid w:val="00B116E3"/>
    <w:rsid w:val="00B123E3"/>
    <w:rsid w:val="00B15592"/>
    <w:rsid w:val="00B1670B"/>
    <w:rsid w:val="00B16D2B"/>
    <w:rsid w:val="00B17845"/>
    <w:rsid w:val="00B23AE9"/>
    <w:rsid w:val="00B271DE"/>
    <w:rsid w:val="00B3608B"/>
    <w:rsid w:val="00B37FF8"/>
    <w:rsid w:val="00B41DEC"/>
    <w:rsid w:val="00B515DB"/>
    <w:rsid w:val="00B533B5"/>
    <w:rsid w:val="00B556E1"/>
    <w:rsid w:val="00B56256"/>
    <w:rsid w:val="00B566A0"/>
    <w:rsid w:val="00B57EAE"/>
    <w:rsid w:val="00B673BB"/>
    <w:rsid w:val="00B73B9C"/>
    <w:rsid w:val="00B81B44"/>
    <w:rsid w:val="00B8758E"/>
    <w:rsid w:val="00B9053B"/>
    <w:rsid w:val="00B9059E"/>
    <w:rsid w:val="00B97440"/>
    <w:rsid w:val="00B9777C"/>
    <w:rsid w:val="00BA0C37"/>
    <w:rsid w:val="00BA3782"/>
    <w:rsid w:val="00BA5BEB"/>
    <w:rsid w:val="00BB08DC"/>
    <w:rsid w:val="00BB3287"/>
    <w:rsid w:val="00BB4D98"/>
    <w:rsid w:val="00BB4EBF"/>
    <w:rsid w:val="00BB59E0"/>
    <w:rsid w:val="00BB6953"/>
    <w:rsid w:val="00BB7DF0"/>
    <w:rsid w:val="00BC3422"/>
    <w:rsid w:val="00BC437C"/>
    <w:rsid w:val="00BC6E19"/>
    <w:rsid w:val="00BD05FA"/>
    <w:rsid w:val="00BD0B31"/>
    <w:rsid w:val="00BD4FF1"/>
    <w:rsid w:val="00BD5018"/>
    <w:rsid w:val="00BE1608"/>
    <w:rsid w:val="00BE4EDC"/>
    <w:rsid w:val="00BE5ADC"/>
    <w:rsid w:val="00BE7C19"/>
    <w:rsid w:val="00BF4F96"/>
    <w:rsid w:val="00C015B9"/>
    <w:rsid w:val="00C022F9"/>
    <w:rsid w:val="00C02D83"/>
    <w:rsid w:val="00C032EA"/>
    <w:rsid w:val="00C064F2"/>
    <w:rsid w:val="00C06EB5"/>
    <w:rsid w:val="00C1145F"/>
    <w:rsid w:val="00C11CD1"/>
    <w:rsid w:val="00C15701"/>
    <w:rsid w:val="00C258F2"/>
    <w:rsid w:val="00C2715F"/>
    <w:rsid w:val="00C32D49"/>
    <w:rsid w:val="00C33AD3"/>
    <w:rsid w:val="00C373C0"/>
    <w:rsid w:val="00C40544"/>
    <w:rsid w:val="00C41404"/>
    <w:rsid w:val="00C41B3C"/>
    <w:rsid w:val="00C43F06"/>
    <w:rsid w:val="00C45702"/>
    <w:rsid w:val="00C47503"/>
    <w:rsid w:val="00C50A2B"/>
    <w:rsid w:val="00C51C01"/>
    <w:rsid w:val="00C539DC"/>
    <w:rsid w:val="00C637E1"/>
    <w:rsid w:val="00C67EAC"/>
    <w:rsid w:val="00C70D50"/>
    <w:rsid w:val="00C72252"/>
    <w:rsid w:val="00C745D5"/>
    <w:rsid w:val="00C81050"/>
    <w:rsid w:val="00C83876"/>
    <w:rsid w:val="00C907D7"/>
    <w:rsid w:val="00C92338"/>
    <w:rsid w:val="00C932B1"/>
    <w:rsid w:val="00C95E66"/>
    <w:rsid w:val="00C96051"/>
    <w:rsid w:val="00C96A69"/>
    <w:rsid w:val="00C97B86"/>
    <w:rsid w:val="00CA01D1"/>
    <w:rsid w:val="00CA05DC"/>
    <w:rsid w:val="00CA7B47"/>
    <w:rsid w:val="00CB1DD6"/>
    <w:rsid w:val="00CB3976"/>
    <w:rsid w:val="00CB441A"/>
    <w:rsid w:val="00CBC182"/>
    <w:rsid w:val="00CC6087"/>
    <w:rsid w:val="00CD0307"/>
    <w:rsid w:val="00CD3A08"/>
    <w:rsid w:val="00CD3D1B"/>
    <w:rsid w:val="00CE083F"/>
    <w:rsid w:val="00CF2474"/>
    <w:rsid w:val="00CF6EC4"/>
    <w:rsid w:val="00D02663"/>
    <w:rsid w:val="00D0633E"/>
    <w:rsid w:val="00D1129F"/>
    <w:rsid w:val="00D12E74"/>
    <w:rsid w:val="00D15955"/>
    <w:rsid w:val="00D22D4C"/>
    <w:rsid w:val="00D2312F"/>
    <w:rsid w:val="00D23B04"/>
    <w:rsid w:val="00D269C1"/>
    <w:rsid w:val="00D27944"/>
    <w:rsid w:val="00D34D70"/>
    <w:rsid w:val="00D40D8B"/>
    <w:rsid w:val="00D41B2F"/>
    <w:rsid w:val="00D4366D"/>
    <w:rsid w:val="00D44953"/>
    <w:rsid w:val="00D53603"/>
    <w:rsid w:val="00D542F3"/>
    <w:rsid w:val="00D54513"/>
    <w:rsid w:val="00D54AAE"/>
    <w:rsid w:val="00D5644B"/>
    <w:rsid w:val="00D56E25"/>
    <w:rsid w:val="00D57E89"/>
    <w:rsid w:val="00D60E1A"/>
    <w:rsid w:val="00D6560D"/>
    <w:rsid w:val="00D65D77"/>
    <w:rsid w:val="00D662E0"/>
    <w:rsid w:val="00D718D7"/>
    <w:rsid w:val="00D77C9D"/>
    <w:rsid w:val="00D814B7"/>
    <w:rsid w:val="00D863EB"/>
    <w:rsid w:val="00D87719"/>
    <w:rsid w:val="00D90688"/>
    <w:rsid w:val="00D96AAA"/>
    <w:rsid w:val="00DA3AAD"/>
    <w:rsid w:val="00DA699D"/>
    <w:rsid w:val="00DB0804"/>
    <w:rsid w:val="00DB189E"/>
    <w:rsid w:val="00DB312B"/>
    <w:rsid w:val="00DB5550"/>
    <w:rsid w:val="00DB57BD"/>
    <w:rsid w:val="00DC332C"/>
    <w:rsid w:val="00DC5654"/>
    <w:rsid w:val="00DC658F"/>
    <w:rsid w:val="00DC674A"/>
    <w:rsid w:val="00DD34D3"/>
    <w:rsid w:val="00DD6383"/>
    <w:rsid w:val="00DD65C4"/>
    <w:rsid w:val="00DD7FAE"/>
    <w:rsid w:val="00DE0E4E"/>
    <w:rsid w:val="00DE4C29"/>
    <w:rsid w:val="00DE60CC"/>
    <w:rsid w:val="00DF52CC"/>
    <w:rsid w:val="00E03368"/>
    <w:rsid w:val="00E06416"/>
    <w:rsid w:val="00E21BE0"/>
    <w:rsid w:val="00E22A20"/>
    <w:rsid w:val="00E24F69"/>
    <w:rsid w:val="00E25417"/>
    <w:rsid w:val="00E26B32"/>
    <w:rsid w:val="00E31CD4"/>
    <w:rsid w:val="00E31E60"/>
    <w:rsid w:val="00E33E08"/>
    <w:rsid w:val="00E35069"/>
    <w:rsid w:val="00E407B6"/>
    <w:rsid w:val="00E41EF1"/>
    <w:rsid w:val="00E42942"/>
    <w:rsid w:val="00E44DF1"/>
    <w:rsid w:val="00E45C9C"/>
    <w:rsid w:val="00E543D9"/>
    <w:rsid w:val="00E65A0A"/>
    <w:rsid w:val="00E71BDF"/>
    <w:rsid w:val="00E72E8A"/>
    <w:rsid w:val="00E739E4"/>
    <w:rsid w:val="00E75CCB"/>
    <w:rsid w:val="00E77F74"/>
    <w:rsid w:val="00E8245B"/>
    <w:rsid w:val="00E82C21"/>
    <w:rsid w:val="00E82F59"/>
    <w:rsid w:val="00E83CA7"/>
    <w:rsid w:val="00E92069"/>
    <w:rsid w:val="00E92192"/>
    <w:rsid w:val="00E9277C"/>
    <w:rsid w:val="00E95A71"/>
    <w:rsid w:val="00EA030C"/>
    <w:rsid w:val="00EA2B81"/>
    <w:rsid w:val="00EA2C99"/>
    <w:rsid w:val="00EA5761"/>
    <w:rsid w:val="00EB363A"/>
    <w:rsid w:val="00EB6068"/>
    <w:rsid w:val="00EB7014"/>
    <w:rsid w:val="00EC03AF"/>
    <w:rsid w:val="00EC0B59"/>
    <w:rsid w:val="00EC5CDE"/>
    <w:rsid w:val="00EC75FC"/>
    <w:rsid w:val="00ED286F"/>
    <w:rsid w:val="00ED3077"/>
    <w:rsid w:val="00ED487E"/>
    <w:rsid w:val="00ED4A0C"/>
    <w:rsid w:val="00ED64F1"/>
    <w:rsid w:val="00ED656C"/>
    <w:rsid w:val="00EE30EA"/>
    <w:rsid w:val="00EE33A1"/>
    <w:rsid w:val="00EE7A0D"/>
    <w:rsid w:val="00EF24D6"/>
    <w:rsid w:val="00EF295D"/>
    <w:rsid w:val="00EF4286"/>
    <w:rsid w:val="00F0222C"/>
    <w:rsid w:val="00F05AFA"/>
    <w:rsid w:val="00F12312"/>
    <w:rsid w:val="00F13DE2"/>
    <w:rsid w:val="00F177C7"/>
    <w:rsid w:val="00F17CE1"/>
    <w:rsid w:val="00F2115C"/>
    <w:rsid w:val="00F22ABA"/>
    <w:rsid w:val="00F32004"/>
    <w:rsid w:val="00F33E63"/>
    <w:rsid w:val="00F349C9"/>
    <w:rsid w:val="00F36B12"/>
    <w:rsid w:val="00F40367"/>
    <w:rsid w:val="00F47C64"/>
    <w:rsid w:val="00F504CA"/>
    <w:rsid w:val="00F57EE5"/>
    <w:rsid w:val="00F57F3B"/>
    <w:rsid w:val="00F60F9F"/>
    <w:rsid w:val="00F635D9"/>
    <w:rsid w:val="00F64CFF"/>
    <w:rsid w:val="00F64F08"/>
    <w:rsid w:val="00F70055"/>
    <w:rsid w:val="00F71150"/>
    <w:rsid w:val="00F71D46"/>
    <w:rsid w:val="00F72E56"/>
    <w:rsid w:val="00F734F5"/>
    <w:rsid w:val="00F738BA"/>
    <w:rsid w:val="00F73AF5"/>
    <w:rsid w:val="00F73B5B"/>
    <w:rsid w:val="00F7492A"/>
    <w:rsid w:val="00F77B0C"/>
    <w:rsid w:val="00F84D8C"/>
    <w:rsid w:val="00F90EA5"/>
    <w:rsid w:val="00F91F5A"/>
    <w:rsid w:val="00F94580"/>
    <w:rsid w:val="00F966B1"/>
    <w:rsid w:val="00F97736"/>
    <w:rsid w:val="00F97D48"/>
    <w:rsid w:val="00FA0311"/>
    <w:rsid w:val="00FA0E12"/>
    <w:rsid w:val="00FA1489"/>
    <w:rsid w:val="00FA39E1"/>
    <w:rsid w:val="00FA66A9"/>
    <w:rsid w:val="00FB51B4"/>
    <w:rsid w:val="00FB5F78"/>
    <w:rsid w:val="00FC296B"/>
    <w:rsid w:val="00FD07EF"/>
    <w:rsid w:val="00FD112D"/>
    <w:rsid w:val="00FD3B36"/>
    <w:rsid w:val="00FD50F0"/>
    <w:rsid w:val="00FD640F"/>
    <w:rsid w:val="00FD6B4C"/>
    <w:rsid w:val="00FD7069"/>
    <w:rsid w:val="00FE0553"/>
    <w:rsid w:val="00FE25D0"/>
    <w:rsid w:val="00FE2B5B"/>
    <w:rsid w:val="00FE6CB3"/>
    <w:rsid w:val="00FF0439"/>
    <w:rsid w:val="00FF411C"/>
    <w:rsid w:val="00FF4E99"/>
    <w:rsid w:val="00FF5332"/>
    <w:rsid w:val="00FF62F4"/>
    <w:rsid w:val="01F09F9B"/>
    <w:rsid w:val="096A9034"/>
    <w:rsid w:val="0A8AFC33"/>
    <w:rsid w:val="0B039B34"/>
    <w:rsid w:val="0C1519E6"/>
    <w:rsid w:val="0C37D595"/>
    <w:rsid w:val="0D7B9C9C"/>
    <w:rsid w:val="0E4A1D33"/>
    <w:rsid w:val="0E4A4EB1"/>
    <w:rsid w:val="0EEB8CF9"/>
    <w:rsid w:val="10DA7964"/>
    <w:rsid w:val="112B356D"/>
    <w:rsid w:val="11C63D5F"/>
    <w:rsid w:val="122FB9B3"/>
    <w:rsid w:val="14121A26"/>
    <w:rsid w:val="152627B8"/>
    <w:rsid w:val="15B0BD3F"/>
    <w:rsid w:val="15BF03B9"/>
    <w:rsid w:val="1684563D"/>
    <w:rsid w:val="16E9E770"/>
    <w:rsid w:val="17DD9827"/>
    <w:rsid w:val="1B684381"/>
    <w:rsid w:val="1C4F87E0"/>
    <w:rsid w:val="1D61043E"/>
    <w:rsid w:val="1E7D1CDD"/>
    <w:rsid w:val="1EB3E1A1"/>
    <w:rsid w:val="1EF6EA62"/>
    <w:rsid w:val="1F5A6BC4"/>
    <w:rsid w:val="1F9669BD"/>
    <w:rsid w:val="222098B8"/>
    <w:rsid w:val="2584D8DE"/>
    <w:rsid w:val="29E45D52"/>
    <w:rsid w:val="2E6AEAFB"/>
    <w:rsid w:val="31896360"/>
    <w:rsid w:val="332533C1"/>
    <w:rsid w:val="3335D5AA"/>
    <w:rsid w:val="34585981"/>
    <w:rsid w:val="34DA0EDC"/>
    <w:rsid w:val="36DD04D6"/>
    <w:rsid w:val="37269E9D"/>
    <w:rsid w:val="3727E81F"/>
    <w:rsid w:val="3810675C"/>
    <w:rsid w:val="39C6605D"/>
    <w:rsid w:val="3C1FFB18"/>
    <w:rsid w:val="3CA110C3"/>
    <w:rsid w:val="3CF5A6F7"/>
    <w:rsid w:val="3D5F85BF"/>
    <w:rsid w:val="3DCB8A34"/>
    <w:rsid w:val="3EAB3F28"/>
    <w:rsid w:val="3F63D79B"/>
    <w:rsid w:val="40B45886"/>
    <w:rsid w:val="467C2CC2"/>
    <w:rsid w:val="4930F13F"/>
    <w:rsid w:val="49B28695"/>
    <w:rsid w:val="4AB55C9A"/>
    <w:rsid w:val="4DB3F35C"/>
    <w:rsid w:val="4E88EA86"/>
    <w:rsid w:val="4F55842E"/>
    <w:rsid w:val="504C933C"/>
    <w:rsid w:val="509C3BB7"/>
    <w:rsid w:val="550DFBF7"/>
    <w:rsid w:val="573FD4BC"/>
    <w:rsid w:val="57708057"/>
    <w:rsid w:val="58766A0D"/>
    <w:rsid w:val="59522267"/>
    <w:rsid w:val="5977C90B"/>
    <w:rsid w:val="5B45A1BE"/>
    <w:rsid w:val="5BE40277"/>
    <w:rsid w:val="5EAFA18C"/>
    <w:rsid w:val="5FC463DB"/>
    <w:rsid w:val="5FD180FE"/>
    <w:rsid w:val="61D356A2"/>
    <w:rsid w:val="64AE6CAA"/>
    <w:rsid w:val="670224A3"/>
    <w:rsid w:val="695C682F"/>
    <w:rsid w:val="698109FA"/>
    <w:rsid w:val="6B592BC2"/>
    <w:rsid w:val="70B2224B"/>
    <w:rsid w:val="718694CF"/>
    <w:rsid w:val="71F167F2"/>
    <w:rsid w:val="73E9C30D"/>
    <w:rsid w:val="74465FB4"/>
    <w:rsid w:val="7490F078"/>
    <w:rsid w:val="75BA2A00"/>
    <w:rsid w:val="7893CE16"/>
    <w:rsid w:val="78D83C4B"/>
    <w:rsid w:val="7C45E74C"/>
    <w:rsid w:val="7C8D86F4"/>
    <w:rsid w:val="7D84C751"/>
    <w:rsid w:val="7F61F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C6E2B"/>
  <w15:docId w15:val="{E85D50E5-4372-AC4A-B6A5-0C0A5790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iPriority="99"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8A5B8A"/>
    <w:pPr>
      <w:keepNext/>
      <w:keepLines/>
      <w:spacing w:before="320" w:after="70" w:line="240" w:lineRule="auto"/>
      <w:outlineLvl w:val="3"/>
    </w:pPr>
    <w:rPr>
      <w:rFonts w:asciiTheme="majorHAnsi" w:eastAsiaTheme="majorEastAsia" w:hAnsiTheme="majorHAnsi" w:cstheme="majorBidi"/>
      <w:b/>
      <w:bCs/>
      <w:iCs/>
      <w:color w:val="000000" w:themeColor="text1"/>
      <w:sz w:val="22"/>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8A5B8A"/>
    <w:pPr>
      <w:keepNext/>
      <w:keepLines/>
      <w:pBdr>
        <w:bottom w:val="single" w:sz="2" w:space="1" w:color="000016"/>
        <w:between w:val="single" w:sz="2" w:space="1" w:color="000000" w:themeColor="text1"/>
      </w:pBdr>
      <w:tabs>
        <w:tab w:val="right" w:pos="10206"/>
      </w:tabs>
      <w:spacing w:before="120" w:after="0"/>
      <w:ind w:right="57"/>
    </w:pPr>
    <w:rPr>
      <w:b/>
      <w:noProof/>
      <w:sz w:val="22"/>
      <w:lang w:eastAsia="en-US"/>
    </w:rPr>
  </w:style>
  <w:style w:type="paragraph" w:styleId="TOC2">
    <w:name w:val="toc 2"/>
    <w:basedOn w:val="Normal"/>
    <w:next w:val="Normal"/>
    <w:uiPriority w:val="39"/>
    <w:rsid w:val="008A5B8A"/>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sz w:val="2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35069"/>
    <w:rPr>
      <w:color w:val="215868"/>
      <w:u w:val="single"/>
    </w:rPr>
  </w:style>
  <w:style w:type="character" w:customStyle="1" w:styleId="Heading1Char">
    <w:name w:val="Heading 1 Char"/>
    <w:basedOn w:val="DefaultParagraphFont"/>
    <w:link w:val="Heading1"/>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6"/>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5171D2"/>
    <w:rPr>
      <w:sz w:val="22"/>
    </w:rPr>
  </w:style>
  <w:style w:type="paragraph" w:customStyle="1" w:styleId="SCVfigurecaption">
    <w:name w:val="SCV figure caption"/>
    <w:basedOn w:val="SCVtablecaption"/>
    <w:uiPriority w:val="14"/>
    <w:qFormat/>
    <w:rsid w:val="005171D2"/>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uiPriority w:val="9"/>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8A5B8A"/>
    <w:rPr>
      <w:rFonts w:asciiTheme="majorHAnsi" w:eastAsiaTheme="majorEastAsia" w:hAnsiTheme="majorHAnsi" w:cstheme="majorBidi"/>
      <w:b/>
      <w:bCs/>
      <w:iCs/>
      <w:color w:val="000000" w:themeColor="text1"/>
      <w:sz w:val="22"/>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706267"/>
    <w:pPr>
      <w:spacing w:before="80" w:after="80" w:line="264" w:lineRule="auto"/>
    </w:pPr>
    <w:rPr>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aliases w:val="A List Paragraph,Colorful List - Accent 11"/>
    <w:basedOn w:val="Normal"/>
    <w:uiPriority w:val="34"/>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5171D2"/>
    <w:pPr>
      <w:keepNext/>
      <w:tabs>
        <w:tab w:val="left" w:pos="1080"/>
      </w:tabs>
      <w:spacing w:before="280" w:after="120" w:line="264" w:lineRule="auto"/>
    </w:pPr>
    <w:rPr>
      <w:b/>
      <w:bCs/>
      <w:color w:val="007586" w:themeColor="text2"/>
      <w:spacing w:val="2"/>
      <w:sz w:val="2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171D2"/>
    <w:pPr>
      <w:spacing w:before="400" w:after="240"/>
    </w:pPr>
    <w:rPr>
      <w:color w:val="007586" w:themeColor="text2"/>
      <w:sz w:val="24"/>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5171D2"/>
    <w:pPr>
      <w:spacing w:before="80" w:after="60" w:line="240" w:lineRule="atLeast"/>
    </w:pPr>
    <w:rPr>
      <w:rFonts w:eastAsia="Times New Roman" w:cstheme="minorHAnsi"/>
      <w:sz w:val="22"/>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5171D2"/>
    <w:pPr>
      <w:keepNext/>
      <w:keepLines/>
      <w:spacing w:before="80" w:after="60" w:line="240" w:lineRule="auto"/>
    </w:pPr>
    <w:rPr>
      <w:rFonts w:eastAsia="Times New Roman" w:cstheme="minorHAnsi"/>
      <w:b/>
      <w:color w:val="007586" w:themeColor="text2"/>
      <w:sz w:val="22"/>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5171D2"/>
    <w:rPr>
      <w:sz w:val="22"/>
    </w:rPr>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99"/>
    <w:semiHidden/>
    <w:unhideWhenUsed/>
    <w:rsid w:val="00E45C9C"/>
    <w:rPr>
      <w:sz w:val="16"/>
      <w:szCs w:val="16"/>
    </w:rPr>
  </w:style>
  <w:style w:type="paragraph" w:styleId="CommentText">
    <w:name w:val="annotation text"/>
    <w:basedOn w:val="Normal"/>
    <w:link w:val="CommentTextChar"/>
    <w:uiPriority w:val="99"/>
    <w:unhideWhenUsed/>
    <w:rsid w:val="00E45C9C"/>
    <w:pPr>
      <w:spacing w:line="240" w:lineRule="auto"/>
    </w:pPr>
  </w:style>
  <w:style w:type="character" w:customStyle="1" w:styleId="CommentTextChar">
    <w:name w:val="Comment Text Char"/>
    <w:basedOn w:val="DefaultParagraphFont"/>
    <w:link w:val="CommentText"/>
    <w:uiPriority w:val="99"/>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paragraph" w:customStyle="1" w:styleId="paragraph">
    <w:name w:val="paragraph"/>
    <w:basedOn w:val="Normal"/>
    <w:rsid w:val="00A740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407D"/>
  </w:style>
  <w:style w:type="character" w:customStyle="1" w:styleId="eop">
    <w:name w:val="eop"/>
    <w:basedOn w:val="DefaultParagraphFont"/>
    <w:rsid w:val="00A7407D"/>
  </w:style>
  <w:style w:type="paragraph" w:customStyle="1" w:styleId="SCVboxheading">
    <w:name w:val="SCV box heading"/>
    <w:basedOn w:val="Heading3"/>
    <w:uiPriority w:val="1"/>
    <w:qFormat/>
    <w:rsid w:val="000F68D9"/>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31740459">
      <w:bodyDiv w:val="1"/>
      <w:marLeft w:val="0"/>
      <w:marRight w:val="0"/>
      <w:marTop w:val="0"/>
      <w:marBottom w:val="0"/>
      <w:divBdr>
        <w:top w:val="none" w:sz="0" w:space="0" w:color="auto"/>
        <w:left w:val="none" w:sz="0" w:space="0" w:color="auto"/>
        <w:bottom w:val="none" w:sz="0" w:space="0" w:color="auto"/>
        <w:right w:val="none" w:sz="0" w:space="0" w:color="auto"/>
      </w:divBdr>
      <w:divsChild>
        <w:div w:id="1024553622">
          <w:marLeft w:val="0"/>
          <w:marRight w:val="0"/>
          <w:marTop w:val="0"/>
          <w:marBottom w:val="0"/>
          <w:divBdr>
            <w:top w:val="none" w:sz="0" w:space="0" w:color="auto"/>
            <w:left w:val="none" w:sz="0" w:space="0" w:color="auto"/>
            <w:bottom w:val="none" w:sz="0" w:space="0" w:color="auto"/>
            <w:right w:val="none" w:sz="0" w:space="0" w:color="auto"/>
          </w:divBdr>
        </w:div>
      </w:divsChild>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16419749">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490025477">
      <w:bodyDiv w:val="1"/>
      <w:marLeft w:val="0"/>
      <w:marRight w:val="0"/>
      <w:marTop w:val="0"/>
      <w:marBottom w:val="0"/>
      <w:divBdr>
        <w:top w:val="none" w:sz="0" w:space="0" w:color="auto"/>
        <w:left w:val="none" w:sz="0" w:space="0" w:color="auto"/>
        <w:bottom w:val="none" w:sz="0" w:space="0" w:color="auto"/>
        <w:right w:val="none" w:sz="0" w:space="0" w:color="auto"/>
      </w:divBdr>
      <w:divsChild>
        <w:div w:id="1268851221">
          <w:marLeft w:val="0"/>
          <w:marRight w:val="0"/>
          <w:marTop w:val="0"/>
          <w:marBottom w:val="0"/>
          <w:divBdr>
            <w:top w:val="none" w:sz="0" w:space="0" w:color="auto"/>
            <w:left w:val="none" w:sz="0" w:space="0" w:color="auto"/>
            <w:bottom w:val="none" w:sz="0" w:space="0" w:color="auto"/>
            <w:right w:val="none" w:sz="0" w:space="0" w:color="auto"/>
          </w:divBdr>
        </w:div>
      </w:divsChild>
    </w:div>
    <w:div w:id="510341630">
      <w:bodyDiv w:val="1"/>
      <w:marLeft w:val="0"/>
      <w:marRight w:val="0"/>
      <w:marTop w:val="0"/>
      <w:marBottom w:val="0"/>
      <w:divBdr>
        <w:top w:val="none" w:sz="0" w:space="0" w:color="auto"/>
        <w:left w:val="none" w:sz="0" w:space="0" w:color="auto"/>
        <w:bottom w:val="none" w:sz="0" w:space="0" w:color="auto"/>
        <w:right w:val="none" w:sz="0" w:space="0" w:color="auto"/>
      </w:divBdr>
      <w:divsChild>
        <w:div w:id="469061064">
          <w:marLeft w:val="0"/>
          <w:marRight w:val="0"/>
          <w:marTop w:val="0"/>
          <w:marBottom w:val="0"/>
          <w:divBdr>
            <w:top w:val="none" w:sz="0" w:space="0" w:color="auto"/>
            <w:left w:val="none" w:sz="0" w:space="0" w:color="auto"/>
            <w:bottom w:val="none" w:sz="0" w:space="0" w:color="auto"/>
            <w:right w:val="none" w:sz="0" w:space="0" w:color="auto"/>
          </w:divBdr>
        </w:div>
      </w:divsChild>
    </w:div>
    <w:div w:id="618873359">
      <w:bodyDiv w:val="1"/>
      <w:marLeft w:val="0"/>
      <w:marRight w:val="0"/>
      <w:marTop w:val="0"/>
      <w:marBottom w:val="0"/>
      <w:divBdr>
        <w:top w:val="none" w:sz="0" w:space="0" w:color="auto"/>
        <w:left w:val="none" w:sz="0" w:space="0" w:color="auto"/>
        <w:bottom w:val="none" w:sz="0" w:space="0" w:color="auto"/>
        <w:right w:val="none" w:sz="0" w:space="0" w:color="auto"/>
      </w:divBdr>
      <w:divsChild>
        <w:div w:id="1491603408">
          <w:marLeft w:val="0"/>
          <w:marRight w:val="0"/>
          <w:marTop w:val="0"/>
          <w:marBottom w:val="0"/>
          <w:divBdr>
            <w:top w:val="none" w:sz="0" w:space="0" w:color="auto"/>
            <w:left w:val="none" w:sz="0" w:space="0" w:color="auto"/>
            <w:bottom w:val="none" w:sz="0" w:space="0" w:color="auto"/>
            <w:right w:val="none" w:sz="0" w:space="0" w:color="auto"/>
          </w:divBdr>
        </w:div>
      </w:divsChild>
    </w:div>
    <w:div w:id="670522549">
      <w:bodyDiv w:val="1"/>
      <w:marLeft w:val="0"/>
      <w:marRight w:val="0"/>
      <w:marTop w:val="0"/>
      <w:marBottom w:val="0"/>
      <w:divBdr>
        <w:top w:val="none" w:sz="0" w:space="0" w:color="auto"/>
        <w:left w:val="none" w:sz="0" w:space="0" w:color="auto"/>
        <w:bottom w:val="none" w:sz="0" w:space="0" w:color="auto"/>
        <w:right w:val="none" w:sz="0" w:space="0" w:color="auto"/>
      </w:divBdr>
      <w:divsChild>
        <w:div w:id="560750206">
          <w:marLeft w:val="0"/>
          <w:marRight w:val="0"/>
          <w:marTop w:val="0"/>
          <w:marBottom w:val="0"/>
          <w:divBdr>
            <w:top w:val="none" w:sz="0" w:space="0" w:color="auto"/>
            <w:left w:val="none" w:sz="0" w:space="0" w:color="auto"/>
            <w:bottom w:val="none" w:sz="0" w:space="0" w:color="auto"/>
            <w:right w:val="none" w:sz="0" w:space="0" w:color="auto"/>
          </w:divBdr>
        </w:div>
      </w:divsChild>
    </w:div>
    <w:div w:id="674459908">
      <w:bodyDiv w:val="1"/>
      <w:marLeft w:val="0"/>
      <w:marRight w:val="0"/>
      <w:marTop w:val="0"/>
      <w:marBottom w:val="0"/>
      <w:divBdr>
        <w:top w:val="none" w:sz="0" w:space="0" w:color="auto"/>
        <w:left w:val="none" w:sz="0" w:space="0" w:color="auto"/>
        <w:bottom w:val="none" w:sz="0" w:space="0" w:color="auto"/>
        <w:right w:val="none" w:sz="0" w:space="0" w:color="auto"/>
      </w:divBdr>
      <w:divsChild>
        <w:div w:id="858660807">
          <w:marLeft w:val="0"/>
          <w:marRight w:val="0"/>
          <w:marTop w:val="0"/>
          <w:marBottom w:val="0"/>
          <w:divBdr>
            <w:top w:val="none" w:sz="0" w:space="0" w:color="auto"/>
            <w:left w:val="none" w:sz="0" w:space="0" w:color="auto"/>
            <w:bottom w:val="none" w:sz="0" w:space="0" w:color="auto"/>
            <w:right w:val="none" w:sz="0" w:space="0" w:color="auto"/>
          </w:divBdr>
        </w:div>
      </w:divsChild>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15434717">
      <w:bodyDiv w:val="1"/>
      <w:marLeft w:val="0"/>
      <w:marRight w:val="0"/>
      <w:marTop w:val="0"/>
      <w:marBottom w:val="0"/>
      <w:divBdr>
        <w:top w:val="none" w:sz="0" w:space="0" w:color="auto"/>
        <w:left w:val="none" w:sz="0" w:space="0" w:color="auto"/>
        <w:bottom w:val="none" w:sz="0" w:space="0" w:color="auto"/>
        <w:right w:val="none" w:sz="0" w:space="0" w:color="auto"/>
      </w:divBdr>
      <w:divsChild>
        <w:div w:id="244843748">
          <w:marLeft w:val="0"/>
          <w:marRight w:val="0"/>
          <w:marTop w:val="0"/>
          <w:marBottom w:val="0"/>
          <w:divBdr>
            <w:top w:val="none" w:sz="0" w:space="0" w:color="auto"/>
            <w:left w:val="none" w:sz="0" w:space="0" w:color="auto"/>
            <w:bottom w:val="none" w:sz="0" w:space="0" w:color="auto"/>
            <w:right w:val="none" w:sz="0" w:space="0" w:color="auto"/>
          </w:divBdr>
        </w:div>
      </w:divsChild>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958952536">
      <w:bodyDiv w:val="1"/>
      <w:marLeft w:val="0"/>
      <w:marRight w:val="0"/>
      <w:marTop w:val="0"/>
      <w:marBottom w:val="0"/>
      <w:divBdr>
        <w:top w:val="none" w:sz="0" w:space="0" w:color="auto"/>
        <w:left w:val="none" w:sz="0" w:space="0" w:color="auto"/>
        <w:bottom w:val="none" w:sz="0" w:space="0" w:color="auto"/>
        <w:right w:val="none" w:sz="0" w:space="0" w:color="auto"/>
      </w:divBdr>
      <w:divsChild>
        <w:div w:id="566111371">
          <w:marLeft w:val="0"/>
          <w:marRight w:val="0"/>
          <w:marTop w:val="0"/>
          <w:marBottom w:val="0"/>
          <w:divBdr>
            <w:top w:val="none" w:sz="0" w:space="0" w:color="auto"/>
            <w:left w:val="none" w:sz="0" w:space="0" w:color="auto"/>
            <w:bottom w:val="none" w:sz="0" w:space="0" w:color="auto"/>
            <w:right w:val="none" w:sz="0" w:space="0" w:color="auto"/>
          </w:divBdr>
          <w:divsChild>
            <w:div w:id="1995064129">
              <w:marLeft w:val="0"/>
              <w:marRight w:val="0"/>
              <w:marTop w:val="0"/>
              <w:marBottom w:val="0"/>
              <w:divBdr>
                <w:top w:val="none" w:sz="0" w:space="0" w:color="auto"/>
                <w:left w:val="none" w:sz="0" w:space="0" w:color="auto"/>
                <w:bottom w:val="none" w:sz="0" w:space="0" w:color="auto"/>
                <w:right w:val="none" w:sz="0" w:space="0" w:color="auto"/>
              </w:divBdr>
            </w:div>
          </w:divsChild>
        </w:div>
        <w:div w:id="334499602">
          <w:marLeft w:val="0"/>
          <w:marRight w:val="0"/>
          <w:marTop w:val="0"/>
          <w:marBottom w:val="0"/>
          <w:divBdr>
            <w:top w:val="none" w:sz="0" w:space="0" w:color="auto"/>
            <w:left w:val="none" w:sz="0" w:space="0" w:color="auto"/>
            <w:bottom w:val="none" w:sz="0" w:space="0" w:color="auto"/>
            <w:right w:val="none" w:sz="0" w:space="0" w:color="auto"/>
          </w:divBdr>
          <w:divsChild>
            <w:div w:id="1882546811">
              <w:marLeft w:val="0"/>
              <w:marRight w:val="0"/>
              <w:marTop w:val="0"/>
              <w:marBottom w:val="0"/>
              <w:divBdr>
                <w:top w:val="none" w:sz="0" w:space="0" w:color="auto"/>
                <w:left w:val="none" w:sz="0" w:space="0" w:color="auto"/>
                <w:bottom w:val="none" w:sz="0" w:space="0" w:color="auto"/>
                <w:right w:val="none" w:sz="0" w:space="0" w:color="auto"/>
              </w:divBdr>
            </w:div>
            <w:div w:id="7162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71261">
      <w:bodyDiv w:val="1"/>
      <w:marLeft w:val="0"/>
      <w:marRight w:val="0"/>
      <w:marTop w:val="0"/>
      <w:marBottom w:val="0"/>
      <w:divBdr>
        <w:top w:val="none" w:sz="0" w:space="0" w:color="auto"/>
        <w:left w:val="none" w:sz="0" w:space="0" w:color="auto"/>
        <w:bottom w:val="none" w:sz="0" w:space="0" w:color="auto"/>
        <w:right w:val="none" w:sz="0" w:space="0" w:color="auto"/>
      </w:divBdr>
      <w:divsChild>
        <w:div w:id="1766343673">
          <w:marLeft w:val="0"/>
          <w:marRight w:val="0"/>
          <w:marTop w:val="0"/>
          <w:marBottom w:val="0"/>
          <w:divBdr>
            <w:top w:val="none" w:sz="0" w:space="0" w:color="auto"/>
            <w:left w:val="none" w:sz="0" w:space="0" w:color="auto"/>
            <w:bottom w:val="none" w:sz="0" w:space="0" w:color="auto"/>
            <w:right w:val="none" w:sz="0" w:space="0" w:color="auto"/>
          </w:divBdr>
        </w:div>
      </w:divsChild>
    </w:div>
    <w:div w:id="1306929201">
      <w:bodyDiv w:val="1"/>
      <w:marLeft w:val="0"/>
      <w:marRight w:val="0"/>
      <w:marTop w:val="0"/>
      <w:marBottom w:val="0"/>
      <w:divBdr>
        <w:top w:val="none" w:sz="0" w:space="0" w:color="auto"/>
        <w:left w:val="none" w:sz="0" w:space="0" w:color="auto"/>
        <w:bottom w:val="none" w:sz="0" w:space="0" w:color="auto"/>
        <w:right w:val="none" w:sz="0" w:space="0" w:color="auto"/>
      </w:divBdr>
    </w:div>
    <w:div w:id="1348172404">
      <w:bodyDiv w:val="1"/>
      <w:marLeft w:val="0"/>
      <w:marRight w:val="0"/>
      <w:marTop w:val="0"/>
      <w:marBottom w:val="0"/>
      <w:divBdr>
        <w:top w:val="none" w:sz="0" w:space="0" w:color="auto"/>
        <w:left w:val="none" w:sz="0" w:space="0" w:color="auto"/>
        <w:bottom w:val="none" w:sz="0" w:space="0" w:color="auto"/>
        <w:right w:val="none" w:sz="0" w:space="0" w:color="auto"/>
      </w:divBdr>
      <w:divsChild>
        <w:div w:id="471603013">
          <w:marLeft w:val="0"/>
          <w:marRight w:val="0"/>
          <w:marTop w:val="0"/>
          <w:marBottom w:val="0"/>
          <w:divBdr>
            <w:top w:val="none" w:sz="0" w:space="0" w:color="auto"/>
            <w:left w:val="none" w:sz="0" w:space="0" w:color="auto"/>
            <w:bottom w:val="none" w:sz="0" w:space="0" w:color="auto"/>
            <w:right w:val="none" w:sz="0" w:space="0" w:color="auto"/>
          </w:divBdr>
        </w:div>
      </w:divsChild>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44749358">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570074073">
      <w:bodyDiv w:val="1"/>
      <w:marLeft w:val="0"/>
      <w:marRight w:val="0"/>
      <w:marTop w:val="0"/>
      <w:marBottom w:val="0"/>
      <w:divBdr>
        <w:top w:val="none" w:sz="0" w:space="0" w:color="auto"/>
        <w:left w:val="none" w:sz="0" w:space="0" w:color="auto"/>
        <w:bottom w:val="none" w:sz="0" w:space="0" w:color="auto"/>
        <w:right w:val="none" w:sz="0" w:space="0" w:color="auto"/>
      </w:divBdr>
      <w:divsChild>
        <w:div w:id="281689251">
          <w:marLeft w:val="0"/>
          <w:marRight w:val="0"/>
          <w:marTop w:val="0"/>
          <w:marBottom w:val="0"/>
          <w:divBdr>
            <w:top w:val="none" w:sz="0" w:space="0" w:color="auto"/>
            <w:left w:val="none" w:sz="0" w:space="0" w:color="auto"/>
            <w:bottom w:val="none" w:sz="0" w:space="0" w:color="auto"/>
            <w:right w:val="none" w:sz="0" w:space="0" w:color="auto"/>
          </w:divBdr>
        </w:div>
      </w:divsChild>
    </w:div>
    <w:div w:id="1647664818">
      <w:bodyDiv w:val="1"/>
      <w:marLeft w:val="0"/>
      <w:marRight w:val="0"/>
      <w:marTop w:val="0"/>
      <w:marBottom w:val="0"/>
      <w:divBdr>
        <w:top w:val="none" w:sz="0" w:space="0" w:color="auto"/>
        <w:left w:val="none" w:sz="0" w:space="0" w:color="auto"/>
        <w:bottom w:val="none" w:sz="0" w:space="0" w:color="auto"/>
        <w:right w:val="none" w:sz="0" w:space="0" w:color="auto"/>
      </w:divBdr>
      <w:divsChild>
        <w:div w:id="621426067">
          <w:marLeft w:val="0"/>
          <w:marRight w:val="0"/>
          <w:marTop w:val="0"/>
          <w:marBottom w:val="0"/>
          <w:divBdr>
            <w:top w:val="none" w:sz="0" w:space="0" w:color="auto"/>
            <w:left w:val="none" w:sz="0" w:space="0" w:color="auto"/>
            <w:bottom w:val="none" w:sz="0" w:space="0" w:color="auto"/>
            <w:right w:val="none" w:sz="0" w:space="0" w:color="auto"/>
          </w:divBdr>
        </w:div>
      </w:divsChild>
    </w:div>
    <w:div w:id="1721049453">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 w:id="1860660668">
      <w:bodyDiv w:val="1"/>
      <w:marLeft w:val="0"/>
      <w:marRight w:val="0"/>
      <w:marTop w:val="0"/>
      <w:marBottom w:val="0"/>
      <w:divBdr>
        <w:top w:val="none" w:sz="0" w:space="0" w:color="auto"/>
        <w:left w:val="none" w:sz="0" w:space="0" w:color="auto"/>
        <w:bottom w:val="none" w:sz="0" w:space="0" w:color="auto"/>
        <w:right w:val="none" w:sz="0" w:space="0" w:color="auto"/>
      </w:divBdr>
      <w:divsChild>
        <w:div w:id="1175807126">
          <w:marLeft w:val="0"/>
          <w:marRight w:val="0"/>
          <w:marTop w:val="0"/>
          <w:marBottom w:val="0"/>
          <w:divBdr>
            <w:top w:val="none" w:sz="0" w:space="0" w:color="auto"/>
            <w:left w:val="none" w:sz="0" w:space="0" w:color="auto"/>
            <w:bottom w:val="none" w:sz="0" w:space="0" w:color="auto"/>
            <w:right w:val="none" w:sz="0" w:space="0" w:color="auto"/>
          </w:divBdr>
        </w:div>
      </w:divsChild>
    </w:div>
    <w:div w:id="1974871652">
      <w:bodyDiv w:val="1"/>
      <w:marLeft w:val="0"/>
      <w:marRight w:val="0"/>
      <w:marTop w:val="0"/>
      <w:marBottom w:val="0"/>
      <w:divBdr>
        <w:top w:val="none" w:sz="0" w:space="0" w:color="auto"/>
        <w:left w:val="none" w:sz="0" w:space="0" w:color="auto"/>
        <w:bottom w:val="none" w:sz="0" w:space="0" w:color="auto"/>
        <w:right w:val="none" w:sz="0" w:space="0" w:color="auto"/>
      </w:divBdr>
      <w:divsChild>
        <w:div w:id="1793354536">
          <w:marLeft w:val="0"/>
          <w:marRight w:val="0"/>
          <w:marTop w:val="0"/>
          <w:marBottom w:val="0"/>
          <w:divBdr>
            <w:top w:val="none" w:sz="0" w:space="0" w:color="auto"/>
            <w:left w:val="none" w:sz="0" w:space="0" w:color="auto"/>
            <w:bottom w:val="none" w:sz="0" w:space="0" w:color="auto"/>
            <w:right w:val="none" w:sz="0" w:space="0" w:color="auto"/>
          </w:divBdr>
        </w:div>
      </w:divsChild>
    </w:div>
    <w:div w:id="1980106555">
      <w:bodyDiv w:val="1"/>
      <w:marLeft w:val="0"/>
      <w:marRight w:val="0"/>
      <w:marTop w:val="0"/>
      <w:marBottom w:val="0"/>
      <w:divBdr>
        <w:top w:val="none" w:sz="0" w:space="0" w:color="auto"/>
        <w:left w:val="none" w:sz="0" w:space="0" w:color="auto"/>
        <w:bottom w:val="none" w:sz="0" w:space="0" w:color="auto"/>
        <w:right w:val="none" w:sz="0" w:space="0" w:color="auto"/>
      </w:divBdr>
      <w:divsChild>
        <w:div w:id="996418762">
          <w:marLeft w:val="0"/>
          <w:marRight w:val="0"/>
          <w:marTop w:val="0"/>
          <w:marBottom w:val="0"/>
          <w:divBdr>
            <w:top w:val="none" w:sz="0" w:space="0" w:color="auto"/>
            <w:left w:val="none" w:sz="0" w:space="0" w:color="auto"/>
            <w:bottom w:val="none" w:sz="0" w:space="0" w:color="auto"/>
            <w:right w:val="none" w:sz="0" w:space="0" w:color="auto"/>
          </w:divBdr>
        </w:div>
      </w:divsChild>
    </w:div>
    <w:div w:id="2108765371">
      <w:bodyDiv w:val="1"/>
      <w:marLeft w:val="0"/>
      <w:marRight w:val="0"/>
      <w:marTop w:val="0"/>
      <w:marBottom w:val="0"/>
      <w:divBdr>
        <w:top w:val="none" w:sz="0" w:space="0" w:color="auto"/>
        <w:left w:val="none" w:sz="0" w:space="0" w:color="auto"/>
        <w:bottom w:val="none" w:sz="0" w:space="0" w:color="auto"/>
        <w:right w:val="none" w:sz="0" w:space="0" w:color="auto"/>
      </w:divBdr>
      <w:divsChild>
        <w:div w:id="109636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3.emf"/><Relationship Id="rId39" Type="http://schemas.openxmlformats.org/officeDocument/2006/relationships/hyperlink" Target="https://www.rch.org.au/oneteam/" TargetMode="External"/><Relationship Id="rId21" Type="http://schemas.openxmlformats.org/officeDocument/2006/relationships/footer" Target="footer3.xml"/><Relationship Id="rId34" Type="http://schemas.openxmlformats.org/officeDocument/2006/relationships/hyperlink" Target="https://www.safetyandquality.gov.au/publications-and-resources/%20resource-library/partnering-consumers-guide-consumers" TargetMode="External"/><Relationship Id="rId42" Type="http://schemas.openxmlformats.org/officeDocument/2006/relationships/hyperlink" Target="https://www.safercare.vic.gov.au/venous-thromboembolism/victorian-guideline-for-the-prevention.of-venous-thromboembolism-in-adult.hospitalised-patients" TargetMode="External"/><Relationship Id="rId47" Type="http://schemas.openxmlformats.org/officeDocument/2006/relationships/hyperlink" Target="https://www.rch.org.au/clinicalguide/" TargetMode="External"/><Relationship Id="rId50" Type="http://schemas.openxmlformats.org/officeDocument/2006/relationships/hyperlink" Target="https://healthcarecomplaintsanalysis.com" TargetMode="External"/><Relationship Id="rId55" Type="http://schemas.openxmlformats.org/officeDocument/2006/relationships/hyperlink" Target="https://www.safercare.vic.gov.au/best-practice-improvement/publications/policy-adverse-patient-safety-events" TargetMode="External"/><Relationship Id="rId63" Type="http://schemas.openxmlformats.org/officeDocument/2006/relationships/hyperlink" Target="https://www.safercare.vic.gov.au/e-learning/%20fundamentals" TargetMode="External"/><Relationship Id="rId68" Type="http://schemas.openxmlformats.org/officeDocument/2006/relationships/hyperlink" Target="https://www.safercare.vic.gov.au/report-manage-issues/%20sentinel-events/about-the-sentinel-events-portal" TargetMode="External"/><Relationship Id="rId76" Type="http://schemas.openxmlformats.org/officeDocument/2006/relationships/hyperlink" Target="https://www.who.int/publications/i/item/WHO-IER-PSP-2010.2"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safercare.vic.gov.au/consumer-resources/what-adverse-sentinel-events" TargetMode="External"/><Relationship Id="rId2" Type="http://schemas.openxmlformats.org/officeDocument/2006/relationships/customXml" Target="../customXml/item2.xml"/><Relationship Id="rId16" Type="http://schemas.openxmlformats.org/officeDocument/2006/relationships/hyperlink" Target="https://www.safercare.vic.gov.au" TargetMode="External"/><Relationship Id="rId29" Type="http://schemas.openxmlformats.org/officeDocument/2006/relationships/hyperlink" Target="https://www.safercare.vic.gov.au/best-practice-improvement/publications/sentinel-events-guide" TargetMode="Externa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mailto:sentinel.events@safercare.vic.gov.au" TargetMode="External"/><Relationship Id="rId37" Type="http://schemas.openxmlformats.org/officeDocument/2006/relationships/hyperlink" Target="mailto:culture.capability@safercare.vic.gov.au" TargetMode="External"/><Relationship Id="rId40" Type="http://schemas.openxmlformats.org/officeDocument/2006/relationships/image" Target="media/image4.emf"/><Relationship Id="rId45" Type="http://schemas.openxmlformats.org/officeDocument/2006/relationships/hyperlink" Target="https://victag.org.au/events/medicines-roundtable" TargetMode="External"/><Relationship Id="rId53" Type="http://schemas.openxmlformats.org/officeDocument/2006/relationships/hyperlink" Target="https://www.safercare.vic.gov.au/consumer-resources/duty-of-candour-resources-for-patients-families-and-their-carers" TargetMode="External"/><Relationship Id="rId58" Type="http://schemas.openxmlformats.org/officeDocument/2006/relationships/hyperlink" Target="https://www.safercare.vic.gov.au/best-practice-improvement/publications/policy-adverse-patient-safety-events" TargetMode="External"/><Relationship Id="rId66" Type="http://schemas.openxmlformats.org/officeDocument/2006/relationships/hyperlink" Target="https://www.safercare.vic.gov.au/report-manage-issues/%20sentinel-events/adverse-event-review-and-response/duty-of-candour" TargetMode="External"/><Relationship Id="rId74" Type="http://schemas.openxmlformats.org/officeDocument/2006/relationships/hyperlink" Target="https://www.safercare.vic.gov.au/consumer-resources/duty-of-candour-resources-for-patients-families-and-their-carers" TargetMode="External"/><Relationship Id="rId79"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www.safercare.vic.gov.au/report-manage-issues/managing-adverse-events" TargetMode="External"/><Relationship Id="rId82"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safercare.vic.gov.au/report-manage-issues/sentinel-events" TargetMode="External"/><Relationship Id="rId44" Type="http://schemas.openxmlformats.org/officeDocument/2006/relationships/hyperlink" Target="https://hrmeducation.health.gov.au/login" TargetMode="External"/><Relationship Id="rId52" Type="http://schemas.openxmlformats.org/officeDocument/2006/relationships/hyperlink" Target="https://www.safercare.vic.gov.au/report-manage-issues/sentinel-events/adverse-event-review-and-response/duty-of-candour" TargetMode="External"/><Relationship Id="rId60" Type="http://schemas.openxmlformats.org/officeDocument/2006/relationships/hyperlink" Target="https://www.safetyandquality.gov.au/our-work/indicators-measurement-and-reporting/incident-management-and-sentinel-events" TargetMode="External"/><Relationship Id="rId65" Type="http://schemas.openxmlformats.org/officeDocument/2006/relationships/hyperlink" Target="https://www.safetyandquality.gov.au/our-work/open-disclosure/the-open-disclosure-framework" TargetMode="External"/><Relationship Id="rId73" Type="http://schemas.openxmlformats.org/officeDocument/2006/relationships/hyperlink" Target="https://www.safercare.vic.gov.au/best-practice-improvement/publications/guides-to-consumer-representatives-on-adverse-event-reviews" TargetMode="External"/><Relationship Id="rId78" Type="http://schemas.openxmlformats.org/officeDocument/2006/relationships/hyperlink" Target="https://www.victag.org.au" TargetMode="External"/><Relationship Id="rId8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tinel.events@safercare.vic.gov.au" TargetMode="External"/><Relationship Id="rId22" Type="http://schemas.openxmlformats.org/officeDocument/2006/relationships/footer" Target="footer4.xml"/><Relationship Id="rId27" Type="http://schemas.openxmlformats.org/officeDocument/2006/relationships/hyperlink" Target="mailto:sentinel.events@safercare.vic.gov.au" TargetMode="External"/><Relationship Id="rId30" Type="http://schemas.openxmlformats.org/officeDocument/2006/relationships/hyperlink" Target="https://www.safercare.vic.gov.au/%20report-manage-issues/sentinel-events/notify-and-review-a-sentinel-event" TargetMode="External"/><Relationship Id="rId35" Type="http://schemas.openxmlformats.org/officeDocument/2006/relationships/hyperlink" Target="https://www.safercare.vic.gov.au/report-manage-issues/managing-adverse-events" TargetMode="External"/><Relationship Id="rId43" Type="http://schemas.openxmlformats.org/officeDocument/2006/relationships/hyperlink" Target="mailto:centreofclinicalexcellence@safercare.vic.gov.au" TargetMode="External"/><Relationship Id="rId48" Type="http://schemas.openxmlformats.org/officeDocument/2006/relationships/hyperlink" Target="mailto:sentinel.events@safercare.vic.gov.au" TargetMode="External"/><Relationship Id="rId56" Type="http://schemas.openxmlformats.org/officeDocument/2006/relationships/hyperlink" Target="https://www.safercare.vic.gov.au/best-practice-improvement/publications/clinical-governance-framework" TargetMode="External"/><Relationship Id="rId64" Type="http://schemas.openxmlformats.org/officeDocument/2006/relationships/hyperlink" Target="https://www.safercare.vic.gov.au/e-learning/consumer" TargetMode="External"/><Relationship Id="rId69" Type="http://schemas.openxmlformats.org/officeDocument/2006/relationships/hyperlink" Target="https://www.safercare.vic.gov.au/report-manage-issues/sentinel-events/adverse-event-review-and-response/just-culture-training-and-resources" TargetMode="External"/><Relationship Id="rId77" Type="http://schemas.openxmlformats.org/officeDocument/2006/relationships/hyperlink" Target="https://www.safetyandquality.gov.au" TargetMode="External"/><Relationship Id="rId8" Type="http://schemas.openxmlformats.org/officeDocument/2006/relationships/webSettings" Target="webSettings.xml"/><Relationship Id="rId51" Type="http://schemas.openxmlformats.org/officeDocument/2006/relationships/hyperlink" Target="https://www.safercare.vic.gov.au/best-practice-improvement/publications/thematic-interrogation-of-patient-complaints-in-the-state-of-victoria" TargetMode="External"/><Relationship Id="rId72" Type="http://schemas.openxmlformats.org/officeDocument/2006/relationships/hyperlink" Target="https://www.safercare.vic.gov.au/report-manage-issues/sentinel-events/adverse-event-review-and-response/resources-for-involving-impacted-consumers" TargetMode="External"/><Relationship Id="rId80"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safercare.vic" TargetMode="External"/><Relationship Id="rId25" Type="http://schemas.openxmlformats.org/officeDocument/2006/relationships/hyperlink" Target="https://tinyurl.com/SCVreports" TargetMode="External"/><Relationship Id="rId33" Type="http://schemas.openxmlformats.org/officeDocument/2006/relationships/hyperlink" Target="https://www.safercare.vic.gov.au/best-practice-improvement/publications/guides-to-consumer-representatives-on-adverse-event-reviews" TargetMode="External"/><Relationship Id="rId38" Type="http://schemas.openxmlformats.org/officeDocument/2006/relationships/hyperlink" Target="https://www.vved.org.au" TargetMode="External"/><Relationship Id="rId46" Type="http://schemas.openxmlformats.org/officeDocument/2006/relationships/hyperlink" Target="https://www.safetyandquality.gov.au/publications-and-resources/resource-library/top-tips-safe-health-care" TargetMode="External"/><Relationship Id="rId59" Type="http://schemas.openxmlformats.org/officeDocument/2006/relationships/hyperlink" Target="https://www.safercare.vic.gov.au/publications/partnering-in-healthcare" TargetMode="External"/><Relationship Id="rId67" Type="http://schemas.openxmlformats.org/officeDocument/2006/relationships/hyperlink" Target="https://www.safercare.vic.gov.au/e-learning/duty-of-candour" TargetMode="External"/><Relationship Id="rId20" Type="http://schemas.openxmlformats.org/officeDocument/2006/relationships/header" Target="header3.xml"/><Relationship Id="rId41" Type="http://schemas.openxmlformats.org/officeDocument/2006/relationships/hyperlink" Target="https://tinyurl.com/37khkwn6" TargetMode="External"/><Relationship Id="rId54" Type="http://schemas.openxmlformats.org/officeDocument/2006/relationships/hyperlink" Target="https://www.safercare.vic.gov.au/report-manage-issues/managing-adverse-events" TargetMode="External"/><Relationship Id="rId62" Type="http://schemas.openxmlformats.org/officeDocument/2006/relationships/hyperlink" Target="https://www.safercare.vic.gov.au/best-practice-improvement/publications/guides-to-consumer-representatives-on-adverse-event-reviews" TargetMode="External"/><Relationship Id="rId70" Type="http://schemas.openxmlformats.org/officeDocument/2006/relationships/hyperlink" Target="https://www.safercare.vic.gov.au/best-practice-improvement/publications/thematic-interrogation-of-patient-complaints-in-the-state-of-victoria" TargetMode="External"/><Relationship Id="rId75" Type="http://schemas.openxmlformats.org/officeDocument/2006/relationships/hyperlink" Target="https://www.safercare.vic.gov.au/report-manage-issues/managing-adverse-events"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afercarevictoria@dhhs.vic" TargetMode="External"/><Relationship Id="rId23" Type="http://schemas.openxmlformats.org/officeDocument/2006/relationships/header" Target="header4.xml"/><Relationship Id="rId28" Type="http://schemas.openxmlformats.org/officeDocument/2006/relationships/hyperlink" Target="https://www.safetyandquality.gov.au/our-work/%20indicators-measurement-and-reporting/incident" TargetMode="External"/><Relationship Id="rId36" Type="http://schemas.openxmlformats.org/officeDocument/2006/relationships/hyperlink" Target="mailto:culture.capability@safercare.vic.gov.au" TargetMode="External"/><Relationship Id="rId49" Type="http://schemas.openxmlformats.org/officeDocument/2006/relationships/hyperlink" Target="https://www.safercare.vic.gov.au/consumer-resources/my-surgical-journey" TargetMode="External"/><Relationship Id="rId57" Type="http://schemas.openxmlformats.org/officeDocument/2006/relationships/hyperlink" Target="https://www.safercare.vic.gov.au/best-practice-improvement/publications/policy-adverse-patient-safety-ev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fcdb6e3-7bed-48bc-92a0-c164f79f5d9b">
      <Terms xmlns="http://schemas.microsoft.com/office/infopath/2007/PartnerControls"/>
    </lcf76f155ced4ddcb4097134ff3c332f>
    <SharedWithUsers xmlns="7a38ff2d-9f71-4e0c-809c-63178b66e3a9">
      <UserInfo>
        <DisplayName/>
        <AccountId xsi:nil="true"/>
        <AccountType/>
      </UserInfo>
    </SharedWithUsers>
    <MediaLengthInSeconds xmlns="6fcdb6e3-7bed-48bc-92a0-c164f79f5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DFDB3CCA7CE54AA42F05FDFD5130DA" ma:contentTypeVersion="18" ma:contentTypeDescription="Create a new document." ma:contentTypeScope="" ma:versionID="016e5f00aa3f4b1a4c9a8585c12c286a">
  <xsd:schema xmlns:xsd="http://www.w3.org/2001/XMLSchema" xmlns:xs="http://www.w3.org/2001/XMLSchema" xmlns:p="http://schemas.microsoft.com/office/2006/metadata/properties" xmlns:ns2="6fcdb6e3-7bed-48bc-92a0-c164f79f5d9b" xmlns:ns3="7a38ff2d-9f71-4e0c-809c-63178b66e3a9" xmlns:ns4="5ce0f2b5-5be5-4508-bce9-d7011ece0659" targetNamespace="http://schemas.microsoft.com/office/2006/metadata/properties" ma:root="true" ma:fieldsID="8f33dc88819e04e705cb4f35bd003762" ns2:_="" ns3:_="" ns4:_="">
    <xsd:import namespace="6fcdb6e3-7bed-48bc-92a0-c164f79f5d9b"/>
    <xsd:import namespace="7a38ff2d-9f71-4e0c-809c-63178b66e3a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db6e3-7bed-48bc-92a0-c164f79f5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8ff2d-9f71-4e0c-809c-63178b66e3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9c2766-7e02-40d4-85f5-0405f0cb63aa}" ma:internalName="TaxCatchAll" ma:showField="CatchAllData" ma:web="7a38ff2d-9f71-4e0c-809c-63178b66e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04BED-FF29-4C77-A2C9-C8DBCEC446BD}">
  <ds:schemaRefs>
    <ds:schemaRef ds:uri="http://schemas.microsoft.com/office/2006/metadata/properties"/>
    <ds:schemaRef ds:uri="http://schemas.microsoft.com/office/infopath/2007/PartnerControls"/>
    <ds:schemaRef ds:uri="5ce0f2b5-5be5-4508-bce9-d7011ece0659"/>
    <ds:schemaRef ds:uri="6fcdb6e3-7bed-48bc-92a0-c164f79f5d9b"/>
    <ds:schemaRef ds:uri="7a38ff2d-9f71-4e0c-809c-63178b66e3a9"/>
  </ds:schemaRefs>
</ds:datastoreItem>
</file>

<file path=customXml/itemProps2.xml><?xml version="1.0" encoding="utf-8"?>
<ds:datastoreItem xmlns:ds="http://schemas.openxmlformats.org/officeDocument/2006/customXml" ds:itemID="{F171B036-B7EC-4A96-BFBC-526C87227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db6e3-7bed-48bc-92a0-c164f79f5d9b"/>
    <ds:schemaRef ds:uri="7a38ff2d-9f71-4e0c-809c-63178b66e3a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4.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60</Pages>
  <Words>15345</Words>
  <Characters>87470</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Sentinel events annual report 2022–2023 - accessible</vt:lpstr>
    </vt:vector>
  </TitlesOfParts>
  <Manager/>
  <Company>State Government of Victoria</Company>
  <LinksUpToDate>false</LinksUpToDate>
  <CharactersWithSpaces>102610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events annual report 2022–2023 - accessible</dc:title>
  <dc:subject>Sentinel events annual report 2022–2023 - accessible</dc:subject>
  <dc:creator>Safer Care Victoria</dc:creator>
  <cp:keywords>Sentinel events, annual report, 2022–2023, accessiblee, SCV</cp:keywords>
  <cp:lastModifiedBy>Clare Kitch (SCV)</cp:lastModifiedBy>
  <cp:revision>42</cp:revision>
  <cp:lastPrinted>2020-08-13T04:56:00Z</cp:lastPrinted>
  <dcterms:created xsi:type="dcterms:W3CDTF">2024-08-01T23:23:00Z</dcterms:created>
  <dcterms:modified xsi:type="dcterms:W3CDTF">2024-08-06T23:35:00Z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0x010100F0DFDB3CCA7CE54AA42F05FDFD5130DA</vt:lpwstr>
  </property>
  <property fmtid="{D5CDD505-2E9C-101B-9397-08002B2CF9AE}" pid="4" name="MediaServiceImageTags">
    <vt:lpwstr/>
  </property>
  <property fmtid="{D5CDD505-2E9C-101B-9397-08002B2CF9AE}" pid="5" name="Order">
    <vt:r8>331000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PMstatus">
    <vt:bool>false</vt:bool>
  </property>
  <property fmtid="{D5CDD505-2E9C-101B-9397-08002B2CF9AE}" pid="11" name="_ExtendedDescription">
    <vt:lpwstr/>
  </property>
  <property fmtid="{D5CDD505-2E9C-101B-9397-08002B2CF9AE}" pid="12" name="TriggerFlowInfo">
    <vt:lpwstr/>
  </property>
  <property fmtid="{D5CDD505-2E9C-101B-9397-08002B2CF9AE}" pid="13" name="MSIP_Label_43e64453-338c-4f93-8a4d-0039a0a41f2a_Enabled">
    <vt:lpwstr>true</vt:lpwstr>
  </property>
  <property fmtid="{D5CDD505-2E9C-101B-9397-08002B2CF9AE}" pid="14" name="MSIP_Label_43e64453-338c-4f93-8a4d-0039a0a41f2a_SetDate">
    <vt:lpwstr>2022-10-17T05:40:08Z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d95052e7-5a1d-412a-a0f0-0c3c0566ca35</vt:lpwstr>
  </property>
  <property fmtid="{D5CDD505-2E9C-101B-9397-08002B2CF9AE}" pid="19" name="MSIP_Label_43e64453-338c-4f93-8a4d-0039a0a41f2a_ContentBits">
    <vt:lpwstr>2</vt:lpwstr>
  </property>
</Properties>
</file>