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68778" w14:textId="668CFBBA" w:rsidR="00D15955" w:rsidRPr="0059267A" w:rsidRDefault="00F81FFE" w:rsidP="00D15955">
      <w:pPr>
        <w:pStyle w:val="SCVdate"/>
      </w:pPr>
      <w:r>
        <w:t>October 2024</w:t>
      </w:r>
    </w:p>
    <w:p w14:paraId="3DF79A9D" w14:textId="77777777" w:rsidR="008B3EF5" w:rsidRPr="000E1232" w:rsidRDefault="008B3EF5" w:rsidP="00D15955">
      <w:pPr>
        <w:pStyle w:val="SCVreporttitle"/>
        <w:spacing w:before="160"/>
        <w:rPr>
          <w:sz w:val="22"/>
        </w:rPr>
      </w:pPr>
    </w:p>
    <w:p w14:paraId="5124BB40" w14:textId="77777777" w:rsidR="00B47C3A" w:rsidRPr="00B47C3A" w:rsidRDefault="00B47C3A" w:rsidP="00B47C3A">
      <w:pPr>
        <w:pStyle w:val="SCVreporttitle"/>
        <w:spacing w:before="160"/>
        <w:rPr>
          <w:rFonts w:asciiTheme="minorHAnsi" w:hAnsiTheme="minorHAnsi" w:cstheme="minorHAnsi"/>
          <w:sz w:val="72"/>
          <w:szCs w:val="72"/>
        </w:rPr>
      </w:pPr>
      <w:r w:rsidRPr="00B47C3A">
        <w:rPr>
          <w:rFonts w:asciiTheme="minorHAnsi" w:hAnsiTheme="minorHAnsi" w:cstheme="minorHAnsi"/>
          <w:sz w:val="72"/>
          <w:szCs w:val="72"/>
        </w:rPr>
        <w:t xml:space="preserve">Hypoglycaemia in neonates </w:t>
      </w:r>
    </w:p>
    <w:p w14:paraId="0C57DDAA" w14:textId="10D89B08" w:rsidR="00C50A2B" w:rsidRPr="000E1232" w:rsidRDefault="00C50A2B" w:rsidP="000E1232">
      <w:pPr>
        <w:pStyle w:val="SCVpulloutheading"/>
        <w:rPr>
          <w:sz w:val="72"/>
          <w:szCs w:val="72"/>
        </w:rPr>
      </w:pPr>
    </w:p>
    <w:p w14:paraId="22CE8045" w14:textId="77777777" w:rsidR="008B3EF5" w:rsidRDefault="008B3EF5" w:rsidP="00C50A2B">
      <w:pPr>
        <w:pStyle w:val="SCVreportsubtitle"/>
      </w:pPr>
    </w:p>
    <w:p w14:paraId="21DF78C9" w14:textId="3B8FCA24" w:rsidR="00C50A2B" w:rsidRPr="0059267A" w:rsidRDefault="008B3EF5" w:rsidP="00C50A2B">
      <w:pPr>
        <w:pStyle w:val="SCVreportsubtitle"/>
      </w:pPr>
      <w:r>
        <w:t>Clinical guidance</w:t>
      </w:r>
    </w:p>
    <w:p w14:paraId="6133C99E" w14:textId="77777777" w:rsidR="008B3EF5" w:rsidRDefault="008B3EF5" w:rsidP="00C50A2B">
      <w:pPr>
        <w:pStyle w:val="SCVprotectivemarkingbelowsubtitle"/>
      </w:pPr>
    </w:p>
    <w:p w14:paraId="15296913" w14:textId="2FD032A6" w:rsidR="00C50A2B" w:rsidRPr="0059267A" w:rsidRDefault="00E04902" w:rsidP="00C50A2B">
      <w:pPr>
        <w:pStyle w:val="SCVprotectivemarkingbelowsubtitle"/>
      </w:pPr>
      <w:fldSimple w:instr=" FILLIN  &quot;Type the protective marking&quot; \d OFFICIAL \o  \* MERGEFORMAT ">
        <w:r w:rsidR="008B3EF5">
          <w:t>OFFICIAL</w:t>
        </w:r>
      </w:fldSimple>
    </w:p>
    <w:p w14:paraId="70B0BE43" w14:textId="77777777" w:rsidR="009A35AA" w:rsidRPr="0059267A" w:rsidRDefault="009A35AA" w:rsidP="00A46288">
      <w:pPr>
        <w:pStyle w:val="NoSpacing"/>
      </w:pPr>
    </w:p>
    <w:p w14:paraId="478011AA" w14:textId="77777777" w:rsidR="00A46288" w:rsidRPr="0059267A" w:rsidRDefault="00A46288" w:rsidP="00A45CB0">
      <w:pPr>
        <w:pStyle w:val="SCVbody"/>
        <w:sectPr w:rsidR="00A46288" w:rsidRPr="0059267A" w:rsidSect="008B3EF5">
          <w:headerReference w:type="default" r:id="rId11"/>
          <w:footerReference w:type="even" r:id="rId12"/>
          <w:footerReference w:type="default" r:id="rId13"/>
          <w:pgSz w:w="11906" w:h="16838" w:code="9"/>
          <w:pgMar w:top="3402" w:right="3402" w:bottom="1361" w:left="851" w:header="454" w:footer="454" w:gutter="0"/>
          <w:cols w:space="284"/>
          <w:docGrid w:linePitch="360"/>
        </w:sectPr>
      </w:pPr>
    </w:p>
    <w:tbl>
      <w:tblPr>
        <w:tblStyle w:val="SCVInformationTable"/>
        <w:tblpPr w:leftFromText="180" w:rightFromText="180" w:vertAnchor="page" w:horzAnchor="margin" w:tblpY="4414"/>
        <w:tblW w:w="10206" w:type="dxa"/>
        <w:tblLook w:val="0600" w:firstRow="0" w:lastRow="0" w:firstColumn="0" w:lastColumn="0" w:noHBand="1" w:noVBand="1"/>
      </w:tblPr>
      <w:tblGrid>
        <w:gridCol w:w="10206"/>
      </w:tblGrid>
      <w:tr w:rsidR="00B556E1" w:rsidRPr="0059267A" w14:paraId="0A731D1E" w14:textId="77777777" w:rsidTr="008B3EF5">
        <w:trPr>
          <w:trHeight w:val="6387"/>
        </w:trPr>
        <w:tc>
          <w:tcPr>
            <w:tcW w:w="10206" w:type="dxa"/>
            <w:shd w:val="clear" w:color="auto" w:fill="auto"/>
          </w:tcPr>
          <w:p w14:paraId="17329461" w14:textId="77777777" w:rsidR="00B556E1" w:rsidRPr="0059267A" w:rsidRDefault="00B556E1" w:rsidP="008B3EF5">
            <w:pPr>
              <w:pStyle w:val="SCVaccessibilitypara"/>
            </w:pPr>
          </w:p>
        </w:tc>
      </w:tr>
      <w:tr w:rsidR="00C539DC" w:rsidRPr="0059267A" w14:paraId="59D98B0E" w14:textId="77777777" w:rsidTr="008B3EF5">
        <w:trPr>
          <w:cantSplit/>
          <w:trHeight w:val="3098"/>
        </w:trPr>
        <w:tc>
          <w:tcPr>
            <w:tcW w:w="10206" w:type="dxa"/>
          </w:tcPr>
          <w:p w14:paraId="7D30AD22" w14:textId="77777777" w:rsidR="00C539DC" w:rsidRPr="0059267A" w:rsidRDefault="00C539DC" w:rsidP="008B3EF5">
            <w:pPr>
              <w:pStyle w:val="SCVaccessibilitypara"/>
            </w:pPr>
            <w:r w:rsidRPr="0059267A">
              <w:t xml:space="preserve">To receive this publication in an accessible format </w:t>
            </w:r>
            <w:hyperlink r:id="rId14" w:history="1">
              <w:r w:rsidRPr="0059267A">
                <w:rPr>
                  <w:rStyle w:val="Hyperlink"/>
                </w:rPr>
                <w:t>email Safer Care Victoria</w:t>
              </w:r>
            </w:hyperlink>
            <w:r w:rsidRPr="0059267A">
              <w:t xml:space="preserve"> </w:t>
            </w:r>
            <w:r w:rsidR="00D662E0" w:rsidRPr="0059267A">
              <w:t>&lt;</w:t>
            </w:r>
            <w:r w:rsidR="00947A0F" w:rsidRPr="0059267A">
              <w:t>info@</w:t>
            </w:r>
            <w:hyperlink r:id="rId15" w:history="1">
              <w:r w:rsidRPr="0059267A">
                <w:t>safercare.vic</w:t>
              </w:r>
            </w:hyperlink>
            <w:r w:rsidRPr="0059267A">
              <w:t>.gov.au</w:t>
            </w:r>
            <w:r w:rsidR="00D662E0" w:rsidRPr="0059267A">
              <w:t>&gt;</w:t>
            </w:r>
          </w:p>
          <w:p w14:paraId="4F6EFC1E" w14:textId="77777777" w:rsidR="00C539DC" w:rsidRPr="0059267A" w:rsidRDefault="00C539DC" w:rsidP="008B3EF5">
            <w:pPr>
              <w:pStyle w:val="SCVimprint"/>
            </w:pPr>
            <w:r w:rsidRPr="0059267A">
              <w:t xml:space="preserve">Authorised and </w:t>
            </w:r>
            <w:r w:rsidRPr="0059267A">
              <w:rPr>
                <w:spacing w:val="-2"/>
              </w:rPr>
              <w:t>published by the Victorian</w:t>
            </w:r>
            <w:r w:rsidRPr="0059267A">
              <w:t xml:space="preserve"> Government, 1 Treasury Place, Melbourne.</w:t>
            </w:r>
          </w:p>
          <w:p w14:paraId="6FCAF405" w14:textId="0BF34E25" w:rsidR="00C539DC" w:rsidRPr="0059267A" w:rsidRDefault="00C539DC" w:rsidP="008B3EF5">
            <w:pPr>
              <w:pStyle w:val="SCVimprint"/>
            </w:pPr>
            <w:r w:rsidRPr="0059267A">
              <w:t xml:space="preserve">© State of Victoria, Australia, Safer Care Victoria, </w:t>
            </w:r>
            <w:r w:rsidR="00E04902" w:rsidRPr="00E04902">
              <w:rPr>
                <w:i/>
                <w:iCs/>
              </w:rPr>
              <w:t>Month</w:t>
            </w:r>
            <w:r w:rsidR="00127D7A">
              <w:t xml:space="preserve"> 2024</w:t>
            </w:r>
          </w:p>
          <w:p w14:paraId="55DFA0DE" w14:textId="77777777" w:rsidR="009F5450" w:rsidRPr="00143E7E" w:rsidRDefault="009F5450" w:rsidP="009F5450">
            <w:pPr>
              <w:pStyle w:val="SCVimprint"/>
              <w:rPr>
                <w:rFonts w:cstheme="minorHAnsi"/>
                <w:color w:val="C00000"/>
              </w:rPr>
            </w:pPr>
            <w:r w:rsidRPr="00143E7E">
              <w:rPr>
                <w:rFonts w:cstheme="minorHAnsi"/>
                <w:b/>
                <w:bCs/>
                <w:color w:val="000000"/>
              </w:rPr>
              <w:t xml:space="preserve">ISBN </w:t>
            </w:r>
            <w:r w:rsidRPr="00143E7E">
              <w:rPr>
                <w:rFonts w:cstheme="minorHAnsi"/>
                <w:color w:val="000000"/>
              </w:rPr>
              <w:t xml:space="preserve">978-1-76131-005-8 </w:t>
            </w:r>
            <w:r w:rsidRPr="00143E7E">
              <w:rPr>
                <w:rFonts w:cstheme="minorHAnsi"/>
                <w:b/>
                <w:bCs/>
                <w:color w:val="000000"/>
              </w:rPr>
              <w:t>(pdf/online/MS word)</w:t>
            </w:r>
          </w:p>
          <w:p w14:paraId="2121101E" w14:textId="6B800D20" w:rsidR="00C539DC" w:rsidRPr="0059267A" w:rsidRDefault="00C539DC" w:rsidP="008B3EF5">
            <w:pPr>
              <w:pStyle w:val="SCVimprint"/>
            </w:pPr>
            <w:r w:rsidRPr="0059267A">
              <w:t xml:space="preserve">Available at the </w:t>
            </w:r>
            <w:hyperlink r:id="rId16" w:history="1">
              <w:r w:rsidRPr="0059267A">
                <w:rPr>
                  <w:rStyle w:val="Hyperlink"/>
                </w:rPr>
                <w:t>Safer Care Victoria website</w:t>
              </w:r>
            </w:hyperlink>
            <w:r w:rsidRPr="0059267A">
              <w:t xml:space="preserve"> </w:t>
            </w:r>
            <w:r w:rsidR="00D662E0" w:rsidRPr="0059267A">
              <w:t>&lt;</w:t>
            </w:r>
            <w:r w:rsidRPr="0059267A">
              <w:t>https://</w:t>
            </w:r>
            <w:hyperlink r:id="rId17" w:history="1">
              <w:r w:rsidRPr="0059267A">
                <w:t>www.safercare.vic</w:t>
              </w:r>
            </w:hyperlink>
            <w:r w:rsidRPr="0059267A">
              <w:t>.gov.au</w:t>
            </w:r>
            <w:r w:rsidR="00D662E0" w:rsidRPr="0059267A">
              <w:t>&gt;</w:t>
            </w:r>
          </w:p>
          <w:p w14:paraId="0C740467" w14:textId="77777777" w:rsidR="00C539DC" w:rsidRPr="0059267A" w:rsidRDefault="00C539DC" w:rsidP="008B3EF5">
            <w:pPr>
              <w:pStyle w:val="SCVbody"/>
              <w:jc w:val="right"/>
            </w:pPr>
            <w:r w:rsidRPr="0059267A">
              <w:rPr>
                <w:noProof/>
              </w:rPr>
              <w:drawing>
                <wp:inline distT="0" distB="0" distL="0" distR="0" wp14:anchorId="6EFC6685" wp14:editId="63F5EE6E">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09B8754D" w14:textId="77777777" w:rsidR="0086277A" w:rsidRPr="0059267A" w:rsidRDefault="0086277A" w:rsidP="00A45CB0">
      <w:pPr>
        <w:pStyle w:val="SCVbody"/>
      </w:pPr>
    </w:p>
    <w:p w14:paraId="0478BCF4" w14:textId="77777777" w:rsidR="0086277A" w:rsidRPr="0059267A" w:rsidRDefault="0086277A" w:rsidP="00A45CB0">
      <w:pPr>
        <w:pStyle w:val="SCVbody"/>
        <w:sectPr w:rsidR="0086277A" w:rsidRPr="0059267A" w:rsidSect="00616087">
          <w:headerReference w:type="even" r:id="rId19"/>
          <w:headerReference w:type="default" r:id="rId20"/>
          <w:footerReference w:type="even" r:id="rId21"/>
          <w:footerReference w:type="default" r:id="rId22"/>
          <w:headerReference w:type="first" r:id="rId23"/>
          <w:footerReference w:type="first" r:id="rId24"/>
          <w:pgSz w:w="11906" w:h="16838" w:code="9"/>
          <w:pgMar w:top="3402" w:right="851" w:bottom="1361" w:left="851" w:header="851" w:footer="851" w:gutter="0"/>
          <w:pgNumType w:fmt="lowerRoman"/>
          <w:cols w:space="284"/>
          <w:docGrid w:linePitch="360"/>
        </w:sectPr>
      </w:pPr>
    </w:p>
    <w:sdt>
      <w:sdtPr>
        <w:id w:val="1549110306"/>
        <w:docPartObj>
          <w:docPartGallery w:val="Table of Contents"/>
          <w:docPartUnique/>
        </w:docPartObj>
      </w:sdtPr>
      <w:sdtEndPr>
        <w:rPr>
          <w:rFonts w:asciiTheme="minorHAnsi" w:eastAsiaTheme="minorEastAsia" w:hAnsiTheme="minorHAnsi" w:cstheme="minorBidi"/>
          <w:noProof/>
          <w:color w:val="auto"/>
          <w:spacing w:val="0"/>
          <w:sz w:val="20"/>
          <w:szCs w:val="20"/>
        </w:rPr>
      </w:sdtEndPr>
      <w:sdtContent>
        <w:p w14:paraId="2B34BBED" w14:textId="70A2BC9F" w:rsidR="00F13715" w:rsidRDefault="00F13715">
          <w:pPr>
            <w:pStyle w:val="TOCHeading"/>
          </w:pPr>
          <w:r>
            <w:t>Contents</w:t>
          </w:r>
        </w:p>
        <w:p w14:paraId="5FC0D6DE" w14:textId="61C94AB2" w:rsidR="00F13715" w:rsidRDefault="00F13715">
          <w:pPr>
            <w:pStyle w:val="TOC1"/>
            <w:rPr>
              <w:b w:val="0"/>
              <w:kern w:val="2"/>
              <w:sz w:val="24"/>
              <w:szCs w:val="24"/>
              <w:lang w:eastAsia="en-AU"/>
              <w14:ligatures w14:val="standardContextual"/>
            </w:rPr>
          </w:pPr>
          <w:r>
            <w:fldChar w:fldCharType="begin"/>
          </w:r>
          <w:r>
            <w:instrText xml:space="preserve"> TOC \o "1-3" \h \z \u </w:instrText>
          </w:r>
          <w:r>
            <w:fldChar w:fldCharType="separate"/>
          </w:r>
          <w:hyperlink w:anchor="_Toc182909888" w:history="1">
            <w:r w:rsidRPr="00F54528">
              <w:rPr>
                <w:rStyle w:val="Hyperlink"/>
                <w:rFonts w:eastAsiaTheme="majorEastAsia" w:cstheme="minorHAnsi"/>
                <w:bCs/>
              </w:rPr>
              <w:t>Key messages</w:t>
            </w:r>
            <w:r>
              <w:rPr>
                <w:webHidden/>
              </w:rPr>
              <w:tab/>
            </w:r>
            <w:r>
              <w:rPr>
                <w:webHidden/>
              </w:rPr>
              <w:fldChar w:fldCharType="begin"/>
            </w:r>
            <w:r>
              <w:rPr>
                <w:webHidden/>
              </w:rPr>
              <w:instrText xml:space="preserve"> PAGEREF _Toc182909888 \h </w:instrText>
            </w:r>
            <w:r>
              <w:rPr>
                <w:webHidden/>
              </w:rPr>
            </w:r>
            <w:r>
              <w:rPr>
                <w:webHidden/>
              </w:rPr>
              <w:fldChar w:fldCharType="separate"/>
            </w:r>
            <w:r w:rsidR="006B3204">
              <w:rPr>
                <w:webHidden/>
              </w:rPr>
              <w:t>4</w:t>
            </w:r>
            <w:r>
              <w:rPr>
                <w:webHidden/>
              </w:rPr>
              <w:fldChar w:fldCharType="end"/>
            </w:r>
          </w:hyperlink>
        </w:p>
        <w:p w14:paraId="03FFF55E" w14:textId="03708726" w:rsidR="00F13715" w:rsidRDefault="00F13715">
          <w:pPr>
            <w:pStyle w:val="TOC1"/>
            <w:rPr>
              <w:b w:val="0"/>
              <w:kern w:val="2"/>
              <w:sz w:val="24"/>
              <w:szCs w:val="24"/>
              <w:lang w:eastAsia="en-AU"/>
              <w14:ligatures w14:val="standardContextual"/>
            </w:rPr>
          </w:pPr>
          <w:hyperlink w:anchor="_Toc182909889" w:history="1">
            <w:r w:rsidRPr="00F54528">
              <w:rPr>
                <w:rStyle w:val="Hyperlink"/>
                <w:rFonts w:eastAsiaTheme="majorEastAsia" w:cstheme="minorHAnsi"/>
                <w:bCs/>
              </w:rPr>
              <w:t>Acknowledgement</w:t>
            </w:r>
            <w:r>
              <w:rPr>
                <w:webHidden/>
              </w:rPr>
              <w:tab/>
            </w:r>
            <w:r>
              <w:rPr>
                <w:webHidden/>
              </w:rPr>
              <w:fldChar w:fldCharType="begin"/>
            </w:r>
            <w:r>
              <w:rPr>
                <w:webHidden/>
              </w:rPr>
              <w:instrText xml:space="preserve"> PAGEREF _Toc182909889 \h </w:instrText>
            </w:r>
            <w:r>
              <w:rPr>
                <w:webHidden/>
              </w:rPr>
            </w:r>
            <w:r>
              <w:rPr>
                <w:webHidden/>
              </w:rPr>
              <w:fldChar w:fldCharType="separate"/>
            </w:r>
            <w:r w:rsidR="006B3204">
              <w:rPr>
                <w:webHidden/>
              </w:rPr>
              <w:t>4</w:t>
            </w:r>
            <w:r>
              <w:rPr>
                <w:webHidden/>
              </w:rPr>
              <w:fldChar w:fldCharType="end"/>
            </w:r>
          </w:hyperlink>
        </w:p>
        <w:p w14:paraId="0D74CE26" w14:textId="2CDD3F6A" w:rsidR="00F13715" w:rsidRDefault="00F13715">
          <w:pPr>
            <w:pStyle w:val="TOC1"/>
            <w:rPr>
              <w:b w:val="0"/>
              <w:kern w:val="2"/>
              <w:sz w:val="24"/>
              <w:szCs w:val="24"/>
              <w:lang w:eastAsia="en-AU"/>
              <w14:ligatures w14:val="standardContextual"/>
            </w:rPr>
          </w:pPr>
          <w:hyperlink w:anchor="_Toc182909890" w:history="1">
            <w:r w:rsidRPr="00F54528">
              <w:rPr>
                <w:rStyle w:val="Hyperlink"/>
                <w:rFonts w:eastAsiaTheme="majorEastAsia" w:cstheme="minorHAnsi"/>
                <w:bCs/>
              </w:rPr>
              <w:t>Consumer Engagement Statement</w:t>
            </w:r>
            <w:r>
              <w:rPr>
                <w:webHidden/>
              </w:rPr>
              <w:tab/>
            </w:r>
            <w:r>
              <w:rPr>
                <w:webHidden/>
              </w:rPr>
              <w:fldChar w:fldCharType="begin"/>
            </w:r>
            <w:r>
              <w:rPr>
                <w:webHidden/>
              </w:rPr>
              <w:instrText xml:space="preserve"> PAGEREF _Toc182909890 \h </w:instrText>
            </w:r>
            <w:r>
              <w:rPr>
                <w:webHidden/>
              </w:rPr>
            </w:r>
            <w:r>
              <w:rPr>
                <w:webHidden/>
              </w:rPr>
              <w:fldChar w:fldCharType="separate"/>
            </w:r>
            <w:r w:rsidR="006B3204">
              <w:rPr>
                <w:webHidden/>
              </w:rPr>
              <w:t>4</w:t>
            </w:r>
            <w:r>
              <w:rPr>
                <w:webHidden/>
              </w:rPr>
              <w:fldChar w:fldCharType="end"/>
            </w:r>
          </w:hyperlink>
        </w:p>
        <w:p w14:paraId="551547B8" w14:textId="48CEC079" w:rsidR="00F13715" w:rsidRDefault="00F13715">
          <w:pPr>
            <w:pStyle w:val="TOC1"/>
            <w:rPr>
              <w:b w:val="0"/>
              <w:kern w:val="2"/>
              <w:sz w:val="24"/>
              <w:szCs w:val="24"/>
              <w:lang w:eastAsia="en-AU"/>
              <w14:ligatures w14:val="standardContextual"/>
            </w:rPr>
          </w:pPr>
          <w:hyperlink w:anchor="_Toc182909891" w:history="1">
            <w:r w:rsidRPr="00F54528">
              <w:rPr>
                <w:rStyle w:val="Hyperlink"/>
                <w:rFonts w:eastAsiaTheme="majorEastAsia" w:cstheme="minorHAnsi"/>
                <w:bCs/>
              </w:rPr>
              <w:t>Definitions/Abbreviations</w:t>
            </w:r>
            <w:r>
              <w:rPr>
                <w:webHidden/>
              </w:rPr>
              <w:tab/>
            </w:r>
            <w:r>
              <w:rPr>
                <w:webHidden/>
              </w:rPr>
              <w:fldChar w:fldCharType="begin"/>
            </w:r>
            <w:r>
              <w:rPr>
                <w:webHidden/>
              </w:rPr>
              <w:instrText xml:space="preserve"> PAGEREF _Toc182909891 \h </w:instrText>
            </w:r>
            <w:r>
              <w:rPr>
                <w:webHidden/>
              </w:rPr>
            </w:r>
            <w:r>
              <w:rPr>
                <w:webHidden/>
              </w:rPr>
              <w:fldChar w:fldCharType="separate"/>
            </w:r>
            <w:r w:rsidR="006B3204">
              <w:rPr>
                <w:webHidden/>
              </w:rPr>
              <w:t>4</w:t>
            </w:r>
            <w:r>
              <w:rPr>
                <w:webHidden/>
              </w:rPr>
              <w:fldChar w:fldCharType="end"/>
            </w:r>
          </w:hyperlink>
        </w:p>
        <w:p w14:paraId="2C6D355D" w14:textId="1BBADEAF" w:rsidR="00F13715" w:rsidRDefault="00F13715">
          <w:pPr>
            <w:pStyle w:val="TOC1"/>
            <w:rPr>
              <w:b w:val="0"/>
              <w:kern w:val="2"/>
              <w:sz w:val="24"/>
              <w:szCs w:val="24"/>
              <w:lang w:eastAsia="en-AU"/>
              <w14:ligatures w14:val="standardContextual"/>
            </w:rPr>
          </w:pPr>
          <w:hyperlink w:anchor="_Toc182909892" w:history="1">
            <w:r w:rsidRPr="00F54528">
              <w:rPr>
                <w:rStyle w:val="Hyperlink"/>
                <w:rFonts w:eastAsiaTheme="majorEastAsia" w:cstheme="minorHAnsi"/>
                <w:bCs/>
              </w:rPr>
              <w:t>Hypoglycaemia in neonates</w:t>
            </w:r>
            <w:r>
              <w:rPr>
                <w:webHidden/>
              </w:rPr>
              <w:tab/>
            </w:r>
            <w:r>
              <w:rPr>
                <w:webHidden/>
              </w:rPr>
              <w:fldChar w:fldCharType="begin"/>
            </w:r>
            <w:r>
              <w:rPr>
                <w:webHidden/>
              </w:rPr>
              <w:instrText xml:space="preserve"> PAGEREF _Toc182909892 \h </w:instrText>
            </w:r>
            <w:r>
              <w:rPr>
                <w:webHidden/>
              </w:rPr>
            </w:r>
            <w:r>
              <w:rPr>
                <w:webHidden/>
              </w:rPr>
              <w:fldChar w:fldCharType="separate"/>
            </w:r>
            <w:r w:rsidR="006B3204">
              <w:rPr>
                <w:webHidden/>
              </w:rPr>
              <w:t>5</w:t>
            </w:r>
            <w:r>
              <w:rPr>
                <w:webHidden/>
              </w:rPr>
              <w:fldChar w:fldCharType="end"/>
            </w:r>
          </w:hyperlink>
        </w:p>
        <w:p w14:paraId="74A4EA41" w14:textId="1C4173EF" w:rsidR="00F13715" w:rsidRDefault="00F13715">
          <w:pPr>
            <w:pStyle w:val="TOC1"/>
            <w:rPr>
              <w:b w:val="0"/>
              <w:kern w:val="2"/>
              <w:sz w:val="24"/>
              <w:szCs w:val="24"/>
              <w:lang w:eastAsia="en-AU"/>
              <w14:ligatures w14:val="standardContextual"/>
            </w:rPr>
          </w:pPr>
          <w:hyperlink w:anchor="_Toc182909893" w:history="1">
            <w:r w:rsidRPr="00F54528">
              <w:rPr>
                <w:rStyle w:val="Hyperlink"/>
                <w:rFonts w:eastAsiaTheme="majorEastAsia" w:cstheme="minorHAnsi"/>
                <w:bCs/>
              </w:rPr>
              <w:t>Supporting resources</w:t>
            </w:r>
            <w:r>
              <w:rPr>
                <w:webHidden/>
              </w:rPr>
              <w:tab/>
            </w:r>
            <w:r>
              <w:rPr>
                <w:webHidden/>
              </w:rPr>
              <w:fldChar w:fldCharType="begin"/>
            </w:r>
            <w:r>
              <w:rPr>
                <w:webHidden/>
              </w:rPr>
              <w:instrText xml:space="preserve"> PAGEREF _Toc182909893 \h </w:instrText>
            </w:r>
            <w:r>
              <w:rPr>
                <w:webHidden/>
              </w:rPr>
            </w:r>
            <w:r>
              <w:rPr>
                <w:webHidden/>
              </w:rPr>
              <w:fldChar w:fldCharType="separate"/>
            </w:r>
            <w:r w:rsidR="006B3204">
              <w:rPr>
                <w:webHidden/>
              </w:rPr>
              <w:t>5</w:t>
            </w:r>
            <w:r>
              <w:rPr>
                <w:webHidden/>
              </w:rPr>
              <w:fldChar w:fldCharType="end"/>
            </w:r>
          </w:hyperlink>
        </w:p>
        <w:p w14:paraId="75BBA5AA" w14:textId="7E0D9578" w:rsidR="00F13715" w:rsidRDefault="00F13715">
          <w:pPr>
            <w:pStyle w:val="TOC2"/>
            <w:rPr>
              <w:b w:val="0"/>
              <w:color w:val="auto"/>
              <w:kern w:val="2"/>
              <w:sz w:val="24"/>
              <w:szCs w:val="24"/>
              <w14:ligatures w14:val="standardContextual"/>
            </w:rPr>
          </w:pPr>
          <w:hyperlink w:anchor="_Toc182909894" w:history="1">
            <w:r w:rsidRPr="00F54528">
              <w:rPr>
                <w:rStyle w:val="Hyperlink"/>
                <w:rFonts w:asciiTheme="majorHAnsi" w:eastAsiaTheme="majorEastAsia" w:hAnsiTheme="majorHAnsi" w:cstheme="minorHAnsi"/>
                <w:bCs/>
              </w:rPr>
              <w:t>Flowchart 1 – Management of hypoglycaemia in birthing environments and postnatal wards</w:t>
            </w:r>
            <w:r>
              <w:rPr>
                <w:webHidden/>
              </w:rPr>
              <w:tab/>
            </w:r>
            <w:r>
              <w:rPr>
                <w:webHidden/>
              </w:rPr>
              <w:fldChar w:fldCharType="begin"/>
            </w:r>
            <w:r>
              <w:rPr>
                <w:webHidden/>
              </w:rPr>
              <w:instrText xml:space="preserve"> PAGEREF _Toc182909894 \h </w:instrText>
            </w:r>
            <w:r>
              <w:rPr>
                <w:webHidden/>
              </w:rPr>
            </w:r>
            <w:r>
              <w:rPr>
                <w:webHidden/>
              </w:rPr>
              <w:fldChar w:fldCharType="separate"/>
            </w:r>
            <w:r w:rsidR="006B3204">
              <w:rPr>
                <w:webHidden/>
              </w:rPr>
              <w:t>5</w:t>
            </w:r>
            <w:r>
              <w:rPr>
                <w:webHidden/>
              </w:rPr>
              <w:fldChar w:fldCharType="end"/>
            </w:r>
          </w:hyperlink>
        </w:p>
        <w:p w14:paraId="3ACF53E2" w14:textId="3793644A" w:rsidR="00F13715" w:rsidRDefault="00F13715">
          <w:pPr>
            <w:pStyle w:val="TOC2"/>
            <w:rPr>
              <w:b w:val="0"/>
              <w:color w:val="auto"/>
              <w:kern w:val="2"/>
              <w:sz w:val="24"/>
              <w:szCs w:val="24"/>
              <w14:ligatures w14:val="standardContextual"/>
            </w:rPr>
          </w:pPr>
          <w:hyperlink w:anchor="_Toc182909895" w:history="1">
            <w:r w:rsidRPr="00F54528">
              <w:rPr>
                <w:rStyle w:val="Hyperlink"/>
                <w:rFonts w:asciiTheme="majorHAnsi" w:eastAsiaTheme="majorEastAsia" w:hAnsiTheme="majorHAnsi" w:cstheme="minorHAnsi"/>
                <w:bCs/>
              </w:rPr>
              <w:t>Flowchart 2 - Management of hypoglycaemia in neonatal units</w:t>
            </w:r>
            <w:r>
              <w:rPr>
                <w:webHidden/>
              </w:rPr>
              <w:tab/>
            </w:r>
            <w:r>
              <w:rPr>
                <w:webHidden/>
              </w:rPr>
              <w:fldChar w:fldCharType="begin"/>
            </w:r>
            <w:r>
              <w:rPr>
                <w:webHidden/>
              </w:rPr>
              <w:instrText xml:space="preserve"> PAGEREF _Toc182909895 \h </w:instrText>
            </w:r>
            <w:r>
              <w:rPr>
                <w:webHidden/>
              </w:rPr>
            </w:r>
            <w:r>
              <w:rPr>
                <w:webHidden/>
              </w:rPr>
              <w:fldChar w:fldCharType="separate"/>
            </w:r>
            <w:r w:rsidR="006B3204">
              <w:rPr>
                <w:webHidden/>
              </w:rPr>
              <w:t>5</w:t>
            </w:r>
            <w:r>
              <w:rPr>
                <w:webHidden/>
              </w:rPr>
              <w:fldChar w:fldCharType="end"/>
            </w:r>
          </w:hyperlink>
        </w:p>
        <w:p w14:paraId="3ED1D8F2" w14:textId="10DA1571" w:rsidR="00F13715" w:rsidRDefault="00F13715">
          <w:pPr>
            <w:pStyle w:val="TOC1"/>
            <w:rPr>
              <w:b w:val="0"/>
              <w:kern w:val="2"/>
              <w:sz w:val="24"/>
              <w:szCs w:val="24"/>
              <w:lang w:eastAsia="en-AU"/>
              <w14:ligatures w14:val="standardContextual"/>
            </w:rPr>
          </w:pPr>
          <w:hyperlink w:anchor="_Toc182909896" w:history="1">
            <w:r w:rsidRPr="00F54528">
              <w:rPr>
                <w:rStyle w:val="Hyperlink"/>
                <w:rFonts w:eastAsiaTheme="majorEastAsia" w:cstheme="minorHAnsi"/>
                <w:bCs/>
              </w:rPr>
              <w:t>Background</w:t>
            </w:r>
            <w:r>
              <w:rPr>
                <w:webHidden/>
              </w:rPr>
              <w:tab/>
            </w:r>
            <w:r>
              <w:rPr>
                <w:webHidden/>
              </w:rPr>
              <w:fldChar w:fldCharType="begin"/>
            </w:r>
            <w:r>
              <w:rPr>
                <w:webHidden/>
              </w:rPr>
              <w:instrText xml:space="preserve"> PAGEREF _Toc182909896 \h </w:instrText>
            </w:r>
            <w:r>
              <w:rPr>
                <w:webHidden/>
              </w:rPr>
            </w:r>
            <w:r>
              <w:rPr>
                <w:webHidden/>
              </w:rPr>
              <w:fldChar w:fldCharType="separate"/>
            </w:r>
            <w:r w:rsidR="006B3204">
              <w:rPr>
                <w:webHidden/>
              </w:rPr>
              <w:t>5</w:t>
            </w:r>
            <w:r>
              <w:rPr>
                <w:webHidden/>
              </w:rPr>
              <w:fldChar w:fldCharType="end"/>
            </w:r>
          </w:hyperlink>
        </w:p>
        <w:p w14:paraId="137C9F92" w14:textId="4383FA04" w:rsidR="00F13715" w:rsidRDefault="00F13715">
          <w:pPr>
            <w:pStyle w:val="TOC1"/>
            <w:rPr>
              <w:b w:val="0"/>
              <w:kern w:val="2"/>
              <w:sz w:val="24"/>
              <w:szCs w:val="24"/>
              <w:lang w:eastAsia="en-AU"/>
              <w14:ligatures w14:val="standardContextual"/>
            </w:rPr>
          </w:pPr>
          <w:hyperlink w:anchor="_Toc182909897" w:history="1">
            <w:r w:rsidRPr="00F54528">
              <w:rPr>
                <w:rStyle w:val="Hyperlink"/>
                <w:rFonts w:eastAsiaTheme="majorEastAsia" w:cstheme="minorHAnsi"/>
                <w:bCs/>
              </w:rPr>
              <w:t>Assessment</w:t>
            </w:r>
            <w:r>
              <w:rPr>
                <w:webHidden/>
              </w:rPr>
              <w:tab/>
            </w:r>
            <w:r>
              <w:rPr>
                <w:webHidden/>
              </w:rPr>
              <w:fldChar w:fldCharType="begin"/>
            </w:r>
            <w:r>
              <w:rPr>
                <w:webHidden/>
              </w:rPr>
              <w:instrText xml:space="preserve"> PAGEREF _Toc182909897 \h </w:instrText>
            </w:r>
            <w:r>
              <w:rPr>
                <w:webHidden/>
              </w:rPr>
            </w:r>
            <w:r>
              <w:rPr>
                <w:webHidden/>
              </w:rPr>
              <w:fldChar w:fldCharType="separate"/>
            </w:r>
            <w:r w:rsidR="006B3204">
              <w:rPr>
                <w:webHidden/>
              </w:rPr>
              <w:t>6</w:t>
            </w:r>
            <w:r>
              <w:rPr>
                <w:webHidden/>
              </w:rPr>
              <w:fldChar w:fldCharType="end"/>
            </w:r>
          </w:hyperlink>
        </w:p>
        <w:p w14:paraId="2F026DD8" w14:textId="65D98471" w:rsidR="00F13715" w:rsidRDefault="00F13715">
          <w:pPr>
            <w:pStyle w:val="TOC1"/>
            <w:rPr>
              <w:b w:val="0"/>
              <w:kern w:val="2"/>
              <w:sz w:val="24"/>
              <w:szCs w:val="24"/>
              <w:lang w:eastAsia="en-AU"/>
              <w14:ligatures w14:val="standardContextual"/>
            </w:rPr>
          </w:pPr>
          <w:hyperlink w:anchor="_Toc182909898" w:history="1">
            <w:r w:rsidRPr="00F54528">
              <w:rPr>
                <w:rStyle w:val="Hyperlink"/>
                <w:rFonts w:eastAsiaTheme="majorEastAsia" w:cstheme="minorHAnsi"/>
                <w:bCs/>
              </w:rPr>
              <w:t>History and examination</w:t>
            </w:r>
            <w:r>
              <w:rPr>
                <w:webHidden/>
              </w:rPr>
              <w:tab/>
            </w:r>
            <w:r>
              <w:rPr>
                <w:webHidden/>
              </w:rPr>
              <w:fldChar w:fldCharType="begin"/>
            </w:r>
            <w:r>
              <w:rPr>
                <w:webHidden/>
              </w:rPr>
              <w:instrText xml:space="preserve"> PAGEREF _Toc182909898 \h </w:instrText>
            </w:r>
            <w:r>
              <w:rPr>
                <w:webHidden/>
              </w:rPr>
            </w:r>
            <w:r>
              <w:rPr>
                <w:webHidden/>
              </w:rPr>
              <w:fldChar w:fldCharType="separate"/>
            </w:r>
            <w:r w:rsidR="006B3204">
              <w:rPr>
                <w:webHidden/>
              </w:rPr>
              <w:t>6</w:t>
            </w:r>
            <w:r>
              <w:rPr>
                <w:webHidden/>
              </w:rPr>
              <w:fldChar w:fldCharType="end"/>
            </w:r>
          </w:hyperlink>
        </w:p>
        <w:p w14:paraId="0B3CCE17" w14:textId="6F3A36F7" w:rsidR="00F13715" w:rsidRDefault="00F13715">
          <w:pPr>
            <w:pStyle w:val="TOC1"/>
            <w:rPr>
              <w:b w:val="0"/>
              <w:kern w:val="2"/>
              <w:sz w:val="24"/>
              <w:szCs w:val="24"/>
              <w:lang w:eastAsia="en-AU"/>
              <w14:ligatures w14:val="standardContextual"/>
            </w:rPr>
          </w:pPr>
          <w:hyperlink w:anchor="_Toc182909899" w:history="1">
            <w:r w:rsidRPr="00F54528">
              <w:rPr>
                <w:rStyle w:val="Hyperlink"/>
                <w:rFonts w:eastAsiaTheme="majorEastAsia" w:cstheme="minorHAnsi"/>
                <w:bCs/>
              </w:rPr>
              <w:t>Management</w:t>
            </w:r>
            <w:r>
              <w:rPr>
                <w:webHidden/>
              </w:rPr>
              <w:tab/>
            </w:r>
            <w:r>
              <w:rPr>
                <w:webHidden/>
              </w:rPr>
              <w:fldChar w:fldCharType="begin"/>
            </w:r>
            <w:r>
              <w:rPr>
                <w:webHidden/>
              </w:rPr>
              <w:instrText xml:space="preserve"> PAGEREF _Toc182909899 \h </w:instrText>
            </w:r>
            <w:r>
              <w:rPr>
                <w:webHidden/>
              </w:rPr>
            </w:r>
            <w:r>
              <w:rPr>
                <w:webHidden/>
              </w:rPr>
              <w:fldChar w:fldCharType="separate"/>
            </w:r>
            <w:r w:rsidR="006B3204">
              <w:rPr>
                <w:webHidden/>
              </w:rPr>
              <w:t>7</w:t>
            </w:r>
            <w:r>
              <w:rPr>
                <w:webHidden/>
              </w:rPr>
              <w:fldChar w:fldCharType="end"/>
            </w:r>
          </w:hyperlink>
        </w:p>
        <w:p w14:paraId="36BAFAEF" w14:textId="007D09B8" w:rsidR="00F13715" w:rsidRDefault="00F13715">
          <w:pPr>
            <w:pStyle w:val="TOC1"/>
            <w:rPr>
              <w:b w:val="0"/>
              <w:kern w:val="2"/>
              <w:sz w:val="24"/>
              <w:szCs w:val="24"/>
              <w:lang w:eastAsia="en-AU"/>
              <w14:ligatures w14:val="standardContextual"/>
            </w:rPr>
          </w:pPr>
          <w:hyperlink w:anchor="_Toc182909900" w:history="1">
            <w:r w:rsidRPr="00F54528">
              <w:rPr>
                <w:rStyle w:val="Hyperlink"/>
                <w:rFonts w:eastAsiaTheme="majorEastAsia" w:cstheme="minorHAnsi"/>
                <w:bCs/>
                <w:lang w:val="en-US"/>
              </w:rPr>
              <w:t>Infants with risk factors for hypoglycaemia</w:t>
            </w:r>
            <w:r>
              <w:rPr>
                <w:webHidden/>
              </w:rPr>
              <w:tab/>
            </w:r>
            <w:r>
              <w:rPr>
                <w:webHidden/>
              </w:rPr>
              <w:fldChar w:fldCharType="begin"/>
            </w:r>
            <w:r>
              <w:rPr>
                <w:webHidden/>
              </w:rPr>
              <w:instrText xml:space="preserve"> PAGEREF _Toc182909900 \h </w:instrText>
            </w:r>
            <w:r>
              <w:rPr>
                <w:webHidden/>
              </w:rPr>
            </w:r>
            <w:r>
              <w:rPr>
                <w:webHidden/>
              </w:rPr>
              <w:fldChar w:fldCharType="separate"/>
            </w:r>
            <w:r w:rsidR="006B3204">
              <w:rPr>
                <w:webHidden/>
              </w:rPr>
              <w:t>7</w:t>
            </w:r>
            <w:r>
              <w:rPr>
                <w:webHidden/>
              </w:rPr>
              <w:fldChar w:fldCharType="end"/>
            </w:r>
          </w:hyperlink>
        </w:p>
        <w:p w14:paraId="3E396D9A" w14:textId="58EA5D40" w:rsidR="00F13715" w:rsidRDefault="00F13715">
          <w:pPr>
            <w:pStyle w:val="TOC1"/>
            <w:rPr>
              <w:b w:val="0"/>
              <w:kern w:val="2"/>
              <w:sz w:val="24"/>
              <w:szCs w:val="24"/>
              <w:lang w:eastAsia="en-AU"/>
              <w14:ligatures w14:val="standardContextual"/>
            </w:rPr>
          </w:pPr>
          <w:hyperlink w:anchor="_Toc182909901" w:history="1">
            <w:r w:rsidRPr="00F54528">
              <w:rPr>
                <w:rStyle w:val="Hyperlink"/>
                <w:rFonts w:eastAsiaTheme="majorEastAsia" w:cstheme="minorHAnsi"/>
                <w:bCs/>
              </w:rPr>
              <w:t xml:space="preserve">Prevention of hypoglycaemia in </w:t>
            </w:r>
            <w:r w:rsidRPr="00F54528">
              <w:rPr>
                <w:rStyle w:val="Hyperlink"/>
                <w:rFonts w:eastAsiaTheme="majorEastAsia" w:cstheme="minorHAnsi"/>
                <w:bCs/>
                <w:lang w:val="en-US"/>
              </w:rPr>
              <w:t>birthing environments and postnatal wards</w:t>
            </w:r>
            <w:r>
              <w:rPr>
                <w:webHidden/>
              </w:rPr>
              <w:tab/>
            </w:r>
            <w:r>
              <w:rPr>
                <w:webHidden/>
              </w:rPr>
              <w:fldChar w:fldCharType="begin"/>
            </w:r>
            <w:r>
              <w:rPr>
                <w:webHidden/>
              </w:rPr>
              <w:instrText xml:space="preserve"> PAGEREF _Toc182909901 \h </w:instrText>
            </w:r>
            <w:r>
              <w:rPr>
                <w:webHidden/>
              </w:rPr>
            </w:r>
            <w:r>
              <w:rPr>
                <w:webHidden/>
              </w:rPr>
              <w:fldChar w:fldCharType="separate"/>
            </w:r>
            <w:r w:rsidR="006B3204">
              <w:rPr>
                <w:webHidden/>
              </w:rPr>
              <w:t>7</w:t>
            </w:r>
            <w:r>
              <w:rPr>
                <w:webHidden/>
              </w:rPr>
              <w:fldChar w:fldCharType="end"/>
            </w:r>
          </w:hyperlink>
        </w:p>
        <w:p w14:paraId="3C2E916D" w14:textId="01B789E0" w:rsidR="00F13715" w:rsidRDefault="00F13715">
          <w:pPr>
            <w:pStyle w:val="TOC1"/>
            <w:rPr>
              <w:b w:val="0"/>
              <w:kern w:val="2"/>
              <w:sz w:val="24"/>
              <w:szCs w:val="24"/>
              <w:lang w:eastAsia="en-AU"/>
              <w14:ligatures w14:val="standardContextual"/>
            </w:rPr>
          </w:pPr>
          <w:hyperlink w:anchor="_Toc182909902" w:history="1">
            <w:r w:rsidRPr="00F54528">
              <w:rPr>
                <w:rStyle w:val="Hyperlink"/>
                <w:rFonts w:eastAsiaTheme="majorEastAsia" w:cstheme="minorHAnsi"/>
                <w:bCs/>
              </w:rPr>
              <w:t>Prevention of hypoglycaemia in neonatal units</w:t>
            </w:r>
            <w:r>
              <w:rPr>
                <w:webHidden/>
              </w:rPr>
              <w:tab/>
            </w:r>
            <w:r>
              <w:rPr>
                <w:webHidden/>
              </w:rPr>
              <w:fldChar w:fldCharType="begin"/>
            </w:r>
            <w:r>
              <w:rPr>
                <w:webHidden/>
              </w:rPr>
              <w:instrText xml:space="preserve"> PAGEREF _Toc182909902 \h </w:instrText>
            </w:r>
            <w:r>
              <w:rPr>
                <w:webHidden/>
              </w:rPr>
            </w:r>
            <w:r>
              <w:rPr>
                <w:webHidden/>
              </w:rPr>
              <w:fldChar w:fldCharType="separate"/>
            </w:r>
            <w:r w:rsidR="006B3204">
              <w:rPr>
                <w:webHidden/>
              </w:rPr>
              <w:t>8</w:t>
            </w:r>
            <w:r>
              <w:rPr>
                <w:webHidden/>
              </w:rPr>
              <w:fldChar w:fldCharType="end"/>
            </w:r>
          </w:hyperlink>
        </w:p>
        <w:p w14:paraId="618DCC53" w14:textId="68B2C91C" w:rsidR="00F13715" w:rsidRDefault="00F13715">
          <w:pPr>
            <w:pStyle w:val="TOC2"/>
            <w:rPr>
              <w:b w:val="0"/>
              <w:color w:val="auto"/>
              <w:kern w:val="2"/>
              <w:sz w:val="24"/>
              <w:szCs w:val="24"/>
              <w14:ligatures w14:val="standardContextual"/>
            </w:rPr>
          </w:pPr>
          <w:hyperlink w:anchor="_Toc182909903" w:history="1">
            <w:r w:rsidRPr="00F54528">
              <w:rPr>
                <w:rStyle w:val="Hyperlink"/>
                <w:rFonts w:asciiTheme="majorHAnsi" w:eastAsiaTheme="majorEastAsia" w:hAnsiTheme="majorHAnsi" w:cstheme="majorBidi"/>
                <w:bCs/>
              </w:rPr>
              <w:t>Table 1: Additive calculations to prepare 12.5% and 15% Glucose infusion</w:t>
            </w:r>
            <w:r>
              <w:rPr>
                <w:webHidden/>
              </w:rPr>
              <w:tab/>
            </w:r>
            <w:r>
              <w:rPr>
                <w:webHidden/>
              </w:rPr>
              <w:fldChar w:fldCharType="begin"/>
            </w:r>
            <w:r>
              <w:rPr>
                <w:webHidden/>
              </w:rPr>
              <w:instrText xml:space="preserve"> PAGEREF _Toc182909903 \h </w:instrText>
            </w:r>
            <w:r>
              <w:rPr>
                <w:webHidden/>
              </w:rPr>
            </w:r>
            <w:r>
              <w:rPr>
                <w:webHidden/>
              </w:rPr>
              <w:fldChar w:fldCharType="separate"/>
            </w:r>
            <w:r w:rsidR="006B3204">
              <w:rPr>
                <w:webHidden/>
              </w:rPr>
              <w:t>10</w:t>
            </w:r>
            <w:r>
              <w:rPr>
                <w:webHidden/>
              </w:rPr>
              <w:fldChar w:fldCharType="end"/>
            </w:r>
          </w:hyperlink>
        </w:p>
        <w:p w14:paraId="17E4822B" w14:textId="254689AC" w:rsidR="00F13715" w:rsidRDefault="00F13715">
          <w:pPr>
            <w:pStyle w:val="TOC1"/>
            <w:rPr>
              <w:b w:val="0"/>
              <w:kern w:val="2"/>
              <w:sz w:val="24"/>
              <w:szCs w:val="24"/>
              <w:lang w:eastAsia="en-AU"/>
              <w14:ligatures w14:val="standardContextual"/>
            </w:rPr>
          </w:pPr>
          <w:hyperlink w:anchor="_Toc182909904" w:history="1">
            <w:r w:rsidRPr="00F54528">
              <w:rPr>
                <w:rStyle w:val="Hyperlink"/>
                <w:rFonts w:eastAsiaTheme="majorEastAsia" w:cstheme="minorHAnsi"/>
                <w:bCs/>
              </w:rPr>
              <w:t>Advice regarding escalation of care</w:t>
            </w:r>
            <w:r>
              <w:rPr>
                <w:webHidden/>
              </w:rPr>
              <w:tab/>
            </w:r>
            <w:r>
              <w:rPr>
                <w:webHidden/>
              </w:rPr>
              <w:fldChar w:fldCharType="begin"/>
            </w:r>
            <w:r>
              <w:rPr>
                <w:webHidden/>
              </w:rPr>
              <w:instrText xml:space="preserve"> PAGEREF _Toc182909904 \h </w:instrText>
            </w:r>
            <w:r>
              <w:rPr>
                <w:webHidden/>
              </w:rPr>
            </w:r>
            <w:r>
              <w:rPr>
                <w:webHidden/>
              </w:rPr>
              <w:fldChar w:fldCharType="separate"/>
            </w:r>
            <w:r w:rsidR="006B3204">
              <w:rPr>
                <w:webHidden/>
              </w:rPr>
              <w:t>10</w:t>
            </w:r>
            <w:r>
              <w:rPr>
                <w:webHidden/>
              </w:rPr>
              <w:fldChar w:fldCharType="end"/>
            </w:r>
          </w:hyperlink>
        </w:p>
        <w:p w14:paraId="34626252" w14:textId="409C0784" w:rsidR="00F13715" w:rsidRDefault="00F13715">
          <w:pPr>
            <w:pStyle w:val="TOC2"/>
            <w:rPr>
              <w:b w:val="0"/>
              <w:color w:val="auto"/>
              <w:kern w:val="2"/>
              <w:sz w:val="24"/>
              <w:szCs w:val="24"/>
              <w14:ligatures w14:val="standardContextual"/>
            </w:rPr>
          </w:pPr>
          <w:hyperlink w:anchor="_Toc182909905" w:history="1">
            <w:r w:rsidRPr="00F54528">
              <w:rPr>
                <w:rStyle w:val="Hyperlink"/>
                <w:rFonts w:asciiTheme="majorHAnsi" w:eastAsiaTheme="majorEastAsia" w:hAnsiTheme="majorHAnsi" w:cstheme="majorBidi"/>
                <w:bCs/>
                <w:lang w:val="en-US"/>
              </w:rPr>
              <w:t>Investigations for severe or prolonged hypoglycaemia</w:t>
            </w:r>
            <w:r>
              <w:rPr>
                <w:webHidden/>
              </w:rPr>
              <w:tab/>
            </w:r>
            <w:r>
              <w:rPr>
                <w:webHidden/>
              </w:rPr>
              <w:fldChar w:fldCharType="begin"/>
            </w:r>
            <w:r>
              <w:rPr>
                <w:webHidden/>
              </w:rPr>
              <w:instrText xml:space="preserve"> PAGEREF _Toc182909905 \h </w:instrText>
            </w:r>
            <w:r>
              <w:rPr>
                <w:webHidden/>
              </w:rPr>
            </w:r>
            <w:r>
              <w:rPr>
                <w:webHidden/>
              </w:rPr>
              <w:fldChar w:fldCharType="separate"/>
            </w:r>
            <w:r w:rsidR="006B3204">
              <w:rPr>
                <w:webHidden/>
              </w:rPr>
              <w:t>11</w:t>
            </w:r>
            <w:r>
              <w:rPr>
                <w:webHidden/>
              </w:rPr>
              <w:fldChar w:fldCharType="end"/>
            </w:r>
          </w:hyperlink>
        </w:p>
        <w:p w14:paraId="3D62AE31" w14:textId="739AEDC7" w:rsidR="00F13715" w:rsidRDefault="00F13715">
          <w:pPr>
            <w:pStyle w:val="TOC2"/>
            <w:rPr>
              <w:b w:val="0"/>
              <w:color w:val="auto"/>
              <w:kern w:val="2"/>
              <w:sz w:val="24"/>
              <w:szCs w:val="24"/>
              <w14:ligatures w14:val="standardContextual"/>
            </w:rPr>
          </w:pPr>
          <w:hyperlink w:anchor="_Toc182909906" w:history="1">
            <w:r w:rsidRPr="00F54528">
              <w:rPr>
                <w:rStyle w:val="Hyperlink"/>
                <w:rFonts w:asciiTheme="majorHAnsi" w:eastAsiaTheme="majorEastAsia" w:hAnsiTheme="majorHAnsi" w:cstheme="majorBidi"/>
                <w:bCs/>
              </w:rPr>
              <w:t>Hypoglycaemia screen</w:t>
            </w:r>
            <w:r>
              <w:rPr>
                <w:webHidden/>
              </w:rPr>
              <w:tab/>
            </w:r>
            <w:r>
              <w:rPr>
                <w:webHidden/>
              </w:rPr>
              <w:fldChar w:fldCharType="begin"/>
            </w:r>
            <w:r>
              <w:rPr>
                <w:webHidden/>
              </w:rPr>
              <w:instrText xml:space="preserve"> PAGEREF _Toc182909906 \h </w:instrText>
            </w:r>
            <w:r>
              <w:rPr>
                <w:webHidden/>
              </w:rPr>
            </w:r>
            <w:r>
              <w:rPr>
                <w:webHidden/>
              </w:rPr>
              <w:fldChar w:fldCharType="separate"/>
            </w:r>
            <w:r w:rsidR="006B3204">
              <w:rPr>
                <w:webHidden/>
              </w:rPr>
              <w:t>11</w:t>
            </w:r>
            <w:r>
              <w:rPr>
                <w:webHidden/>
              </w:rPr>
              <w:fldChar w:fldCharType="end"/>
            </w:r>
          </w:hyperlink>
        </w:p>
        <w:p w14:paraId="0DC175CE" w14:textId="498EE5E3" w:rsidR="00F13715" w:rsidRDefault="00F13715">
          <w:pPr>
            <w:pStyle w:val="TOC1"/>
            <w:rPr>
              <w:b w:val="0"/>
              <w:kern w:val="2"/>
              <w:sz w:val="24"/>
              <w:szCs w:val="24"/>
              <w:lang w:eastAsia="en-AU"/>
              <w14:ligatures w14:val="standardContextual"/>
            </w:rPr>
          </w:pPr>
          <w:hyperlink w:anchor="_Toc182909907" w:history="1">
            <w:r w:rsidRPr="00F54528">
              <w:rPr>
                <w:rStyle w:val="Hyperlink"/>
                <w:rFonts w:asciiTheme="majorHAnsi" w:eastAsiaTheme="majorEastAsia" w:hAnsiTheme="majorHAnsi" w:cstheme="majorBidi"/>
                <w:bCs/>
              </w:rPr>
              <w:t>Follow-up</w:t>
            </w:r>
            <w:r>
              <w:rPr>
                <w:webHidden/>
              </w:rPr>
              <w:tab/>
            </w:r>
            <w:r>
              <w:rPr>
                <w:webHidden/>
              </w:rPr>
              <w:fldChar w:fldCharType="begin"/>
            </w:r>
            <w:r>
              <w:rPr>
                <w:webHidden/>
              </w:rPr>
              <w:instrText xml:space="preserve"> PAGEREF _Toc182909907 \h </w:instrText>
            </w:r>
            <w:r>
              <w:rPr>
                <w:webHidden/>
              </w:rPr>
            </w:r>
            <w:r>
              <w:rPr>
                <w:webHidden/>
              </w:rPr>
              <w:fldChar w:fldCharType="separate"/>
            </w:r>
            <w:r w:rsidR="006B3204">
              <w:rPr>
                <w:webHidden/>
              </w:rPr>
              <w:t>12</w:t>
            </w:r>
            <w:r>
              <w:rPr>
                <w:webHidden/>
              </w:rPr>
              <w:fldChar w:fldCharType="end"/>
            </w:r>
          </w:hyperlink>
        </w:p>
        <w:p w14:paraId="51D117CE" w14:textId="0E837069" w:rsidR="00F13715" w:rsidRDefault="00F13715">
          <w:pPr>
            <w:pStyle w:val="TOC1"/>
            <w:rPr>
              <w:b w:val="0"/>
              <w:kern w:val="2"/>
              <w:sz w:val="24"/>
              <w:szCs w:val="24"/>
              <w:lang w:eastAsia="en-AU"/>
              <w14:ligatures w14:val="standardContextual"/>
            </w:rPr>
          </w:pPr>
          <w:hyperlink w:anchor="_Toc182909908" w:history="1">
            <w:r w:rsidRPr="00F54528">
              <w:rPr>
                <w:rStyle w:val="Hyperlink"/>
                <w:rFonts w:eastAsiaTheme="majorEastAsia" w:cstheme="minorHAnsi"/>
                <w:bCs/>
              </w:rPr>
              <w:t>References</w:t>
            </w:r>
            <w:r>
              <w:rPr>
                <w:webHidden/>
              </w:rPr>
              <w:tab/>
            </w:r>
            <w:r>
              <w:rPr>
                <w:webHidden/>
              </w:rPr>
              <w:fldChar w:fldCharType="begin"/>
            </w:r>
            <w:r>
              <w:rPr>
                <w:webHidden/>
              </w:rPr>
              <w:instrText xml:space="preserve"> PAGEREF _Toc182909908 \h </w:instrText>
            </w:r>
            <w:r>
              <w:rPr>
                <w:webHidden/>
              </w:rPr>
            </w:r>
            <w:r>
              <w:rPr>
                <w:webHidden/>
              </w:rPr>
              <w:fldChar w:fldCharType="separate"/>
            </w:r>
            <w:r w:rsidR="006B3204">
              <w:rPr>
                <w:webHidden/>
              </w:rPr>
              <w:t>13</w:t>
            </w:r>
            <w:r>
              <w:rPr>
                <w:webHidden/>
              </w:rPr>
              <w:fldChar w:fldCharType="end"/>
            </w:r>
          </w:hyperlink>
        </w:p>
        <w:p w14:paraId="5D8B2DF9" w14:textId="2F372182" w:rsidR="00F13715" w:rsidRDefault="00F13715">
          <w:pPr>
            <w:pStyle w:val="TOC1"/>
            <w:rPr>
              <w:b w:val="0"/>
              <w:kern w:val="2"/>
              <w:sz w:val="24"/>
              <w:szCs w:val="24"/>
              <w:lang w:eastAsia="en-AU"/>
              <w14:ligatures w14:val="standardContextual"/>
            </w:rPr>
          </w:pPr>
          <w:hyperlink w:anchor="_Toc182909909" w:history="1">
            <w:r w:rsidRPr="00F54528">
              <w:rPr>
                <w:rStyle w:val="Hyperlink"/>
                <w:rFonts w:eastAsiaTheme="majorEastAsia" w:cstheme="minorHAnsi"/>
                <w:bCs/>
              </w:rPr>
              <w:t>Citation</w:t>
            </w:r>
            <w:r>
              <w:rPr>
                <w:webHidden/>
              </w:rPr>
              <w:tab/>
            </w:r>
            <w:r>
              <w:rPr>
                <w:webHidden/>
              </w:rPr>
              <w:fldChar w:fldCharType="begin"/>
            </w:r>
            <w:r>
              <w:rPr>
                <w:webHidden/>
              </w:rPr>
              <w:instrText xml:space="preserve"> PAGEREF _Toc182909909 \h </w:instrText>
            </w:r>
            <w:r>
              <w:rPr>
                <w:webHidden/>
              </w:rPr>
            </w:r>
            <w:r>
              <w:rPr>
                <w:webHidden/>
              </w:rPr>
              <w:fldChar w:fldCharType="separate"/>
            </w:r>
            <w:r w:rsidR="006B3204">
              <w:rPr>
                <w:webHidden/>
              </w:rPr>
              <w:t>14</w:t>
            </w:r>
            <w:r>
              <w:rPr>
                <w:webHidden/>
              </w:rPr>
              <w:fldChar w:fldCharType="end"/>
            </w:r>
          </w:hyperlink>
        </w:p>
        <w:p w14:paraId="211A3EB4" w14:textId="3B6D715C" w:rsidR="00F13715" w:rsidRDefault="00F13715">
          <w:r>
            <w:rPr>
              <w:b/>
              <w:bCs/>
              <w:noProof/>
            </w:rPr>
            <w:fldChar w:fldCharType="end"/>
          </w:r>
        </w:p>
      </w:sdtContent>
    </w:sdt>
    <w:p w14:paraId="06EFD4C5"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bookmarkStart w:id="0" w:name="_Toc178176038"/>
      <w:bookmarkStart w:id="1" w:name="_Toc43470671"/>
      <w:bookmarkStart w:id="2" w:name="_Toc48232531"/>
      <w:bookmarkStart w:id="3" w:name="_Toc55899378"/>
      <w:bookmarkStart w:id="4" w:name="_Toc182909888"/>
      <w:r w:rsidRPr="00F13715">
        <w:rPr>
          <w:rFonts w:eastAsiaTheme="majorEastAsia" w:cstheme="minorHAnsi"/>
          <w:b/>
          <w:bCs/>
          <w:noProof/>
          <w:color w:val="007586" w:themeColor="text2"/>
          <w:sz w:val="44"/>
          <w:szCs w:val="32"/>
        </w:rPr>
        <w:lastRenderedPageBreak/>
        <mc:AlternateContent>
          <mc:Choice Requires="wps">
            <w:drawing>
              <wp:anchor distT="45720" distB="45720" distL="114300" distR="114300" simplePos="0" relativeHeight="251659264" behindDoc="0" locked="0" layoutInCell="1" allowOverlap="1" wp14:anchorId="43A0644E" wp14:editId="7B34DED9">
                <wp:simplePos x="0" y="0"/>
                <wp:positionH relativeFrom="column">
                  <wp:posOffset>2540</wp:posOffset>
                </wp:positionH>
                <wp:positionV relativeFrom="paragraph">
                  <wp:posOffset>512062</wp:posOffset>
                </wp:positionV>
                <wp:extent cx="6410325" cy="259651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596515"/>
                        </a:xfrm>
                        <a:prstGeom prst="rect">
                          <a:avLst/>
                        </a:prstGeom>
                        <a:solidFill>
                          <a:srgbClr val="FFFFFF"/>
                        </a:solidFill>
                        <a:ln w="9525">
                          <a:solidFill>
                            <a:srgbClr val="000000"/>
                          </a:solidFill>
                          <a:miter lim="800000"/>
                          <a:headEnd/>
                          <a:tailEnd/>
                        </a:ln>
                      </wps:spPr>
                      <wps:txbx>
                        <w:txbxContent>
                          <w:p w14:paraId="17570A0E" w14:textId="77777777" w:rsidR="00F13715" w:rsidRPr="00D054EA" w:rsidRDefault="00F13715" w:rsidP="00F13715">
                            <w:pPr>
                              <w:pStyle w:val="SCVbullet2"/>
                              <w:numPr>
                                <w:ilvl w:val="0"/>
                                <w:numId w:val="20"/>
                              </w:numPr>
                            </w:pPr>
                            <w:r w:rsidRPr="00D054EA">
                              <w:rPr>
                                <w:rStyle w:val="normaltextrun"/>
                                <w:sz w:val="24"/>
                                <w:szCs w:val="24"/>
                              </w:rPr>
                              <w:t>Hypoglycaemia is defined as a TBG concentration &lt; 2.6 mmol/L1 and should always be treated.</w:t>
                            </w:r>
                            <w:r w:rsidRPr="00D054EA">
                              <w:rPr>
                                <w:rStyle w:val="eop"/>
                                <w:sz w:val="24"/>
                                <w:szCs w:val="24"/>
                              </w:rPr>
                              <w:t xml:space="preserve"> </w:t>
                            </w:r>
                          </w:p>
                          <w:p w14:paraId="012966C6" w14:textId="77777777" w:rsidR="00F13715" w:rsidRPr="00D054EA" w:rsidRDefault="00F13715" w:rsidP="00F13715">
                            <w:pPr>
                              <w:pStyle w:val="SCVbullet2"/>
                              <w:numPr>
                                <w:ilvl w:val="0"/>
                                <w:numId w:val="20"/>
                              </w:numPr>
                            </w:pPr>
                            <w:r w:rsidRPr="00D054EA">
                              <w:rPr>
                                <w:rStyle w:val="normaltextrun"/>
                                <w:sz w:val="24"/>
                                <w:szCs w:val="24"/>
                              </w:rPr>
                              <w:t xml:space="preserve">Newly born infants are screened for hypoglycaemia based on </w:t>
                            </w:r>
                            <w:hyperlink w:anchor="_Risk_factors">
                              <w:r w:rsidRPr="00D054EA">
                                <w:rPr>
                                  <w:rStyle w:val="Hyperlink"/>
                                  <w:color w:val="auto"/>
                                  <w:sz w:val="24"/>
                                  <w:szCs w:val="24"/>
                                  <w:u w:val="none"/>
                                </w:rPr>
                                <w:t>risk factors</w:t>
                              </w:r>
                            </w:hyperlink>
                            <w:r w:rsidRPr="00D054EA">
                              <w:rPr>
                                <w:rStyle w:val="normaltextrun"/>
                                <w:sz w:val="24"/>
                                <w:szCs w:val="24"/>
                              </w:rPr>
                              <w:t> starting no more than 2 hours after birth.</w:t>
                            </w:r>
                          </w:p>
                          <w:p w14:paraId="2C586970" w14:textId="77777777" w:rsidR="00F13715" w:rsidRPr="00D054EA" w:rsidRDefault="00F13715" w:rsidP="00F13715">
                            <w:pPr>
                              <w:pStyle w:val="SCVbullet2"/>
                              <w:numPr>
                                <w:ilvl w:val="0"/>
                                <w:numId w:val="20"/>
                              </w:numPr>
                            </w:pPr>
                            <w:r w:rsidRPr="00D054EA">
                              <w:rPr>
                                <w:rStyle w:val="normaltextrun"/>
                                <w:sz w:val="24"/>
                                <w:szCs w:val="24"/>
                              </w:rPr>
                              <w:t>TBG should be used in preference to a BSL when available, and for ongoing screening in all infants who have had a BSL &lt; 2.6 mmol/L. </w:t>
                            </w:r>
                            <w:r w:rsidRPr="00D054EA">
                              <w:rPr>
                                <w:rStyle w:val="eop"/>
                                <w:sz w:val="24"/>
                                <w:szCs w:val="24"/>
                              </w:rPr>
                              <w:t xml:space="preserve"> </w:t>
                            </w:r>
                          </w:p>
                          <w:p w14:paraId="56D1A74F" w14:textId="77777777" w:rsidR="00F13715" w:rsidRPr="00D054EA" w:rsidRDefault="00F13715" w:rsidP="00F13715">
                            <w:pPr>
                              <w:pStyle w:val="SCVbullet2"/>
                              <w:numPr>
                                <w:ilvl w:val="0"/>
                                <w:numId w:val="20"/>
                              </w:numPr>
                            </w:pPr>
                            <w:r w:rsidRPr="00D054EA">
                              <w:rPr>
                                <w:rStyle w:val="normaltextrun"/>
                                <w:sz w:val="24"/>
                                <w:szCs w:val="24"/>
                              </w:rPr>
                              <w:t>40% glucose oral (buccal) gel is the first-line treatment for hypoglycaemia in well infants ≥ 34 weeks’ gestation.</w:t>
                            </w:r>
                            <w:r w:rsidRPr="00D054EA">
                              <w:rPr>
                                <w:rStyle w:val="eop"/>
                                <w:sz w:val="24"/>
                                <w:szCs w:val="24"/>
                              </w:rPr>
                              <w:t xml:space="preserve"> </w:t>
                            </w:r>
                          </w:p>
                          <w:p w14:paraId="440C5AD4" w14:textId="77777777" w:rsidR="00F13715" w:rsidRPr="00D054EA" w:rsidRDefault="00F13715" w:rsidP="00F13715">
                            <w:pPr>
                              <w:pStyle w:val="SCVbullet2"/>
                              <w:numPr>
                                <w:ilvl w:val="0"/>
                                <w:numId w:val="20"/>
                              </w:numPr>
                              <w:rPr>
                                <w:rStyle w:val="eop"/>
                                <w:sz w:val="24"/>
                                <w:szCs w:val="24"/>
                              </w:rPr>
                            </w:pPr>
                            <w:r w:rsidRPr="00D054EA">
                              <w:rPr>
                                <w:rStyle w:val="normaltextrun"/>
                                <w:sz w:val="24"/>
                                <w:szCs w:val="24"/>
                              </w:rPr>
                              <w:t>An episode of hypoglycaemia should last no longer than two hours without medical evaluation. </w:t>
                            </w:r>
                            <w:r w:rsidRPr="00D054EA">
                              <w:rPr>
                                <w:rStyle w:val="eop"/>
                                <w:sz w:val="24"/>
                                <w:szCs w:val="24"/>
                              </w:rPr>
                              <w:t xml:space="preserve"> </w:t>
                            </w:r>
                          </w:p>
                          <w:p w14:paraId="29053FFF" w14:textId="77777777" w:rsidR="00F13715" w:rsidRPr="00D054EA" w:rsidRDefault="00F13715" w:rsidP="00F13715">
                            <w:pPr>
                              <w:pStyle w:val="SCVbullet2"/>
                              <w:numPr>
                                <w:ilvl w:val="0"/>
                                <w:numId w:val="20"/>
                              </w:numPr>
                            </w:pPr>
                            <w:r w:rsidRPr="00D054EA">
                              <w:rPr>
                                <w:rStyle w:val="normaltextrun"/>
                                <w:sz w:val="24"/>
                                <w:szCs w:val="24"/>
                              </w:rPr>
                              <w:t>There is no need to measure BSL in well, term infants with no risk factors or clinical signs of hypoglycaemia.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0644E" id="_x0000_t202" coordsize="21600,21600" o:spt="202" path="m,l,21600r21600,l21600,xe">
                <v:stroke joinstyle="miter"/>
                <v:path gradientshapeok="t" o:connecttype="rect"/>
              </v:shapetype>
              <v:shape id="Text Box 2" o:spid="_x0000_s1026" type="#_x0000_t202" style="position:absolute;margin-left:.2pt;margin-top:40.3pt;width:504.75pt;height:20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">
                <v:textbox>
                  <w:txbxContent>
                    <w:p w14:paraId="17570A0E" w14:textId="77777777" w:rsidR="00F13715" w:rsidRPr="00D054EA" w:rsidRDefault="00F13715" w:rsidP="00F13715">
                      <w:pPr>
                        <w:pStyle w:val="SCVbullet2"/>
                        <w:numPr>
                          <w:ilvl w:val="0"/>
                          <w:numId w:val="20"/>
                        </w:numPr>
                      </w:pPr>
                      <w:r w:rsidRPr="00D054EA">
                        <w:rPr>
                          <w:rStyle w:val="normaltextrun"/>
                          <w:sz w:val="24"/>
                          <w:szCs w:val="24"/>
                        </w:rPr>
                        <w:t>Hypoglycaemia is defined as a TBG concentration &lt; 2.6 mmol/L1 and should always be treated.</w:t>
                      </w:r>
                      <w:r w:rsidRPr="00D054EA">
                        <w:rPr>
                          <w:rStyle w:val="eop"/>
                          <w:sz w:val="24"/>
                          <w:szCs w:val="24"/>
                        </w:rPr>
                        <w:t xml:space="preserve"> </w:t>
                      </w:r>
                    </w:p>
                    <w:p w14:paraId="012966C6" w14:textId="77777777" w:rsidR="00F13715" w:rsidRPr="00D054EA" w:rsidRDefault="00F13715" w:rsidP="00F13715">
                      <w:pPr>
                        <w:pStyle w:val="SCVbullet2"/>
                        <w:numPr>
                          <w:ilvl w:val="0"/>
                          <w:numId w:val="20"/>
                        </w:numPr>
                      </w:pPr>
                      <w:r w:rsidRPr="00D054EA">
                        <w:rPr>
                          <w:rStyle w:val="normaltextrun"/>
                          <w:sz w:val="24"/>
                          <w:szCs w:val="24"/>
                        </w:rPr>
                        <w:t xml:space="preserve">Newly born infants are screened for hypoglycaemia based on </w:t>
                      </w:r>
                      <w:hyperlink w:anchor="_Risk_factors">
                        <w:r w:rsidRPr="00D054EA">
                          <w:rPr>
                            <w:rStyle w:val="Hyperlink"/>
                            <w:color w:val="auto"/>
                            <w:sz w:val="24"/>
                            <w:szCs w:val="24"/>
                            <w:u w:val="none"/>
                          </w:rPr>
                          <w:t>risk factors</w:t>
                        </w:r>
                      </w:hyperlink>
                      <w:r w:rsidRPr="00D054EA">
                        <w:rPr>
                          <w:rStyle w:val="normaltextrun"/>
                          <w:sz w:val="24"/>
                          <w:szCs w:val="24"/>
                        </w:rPr>
                        <w:t> starting no more than 2 hours after birth.</w:t>
                      </w:r>
                    </w:p>
                    <w:p w14:paraId="2C586970" w14:textId="77777777" w:rsidR="00F13715" w:rsidRPr="00D054EA" w:rsidRDefault="00F13715" w:rsidP="00F13715">
                      <w:pPr>
                        <w:pStyle w:val="SCVbullet2"/>
                        <w:numPr>
                          <w:ilvl w:val="0"/>
                          <w:numId w:val="20"/>
                        </w:numPr>
                      </w:pPr>
                      <w:r w:rsidRPr="00D054EA">
                        <w:rPr>
                          <w:rStyle w:val="normaltextrun"/>
                          <w:sz w:val="24"/>
                          <w:szCs w:val="24"/>
                        </w:rPr>
                        <w:t>TBG should be used in preference to a BSL when available, and for ongoing screening in all infants who have had a BSL &lt; 2.6 mmol/L. </w:t>
                      </w:r>
                      <w:r w:rsidRPr="00D054EA">
                        <w:rPr>
                          <w:rStyle w:val="eop"/>
                          <w:sz w:val="24"/>
                          <w:szCs w:val="24"/>
                        </w:rPr>
                        <w:t xml:space="preserve"> </w:t>
                      </w:r>
                    </w:p>
                    <w:p w14:paraId="56D1A74F" w14:textId="77777777" w:rsidR="00F13715" w:rsidRPr="00D054EA" w:rsidRDefault="00F13715" w:rsidP="00F13715">
                      <w:pPr>
                        <w:pStyle w:val="SCVbullet2"/>
                        <w:numPr>
                          <w:ilvl w:val="0"/>
                          <w:numId w:val="20"/>
                        </w:numPr>
                      </w:pPr>
                      <w:r w:rsidRPr="00D054EA">
                        <w:rPr>
                          <w:rStyle w:val="normaltextrun"/>
                          <w:sz w:val="24"/>
                          <w:szCs w:val="24"/>
                        </w:rPr>
                        <w:t>40% glucose oral (buccal) gel is the first-line treatment for hypoglycaemia in well infants ≥ 34 weeks’ gestation.</w:t>
                      </w:r>
                      <w:r w:rsidRPr="00D054EA">
                        <w:rPr>
                          <w:rStyle w:val="eop"/>
                          <w:sz w:val="24"/>
                          <w:szCs w:val="24"/>
                        </w:rPr>
                        <w:t xml:space="preserve"> </w:t>
                      </w:r>
                    </w:p>
                    <w:p w14:paraId="440C5AD4" w14:textId="77777777" w:rsidR="00F13715" w:rsidRPr="00D054EA" w:rsidRDefault="00F13715" w:rsidP="00F13715">
                      <w:pPr>
                        <w:pStyle w:val="SCVbullet2"/>
                        <w:numPr>
                          <w:ilvl w:val="0"/>
                          <w:numId w:val="20"/>
                        </w:numPr>
                        <w:rPr>
                          <w:rStyle w:val="eop"/>
                          <w:sz w:val="24"/>
                          <w:szCs w:val="24"/>
                        </w:rPr>
                      </w:pPr>
                      <w:r w:rsidRPr="00D054EA">
                        <w:rPr>
                          <w:rStyle w:val="normaltextrun"/>
                          <w:sz w:val="24"/>
                          <w:szCs w:val="24"/>
                        </w:rPr>
                        <w:t>An episode of hypoglycaemia should last no longer than two hours without medical evaluation. </w:t>
                      </w:r>
                      <w:r w:rsidRPr="00D054EA">
                        <w:rPr>
                          <w:rStyle w:val="eop"/>
                          <w:sz w:val="24"/>
                          <w:szCs w:val="24"/>
                        </w:rPr>
                        <w:t xml:space="preserve"> </w:t>
                      </w:r>
                    </w:p>
                    <w:p w14:paraId="29053FFF" w14:textId="77777777" w:rsidR="00F13715" w:rsidRPr="00D054EA" w:rsidRDefault="00F13715" w:rsidP="00F13715">
                      <w:pPr>
                        <w:pStyle w:val="SCVbullet2"/>
                        <w:numPr>
                          <w:ilvl w:val="0"/>
                          <w:numId w:val="20"/>
                        </w:numPr>
                      </w:pPr>
                      <w:r w:rsidRPr="00D054EA">
                        <w:rPr>
                          <w:rStyle w:val="normaltextrun"/>
                          <w:sz w:val="24"/>
                          <w:szCs w:val="24"/>
                        </w:rPr>
                        <w:t>There is no need to measure BSL in well, term infants with no risk factors or clinical signs of hypoglycaemia.</w:t>
                      </w:r>
                    </w:p>
                  </w:txbxContent>
                </v:textbox>
                <w10:wrap type="square"/>
              </v:shape>
            </w:pict>
          </mc:Fallback>
        </mc:AlternateContent>
      </w:r>
      <w:r w:rsidRPr="00F13715">
        <w:rPr>
          <w:rFonts w:eastAsiaTheme="majorEastAsia" w:cstheme="minorHAnsi"/>
          <w:b/>
          <w:bCs/>
          <w:color w:val="007586" w:themeColor="text2"/>
          <w:sz w:val="44"/>
          <w:szCs w:val="32"/>
        </w:rPr>
        <w:t>Key messages</w:t>
      </w:r>
      <w:bookmarkEnd w:id="0"/>
      <w:bookmarkEnd w:id="4"/>
    </w:p>
    <w:bookmarkEnd w:id="1"/>
    <w:bookmarkEnd w:id="2"/>
    <w:bookmarkEnd w:id="3"/>
    <w:p w14:paraId="39C23074" w14:textId="77777777" w:rsidR="00F13715" w:rsidRPr="00F13715" w:rsidRDefault="00F13715" w:rsidP="00F13715">
      <w:pPr>
        <w:keepNext/>
        <w:keepLines/>
        <w:suppressAutoHyphens/>
        <w:spacing w:before="320" w:line="240" w:lineRule="auto"/>
        <w:outlineLvl w:val="0"/>
        <w:rPr>
          <w:rFonts w:eastAsiaTheme="majorEastAsia" w:cstheme="minorHAnsi"/>
          <w:b/>
          <w:bCs/>
          <w:color w:val="007586" w:themeColor="text2"/>
          <w:sz w:val="32"/>
          <w:szCs w:val="32"/>
        </w:rPr>
      </w:pPr>
    </w:p>
    <w:p w14:paraId="69C9B664"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bookmarkStart w:id="5" w:name="_Toc178176039"/>
      <w:bookmarkStart w:id="6" w:name="_Toc182909889"/>
      <w:r w:rsidRPr="00F13715">
        <w:rPr>
          <w:rFonts w:eastAsiaTheme="majorEastAsia" w:cstheme="minorHAnsi"/>
          <w:b/>
          <w:bCs/>
          <w:color w:val="007586" w:themeColor="text2"/>
          <w:sz w:val="44"/>
          <w:szCs w:val="32"/>
        </w:rPr>
        <w:t>Acknowledgement</w:t>
      </w:r>
      <w:bookmarkEnd w:id="5"/>
      <w:bookmarkEnd w:id="6"/>
      <w:r w:rsidRPr="00F13715">
        <w:rPr>
          <w:rFonts w:eastAsiaTheme="majorEastAsia" w:cstheme="minorHAnsi"/>
          <w:b/>
          <w:bCs/>
          <w:color w:val="007586" w:themeColor="text2"/>
          <w:sz w:val="44"/>
          <w:szCs w:val="32"/>
        </w:rPr>
        <w:tab/>
      </w:r>
    </w:p>
    <w:p w14:paraId="7A671BE0" w14:textId="412F6CF5" w:rsidR="00F13715" w:rsidRPr="00F13715" w:rsidRDefault="00F13715" w:rsidP="00F13715">
      <w:pPr>
        <w:spacing w:before="0"/>
        <w:rPr>
          <w:rFonts w:eastAsia="MS PGothic" w:cstheme="minorHAnsi"/>
          <w:sz w:val="22"/>
          <w:szCs w:val="22"/>
        </w:rPr>
      </w:pPr>
      <w:r w:rsidRPr="00F13715">
        <w:rPr>
          <w:rFonts w:eastAsia="MS PGothic" w:cstheme="minorHAnsi"/>
          <w:sz w:val="22"/>
          <w:szCs w:val="22"/>
        </w:rPr>
        <w:t xml:space="preserve">This guidance </w:t>
      </w:r>
      <w:r w:rsidR="005447C9">
        <w:rPr>
          <w:rFonts w:eastAsia="MS PGothic" w:cstheme="minorHAnsi"/>
          <w:sz w:val="22"/>
          <w:szCs w:val="22"/>
        </w:rPr>
        <w:t xml:space="preserve">may </w:t>
      </w:r>
      <w:r w:rsidRPr="00F13715">
        <w:rPr>
          <w:rFonts w:eastAsia="MS PGothic" w:cstheme="minorHAnsi"/>
          <w:sz w:val="22"/>
          <w:szCs w:val="22"/>
        </w:rPr>
        <w:t>use the terms ‘woman’ and ‘mother,’ which are intended to be inclusive of anyone who may use other self-identifying terms and aims to encompass all for whom this guidance is relevant.</w:t>
      </w:r>
    </w:p>
    <w:p w14:paraId="60A562C0" w14:textId="77777777" w:rsidR="00F13715" w:rsidRPr="00F13715" w:rsidRDefault="00F13715" w:rsidP="00F13715">
      <w:pPr>
        <w:spacing w:before="0"/>
        <w:rPr>
          <w:rFonts w:eastAsia="MS PGothic" w:cstheme="minorHAnsi"/>
          <w:sz w:val="22"/>
          <w:szCs w:val="22"/>
        </w:rPr>
      </w:pPr>
    </w:p>
    <w:p w14:paraId="43CA3BB0"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bookmarkStart w:id="7" w:name="_Toc178176040"/>
      <w:bookmarkStart w:id="8" w:name="_Toc182909890"/>
      <w:r w:rsidRPr="00F13715">
        <w:rPr>
          <w:rFonts w:eastAsiaTheme="majorEastAsia" w:cstheme="minorHAnsi"/>
          <w:b/>
          <w:bCs/>
          <w:color w:val="007586" w:themeColor="text2"/>
          <w:sz w:val="44"/>
          <w:szCs w:val="32"/>
        </w:rPr>
        <w:t>Consumer Engagement Statement</w:t>
      </w:r>
      <w:bookmarkEnd w:id="7"/>
      <w:bookmarkEnd w:id="8"/>
    </w:p>
    <w:p w14:paraId="4060A3E8" w14:textId="77777777" w:rsidR="00F13715" w:rsidRPr="00F13715" w:rsidRDefault="00F13715" w:rsidP="00F13715">
      <w:pPr>
        <w:spacing w:before="0" w:after="0" w:line="240" w:lineRule="auto"/>
        <w:textAlignment w:val="baseline"/>
        <w:rPr>
          <w:rFonts w:eastAsia="Times New Roman" w:cstheme="minorHAnsi"/>
          <w:sz w:val="22"/>
          <w:szCs w:val="22"/>
          <w:lang w:val="en-US"/>
        </w:rPr>
      </w:pPr>
      <w:r w:rsidRPr="00F13715">
        <w:rPr>
          <w:rFonts w:eastAsia="Times New Roman" w:cstheme="minorHAnsi"/>
          <w:color w:val="000000"/>
          <w:sz w:val="22"/>
          <w:szCs w:val="22"/>
        </w:rPr>
        <w:t xml:space="preserve">All interactions between health care staff with consumers (women, mothers, patients, carers and families) should be undertaken with </w:t>
      </w:r>
      <w:r w:rsidRPr="00F13715">
        <w:rPr>
          <w:rFonts w:eastAsia="Times New Roman" w:cstheme="minorHAnsi"/>
          <w:color w:val="242424"/>
          <w:sz w:val="22"/>
          <w:szCs w:val="22"/>
        </w:rPr>
        <w:t>respect, dignity, empathy, honesty and compassion.</w:t>
      </w:r>
      <w:r w:rsidRPr="00F13715">
        <w:rPr>
          <w:rFonts w:eastAsia="Times New Roman" w:cstheme="minorHAnsi"/>
          <w:color w:val="000000"/>
          <w:sz w:val="22"/>
          <w:szCs w:val="22"/>
        </w:rPr>
        <w:t>  </w:t>
      </w:r>
      <w:r w:rsidRPr="00F13715">
        <w:rPr>
          <w:rFonts w:eastAsia="Times New Roman" w:cstheme="minorHAnsi"/>
          <w:sz w:val="22"/>
          <w:szCs w:val="22"/>
          <w:lang w:val="en-US"/>
        </w:rPr>
        <w:t>​</w:t>
      </w:r>
    </w:p>
    <w:p w14:paraId="567CD45F" w14:textId="77777777" w:rsidR="00F13715" w:rsidRPr="00F13715" w:rsidRDefault="00F13715" w:rsidP="00F13715">
      <w:pPr>
        <w:spacing w:before="0" w:after="0" w:line="240" w:lineRule="auto"/>
        <w:textAlignment w:val="baseline"/>
        <w:rPr>
          <w:rFonts w:eastAsia="Times New Roman" w:cstheme="minorHAnsi"/>
          <w:color w:val="000000"/>
          <w:sz w:val="22"/>
          <w:szCs w:val="22"/>
        </w:rPr>
      </w:pPr>
    </w:p>
    <w:p w14:paraId="0DEC193B" w14:textId="77777777" w:rsidR="00F13715" w:rsidRPr="00F13715" w:rsidRDefault="00F13715" w:rsidP="00F13715">
      <w:pPr>
        <w:spacing w:before="0" w:after="0" w:line="240" w:lineRule="auto"/>
        <w:textAlignment w:val="baseline"/>
        <w:rPr>
          <w:rFonts w:eastAsia="Times New Roman" w:cstheme="minorHAnsi"/>
          <w:sz w:val="22"/>
          <w:szCs w:val="22"/>
        </w:rPr>
      </w:pPr>
      <w:r w:rsidRPr="00F13715">
        <w:rPr>
          <w:rFonts w:eastAsia="Times New Roman" w:cstheme="minorHAnsi"/>
          <w:color w:val="000000"/>
          <w:sz w:val="22"/>
          <w:szCs w:val="22"/>
        </w:rPr>
        <w:t>Health care staff should actively seek and support consumer participation and collaboration to empower them as equal partners in their care.</w:t>
      </w:r>
    </w:p>
    <w:p w14:paraId="3590A24F" w14:textId="77777777" w:rsidR="00F13715" w:rsidRPr="00F13715" w:rsidRDefault="00F13715" w:rsidP="00F13715">
      <w:pPr>
        <w:keepNext/>
        <w:keepLines/>
        <w:spacing w:before="240" w:after="80" w:line="240" w:lineRule="auto"/>
        <w:outlineLvl w:val="2"/>
        <w:rPr>
          <w:rFonts w:eastAsiaTheme="majorEastAsia" w:cstheme="minorHAnsi"/>
          <w:b/>
          <w:bCs/>
          <w:color w:val="007586" w:themeColor="text2"/>
          <w:sz w:val="24"/>
          <w:szCs w:val="22"/>
        </w:rPr>
      </w:pPr>
    </w:p>
    <w:p w14:paraId="08AF7B2F"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22"/>
          <w:szCs w:val="32"/>
        </w:rPr>
      </w:pPr>
      <w:bookmarkStart w:id="9" w:name="_Toc178176041"/>
      <w:bookmarkStart w:id="10" w:name="_Toc182909891"/>
      <w:r w:rsidRPr="00F13715">
        <w:rPr>
          <w:rFonts w:eastAsiaTheme="majorEastAsia" w:cstheme="minorHAnsi"/>
          <w:b/>
          <w:bCs/>
          <w:color w:val="007586" w:themeColor="text2"/>
          <w:sz w:val="44"/>
          <w:szCs w:val="32"/>
        </w:rPr>
        <w:t>Definitions/Abbreviations</w:t>
      </w:r>
      <w:bookmarkEnd w:id="9"/>
      <w:bookmarkEnd w:id="10"/>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5"/>
      </w:tblGrid>
      <w:tr w:rsidR="00F13715" w:rsidRPr="00F13715" w14:paraId="018369A5" w14:textId="77777777" w:rsidTr="00F42295">
        <w:trPr>
          <w:trHeight w:val="285"/>
        </w:trPr>
        <w:tc>
          <w:tcPr>
            <w:tcW w:w="10125" w:type="dxa"/>
          </w:tcPr>
          <w:p w14:paraId="4F155C51" w14:textId="77777777" w:rsidR="00F13715" w:rsidRPr="00F13715" w:rsidRDefault="00F13715" w:rsidP="00F13715">
            <w:pPr>
              <w:rPr>
                <w:rFonts w:cstheme="minorHAnsi"/>
                <w:sz w:val="22"/>
                <w:szCs w:val="22"/>
                <w:vertAlign w:val="superscript"/>
              </w:rPr>
            </w:pPr>
            <w:r w:rsidRPr="00F13715">
              <w:rPr>
                <w:rFonts w:eastAsia="Times New Roman" w:cstheme="minorHAnsi"/>
                <w:b/>
                <w:bCs/>
                <w:sz w:val="22"/>
                <w:szCs w:val="22"/>
              </w:rPr>
              <w:t xml:space="preserve">Blood sugar level (BSL): </w:t>
            </w:r>
            <w:r w:rsidRPr="00F13715">
              <w:rPr>
                <w:rFonts w:eastAsia="Times New Roman" w:cstheme="minorHAnsi"/>
                <w:sz w:val="22"/>
                <w:szCs w:val="22"/>
              </w:rPr>
              <w:t>as measured using a point of care non-glucose oxidase method with a blood glucose meter and reagent strips. These measurements are less accurate at lower levels, therefore a TBG should be performed for any BSL &lt; 2.6 mmol/L.</w:t>
            </w:r>
          </w:p>
        </w:tc>
      </w:tr>
      <w:tr w:rsidR="00F13715" w:rsidRPr="00F13715" w14:paraId="0FD578B9" w14:textId="77777777" w:rsidTr="00F42295">
        <w:trPr>
          <w:trHeight w:val="285"/>
        </w:trPr>
        <w:tc>
          <w:tcPr>
            <w:tcW w:w="10125" w:type="dxa"/>
          </w:tcPr>
          <w:p w14:paraId="297886BB" w14:textId="77777777" w:rsidR="00F13715" w:rsidRPr="00F13715" w:rsidRDefault="00F13715" w:rsidP="00F13715">
            <w:pPr>
              <w:rPr>
                <w:rFonts w:eastAsia="Times New Roman" w:cstheme="minorHAnsi"/>
                <w:sz w:val="22"/>
                <w:szCs w:val="22"/>
              </w:rPr>
            </w:pPr>
            <w:r w:rsidRPr="00F13715">
              <w:rPr>
                <w:rFonts w:eastAsia="Times New Roman" w:cstheme="minorHAnsi"/>
                <w:b/>
                <w:bCs/>
                <w:sz w:val="22"/>
                <w:szCs w:val="22"/>
              </w:rPr>
              <w:lastRenderedPageBreak/>
              <w:t>True blood glucose (TBG):</w:t>
            </w:r>
            <w:r w:rsidRPr="00F13715">
              <w:rPr>
                <w:rFonts w:eastAsia="Times New Roman" w:cstheme="minorHAnsi"/>
                <w:sz w:val="22"/>
                <w:szCs w:val="22"/>
              </w:rPr>
              <w:t xml:space="preserve"> as measured by the glucose-oxidase method on a blood gas analyser, in the laboratory or a point of care device e.g. </w:t>
            </w:r>
            <w:proofErr w:type="spellStart"/>
            <w:r w:rsidRPr="00F13715">
              <w:rPr>
                <w:rFonts w:eastAsia="Times New Roman" w:cstheme="minorHAnsi"/>
                <w:sz w:val="22"/>
                <w:szCs w:val="22"/>
              </w:rPr>
              <w:t>iSTAT</w:t>
            </w:r>
            <w:proofErr w:type="spellEnd"/>
            <w:r w:rsidRPr="00F13715">
              <w:rPr>
                <w:rFonts w:eastAsia="Times New Roman" w:cstheme="minorHAnsi"/>
                <w:sz w:val="22"/>
                <w:szCs w:val="22"/>
              </w:rPr>
              <w:t xml:space="preserve"> measurement. </w:t>
            </w:r>
          </w:p>
        </w:tc>
      </w:tr>
      <w:tr w:rsidR="00F13715" w:rsidRPr="00F13715" w14:paraId="09550C36" w14:textId="77777777" w:rsidTr="00F42295">
        <w:trPr>
          <w:trHeight w:val="285"/>
        </w:trPr>
        <w:tc>
          <w:tcPr>
            <w:tcW w:w="10125" w:type="dxa"/>
          </w:tcPr>
          <w:p w14:paraId="0B850672" w14:textId="77777777" w:rsidR="00F13715" w:rsidRPr="00F13715" w:rsidRDefault="00F13715" w:rsidP="00F13715">
            <w:pPr>
              <w:rPr>
                <w:rFonts w:eastAsia="Times New Roman" w:cstheme="minorHAnsi"/>
                <w:b/>
                <w:bCs/>
                <w:sz w:val="22"/>
                <w:szCs w:val="22"/>
              </w:rPr>
            </w:pPr>
            <w:r w:rsidRPr="00F13715">
              <w:rPr>
                <w:rFonts w:cstheme="minorHAnsi"/>
                <w:b/>
                <w:bCs/>
                <w:sz w:val="22"/>
                <w:szCs w:val="22"/>
              </w:rPr>
              <w:t>Hypoglycaemia:</w:t>
            </w:r>
            <w:r w:rsidRPr="00F13715">
              <w:rPr>
                <w:rFonts w:cstheme="minorHAnsi"/>
                <w:sz w:val="22"/>
                <w:szCs w:val="22"/>
              </w:rPr>
              <w:t xml:space="preserve"> TBG &lt; 2.6 mmol/L.</w:t>
            </w:r>
            <w:r w:rsidRPr="00F13715">
              <w:rPr>
                <w:rFonts w:cstheme="minorHAnsi"/>
                <w:sz w:val="22"/>
                <w:szCs w:val="22"/>
                <w:vertAlign w:val="superscript"/>
              </w:rPr>
              <w:t>1</w:t>
            </w:r>
          </w:p>
        </w:tc>
      </w:tr>
    </w:tbl>
    <w:p w14:paraId="1EC225B6" w14:textId="77777777" w:rsidR="00F13715" w:rsidRPr="00F13715" w:rsidRDefault="00F13715" w:rsidP="00F13715">
      <w:pPr>
        <w:rPr>
          <w:rFonts w:eastAsia="Times New Roman" w:cstheme="minorHAnsi"/>
          <w:b/>
          <w:bCs/>
          <w:sz w:val="22"/>
          <w:szCs w:val="22"/>
        </w:rPr>
      </w:pPr>
    </w:p>
    <w:p w14:paraId="192D67C9" w14:textId="77777777" w:rsidR="00F13715" w:rsidRPr="00F13715" w:rsidRDefault="00F13715" w:rsidP="00F13715">
      <w:pPr>
        <w:keepNext/>
        <w:keepLines/>
        <w:spacing w:before="280" w:after="80" w:line="240" w:lineRule="auto"/>
        <w:outlineLvl w:val="1"/>
        <w:rPr>
          <w:rFonts w:eastAsiaTheme="majorEastAsia" w:cstheme="minorHAnsi"/>
          <w:b/>
          <w:bCs/>
          <w:sz w:val="26"/>
          <w:szCs w:val="26"/>
        </w:rPr>
      </w:pPr>
    </w:p>
    <w:p w14:paraId="7DF34FBD"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bookmarkStart w:id="11" w:name="_Toc178176042"/>
      <w:bookmarkStart w:id="12" w:name="_Toc182909892"/>
      <w:r w:rsidRPr="00F13715">
        <w:rPr>
          <w:rFonts w:eastAsiaTheme="majorEastAsia" w:cstheme="minorHAnsi"/>
          <w:b/>
          <w:bCs/>
          <w:color w:val="007586" w:themeColor="text2"/>
          <w:sz w:val="44"/>
          <w:szCs w:val="32"/>
        </w:rPr>
        <w:t>Hypoglycaemia in neonates</w:t>
      </w:r>
      <w:bookmarkEnd w:id="11"/>
      <w:bookmarkEnd w:id="12"/>
    </w:p>
    <w:p w14:paraId="4A66690F" w14:textId="77777777" w:rsidR="00BA5E23" w:rsidRDefault="00F13715" w:rsidP="00BA5E23">
      <w:pPr>
        <w:spacing w:before="60" w:after="60"/>
        <w:rPr>
          <w:rFonts w:cstheme="minorHAnsi"/>
          <w:sz w:val="22"/>
          <w:szCs w:val="22"/>
        </w:rPr>
      </w:pPr>
      <w:r w:rsidRPr="00F13715">
        <w:rPr>
          <w:rFonts w:cstheme="minorHAnsi"/>
          <w:sz w:val="22"/>
          <w:szCs w:val="22"/>
        </w:rPr>
        <w:t>Neonatal hypoglycaemia (defined as true blood glucose &lt; 2.6 mmol/L)</w:t>
      </w:r>
      <w:r w:rsidRPr="00F13715">
        <w:rPr>
          <w:rFonts w:cstheme="minorHAnsi"/>
          <w:sz w:val="22"/>
          <w:szCs w:val="22"/>
          <w:vertAlign w:val="superscript"/>
        </w:rPr>
        <w:t>1</w:t>
      </w:r>
      <w:r w:rsidRPr="00F13715">
        <w:rPr>
          <w:rFonts w:cstheme="minorHAnsi"/>
          <w:sz w:val="22"/>
          <w:szCs w:val="22"/>
        </w:rPr>
        <w:t xml:space="preserve"> is common, preventable and can both cause and potentiate neonatal brain injury. </w:t>
      </w:r>
    </w:p>
    <w:p w14:paraId="7A46F351" w14:textId="2111FEBD" w:rsidR="00F13715" w:rsidRPr="00F13715" w:rsidRDefault="00F13715" w:rsidP="00BA5E23">
      <w:pPr>
        <w:spacing w:before="60" w:after="60"/>
        <w:rPr>
          <w:rFonts w:cstheme="minorHAnsi"/>
          <w:b/>
          <w:sz w:val="22"/>
          <w:szCs w:val="22"/>
        </w:rPr>
      </w:pPr>
      <w:r w:rsidRPr="00F13715">
        <w:rPr>
          <w:rFonts w:cstheme="minorHAnsi"/>
          <w:sz w:val="22"/>
          <w:szCs w:val="22"/>
        </w:rPr>
        <w:t>This guideline provides evidence-based guidance for identification of newly born infants at risk of hypoglycaemia, clinical signs of hypoglycaemia and management of hypoglycaemia including prevention, screening and treatment in birthing environments, postnatal areas and the neonatal unit. It includes advice about escalation of care and investigations.</w:t>
      </w:r>
    </w:p>
    <w:p w14:paraId="0EF15102"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p>
    <w:p w14:paraId="5ABD6077"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bookmarkStart w:id="13" w:name="_Toc178176043"/>
      <w:bookmarkStart w:id="14" w:name="_Toc182909893"/>
      <w:r w:rsidRPr="00F13715">
        <w:rPr>
          <w:rFonts w:eastAsiaTheme="majorEastAsia" w:cstheme="minorHAnsi"/>
          <w:b/>
          <w:bCs/>
          <w:color w:val="007586" w:themeColor="text2"/>
          <w:sz w:val="44"/>
          <w:szCs w:val="32"/>
        </w:rPr>
        <w:t>Supporting resources</w:t>
      </w:r>
      <w:bookmarkEnd w:id="13"/>
      <w:bookmarkEnd w:id="14"/>
      <w:r w:rsidRPr="00F13715">
        <w:rPr>
          <w:rFonts w:eastAsiaTheme="majorEastAsia" w:cstheme="minorHAnsi"/>
          <w:b/>
          <w:bCs/>
          <w:color w:val="007586" w:themeColor="text2"/>
          <w:sz w:val="44"/>
          <w:szCs w:val="32"/>
        </w:rPr>
        <w:t xml:space="preserve"> </w:t>
      </w:r>
    </w:p>
    <w:p w14:paraId="2E2A8B8D" w14:textId="77777777" w:rsidR="00F13715" w:rsidRPr="00F13715" w:rsidRDefault="00F13715" w:rsidP="00F13715">
      <w:pPr>
        <w:rPr>
          <w:rFonts w:cstheme="minorHAnsi"/>
          <w:b/>
          <w:bCs/>
          <w:sz w:val="22"/>
          <w:szCs w:val="22"/>
        </w:rPr>
      </w:pPr>
      <w:r w:rsidRPr="00F13715">
        <w:rPr>
          <w:rFonts w:cstheme="minorHAnsi"/>
          <w:b/>
          <w:bCs/>
          <w:sz w:val="22"/>
          <w:szCs w:val="22"/>
        </w:rPr>
        <w:t xml:space="preserve">Management flowcharts </w:t>
      </w:r>
    </w:p>
    <w:p w14:paraId="31385D4A" w14:textId="77777777" w:rsidR="00F13715" w:rsidRPr="00F13715" w:rsidRDefault="00F13715" w:rsidP="00F13715">
      <w:pPr>
        <w:rPr>
          <w:rFonts w:cstheme="minorHAnsi"/>
          <w:sz w:val="22"/>
          <w:szCs w:val="22"/>
        </w:rPr>
      </w:pPr>
      <w:r w:rsidRPr="00F13715">
        <w:rPr>
          <w:rFonts w:cstheme="minorHAnsi"/>
          <w:sz w:val="22"/>
          <w:szCs w:val="22"/>
        </w:rPr>
        <w:t xml:space="preserve">To be used in conjunction with this guidance: </w:t>
      </w:r>
    </w:p>
    <w:p w14:paraId="5A5FBB25" w14:textId="77777777" w:rsidR="00F13715" w:rsidRPr="00F13715" w:rsidRDefault="00F13715" w:rsidP="00F13715">
      <w:pPr>
        <w:keepNext/>
        <w:keepLines/>
        <w:spacing w:before="280" w:after="80" w:line="240" w:lineRule="auto"/>
        <w:outlineLvl w:val="1"/>
        <w:rPr>
          <w:rFonts w:asciiTheme="majorHAnsi" w:eastAsiaTheme="majorEastAsia" w:hAnsiTheme="majorHAnsi" w:cstheme="majorBidi"/>
          <w:b/>
          <w:bCs/>
          <w:color w:val="000000" w:themeColor="text1"/>
          <w:sz w:val="26"/>
          <w:szCs w:val="26"/>
        </w:rPr>
      </w:pPr>
      <w:hyperlink w:anchor="Flowchart1" w:history="1">
        <w:bookmarkStart w:id="15" w:name="_Toc178176044"/>
        <w:bookmarkStart w:id="16" w:name="_Toc182909894"/>
        <w:r w:rsidRPr="00F13715">
          <w:rPr>
            <w:rFonts w:asciiTheme="majorHAnsi" w:eastAsiaTheme="majorEastAsia" w:hAnsiTheme="majorHAnsi" w:cstheme="minorHAnsi"/>
            <w:b/>
            <w:bCs/>
            <w:color w:val="004C97"/>
            <w:sz w:val="22"/>
            <w:szCs w:val="22"/>
            <w:u w:val="single"/>
          </w:rPr>
          <w:t>Flowchart 1 – Management of hypoglycaemia in birthing environments and postnatal wards</w:t>
        </w:r>
        <w:bookmarkEnd w:id="15"/>
        <w:bookmarkEnd w:id="16"/>
      </w:hyperlink>
    </w:p>
    <w:p w14:paraId="259B5D6C" w14:textId="77777777" w:rsidR="00F13715" w:rsidRPr="00F13715" w:rsidRDefault="00F13715" w:rsidP="00F13715">
      <w:pPr>
        <w:keepNext/>
        <w:keepLines/>
        <w:spacing w:before="280" w:after="80" w:line="240" w:lineRule="auto"/>
        <w:outlineLvl w:val="1"/>
        <w:rPr>
          <w:rFonts w:asciiTheme="majorHAnsi" w:eastAsiaTheme="majorEastAsia" w:hAnsiTheme="majorHAnsi" w:cstheme="majorBidi"/>
          <w:b/>
          <w:bCs/>
          <w:color w:val="000000" w:themeColor="text1"/>
          <w:sz w:val="26"/>
          <w:szCs w:val="26"/>
        </w:rPr>
      </w:pPr>
      <w:hyperlink w:anchor="Flowchart2" w:history="1">
        <w:bookmarkStart w:id="17" w:name="_Toc178176045"/>
        <w:bookmarkStart w:id="18" w:name="_Toc182909895"/>
        <w:r w:rsidRPr="00F13715">
          <w:rPr>
            <w:rFonts w:asciiTheme="majorHAnsi" w:eastAsiaTheme="majorEastAsia" w:hAnsiTheme="majorHAnsi" w:cstheme="minorHAnsi"/>
            <w:b/>
            <w:bCs/>
            <w:color w:val="004C97"/>
            <w:sz w:val="22"/>
            <w:szCs w:val="22"/>
            <w:u w:val="single"/>
          </w:rPr>
          <w:t>Flowchart 2 - Management of hypoglycaemia in neonatal units</w:t>
        </w:r>
        <w:bookmarkEnd w:id="17"/>
        <w:bookmarkEnd w:id="18"/>
      </w:hyperlink>
    </w:p>
    <w:p w14:paraId="545BD00D" w14:textId="77777777" w:rsidR="00F13715" w:rsidRPr="00F13715" w:rsidRDefault="00F13715" w:rsidP="00F13715">
      <w:pPr>
        <w:spacing w:before="60" w:after="60"/>
        <w:ind w:left="284"/>
        <w:rPr>
          <w:rFonts w:cstheme="minorHAnsi"/>
          <w:color w:val="000000" w:themeColor="text1"/>
        </w:rPr>
      </w:pPr>
    </w:p>
    <w:p w14:paraId="61495810" w14:textId="77777777" w:rsidR="00F13715" w:rsidRPr="00F13715" w:rsidRDefault="00F13715" w:rsidP="00F13715">
      <w:pPr>
        <w:rPr>
          <w:rFonts w:cstheme="minorHAnsi"/>
          <w:b/>
          <w:bCs/>
          <w:color w:val="C00000"/>
          <w:sz w:val="22"/>
          <w:szCs w:val="22"/>
        </w:rPr>
      </w:pPr>
      <w:r w:rsidRPr="00F13715">
        <w:rPr>
          <w:rFonts w:cstheme="minorHAnsi"/>
          <w:b/>
          <w:bCs/>
          <w:sz w:val="22"/>
          <w:szCs w:val="22"/>
        </w:rPr>
        <w:t xml:space="preserve">Parent information </w:t>
      </w:r>
    </w:p>
    <w:p w14:paraId="55C459BE" w14:textId="77777777" w:rsidR="00F13715" w:rsidRPr="00F13715" w:rsidRDefault="00F13715" w:rsidP="00F13715">
      <w:pPr>
        <w:rPr>
          <w:rFonts w:cstheme="minorHAnsi"/>
          <w:sz w:val="22"/>
          <w:szCs w:val="22"/>
        </w:rPr>
      </w:pPr>
      <w:r w:rsidRPr="00F13715">
        <w:rPr>
          <w:rFonts w:cstheme="minorHAnsi"/>
          <w:sz w:val="22"/>
          <w:szCs w:val="22"/>
        </w:rPr>
        <w:t xml:space="preserve">Safer Care Victoria recommends the Queensland Clinical Guidelines Parent Information </w:t>
      </w:r>
      <w:hyperlink r:id="rId25" w:history="1">
        <w:r w:rsidRPr="00F13715">
          <w:rPr>
            <w:rFonts w:cstheme="minorHAnsi"/>
            <w:color w:val="004C97"/>
            <w:sz w:val="22"/>
            <w:szCs w:val="22"/>
            <w:u w:val="single"/>
          </w:rPr>
          <w:t>Hypoglycaemia in newborn babies</w:t>
        </w:r>
      </w:hyperlink>
      <w:r w:rsidRPr="00F13715">
        <w:rPr>
          <w:rFonts w:cstheme="minorHAnsi"/>
          <w:sz w:val="22"/>
          <w:szCs w:val="22"/>
        </w:rPr>
        <w:t xml:space="preserve"> as a useful resource for parents and caregivers.</w:t>
      </w:r>
    </w:p>
    <w:p w14:paraId="68B3B87F" w14:textId="77777777" w:rsidR="00F13715" w:rsidRPr="00F13715" w:rsidRDefault="00F13715" w:rsidP="00F13715">
      <w:pPr>
        <w:rPr>
          <w:rFonts w:cstheme="minorHAnsi"/>
          <w:sz w:val="22"/>
          <w:szCs w:val="22"/>
        </w:rPr>
      </w:pPr>
    </w:p>
    <w:p w14:paraId="51B9BE3F" w14:textId="77777777" w:rsidR="00F13715" w:rsidRPr="00F13715" w:rsidRDefault="00F13715" w:rsidP="00F13715">
      <w:pPr>
        <w:keepNext/>
        <w:keepLines/>
        <w:suppressAutoHyphens/>
        <w:spacing w:before="0" w:after="320" w:line="240" w:lineRule="auto"/>
        <w:outlineLvl w:val="0"/>
        <w:rPr>
          <w:rFonts w:eastAsia="Times New Roman" w:cstheme="minorHAnsi"/>
          <w:b/>
          <w:bCs/>
          <w:color w:val="007586" w:themeColor="text2"/>
          <w:sz w:val="44"/>
          <w:szCs w:val="32"/>
        </w:rPr>
      </w:pPr>
      <w:bookmarkStart w:id="19" w:name="_Toc178176046"/>
      <w:bookmarkStart w:id="20" w:name="_Toc182909896"/>
      <w:r w:rsidRPr="00F13715">
        <w:rPr>
          <w:rFonts w:eastAsiaTheme="majorEastAsia" w:cstheme="minorHAnsi"/>
          <w:b/>
          <w:bCs/>
          <w:color w:val="007586" w:themeColor="text2"/>
          <w:sz w:val="44"/>
          <w:szCs w:val="32"/>
        </w:rPr>
        <w:t>Background</w:t>
      </w:r>
      <w:bookmarkEnd w:id="19"/>
      <w:bookmarkEnd w:id="20"/>
      <w:r w:rsidRPr="00F13715">
        <w:rPr>
          <w:rFonts w:eastAsiaTheme="majorEastAsia" w:cstheme="minorHAnsi"/>
          <w:b/>
          <w:bCs/>
          <w:color w:val="007586" w:themeColor="text2"/>
          <w:sz w:val="44"/>
          <w:szCs w:val="32"/>
        </w:rPr>
        <w:t xml:space="preserve"> </w:t>
      </w:r>
    </w:p>
    <w:p w14:paraId="5DC4561E" w14:textId="77777777" w:rsidR="00F13715" w:rsidRPr="00F13715" w:rsidRDefault="00F13715" w:rsidP="00F13715">
      <w:pPr>
        <w:rPr>
          <w:rFonts w:eastAsia="Times New Roman" w:cstheme="minorHAnsi"/>
          <w:sz w:val="22"/>
          <w:szCs w:val="22"/>
        </w:rPr>
      </w:pPr>
      <w:r w:rsidRPr="00F13715">
        <w:rPr>
          <w:rFonts w:eastAsia="Times New Roman" w:cstheme="minorHAnsi"/>
          <w:sz w:val="22"/>
          <w:szCs w:val="22"/>
        </w:rPr>
        <w:t xml:space="preserve">Hypoglycaemia is defined as true blood glucose (TBG) </w:t>
      </w:r>
      <w:r w:rsidRPr="00F13715">
        <w:rPr>
          <w:rFonts w:cstheme="minorHAnsi"/>
          <w:sz w:val="22"/>
          <w:szCs w:val="22"/>
        </w:rPr>
        <w:t>&lt; 2.6 mmol/L.</w:t>
      </w:r>
      <w:r w:rsidRPr="00F13715">
        <w:rPr>
          <w:rFonts w:cstheme="minorHAnsi"/>
          <w:sz w:val="22"/>
          <w:szCs w:val="22"/>
          <w:vertAlign w:val="superscript"/>
        </w:rPr>
        <w:t xml:space="preserve">1 </w:t>
      </w:r>
      <w:r w:rsidRPr="00F13715">
        <w:rPr>
          <w:rFonts w:eastAsia="Times New Roman" w:cstheme="minorHAnsi"/>
          <w:sz w:val="22"/>
          <w:szCs w:val="22"/>
        </w:rPr>
        <w:t>Although there is ongoing debate regarding the lowest threshold of blood glucose concentration that is considered safe, evidence shows that even single episodes of hypoglycaemia in the neonatal period may be associated with adverse learning outcomes,</w:t>
      </w:r>
      <w:r w:rsidRPr="00F13715">
        <w:rPr>
          <w:rFonts w:eastAsia="Times New Roman" w:cstheme="minorHAnsi"/>
          <w:sz w:val="22"/>
          <w:szCs w:val="22"/>
          <w:vertAlign w:val="superscript"/>
        </w:rPr>
        <w:t>2</w:t>
      </w:r>
      <w:r w:rsidRPr="00F13715">
        <w:rPr>
          <w:rFonts w:eastAsia="Times New Roman" w:cstheme="minorHAnsi"/>
          <w:sz w:val="22"/>
          <w:szCs w:val="22"/>
        </w:rPr>
        <w:t xml:space="preserve"> with a dose-dependent relationship between severe hypoglycaemia and impaired executive function and visual-motor outcomes.</w:t>
      </w:r>
      <w:r w:rsidRPr="00F13715">
        <w:rPr>
          <w:rFonts w:eastAsia="Times New Roman" w:cstheme="minorHAnsi"/>
          <w:sz w:val="22"/>
          <w:szCs w:val="22"/>
          <w:vertAlign w:val="superscript"/>
        </w:rPr>
        <w:t>3</w:t>
      </w:r>
      <w:r w:rsidRPr="00F13715">
        <w:rPr>
          <w:rFonts w:eastAsia="Times New Roman" w:cstheme="minorHAnsi"/>
          <w:sz w:val="22"/>
          <w:szCs w:val="22"/>
        </w:rPr>
        <w:t xml:space="preserve"> </w:t>
      </w:r>
    </w:p>
    <w:p w14:paraId="5028B7EE" w14:textId="77777777" w:rsidR="00F13715" w:rsidRPr="00F13715" w:rsidRDefault="00F13715" w:rsidP="00F13715">
      <w:pPr>
        <w:rPr>
          <w:rFonts w:eastAsia="Times New Roman" w:cstheme="minorHAnsi"/>
          <w:sz w:val="22"/>
          <w:szCs w:val="22"/>
        </w:rPr>
      </w:pPr>
      <w:r w:rsidRPr="00F13715">
        <w:rPr>
          <w:rFonts w:eastAsia="Times New Roman" w:cstheme="minorHAnsi"/>
          <w:sz w:val="22"/>
          <w:szCs w:val="22"/>
        </w:rPr>
        <w:lastRenderedPageBreak/>
        <w:t>In well, term infants, the normal post-partum blood glucose nadir occurs at approximately 90 minutes, with mean minimum blood glucose concentrations of 3.3 mmol/L.</w:t>
      </w:r>
      <w:r w:rsidRPr="00F13715">
        <w:rPr>
          <w:rFonts w:eastAsia="Times New Roman" w:cstheme="minorHAnsi"/>
          <w:sz w:val="22"/>
          <w:szCs w:val="22"/>
          <w:vertAlign w:val="superscript"/>
        </w:rPr>
        <w:t>4</w:t>
      </w:r>
      <w:r w:rsidRPr="00F13715">
        <w:rPr>
          <w:rFonts w:eastAsia="Times New Roman" w:cstheme="minorHAnsi"/>
          <w:sz w:val="22"/>
          <w:szCs w:val="22"/>
        </w:rPr>
        <w:t xml:space="preserve"> </w:t>
      </w:r>
      <w:bookmarkStart w:id="21" w:name="_Hlk87620443"/>
    </w:p>
    <w:p w14:paraId="4525090A" w14:textId="77777777" w:rsidR="00F13715" w:rsidRPr="00F13715" w:rsidRDefault="00F13715" w:rsidP="00F13715">
      <w:pPr>
        <w:rPr>
          <w:rFonts w:eastAsia="Times New Roman" w:cstheme="minorHAnsi"/>
          <w:sz w:val="22"/>
          <w:szCs w:val="22"/>
        </w:rPr>
      </w:pPr>
      <w:r w:rsidRPr="00F13715">
        <w:rPr>
          <w:rFonts w:eastAsia="Times New Roman" w:cstheme="minorHAnsi"/>
          <w:sz w:val="22"/>
          <w:szCs w:val="22"/>
        </w:rPr>
        <w:t>The normal post-birth blood glucose nadir occurs earlier with decreasing gestational age</w:t>
      </w:r>
      <w:bookmarkEnd w:id="21"/>
      <w:r w:rsidRPr="00F13715">
        <w:rPr>
          <w:rFonts w:eastAsia="Times New Roman" w:cstheme="minorHAnsi"/>
          <w:sz w:val="22"/>
          <w:szCs w:val="22"/>
        </w:rPr>
        <w:t>.</w:t>
      </w:r>
      <w:r w:rsidRPr="00F13715">
        <w:rPr>
          <w:rFonts w:eastAsia="Times New Roman" w:cstheme="minorHAnsi"/>
          <w:sz w:val="22"/>
          <w:szCs w:val="22"/>
          <w:vertAlign w:val="superscript"/>
        </w:rPr>
        <w:t>2</w:t>
      </w:r>
      <w:r w:rsidRPr="00F13715">
        <w:rPr>
          <w:rFonts w:eastAsia="Times New Roman" w:cstheme="minorHAnsi"/>
          <w:sz w:val="22"/>
          <w:szCs w:val="22"/>
        </w:rPr>
        <w:t xml:space="preserve"> For infants who are admitted to a neonatal unit with multiple risk factors for hypoglycaemia, and those who are in a neonatal unit due to other illnesses, hypoglycaemia may be early and severe. </w:t>
      </w:r>
    </w:p>
    <w:p w14:paraId="38D8ADD5" w14:textId="77777777" w:rsidR="00F13715" w:rsidRPr="00F13715" w:rsidRDefault="00F13715" w:rsidP="00F13715">
      <w:pPr>
        <w:rPr>
          <w:rFonts w:eastAsia="Times New Roman" w:cstheme="minorHAnsi"/>
          <w:sz w:val="22"/>
          <w:szCs w:val="22"/>
        </w:rPr>
      </w:pPr>
      <w:r w:rsidRPr="00F13715">
        <w:rPr>
          <w:rFonts w:eastAsia="Times New Roman" w:cstheme="minorHAnsi"/>
          <w:sz w:val="22"/>
          <w:szCs w:val="22"/>
        </w:rPr>
        <w:t>Currently, intermittent TBG monitoring is the only practical method to screen babies for hypoglycaemia but may miss up to 25% of hypoglycaemic episodes in at risk infants.</w:t>
      </w:r>
      <w:r w:rsidRPr="00F13715">
        <w:rPr>
          <w:rFonts w:eastAsia="Times New Roman" w:cstheme="minorHAnsi"/>
          <w:sz w:val="22"/>
          <w:szCs w:val="22"/>
          <w:vertAlign w:val="superscript"/>
        </w:rPr>
        <w:t>5</w:t>
      </w:r>
      <w:r w:rsidRPr="00F13715">
        <w:rPr>
          <w:rFonts w:eastAsia="Times New Roman" w:cstheme="minorHAnsi"/>
          <w:sz w:val="22"/>
          <w:szCs w:val="22"/>
        </w:rPr>
        <w:t xml:space="preserve"> The use of an enzymatic method to evaluate all blood glucose concentrations reduces the number of false-positive and false-negative results for hypoglycaemia and decreases the number of repeat heel-prick tests required.</w:t>
      </w:r>
      <w:r w:rsidRPr="00F13715">
        <w:rPr>
          <w:rFonts w:eastAsia="Times New Roman" w:cstheme="minorHAnsi"/>
          <w:sz w:val="22"/>
          <w:szCs w:val="22"/>
          <w:vertAlign w:val="superscript"/>
        </w:rPr>
        <w:t>6</w:t>
      </w:r>
      <w:r w:rsidRPr="00F13715">
        <w:rPr>
          <w:rFonts w:eastAsia="Times New Roman" w:cstheme="minorHAnsi"/>
          <w:sz w:val="22"/>
          <w:szCs w:val="22"/>
        </w:rPr>
        <w:t xml:space="preserve"> TBG should be used in preference to a BSL when available, and for ongoing screening in all infants who have had a BSL &lt; 2.6 mmol/L. </w:t>
      </w:r>
    </w:p>
    <w:p w14:paraId="6B919F1D" w14:textId="77777777" w:rsidR="00F13715" w:rsidRPr="00F13715" w:rsidRDefault="00F13715" w:rsidP="00F13715">
      <w:pPr>
        <w:rPr>
          <w:rFonts w:eastAsia="Times New Roman" w:cstheme="minorHAnsi"/>
          <w:sz w:val="22"/>
          <w:szCs w:val="22"/>
          <w:vertAlign w:val="superscript"/>
        </w:rPr>
      </w:pPr>
      <w:r w:rsidRPr="00F13715">
        <w:rPr>
          <w:rFonts w:eastAsia="Times New Roman" w:cstheme="minorHAnsi"/>
          <w:sz w:val="22"/>
          <w:szCs w:val="22"/>
        </w:rPr>
        <w:t>Most cases of neonatal hypoglycaemia are transient, related to adaptive metabolic transition from foetal to neonatal life.</w:t>
      </w:r>
      <w:r w:rsidRPr="00F13715">
        <w:rPr>
          <w:rFonts w:eastAsia="Times New Roman" w:cstheme="minorHAnsi"/>
          <w:sz w:val="22"/>
          <w:szCs w:val="22"/>
          <w:vertAlign w:val="superscript"/>
        </w:rPr>
        <w:t>7</w:t>
      </w:r>
    </w:p>
    <w:p w14:paraId="4C921A77"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bookmarkStart w:id="22" w:name="_Toc178176047"/>
      <w:bookmarkStart w:id="23" w:name="_Toc182909897"/>
      <w:r w:rsidRPr="00F13715">
        <w:rPr>
          <w:rFonts w:eastAsiaTheme="majorEastAsia" w:cstheme="minorHAnsi"/>
          <w:b/>
          <w:bCs/>
          <w:color w:val="007586" w:themeColor="text2"/>
          <w:sz w:val="44"/>
          <w:szCs w:val="32"/>
        </w:rPr>
        <w:t>Assessment</w:t>
      </w:r>
      <w:bookmarkEnd w:id="22"/>
      <w:bookmarkEnd w:id="23"/>
    </w:p>
    <w:p w14:paraId="1C0E15AF" w14:textId="77777777" w:rsidR="00F13715" w:rsidRPr="00F13715" w:rsidRDefault="00F13715" w:rsidP="00F13715">
      <w:pPr>
        <w:rPr>
          <w:b/>
          <w:bCs/>
          <w:sz w:val="22"/>
          <w:szCs w:val="22"/>
        </w:rPr>
      </w:pPr>
      <w:bookmarkStart w:id="24" w:name="_Risk_factors"/>
      <w:bookmarkEnd w:id="24"/>
      <w:r w:rsidRPr="00F13715">
        <w:rPr>
          <w:b/>
          <w:bCs/>
          <w:sz w:val="22"/>
          <w:szCs w:val="22"/>
        </w:rPr>
        <w:t>Risk factors</w:t>
      </w:r>
      <w:r w:rsidRPr="00F13715">
        <w:rPr>
          <w:b/>
          <w:bCs/>
          <w:sz w:val="22"/>
          <w:szCs w:val="22"/>
          <w:vertAlign w:val="superscript"/>
        </w:rPr>
        <w:t xml:space="preserve"> </w:t>
      </w:r>
    </w:p>
    <w:p w14:paraId="636294DE" w14:textId="77777777" w:rsidR="00F13715" w:rsidRPr="00F13715" w:rsidRDefault="00F13715" w:rsidP="00F13715">
      <w:pPr>
        <w:spacing w:before="60" w:after="60"/>
        <w:ind w:left="284" w:hanging="284"/>
        <w:rPr>
          <w:rFonts w:eastAsia="Times New Roman" w:cstheme="minorHAnsi"/>
          <w:sz w:val="22"/>
          <w:szCs w:val="22"/>
        </w:rPr>
      </w:pPr>
      <w:r w:rsidRPr="00F13715">
        <w:rPr>
          <w:rFonts w:eastAsia="Times New Roman" w:cstheme="minorHAnsi"/>
          <w:sz w:val="22"/>
          <w:szCs w:val="22"/>
        </w:rPr>
        <w:t xml:space="preserve">Infants who have one or more of the following </w:t>
      </w:r>
      <w:r w:rsidRPr="00F13715">
        <w:rPr>
          <w:rFonts w:eastAsia="Times New Roman" w:cstheme="minorHAnsi"/>
          <w:b/>
          <w:bCs/>
          <w:sz w:val="22"/>
          <w:szCs w:val="22"/>
        </w:rPr>
        <w:t>risk factors</w:t>
      </w:r>
      <w:r w:rsidRPr="00F13715">
        <w:rPr>
          <w:rFonts w:eastAsia="Times New Roman" w:cstheme="minorHAnsi"/>
          <w:sz w:val="22"/>
          <w:szCs w:val="22"/>
        </w:rPr>
        <w:t xml:space="preserve"> require screening for hypoglycaemia</w:t>
      </w:r>
      <w:r w:rsidRPr="00F13715">
        <w:rPr>
          <w:rFonts w:eastAsia="Times New Roman" w:cstheme="minorHAnsi"/>
          <w:sz w:val="22"/>
          <w:szCs w:val="22"/>
          <w:vertAlign w:val="superscript"/>
        </w:rPr>
        <w:t>8</w:t>
      </w:r>
      <w:r w:rsidRPr="00F13715">
        <w:rPr>
          <w:rFonts w:eastAsia="Times New Roman" w:cstheme="minorHAnsi"/>
          <w:sz w:val="22"/>
          <w:szCs w:val="22"/>
        </w:rPr>
        <w:t xml:space="preserve">: </w:t>
      </w:r>
    </w:p>
    <w:p w14:paraId="57F5EEA0" w14:textId="77777777" w:rsidR="00F13715" w:rsidRPr="00F13715" w:rsidRDefault="00F13715" w:rsidP="00E4073B">
      <w:pPr>
        <w:pStyle w:val="SCVbullet1"/>
        <w:rPr>
          <w:rFonts w:eastAsia="Times New Roman"/>
        </w:rPr>
      </w:pPr>
      <w:r w:rsidRPr="00F13715">
        <w:rPr>
          <w:rFonts w:eastAsia="Times New Roman"/>
        </w:rPr>
        <w:t xml:space="preserve">all preterm infants (&lt; 37 weeks’ gestation) </w:t>
      </w:r>
    </w:p>
    <w:p w14:paraId="10D05222" w14:textId="77777777" w:rsidR="00F13715" w:rsidRPr="00F13715" w:rsidRDefault="00F13715" w:rsidP="00E4073B">
      <w:pPr>
        <w:pStyle w:val="SCVbullet1"/>
        <w:rPr>
          <w:rFonts w:eastAsia="Times New Roman"/>
        </w:rPr>
      </w:pPr>
      <w:r w:rsidRPr="00F13715">
        <w:rPr>
          <w:rFonts w:eastAsia="Times New Roman"/>
        </w:rPr>
        <w:t xml:space="preserve">all low birthweight infants, (&lt; 2,500g) regardless of gestation </w:t>
      </w:r>
    </w:p>
    <w:p w14:paraId="22EBAC4F" w14:textId="77777777" w:rsidR="00F13715" w:rsidRPr="00F13715" w:rsidRDefault="00F13715" w:rsidP="00E4073B">
      <w:pPr>
        <w:pStyle w:val="SCVbullet1"/>
        <w:rPr>
          <w:rFonts w:eastAsia="Times New Roman"/>
        </w:rPr>
      </w:pPr>
      <w:r w:rsidRPr="00F13715">
        <w:rPr>
          <w:rFonts w:eastAsia="Times New Roman"/>
        </w:rPr>
        <w:t>small for gestational age (SGA) infants (&lt; 10th centile on growth chart*)</w:t>
      </w:r>
    </w:p>
    <w:p w14:paraId="463E10E4" w14:textId="77777777" w:rsidR="00F13715" w:rsidRPr="00F13715" w:rsidRDefault="00F13715" w:rsidP="00E4073B">
      <w:pPr>
        <w:pStyle w:val="SCVbullet1"/>
        <w:rPr>
          <w:rFonts w:eastAsia="Times New Roman"/>
        </w:rPr>
      </w:pPr>
      <w:proofErr w:type="spellStart"/>
      <w:r w:rsidRPr="00F13715">
        <w:rPr>
          <w:rFonts w:eastAsia="Times New Roman"/>
        </w:rPr>
        <w:t>macrosomic</w:t>
      </w:r>
      <w:proofErr w:type="spellEnd"/>
      <w:r w:rsidRPr="00F13715">
        <w:rPr>
          <w:rFonts w:eastAsia="Times New Roman"/>
        </w:rPr>
        <w:t xml:space="preserve"> or large for gestational age infants (&gt; 90th centile on growth chart)*  </w:t>
      </w:r>
    </w:p>
    <w:p w14:paraId="561ACB86" w14:textId="77777777" w:rsidR="00F13715" w:rsidRPr="00F13715" w:rsidRDefault="00F13715" w:rsidP="00E4073B">
      <w:pPr>
        <w:pStyle w:val="SCVbullet1"/>
        <w:rPr>
          <w:rFonts w:eastAsia="Times New Roman"/>
        </w:rPr>
      </w:pPr>
      <w:r w:rsidRPr="00F13715">
        <w:rPr>
          <w:rFonts w:eastAsia="Times New Roman"/>
        </w:rPr>
        <w:t xml:space="preserve">infants of mothers with type 1, type 2 or gestational diabetes </w:t>
      </w:r>
    </w:p>
    <w:p w14:paraId="5CFEC592" w14:textId="77777777" w:rsidR="00F13715" w:rsidRPr="00F13715" w:rsidRDefault="00F13715" w:rsidP="00E4073B">
      <w:pPr>
        <w:pStyle w:val="SCVbullet1"/>
        <w:rPr>
          <w:rFonts w:eastAsia="Times New Roman"/>
        </w:rPr>
      </w:pPr>
      <w:r w:rsidRPr="00F13715">
        <w:rPr>
          <w:rFonts w:eastAsia="Times New Roman"/>
        </w:rPr>
        <w:t xml:space="preserve">infants of mothers treated with maintenance β-blockers </w:t>
      </w:r>
    </w:p>
    <w:p w14:paraId="34EE4F7A" w14:textId="77777777" w:rsidR="00F13715" w:rsidRPr="00F13715" w:rsidRDefault="00F13715" w:rsidP="00E4073B">
      <w:pPr>
        <w:pStyle w:val="SCVbullet1"/>
        <w:rPr>
          <w:rFonts w:eastAsia="Times New Roman"/>
        </w:rPr>
      </w:pPr>
      <w:r w:rsidRPr="00F13715">
        <w:rPr>
          <w:rFonts w:eastAsia="Times New Roman"/>
        </w:rPr>
        <w:t xml:space="preserve">infants with </w:t>
      </w:r>
      <w:hyperlink w:anchor="_Clinical_signs_of" w:history="1">
        <w:r w:rsidRPr="00F13715">
          <w:rPr>
            <w:rFonts w:eastAsia="Times New Roman"/>
          </w:rPr>
          <w:t>clinical signs</w:t>
        </w:r>
      </w:hyperlink>
      <w:r w:rsidRPr="00F13715">
        <w:rPr>
          <w:rFonts w:eastAsia="Times New Roman"/>
        </w:rPr>
        <w:t xml:space="preserve"> of hypoglycaemia (see below)</w:t>
      </w:r>
    </w:p>
    <w:p w14:paraId="356BC234" w14:textId="77777777" w:rsidR="00F13715" w:rsidRPr="00F13715" w:rsidRDefault="00F13715" w:rsidP="00E4073B">
      <w:pPr>
        <w:pStyle w:val="SCVbullet1"/>
        <w:rPr>
          <w:rFonts w:eastAsia="Times New Roman"/>
        </w:rPr>
      </w:pPr>
      <w:r w:rsidRPr="00F13715">
        <w:rPr>
          <w:rFonts w:eastAsia="Times New Roman"/>
        </w:rPr>
        <w:t xml:space="preserve">infants with poor feeding or limited/no enteral intake </w:t>
      </w:r>
    </w:p>
    <w:p w14:paraId="0206184A" w14:textId="77777777" w:rsidR="00F13715" w:rsidRPr="00F13715" w:rsidRDefault="00F13715" w:rsidP="00E4073B">
      <w:pPr>
        <w:pStyle w:val="SCVbullet1"/>
        <w:rPr>
          <w:rFonts w:eastAsia="Times New Roman"/>
        </w:rPr>
      </w:pPr>
      <w:r w:rsidRPr="00F13715">
        <w:rPr>
          <w:rFonts w:eastAsia="Times New Roman"/>
        </w:rPr>
        <w:t xml:space="preserve">unwell infants (including temperature instability, respiratory distress, birth asphyxia, sepsis, polycythaemia). </w:t>
      </w:r>
    </w:p>
    <w:p w14:paraId="3EDE88BA" w14:textId="77777777" w:rsidR="00F13715" w:rsidRPr="00F13715" w:rsidRDefault="00F13715" w:rsidP="00F13715">
      <w:pPr>
        <w:spacing w:line="240" w:lineRule="auto"/>
        <w:rPr>
          <w:rFonts w:eastAsia="Times New Roman"/>
          <w:sz w:val="22"/>
          <w:szCs w:val="22"/>
          <w:vertAlign w:val="superscript"/>
        </w:rPr>
      </w:pPr>
      <w:r w:rsidRPr="00F13715">
        <w:rPr>
          <w:sz w:val="22"/>
          <w:szCs w:val="22"/>
        </w:rPr>
        <w:t xml:space="preserve">Note: *Growth chart examples include: </w:t>
      </w:r>
      <w:hyperlink r:id="rId26">
        <w:r w:rsidRPr="00F13715">
          <w:rPr>
            <w:color w:val="004C97"/>
            <w:sz w:val="22"/>
            <w:szCs w:val="22"/>
            <w:u w:val="single"/>
          </w:rPr>
          <w:t>WHO Growth Charts</w:t>
        </w:r>
      </w:hyperlink>
      <w:r w:rsidRPr="00F13715">
        <w:rPr>
          <w:sz w:val="22"/>
          <w:szCs w:val="22"/>
          <w:vertAlign w:val="superscript"/>
        </w:rPr>
        <w:t>9</w:t>
      </w:r>
      <w:r w:rsidRPr="00F13715">
        <w:rPr>
          <w:sz w:val="22"/>
          <w:szCs w:val="22"/>
        </w:rPr>
        <w:t xml:space="preserve">(universally adopted in 2012 by all Australian states and territories for infants 0 – 2 years age). Alternatives are </w:t>
      </w:r>
      <w:hyperlink r:id="rId27">
        <w:r w:rsidRPr="00F13715">
          <w:rPr>
            <w:color w:val="004C97"/>
            <w:sz w:val="22"/>
            <w:szCs w:val="22"/>
            <w:u w:val="single"/>
          </w:rPr>
          <w:t>Fenton Growth Charts</w:t>
        </w:r>
      </w:hyperlink>
      <w:r w:rsidRPr="00F13715">
        <w:rPr>
          <w:sz w:val="22"/>
          <w:szCs w:val="22"/>
        </w:rPr>
        <w:t xml:space="preserve"> </w:t>
      </w:r>
      <w:r w:rsidRPr="00F13715">
        <w:rPr>
          <w:sz w:val="22"/>
          <w:szCs w:val="22"/>
          <w:vertAlign w:val="superscript"/>
        </w:rPr>
        <w:t>10</w:t>
      </w:r>
      <w:r w:rsidRPr="00F13715">
        <w:rPr>
          <w:sz w:val="22"/>
          <w:szCs w:val="22"/>
        </w:rPr>
        <w:t xml:space="preserve">and </w:t>
      </w:r>
      <w:hyperlink r:id="rId28" w:anchor="ns1">
        <w:r w:rsidRPr="00F13715">
          <w:rPr>
            <w:color w:val="004C97"/>
            <w:sz w:val="22"/>
            <w:szCs w:val="22"/>
            <w:u w:val="single"/>
          </w:rPr>
          <w:t>Intergrowth 21</w:t>
        </w:r>
      </w:hyperlink>
      <w:r w:rsidRPr="00F13715">
        <w:rPr>
          <w:rFonts w:eastAsia="Times New Roman"/>
          <w:sz w:val="22"/>
          <w:szCs w:val="22"/>
          <w:vertAlign w:val="superscript"/>
        </w:rPr>
        <w:t>11</w:t>
      </w:r>
      <w:r w:rsidRPr="00F13715">
        <w:rPr>
          <w:rFonts w:eastAsia="Times New Roman"/>
          <w:sz w:val="22"/>
          <w:szCs w:val="22"/>
        </w:rPr>
        <w:t xml:space="preserve"> In 2020 new Australian birthweight centiles were published in Medical Journal of Australia based on population data collected between 2004 – 2013 by Australian Institute of Health and Welfare National Perinatal Data Unit.</w:t>
      </w:r>
      <w:r w:rsidRPr="00F13715">
        <w:rPr>
          <w:rFonts w:eastAsia="Times New Roman"/>
          <w:sz w:val="22"/>
          <w:szCs w:val="22"/>
          <w:vertAlign w:val="superscript"/>
        </w:rPr>
        <w:t>12</w:t>
      </w:r>
    </w:p>
    <w:p w14:paraId="7A302A1A" w14:textId="77777777" w:rsidR="00F13715" w:rsidRPr="00F13715" w:rsidRDefault="00F13715" w:rsidP="00F13715">
      <w:pPr>
        <w:keepNext/>
        <w:keepLines/>
        <w:spacing w:before="240" w:after="80" w:line="240" w:lineRule="auto"/>
        <w:outlineLvl w:val="2"/>
        <w:rPr>
          <w:rFonts w:eastAsiaTheme="majorEastAsia" w:cstheme="minorHAnsi"/>
          <w:b/>
          <w:bCs/>
          <w:color w:val="007586" w:themeColor="text2"/>
          <w:sz w:val="24"/>
          <w:szCs w:val="22"/>
        </w:rPr>
      </w:pPr>
    </w:p>
    <w:p w14:paraId="24CC12D2"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bookmarkStart w:id="25" w:name="_Toc178176048"/>
      <w:bookmarkStart w:id="26" w:name="_Toc182909898"/>
      <w:r w:rsidRPr="00F13715">
        <w:rPr>
          <w:rFonts w:eastAsiaTheme="majorEastAsia" w:cstheme="minorHAnsi"/>
          <w:b/>
          <w:bCs/>
          <w:color w:val="007586" w:themeColor="text2"/>
          <w:sz w:val="44"/>
          <w:szCs w:val="32"/>
        </w:rPr>
        <w:t>History and examination</w:t>
      </w:r>
      <w:bookmarkEnd w:id="25"/>
      <w:bookmarkEnd w:id="26"/>
    </w:p>
    <w:p w14:paraId="43FAC101" w14:textId="77777777" w:rsidR="00F13715" w:rsidRPr="00F13715" w:rsidRDefault="00F13715" w:rsidP="00F13715">
      <w:pPr>
        <w:rPr>
          <w:b/>
          <w:bCs/>
          <w:sz w:val="22"/>
          <w:szCs w:val="22"/>
        </w:rPr>
      </w:pPr>
      <w:bookmarkStart w:id="27" w:name="_Clinical_signs_of"/>
      <w:bookmarkEnd w:id="27"/>
      <w:r w:rsidRPr="00F13715">
        <w:rPr>
          <w:b/>
          <w:bCs/>
          <w:sz w:val="22"/>
          <w:szCs w:val="22"/>
        </w:rPr>
        <w:t>Clinical signs of hypoglycaemia</w:t>
      </w:r>
    </w:p>
    <w:p w14:paraId="05CB1E7B" w14:textId="77777777" w:rsidR="00F13715" w:rsidRPr="00F13715" w:rsidRDefault="00F13715" w:rsidP="00F13715">
      <w:pPr>
        <w:rPr>
          <w:rFonts w:eastAsia="Times New Roman" w:cstheme="minorHAnsi"/>
          <w:sz w:val="22"/>
          <w:szCs w:val="22"/>
        </w:rPr>
      </w:pPr>
      <w:r w:rsidRPr="00F13715">
        <w:rPr>
          <w:rFonts w:eastAsia="Times New Roman" w:cstheme="minorHAnsi"/>
          <w:sz w:val="22"/>
          <w:szCs w:val="22"/>
        </w:rPr>
        <w:t>Most infants with hypoglycaemia have no clinical signs.</w:t>
      </w:r>
      <w:r w:rsidRPr="00F13715">
        <w:rPr>
          <w:rFonts w:eastAsia="Times New Roman" w:cstheme="minorHAnsi"/>
          <w:sz w:val="22"/>
          <w:szCs w:val="22"/>
          <w:vertAlign w:val="superscript"/>
        </w:rPr>
        <w:t>2</w:t>
      </w:r>
      <w:r w:rsidRPr="00F13715">
        <w:rPr>
          <w:rFonts w:eastAsia="Times New Roman" w:cstheme="minorHAnsi"/>
          <w:sz w:val="22"/>
          <w:szCs w:val="22"/>
        </w:rPr>
        <w:t xml:space="preserve"> </w:t>
      </w:r>
    </w:p>
    <w:p w14:paraId="5C5D035D" w14:textId="77777777" w:rsidR="00F13715" w:rsidRPr="00F13715" w:rsidRDefault="00F13715" w:rsidP="00F13715">
      <w:pPr>
        <w:spacing w:before="60" w:after="60"/>
        <w:rPr>
          <w:sz w:val="22"/>
          <w:szCs w:val="22"/>
          <w:vertAlign w:val="superscript"/>
        </w:rPr>
      </w:pPr>
      <w:r w:rsidRPr="00F13715">
        <w:rPr>
          <w:sz w:val="22"/>
          <w:szCs w:val="22"/>
        </w:rPr>
        <w:lastRenderedPageBreak/>
        <w:t>Clinical signs that suggest clinically significant hypoglycaemia are non-specific and may include any one or more of the following:</w:t>
      </w:r>
      <w:r w:rsidRPr="00F13715">
        <w:rPr>
          <w:sz w:val="22"/>
          <w:szCs w:val="22"/>
          <w:vertAlign w:val="superscript"/>
        </w:rPr>
        <w:t>13</w:t>
      </w:r>
    </w:p>
    <w:p w14:paraId="7756E6D7" w14:textId="77777777" w:rsidR="00F13715" w:rsidRPr="00F13715" w:rsidRDefault="00F13715" w:rsidP="00D53EC8">
      <w:pPr>
        <w:pStyle w:val="SCVbullet1"/>
      </w:pPr>
      <w:r w:rsidRPr="00F13715">
        <w:t xml:space="preserve">jitteriness </w:t>
      </w:r>
    </w:p>
    <w:p w14:paraId="5BE2C110" w14:textId="77777777" w:rsidR="00F13715" w:rsidRPr="00F13715" w:rsidRDefault="00F13715" w:rsidP="00D53EC8">
      <w:pPr>
        <w:pStyle w:val="SCVbullet1"/>
      </w:pPr>
      <w:r w:rsidRPr="00F13715">
        <w:t xml:space="preserve">irritability </w:t>
      </w:r>
    </w:p>
    <w:p w14:paraId="25155F80" w14:textId="77777777" w:rsidR="00F13715" w:rsidRPr="00F13715" w:rsidRDefault="00F13715" w:rsidP="00D53EC8">
      <w:pPr>
        <w:pStyle w:val="SCVbullet1"/>
      </w:pPr>
      <w:r w:rsidRPr="00F13715">
        <w:t xml:space="preserve">high pitched cry </w:t>
      </w:r>
    </w:p>
    <w:p w14:paraId="3FFD7F6D" w14:textId="77777777" w:rsidR="00F13715" w:rsidRPr="00F13715" w:rsidRDefault="00F13715" w:rsidP="00D53EC8">
      <w:pPr>
        <w:pStyle w:val="SCVbullet1"/>
      </w:pPr>
      <w:r w:rsidRPr="00F13715">
        <w:t xml:space="preserve">cyanotic episodes </w:t>
      </w:r>
    </w:p>
    <w:p w14:paraId="7B0E4ED6" w14:textId="77777777" w:rsidR="00F13715" w:rsidRPr="00F13715" w:rsidRDefault="00F13715" w:rsidP="00D53EC8">
      <w:pPr>
        <w:pStyle w:val="SCVbullet1"/>
      </w:pPr>
      <w:r w:rsidRPr="00F13715">
        <w:t xml:space="preserve">apnoea </w:t>
      </w:r>
    </w:p>
    <w:p w14:paraId="6EF36A91" w14:textId="77777777" w:rsidR="00F13715" w:rsidRPr="00F13715" w:rsidRDefault="00F13715" w:rsidP="00D53EC8">
      <w:pPr>
        <w:pStyle w:val="SCVbullet1"/>
      </w:pPr>
      <w:r w:rsidRPr="00F13715">
        <w:t xml:space="preserve">seizures </w:t>
      </w:r>
    </w:p>
    <w:p w14:paraId="0B4C1C37" w14:textId="77777777" w:rsidR="00F13715" w:rsidRPr="00F13715" w:rsidRDefault="00F13715" w:rsidP="00D53EC8">
      <w:pPr>
        <w:pStyle w:val="SCVbullet1"/>
      </w:pPr>
      <w:r w:rsidRPr="00F13715">
        <w:t xml:space="preserve">lethargy </w:t>
      </w:r>
    </w:p>
    <w:p w14:paraId="01E30DE0" w14:textId="77777777" w:rsidR="00F13715" w:rsidRPr="00F13715" w:rsidRDefault="00F13715" w:rsidP="00D53EC8">
      <w:pPr>
        <w:pStyle w:val="SCVbullet1"/>
      </w:pPr>
      <w:r w:rsidRPr="00F13715">
        <w:t xml:space="preserve">hypothermia </w:t>
      </w:r>
    </w:p>
    <w:p w14:paraId="7E97FE12" w14:textId="77777777" w:rsidR="00F13715" w:rsidRPr="00F13715" w:rsidRDefault="00F13715" w:rsidP="00D53EC8">
      <w:pPr>
        <w:pStyle w:val="SCVbullet1"/>
      </w:pPr>
      <w:r w:rsidRPr="00F13715">
        <w:t xml:space="preserve">hypotonia </w:t>
      </w:r>
    </w:p>
    <w:p w14:paraId="27FB057C" w14:textId="77777777" w:rsidR="00F13715" w:rsidRPr="00F13715" w:rsidRDefault="00F13715" w:rsidP="00D53EC8">
      <w:pPr>
        <w:pStyle w:val="SCVbullet1"/>
      </w:pPr>
      <w:r w:rsidRPr="00F13715">
        <w:t xml:space="preserve">altered/poor feeding. </w:t>
      </w:r>
    </w:p>
    <w:p w14:paraId="640E23B6" w14:textId="77777777" w:rsidR="00F13715" w:rsidRPr="00F13715" w:rsidRDefault="00F13715" w:rsidP="00064208">
      <w:pPr>
        <w:spacing w:before="60" w:after="60"/>
        <w:rPr>
          <w:rFonts w:eastAsia="Times New Roman" w:cstheme="minorHAnsi"/>
          <w:sz w:val="22"/>
          <w:szCs w:val="22"/>
        </w:rPr>
      </w:pPr>
    </w:p>
    <w:p w14:paraId="0D7CE9C4"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bookmarkStart w:id="28" w:name="_Toc178176049"/>
      <w:bookmarkStart w:id="29" w:name="_Toc182909899"/>
      <w:r w:rsidRPr="00F13715">
        <w:rPr>
          <w:rFonts w:eastAsiaTheme="majorEastAsia" w:cstheme="minorHAnsi"/>
          <w:b/>
          <w:bCs/>
          <w:color w:val="007586" w:themeColor="text2"/>
          <w:sz w:val="44"/>
          <w:szCs w:val="32"/>
        </w:rPr>
        <w:t>Management</w:t>
      </w:r>
      <w:bookmarkEnd w:id="28"/>
      <w:bookmarkEnd w:id="29"/>
      <w:r w:rsidRPr="00F13715">
        <w:rPr>
          <w:rFonts w:eastAsiaTheme="majorEastAsia" w:cstheme="minorHAnsi"/>
          <w:b/>
          <w:bCs/>
          <w:color w:val="007586" w:themeColor="text2"/>
          <w:sz w:val="44"/>
          <w:szCs w:val="32"/>
        </w:rPr>
        <w:t xml:space="preserve"> </w:t>
      </w:r>
    </w:p>
    <w:p w14:paraId="0C20C638" w14:textId="77777777" w:rsidR="00F13715" w:rsidRPr="00F13715" w:rsidRDefault="00F13715" w:rsidP="00F13715">
      <w:pPr>
        <w:spacing w:after="0" w:line="240" w:lineRule="auto"/>
        <w:textAlignment w:val="baseline"/>
        <w:rPr>
          <w:rFonts w:eastAsia="Times New Roman" w:cstheme="minorHAnsi"/>
          <w:sz w:val="22"/>
          <w:szCs w:val="22"/>
        </w:rPr>
      </w:pPr>
      <w:r w:rsidRPr="00F13715">
        <w:rPr>
          <w:rFonts w:eastAsia="Times New Roman" w:cstheme="minorHAnsi"/>
          <w:sz w:val="22"/>
          <w:szCs w:val="22"/>
        </w:rPr>
        <w:t xml:space="preserve">Consider </w:t>
      </w:r>
      <w:hyperlink r:id="rId29" w:history="1">
        <w:r w:rsidRPr="00F13715">
          <w:rPr>
            <w:rFonts w:eastAsia="Times New Roman" w:cstheme="minorHAnsi"/>
            <w:color w:val="004C97"/>
            <w:sz w:val="22"/>
            <w:szCs w:val="22"/>
            <w:u w:val="single"/>
          </w:rPr>
          <w:t>sepsis</w:t>
        </w:r>
      </w:hyperlink>
      <w:r w:rsidRPr="00F13715">
        <w:rPr>
          <w:rFonts w:eastAsia="Times New Roman" w:cstheme="minorHAnsi"/>
          <w:sz w:val="22"/>
          <w:szCs w:val="22"/>
        </w:rPr>
        <w:t xml:space="preserve"> as a cause of hypoglycaemia.</w:t>
      </w:r>
    </w:p>
    <w:p w14:paraId="606106CB" w14:textId="77777777" w:rsidR="00F13715" w:rsidRPr="00F13715" w:rsidRDefault="00F13715" w:rsidP="00F13715">
      <w:pPr>
        <w:spacing w:after="0" w:line="240" w:lineRule="auto"/>
        <w:textAlignment w:val="baseline"/>
        <w:rPr>
          <w:rFonts w:eastAsia="Times New Roman" w:cstheme="minorHAnsi"/>
          <w:sz w:val="22"/>
          <w:szCs w:val="22"/>
        </w:rPr>
      </w:pPr>
    </w:p>
    <w:p w14:paraId="054E7949"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18"/>
          <w:szCs w:val="18"/>
        </w:rPr>
      </w:pPr>
      <w:bookmarkStart w:id="30" w:name="_Toc178176050"/>
      <w:bookmarkStart w:id="31" w:name="_Toc182909900"/>
      <w:r w:rsidRPr="00F13715">
        <w:rPr>
          <w:rFonts w:eastAsiaTheme="majorEastAsia" w:cstheme="minorHAnsi"/>
          <w:b/>
          <w:bCs/>
          <w:color w:val="007586" w:themeColor="text2"/>
          <w:sz w:val="44"/>
          <w:szCs w:val="32"/>
          <w:lang w:val="en-US"/>
        </w:rPr>
        <w:t xml:space="preserve">Infants with risk factors for </w:t>
      </w:r>
      <w:proofErr w:type="spellStart"/>
      <w:r w:rsidRPr="00F13715">
        <w:rPr>
          <w:rFonts w:eastAsiaTheme="majorEastAsia" w:cstheme="minorHAnsi"/>
          <w:b/>
          <w:bCs/>
          <w:color w:val="007586" w:themeColor="text2"/>
          <w:sz w:val="44"/>
          <w:szCs w:val="32"/>
          <w:lang w:val="en-US"/>
        </w:rPr>
        <w:t>hypoglycaemia</w:t>
      </w:r>
      <w:bookmarkEnd w:id="30"/>
      <w:bookmarkEnd w:id="31"/>
      <w:proofErr w:type="spellEnd"/>
      <w:r w:rsidRPr="00F13715">
        <w:rPr>
          <w:rFonts w:eastAsiaTheme="majorEastAsia" w:cstheme="minorHAnsi"/>
          <w:b/>
          <w:bCs/>
          <w:color w:val="007586" w:themeColor="text2"/>
          <w:sz w:val="44"/>
          <w:szCs w:val="32"/>
          <w:lang w:val="en-US"/>
        </w:rPr>
        <w:t xml:space="preserve"> </w:t>
      </w:r>
    </w:p>
    <w:p w14:paraId="2E8F8956" w14:textId="77777777" w:rsidR="00F13715" w:rsidRPr="00F13715" w:rsidRDefault="00F13715" w:rsidP="00F13715">
      <w:pPr>
        <w:rPr>
          <w:rFonts w:eastAsia="Times New Roman" w:cstheme="minorHAnsi"/>
          <w:sz w:val="22"/>
          <w:szCs w:val="22"/>
        </w:rPr>
      </w:pPr>
      <w:r w:rsidRPr="00F13715">
        <w:rPr>
          <w:rFonts w:eastAsia="Times New Roman" w:cstheme="minorHAnsi"/>
          <w:sz w:val="22"/>
          <w:szCs w:val="22"/>
          <w:lang w:val="en-US"/>
        </w:rPr>
        <w:t xml:space="preserve">All newly born infants with risk factors for </w:t>
      </w:r>
      <w:proofErr w:type="spellStart"/>
      <w:r w:rsidRPr="00F13715">
        <w:rPr>
          <w:rFonts w:eastAsia="Times New Roman" w:cstheme="minorHAnsi"/>
          <w:sz w:val="22"/>
          <w:szCs w:val="22"/>
          <w:lang w:val="en-US"/>
        </w:rPr>
        <w:t>hypoglycaemia</w:t>
      </w:r>
      <w:proofErr w:type="spellEnd"/>
      <w:r w:rsidRPr="00F13715">
        <w:rPr>
          <w:rFonts w:eastAsia="Times New Roman" w:cstheme="minorHAnsi"/>
          <w:sz w:val="22"/>
          <w:szCs w:val="22"/>
          <w:lang w:val="en-US"/>
        </w:rPr>
        <w:t xml:space="preserve"> should be offered a breastfeed within one hour of birth (if the mother chooses to breastfeed if not formula feed), then at least every 3 hours.</w:t>
      </w:r>
    </w:p>
    <w:p w14:paraId="53947B56" w14:textId="77777777" w:rsidR="00F13715" w:rsidRPr="00F13715" w:rsidRDefault="00F13715" w:rsidP="00D53EC8">
      <w:pPr>
        <w:pStyle w:val="SCVbullet1"/>
        <w:rPr>
          <w:rFonts w:eastAsia="Times New Roman"/>
        </w:rPr>
      </w:pPr>
      <w:r w:rsidRPr="00F13715">
        <w:rPr>
          <w:rFonts w:eastAsia="Times New Roman"/>
        </w:rPr>
        <w:t>Infants of mothers</w:t>
      </w:r>
      <w:r w:rsidRPr="00F13715">
        <w:rPr>
          <w:rFonts w:eastAsia="Times New Roman"/>
          <w:lang w:val="en-US"/>
        </w:rPr>
        <w:t xml:space="preserve"> who choose to formula feed should be offered the equivalent of 60 mL/kg/day.</w:t>
      </w:r>
    </w:p>
    <w:p w14:paraId="4B61F634" w14:textId="668B8FA9" w:rsidR="00F13715" w:rsidRPr="00F13715" w:rsidRDefault="00F13715" w:rsidP="00D53EC8">
      <w:pPr>
        <w:pStyle w:val="SCVbullet1"/>
        <w:rPr>
          <w:rFonts w:eastAsia="Times New Roman"/>
        </w:rPr>
      </w:pPr>
      <w:r w:rsidRPr="00F13715">
        <w:rPr>
          <w:rFonts w:eastAsia="Times New Roman"/>
          <w:lang w:val="en-US"/>
        </w:rPr>
        <w:t>Infants who are unable to feed enterally, for any reason, should have intravenous (IV) access obtained</w:t>
      </w:r>
      <w:r w:rsidR="00064208">
        <w:rPr>
          <w:rFonts w:eastAsia="Times New Roman"/>
        </w:rPr>
        <w:t xml:space="preserve"> </w:t>
      </w:r>
      <w:r w:rsidRPr="00F13715">
        <w:rPr>
          <w:rFonts w:eastAsia="Times New Roman"/>
          <w:lang w:val="en-US"/>
        </w:rPr>
        <w:t>and an IV glucose infusion commenced within one hour of birth</w:t>
      </w:r>
      <w:r w:rsidRPr="00F13715">
        <w:rPr>
          <w:rFonts w:eastAsia="Times New Roman"/>
        </w:rPr>
        <w:t>.</w:t>
      </w:r>
    </w:p>
    <w:p w14:paraId="082EFBC4" w14:textId="77777777" w:rsidR="00F13715" w:rsidRPr="00064208" w:rsidRDefault="00F13715" w:rsidP="00D53EC8">
      <w:pPr>
        <w:pStyle w:val="SCVbullet1"/>
        <w:rPr>
          <w:rFonts w:eastAsia="Times New Roman"/>
        </w:rPr>
      </w:pPr>
      <w:r w:rsidRPr="00064208">
        <w:rPr>
          <w:rFonts w:eastAsia="Times New Roman"/>
          <w:lang w:val="en-US"/>
        </w:rPr>
        <w:t xml:space="preserve">Infants with </w:t>
      </w:r>
      <w:r w:rsidRPr="00064208">
        <w:rPr>
          <w:rFonts w:eastAsia="Times New Roman"/>
          <w:b/>
          <w:bCs/>
          <w:lang w:val="en-US"/>
        </w:rPr>
        <w:t>more than 2 risk factors</w:t>
      </w:r>
      <w:r w:rsidRPr="00064208">
        <w:rPr>
          <w:rFonts w:eastAsia="Times New Roman"/>
          <w:lang w:val="en-US"/>
        </w:rPr>
        <w:t xml:space="preserve"> for </w:t>
      </w:r>
      <w:proofErr w:type="spellStart"/>
      <w:r w:rsidRPr="00064208">
        <w:rPr>
          <w:rFonts w:eastAsia="Times New Roman"/>
          <w:lang w:val="en-US"/>
        </w:rPr>
        <w:t>hypoglycaemia</w:t>
      </w:r>
      <w:proofErr w:type="spellEnd"/>
      <w:r w:rsidRPr="00064208">
        <w:rPr>
          <w:rFonts w:eastAsia="Times New Roman"/>
          <w:lang w:val="en-US"/>
        </w:rPr>
        <w:t xml:space="preserve"> are at increased risk of severe hypoglycaemia</w:t>
      </w:r>
      <w:r w:rsidRPr="00064208">
        <w:rPr>
          <w:rFonts w:eastAsia="Times New Roman"/>
          <w:vertAlign w:val="superscript"/>
          <w:lang w:val="en-US"/>
        </w:rPr>
        <w:t xml:space="preserve">14 </w:t>
      </w:r>
      <w:r w:rsidRPr="00064208">
        <w:rPr>
          <w:rFonts w:eastAsia="Times New Roman"/>
          <w:lang w:val="en-US"/>
        </w:rPr>
        <w:t>and should be referred to a doctor after birth and assessed for potential neonatal unit</w:t>
      </w:r>
      <w:r w:rsidRPr="00064208">
        <w:rPr>
          <w:rFonts w:eastAsia="Times New Roman"/>
          <w:color w:val="D60093"/>
          <w:lang w:val="en-US"/>
        </w:rPr>
        <w:t xml:space="preserve"> </w:t>
      </w:r>
      <w:r w:rsidRPr="00064208">
        <w:rPr>
          <w:rFonts w:eastAsia="Times New Roman"/>
          <w:lang w:val="en-US"/>
        </w:rPr>
        <w:t>admission.</w:t>
      </w:r>
      <w:r w:rsidRPr="00064208">
        <w:rPr>
          <w:rFonts w:eastAsia="Times New Roman"/>
        </w:rPr>
        <w:t xml:space="preserve"> </w:t>
      </w:r>
    </w:p>
    <w:p w14:paraId="0D7D54A4" w14:textId="77777777" w:rsidR="00F13715" w:rsidRPr="00F13715" w:rsidRDefault="00F13715" w:rsidP="00064208">
      <w:pPr>
        <w:spacing w:before="60" w:after="60"/>
        <w:rPr>
          <w:rFonts w:eastAsia="Times New Roman" w:cstheme="minorHAnsi"/>
          <w:sz w:val="22"/>
          <w:szCs w:val="22"/>
        </w:rPr>
      </w:pPr>
    </w:p>
    <w:p w14:paraId="1C24C12A"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bookmarkStart w:id="32" w:name="_Toc178176051"/>
      <w:bookmarkStart w:id="33" w:name="_Toc182909901"/>
      <w:r w:rsidRPr="00F13715">
        <w:rPr>
          <w:rFonts w:eastAsiaTheme="majorEastAsia" w:cstheme="minorHAnsi"/>
          <w:b/>
          <w:bCs/>
          <w:color w:val="007586" w:themeColor="text2"/>
          <w:sz w:val="44"/>
          <w:szCs w:val="32"/>
        </w:rPr>
        <w:t xml:space="preserve">Prevention of hypoglycaemia in </w:t>
      </w:r>
      <w:r w:rsidRPr="00F13715">
        <w:rPr>
          <w:rFonts w:eastAsiaTheme="majorEastAsia" w:cstheme="minorHAnsi"/>
          <w:b/>
          <w:bCs/>
          <w:color w:val="007586" w:themeColor="text2"/>
          <w:sz w:val="44"/>
          <w:szCs w:val="32"/>
          <w:lang w:val="en-US"/>
        </w:rPr>
        <w:t>birthing environments and postnatal wards</w:t>
      </w:r>
      <w:bookmarkEnd w:id="32"/>
      <w:bookmarkEnd w:id="33"/>
      <w:r w:rsidRPr="00F13715">
        <w:rPr>
          <w:rFonts w:eastAsiaTheme="majorEastAsia" w:cstheme="minorHAnsi"/>
          <w:b/>
          <w:bCs/>
          <w:color w:val="007586" w:themeColor="text2"/>
          <w:sz w:val="44"/>
          <w:szCs w:val="32"/>
        </w:rPr>
        <w:t xml:space="preserve"> </w:t>
      </w:r>
    </w:p>
    <w:p w14:paraId="49133AD4" w14:textId="77777777" w:rsidR="00F13715" w:rsidRPr="00F13715" w:rsidRDefault="00F13715" w:rsidP="00F13715">
      <w:pPr>
        <w:rPr>
          <w:rFonts w:eastAsia="Times New Roman" w:cstheme="minorHAnsi"/>
          <w:b/>
          <w:bCs/>
          <w:sz w:val="22"/>
          <w:szCs w:val="22"/>
        </w:rPr>
      </w:pPr>
      <w:r w:rsidRPr="00F13715">
        <w:rPr>
          <w:rFonts w:cstheme="minorHAnsi"/>
          <w:sz w:val="22"/>
          <w:szCs w:val="22"/>
        </w:rPr>
        <w:t xml:space="preserve">Refer to Management of hypoglycaemia in birthing environments and postnatal wards – </w:t>
      </w:r>
      <w:hyperlink w:anchor="Flowchart1" w:history="1">
        <w:r w:rsidRPr="00F13715">
          <w:rPr>
            <w:rFonts w:cstheme="minorHAnsi"/>
            <w:color w:val="004C97"/>
            <w:sz w:val="22"/>
            <w:szCs w:val="22"/>
            <w:u w:val="single"/>
          </w:rPr>
          <w:t>flow chart 1.</w:t>
        </w:r>
      </w:hyperlink>
    </w:p>
    <w:p w14:paraId="01C4B74D" w14:textId="77777777" w:rsidR="00F13715" w:rsidRPr="00EC1983" w:rsidRDefault="00F13715" w:rsidP="00D53EC8">
      <w:pPr>
        <w:pStyle w:val="SCVbullet1"/>
        <w:rPr>
          <w:rFonts w:eastAsia="Times New Roman"/>
        </w:rPr>
      </w:pPr>
      <w:r w:rsidRPr="00EC1983">
        <w:rPr>
          <w:rFonts w:eastAsia="Times New Roman"/>
        </w:rPr>
        <w:t>Dry the infant and encourage early prolonged skin-to-skin contact.</w:t>
      </w:r>
    </w:p>
    <w:p w14:paraId="72B8C81B" w14:textId="77777777" w:rsidR="00F13715" w:rsidRPr="00EC1983" w:rsidRDefault="00F13715" w:rsidP="00D53EC8">
      <w:pPr>
        <w:pStyle w:val="SCVbullet1"/>
        <w:rPr>
          <w:rFonts w:eastAsia="Times New Roman"/>
        </w:rPr>
      </w:pPr>
      <w:r w:rsidRPr="00EC1983">
        <w:rPr>
          <w:rFonts w:eastAsia="Times New Roman"/>
        </w:rPr>
        <w:t xml:space="preserve">Keep the mother and infant together if possible </w:t>
      </w:r>
    </w:p>
    <w:p w14:paraId="35E1AA6C" w14:textId="77777777" w:rsidR="00F13715" w:rsidRPr="00EC1983" w:rsidRDefault="00F13715" w:rsidP="00D53EC8">
      <w:pPr>
        <w:pStyle w:val="SCVbullet1"/>
        <w:rPr>
          <w:rFonts w:eastAsia="Times New Roman"/>
        </w:rPr>
      </w:pPr>
      <w:r w:rsidRPr="00EC1983">
        <w:rPr>
          <w:rFonts w:eastAsia="Times New Roman"/>
        </w:rPr>
        <w:t xml:space="preserve">Maintain temperature between 36.5ºC and 37.5ºC. </w:t>
      </w:r>
    </w:p>
    <w:p w14:paraId="2D53D052" w14:textId="77777777" w:rsidR="00F13715" w:rsidRPr="00F13715" w:rsidRDefault="00F13715" w:rsidP="00F13715">
      <w:pPr>
        <w:rPr>
          <w:b/>
          <w:bCs/>
          <w:sz w:val="22"/>
          <w:szCs w:val="22"/>
        </w:rPr>
      </w:pPr>
      <w:r w:rsidRPr="00F13715">
        <w:rPr>
          <w:b/>
          <w:bCs/>
          <w:sz w:val="22"/>
          <w:szCs w:val="22"/>
        </w:rPr>
        <w:t xml:space="preserve">Screening </w:t>
      </w:r>
    </w:p>
    <w:p w14:paraId="036BA087" w14:textId="77777777" w:rsidR="00F13715" w:rsidRPr="00EC1983" w:rsidRDefault="00F13715" w:rsidP="00D53EC8">
      <w:pPr>
        <w:pStyle w:val="SCVbullet1"/>
        <w:rPr>
          <w:rFonts w:eastAsia="Times New Roman"/>
        </w:rPr>
      </w:pPr>
      <w:r w:rsidRPr="00EC1983">
        <w:rPr>
          <w:rFonts w:eastAsia="Times New Roman"/>
        </w:rPr>
        <w:lastRenderedPageBreak/>
        <w:t>Assess for risk factors for hypoglycaemia.</w:t>
      </w:r>
    </w:p>
    <w:p w14:paraId="52F9FA23" w14:textId="77777777" w:rsidR="00F13715" w:rsidRPr="00EC1983" w:rsidRDefault="00F13715" w:rsidP="00D53EC8">
      <w:pPr>
        <w:pStyle w:val="SCVbullet1"/>
        <w:rPr>
          <w:rFonts w:eastAsia="Times New Roman"/>
        </w:rPr>
      </w:pPr>
      <w:r w:rsidRPr="00EC1983">
        <w:rPr>
          <w:rFonts w:eastAsia="Times New Roman"/>
        </w:rPr>
        <w:t xml:space="preserve">There is no need to measure blood sugar/glucose levels in well term infants without any risk factors. </w:t>
      </w:r>
    </w:p>
    <w:p w14:paraId="5AFDF92A" w14:textId="77777777" w:rsidR="00F13715" w:rsidRPr="00EC1983" w:rsidRDefault="00F13715" w:rsidP="00D53EC8">
      <w:pPr>
        <w:pStyle w:val="SCVbullet1"/>
        <w:rPr>
          <w:rFonts w:eastAsia="Times New Roman"/>
        </w:rPr>
      </w:pPr>
      <w:r w:rsidRPr="00EC1983">
        <w:rPr>
          <w:rFonts w:eastAsia="Times New Roman"/>
        </w:rPr>
        <w:t xml:space="preserve">BSL/TBG should be measured no more than 2 hours after birth in infants with risk factors for hypoglycaemia.  </w:t>
      </w:r>
    </w:p>
    <w:p w14:paraId="5C4CA20A" w14:textId="77777777" w:rsidR="00F13715" w:rsidRPr="00EC1983" w:rsidRDefault="00F13715" w:rsidP="00D53EC8">
      <w:pPr>
        <w:pStyle w:val="SCVbullet1"/>
        <w:rPr>
          <w:rFonts w:eastAsia="Times New Roman"/>
        </w:rPr>
      </w:pPr>
      <w:r w:rsidRPr="00EC1983">
        <w:rPr>
          <w:rFonts w:eastAsia="Times New Roman"/>
        </w:rPr>
        <w:t>If BSL &lt; 2.6 mmol/L at any time, ongoing measurement should be by TBG.</w:t>
      </w:r>
      <w:r w:rsidRPr="00EC1983">
        <w:rPr>
          <w:rFonts w:eastAsia="Times New Roman"/>
          <w:vertAlign w:val="superscript"/>
        </w:rPr>
        <w:t>3</w:t>
      </w:r>
    </w:p>
    <w:p w14:paraId="02F1350D" w14:textId="77777777" w:rsidR="00F13715" w:rsidRPr="00F13715" w:rsidRDefault="00F13715" w:rsidP="00F13715">
      <w:pPr>
        <w:rPr>
          <w:b/>
          <w:bCs/>
          <w:sz w:val="22"/>
          <w:szCs w:val="22"/>
        </w:rPr>
      </w:pPr>
      <w:r w:rsidRPr="00F13715">
        <w:rPr>
          <w:b/>
          <w:bCs/>
          <w:sz w:val="22"/>
          <w:szCs w:val="22"/>
        </w:rPr>
        <w:t>Establishing feeding</w:t>
      </w:r>
    </w:p>
    <w:p w14:paraId="27D93B6C" w14:textId="77777777" w:rsidR="002E0DBD" w:rsidRDefault="00F13715" w:rsidP="00D53EC8">
      <w:pPr>
        <w:pStyle w:val="SCVbullet1"/>
        <w:rPr>
          <w:rFonts w:eastAsia="Times New Roman"/>
        </w:rPr>
      </w:pPr>
      <w:r w:rsidRPr="00EC1983">
        <w:rPr>
          <w:rFonts w:eastAsia="Times New Roman"/>
        </w:rPr>
        <w:t>Initiate feeds within 30 to 60 minutes of birth.</w:t>
      </w:r>
    </w:p>
    <w:p w14:paraId="0843FB96" w14:textId="2F8BF8EC" w:rsidR="00F13715" w:rsidRPr="002E0DBD" w:rsidRDefault="00F13715" w:rsidP="00D53EC8">
      <w:pPr>
        <w:pStyle w:val="SCVbullet1"/>
        <w:rPr>
          <w:rFonts w:eastAsia="Times New Roman"/>
        </w:rPr>
      </w:pPr>
      <w:r w:rsidRPr="002E0DBD">
        <w:rPr>
          <w:rFonts w:eastAsia="Times New Roman"/>
        </w:rPr>
        <w:t>Mothers of infants at risk of hypoglycaemia who choose to breastfeed may have been advised to express antenatally and have expressed breast milk available.</w:t>
      </w:r>
      <w:r w:rsidRPr="002E0DBD">
        <w:rPr>
          <w:rFonts w:eastAsia="Times New Roman"/>
          <w:vertAlign w:val="superscript"/>
        </w:rPr>
        <w:t>15</w:t>
      </w:r>
    </w:p>
    <w:p w14:paraId="3317704D" w14:textId="77777777" w:rsidR="00F13715" w:rsidRPr="00EC1983" w:rsidRDefault="00F13715" w:rsidP="00D53EC8">
      <w:pPr>
        <w:pStyle w:val="SCVbullet1"/>
        <w:rPr>
          <w:rFonts w:eastAsia="Times New Roman"/>
        </w:rPr>
      </w:pPr>
      <w:r w:rsidRPr="00EC1983">
        <w:rPr>
          <w:rFonts w:eastAsia="Times New Roman"/>
        </w:rPr>
        <w:t xml:space="preserve">Discuss feeding cues with parents and carers. </w:t>
      </w:r>
    </w:p>
    <w:p w14:paraId="253C0667" w14:textId="77777777" w:rsidR="00F13715" w:rsidRPr="00EC1983" w:rsidRDefault="00F13715" w:rsidP="00D53EC8">
      <w:pPr>
        <w:pStyle w:val="SCVbullet1"/>
        <w:rPr>
          <w:rFonts w:eastAsia="Times New Roman"/>
        </w:rPr>
      </w:pPr>
      <w:r w:rsidRPr="00EC1983">
        <w:rPr>
          <w:rFonts w:eastAsia="Times New Roman"/>
        </w:rPr>
        <w:t>Feed at least 3-hourly or more frequently.</w:t>
      </w:r>
    </w:p>
    <w:p w14:paraId="0ACE5B63" w14:textId="77777777" w:rsidR="00F13715" w:rsidRPr="00EC1983" w:rsidRDefault="00F13715" w:rsidP="00D53EC8">
      <w:pPr>
        <w:pStyle w:val="SCVbullet1"/>
        <w:rPr>
          <w:rFonts w:eastAsia="Times New Roman"/>
        </w:rPr>
      </w:pPr>
      <w:r w:rsidRPr="00EC1983">
        <w:rPr>
          <w:rFonts w:eastAsia="Times New Roman"/>
        </w:rPr>
        <w:t xml:space="preserve">Consider gastric tube feed if infant ≤ 35 weeks. </w:t>
      </w:r>
    </w:p>
    <w:p w14:paraId="2994A0C2" w14:textId="77777777" w:rsidR="00F13715" w:rsidRPr="00F13715" w:rsidRDefault="00F13715" w:rsidP="00F13715">
      <w:pPr>
        <w:rPr>
          <w:rFonts w:eastAsia="Times New Roman"/>
          <w:sz w:val="22"/>
          <w:szCs w:val="22"/>
          <w:vertAlign w:val="superscript"/>
        </w:rPr>
      </w:pPr>
      <w:r w:rsidRPr="00F13715">
        <w:rPr>
          <w:rFonts w:eastAsia="Times New Roman"/>
          <w:sz w:val="22"/>
          <w:szCs w:val="22"/>
        </w:rPr>
        <w:t xml:space="preserve">Infants requiring treatment for hypoglycaemia should be referred to a doctor. </w:t>
      </w:r>
      <w:r w:rsidRPr="00F13715">
        <w:rPr>
          <w:sz w:val="22"/>
          <w:szCs w:val="22"/>
        </w:rPr>
        <w:t xml:space="preserve">Screening blood samples do not need to be taken prior to each feed in infants who are feeding frequently (&lt; 3-hourly) or cluster feeding. They should be taken at 3 to 4-hourly intervals, prior to a feed. </w:t>
      </w:r>
      <w:r w:rsidRPr="00F13715">
        <w:rPr>
          <w:rFonts w:eastAsia="Times New Roman"/>
          <w:sz w:val="22"/>
          <w:szCs w:val="22"/>
        </w:rPr>
        <w:t xml:space="preserve">Measurement should continue until 3 consecutive BSL/TBGs ≥ 2.6 mmol/L </w:t>
      </w:r>
      <w:r w:rsidRPr="00F13715">
        <w:rPr>
          <w:rFonts w:eastAsia="Times New Roman"/>
          <w:b/>
          <w:bCs/>
          <w:sz w:val="22"/>
          <w:szCs w:val="22"/>
        </w:rPr>
        <w:t>and</w:t>
      </w:r>
      <w:r w:rsidRPr="00F13715">
        <w:rPr>
          <w:rFonts w:eastAsia="Times New Roman"/>
          <w:sz w:val="22"/>
          <w:szCs w:val="22"/>
        </w:rPr>
        <w:t xml:space="preserve"> feeding is assessed as adequate.</w:t>
      </w:r>
      <w:r w:rsidRPr="00F13715">
        <w:rPr>
          <w:rFonts w:eastAsia="Times New Roman"/>
          <w:sz w:val="22"/>
          <w:szCs w:val="22"/>
          <w:vertAlign w:val="superscript"/>
        </w:rPr>
        <w:t>16</w:t>
      </w:r>
    </w:p>
    <w:p w14:paraId="45E80A5E" w14:textId="77777777" w:rsidR="00F13715" w:rsidRPr="00F13715" w:rsidRDefault="00F13715" w:rsidP="00F13715">
      <w:pPr>
        <w:rPr>
          <w:rFonts w:eastAsia="Times New Roman" w:cstheme="minorHAnsi"/>
          <w:sz w:val="22"/>
          <w:szCs w:val="22"/>
          <w:vertAlign w:val="superscript"/>
        </w:rPr>
      </w:pPr>
    </w:p>
    <w:p w14:paraId="71E29475"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rPr>
      </w:pPr>
      <w:bookmarkStart w:id="34" w:name="_Toc178176052"/>
      <w:bookmarkStart w:id="35" w:name="_Toc182909902"/>
      <w:r w:rsidRPr="00F13715">
        <w:rPr>
          <w:rFonts w:eastAsiaTheme="majorEastAsia" w:cstheme="minorHAnsi"/>
          <w:b/>
          <w:bCs/>
          <w:color w:val="007586" w:themeColor="text2"/>
          <w:sz w:val="44"/>
          <w:szCs w:val="32"/>
        </w:rPr>
        <w:t>Prevention of hypoglycaemia in neonatal units</w:t>
      </w:r>
      <w:bookmarkEnd w:id="34"/>
      <w:bookmarkEnd w:id="35"/>
    </w:p>
    <w:p w14:paraId="1C664451" w14:textId="77777777" w:rsidR="00F13715" w:rsidRPr="00F13715" w:rsidRDefault="00F13715" w:rsidP="00F13715">
      <w:pPr>
        <w:rPr>
          <w:rFonts w:eastAsia="Times New Roman" w:cstheme="minorHAnsi"/>
          <w:b/>
          <w:bCs/>
          <w:sz w:val="22"/>
          <w:szCs w:val="22"/>
        </w:rPr>
      </w:pPr>
      <w:r w:rsidRPr="00F13715">
        <w:rPr>
          <w:rFonts w:cstheme="minorHAnsi"/>
          <w:sz w:val="22"/>
          <w:szCs w:val="22"/>
        </w:rPr>
        <w:t xml:space="preserve">Refer to Management of hypoglycaemia in neonatal units - </w:t>
      </w:r>
      <w:hyperlink w:anchor="Flowchart2" w:history="1">
        <w:r w:rsidRPr="00F13715">
          <w:rPr>
            <w:rFonts w:cstheme="minorHAnsi"/>
            <w:color w:val="004C97"/>
            <w:sz w:val="22"/>
            <w:szCs w:val="22"/>
            <w:u w:val="single"/>
          </w:rPr>
          <w:t>flow chart 2</w:t>
        </w:r>
      </w:hyperlink>
      <w:r w:rsidRPr="00F13715">
        <w:rPr>
          <w:rFonts w:cstheme="minorHAnsi"/>
          <w:sz w:val="22"/>
          <w:szCs w:val="22"/>
        </w:rPr>
        <w:t>.</w:t>
      </w:r>
    </w:p>
    <w:p w14:paraId="1A579BFD" w14:textId="77777777" w:rsidR="00F13715" w:rsidRPr="000E217C" w:rsidRDefault="00F13715" w:rsidP="00D53EC8">
      <w:pPr>
        <w:pStyle w:val="SCVbullet1"/>
        <w:rPr>
          <w:rFonts w:eastAsia="Times New Roman"/>
        </w:rPr>
      </w:pPr>
      <w:r w:rsidRPr="000E217C">
        <w:rPr>
          <w:rFonts w:eastAsia="Times New Roman"/>
        </w:rPr>
        <w:t xml:space="preserve">All preterm infants (&lt; 37 weeks’ gestation) are at risk of hypoglycaemia due to inadequate glycogen stores, inefficient or absent enteral feeding, blunted counter-regulatory responses to low blood glucose concentrations and transient hyperinsulinism resulting from perinatal stress (hypoxia, intrauterine growth restriction, etc.). </w:t>
      </w:r>
    </w:p>
    <w:p w14:paraId="2E07F41B" w14:textId="77777777" w:rsidR="00F13715" w:rsidRPr="000E217C" w:rsidRDefault="00F13715" w:rsidP="00D53EC8">
      <w:pPr>
        <w:pStyle w:val="SCVbullet1"/>
        <w:rPr>
          <w:rFonts w:eastAsia="Times New Roman"/>
        </w:rPr>
      </w:pPr>
      <w:r w:rsidRPr="000E217C">
        <w:rPr>
          <w:rFonts w:eastAsia="Times New Roman"/>
        </w:rPr>
        <w:t xml:space="preserve">Ensure normothermia. </w:t>
      </w:r>
    </w:p>
    <w:p w14:paraId="022C7652" w14:textId="77777777" w:rsidR="00F13715" w:rsidRPr="000E217C" w:rsidRDefault="00F13715" w:rsidP="00D53EC8">
      <w:pPr>
        <w:pStyle w:val="SCVbullet1"/>
        <w:rPr>
          <w:rFonts w:eastAsia="Times New Roman"/>
        </w:rPr>
      </w:pPr>
      <w:r w:rsidRPr="000E217C">
        <w:rPr>
          <w:rFonts w:eastAsia="Times New Roman"/>
        </w:rPr>
        <w:t xml:space="preserve">Provide an exogenous glucose source within one hour of birth: Consider parental choices. </w:t>
      </w:r>
    </w:p>
    <w:p w14:paraId="7EC3D857" w14:textId="77777777" w:rsidR="00F13715" w:rsidRPr="00F13715" w:rsidRDefault="00F13715" w:rsidP="00D53EC8">
      <w:pPr>
        <w:pStyle w:val="SCVbullet1"/>
        <w:rPr>
          <w:rFonts w:eastAsia="Times New Roman" w:cstheme="minorHAnsi"/>
        </w:rPr>
      </w:pPr>
      <w:r w:rsidRPr="00F13715">
        <w:rPr>
          <w:rFonts w:eastAsia="Times New Roman" w:cstheme="minorHAnsi"/>
        </w:rPr>
        <w:t xml:space="preserve">breastfeed/ expressed breast milk (EBM) </w:t>
      </w:r>
    </w:p>
    <w:p w14:paraId="3A4F766C" w14:textId="77777777" w:rsidR="00F13715" w:rsidRPr="00F13715" w:rsidRDefault="00F13715" w:rsidP="000E217C">
      <w:pPr>
        <w:numPr>
          <w:ilvl w:val="1"/>
          <w:numId w:val="11"/>
        </w:numPr>
        <w:spacing w:before="60" w:after="60"/>
        <w:ind w:left="567" w:hanging="283"/>
        <w:rPr>
          <w:rFonts w:eastAsia="Times New Roman" w:cstheme="minorHAnsi"/>
          <w:sz w:val="22"/>
          <w:szCs w:val="22"/>
        </w:rPr>
      </w:pPr>
      <w:r w:rsidRPr="00F13715">
        <w:rPr>
          <w:rFonts w:eastAsia="Times New Roman" w:cstheme="minorHAnsi"/>
          <w:sz w:val="22"/>
          <w:szCs w:val="22"/>
        </w:rPr>
        <w:t xml:space="preserve">formula (with parental consent and if medically appropriate) </w:t>
      </w:r>
    </w:p>
    <w:p w14:paraId="157EDE89" w14:textId="77777777" w:rsidR="00F13715" w:rsidRPr="00F13715" w:rsidRDefault="00F13715" w:rsidP="000E217C">
      <w:pPr>
        <w:numPr>
          <w:ilvl w:val="1"/>
          <w:numId w:val="11"/>
        </w:numPr>
        <w:spacing w:before="60" w:after="60"/>
        <w:ind w:left="567" w:hanging="283"/>
        <w:rPr>
          <w:rFonts w:eastAsia="Times New Roman" w:cstheme="minorHAnsi"/>
          <w:color w:val="004C97"/>
          <w:sz w:val="22"/>
          <w:szCs w:val="22"/>
          <w:u w:val="single"/>
        </w:rPr>
      </w:pPr>
      <w:r w:rsidRPr="00F13715">
        <w:rPr>
          <w:rFonts w:eastAsia="Times New Roman" w:cstheme="minorHAnsi"/>
          <w:sz w:val="22"/>
          <w:szCs w:val="22"/>
        </w:rPr>
        <w:t xml:space="preserve">IV glucose (calculate and document IV glucose delivery rate in mg/kg/min </w:t>
      </w:r>
      <w:r w:rsidRPr="00F13715">
        <w:rPr>
          <w:rFonts w:cstheme="minorHAnsi"/>
          <w:sz w:val="22"/>
          <w:szCs w:val="22"/>
        </w:rPr>
        <w:t>using a glucose calculator (e.g.</w:t>
      </w:r>
      <w:r w:rsidRPr="00F13715">
        <w:rPr>
          <w:rFonts w:cstheme="minorHAnsi"/>
          <w:color w:val="004C97"/>
          <w:sz w:val="22"/>
          <w:szCs w:val="22"/>
          <w:u w:val="single"/>
        </w:rPr>
        <w:t xml:space="preserve"> </w:t>
      </w:r>
      <w:hyperlink r:id="rId30">
        <w:r w:rsidRPr="00F13715">
          <w:rPr>
            <w:rFonts w:cstheme="minorHAnsi"/>
            <w:color w:val="004C97"/>
            <w:sz w:val="22"/>
            <w:szCs w:val="22"/>
            <w:u w:val="single"/>
          </w:rPr>
          <w:t>https://nicutools.org/</w:t>
        </w:r>
      </w:hyperlink>
      <w:r w:rsidRPr="00F13715">
        <w:rPr>
          <w:rFonts w:cstheme="minorHAnsi"/>
          <w:sz w:val="22"/>
          <w:szCs w:val="22"/>
        </w:rPr>
        <w:t xml:space="preserve">). </w:t>
      </w:r>
    </w:p>
    <w:p w14:paraId="3F2BE451" w14:textId="77777777" w:rsidR="00F13715" w:rsidRPr="00F13715" w:rsidRDefault="00F13715" w:rsidP="00F13715">
      <w:pPr>
        <w:rPr>
          <w:b/>
          <w:bCs/>
          <w:sz w:val="22"/>
          <w:szCs w:val="22"/>
        </w:rPr>
      </w:pPr>
      <w:r w:rsidRPr="00F13715">
        <w:rPr>
          <w:b/>
          <w:bCs/>
          <w:sz w:val="22"/>
          <w:szCs w:val="22"/>
        </w:rPr>
        <w:t>Screening</w:t>
      </w:r>
    </w:p>
    <w:p w14:paraId="11E2DA42" w14:textId="77777777" w:rsidR="00F13715" w:rsidRPr="000E217C" w:rsidRDefault="00F13715" w:rsidP="00D53EC8">
      <w:pPr>
        <w:pStyle w:val="SCVbullet1"/>
        <w:rPr>
          <w:rFonts w:eastAsia="Times New Roman"/>
        </w:rPr>
      </w:pPr>
      <w:r w:rsidRPr="000E217C">
        <w:rPr>
          <w:rFonts w:eastAsia="Times New Roman"/>
        </w:rPr>
        <w:t xml:space="preserve">Measure TBG </w:t>
      </w:r>
      <w:r w:rsidRPr="000E217C">
        <w:rPr>
          <w:rFonts w:eastAsia="Times New Roman"/>
          <w:b/>
          <w:bCs/>
        </w:rPr>
        <w:t>1 hour</w:t>
      </w:r>
      <w:r w:rsidRPr="000E217C">
        <w:rPr>
          <w:rFonts w:eastAsia="Times New Roman"/>
        </w:rPr>
        <w:t xml:space="preserve"> after birth.</w:t>
      </w:r>
    </w:p>
    <w:p w14:paraId="46DBDFDB" w14:textId="77777777" w:rsidR="00F13715" w:rsidRPr="000E217C" w:rsidRDefault="00F13715" w:rsidP="00D53EC8">
      <w:pPr>
        <w:pStyle w:val="SCVbullet1"/>
        <w:rPr>
          <w:rFonts w:eastAsia="Times New Roman"/>
        </w:rPr>
      </w:pPr>
      <w:r w:rsidRPr="000E217C">
        <w:rPr>
          <w:rFonts w:eastAsia="Times New Roman"/>
        </w:rPr>
        <w:t>Screening should continue pre-feeds or 3-hourly if infant is nil orally.</w:t>
      </w:r>
    </w:p>
    <w:p w14:paraId="7C27B224" w14:textId="77777777" w:rsidR="00F13715" w:rsidRPr="000E217C" w:rsidRDefault="00F13715" w:rsidP="00D53EC8">
      <w:pPr>
        <w:pStyle w:val="SCVbullet1"/>
        <w:rPr>
          <w:rFonts w:eastAsia="Times New Roman"/>
        </w:rPr>
      </w:pPr>
      <w:r w:rsidRPr="000E217C">
        <w:t>Screening may be performed twice daily if on IV fluids with stable TBG.</w:t>
      </w:r>
    </w:p>
    <w:p w14:paraId="19EA0A43" w14:textId="77777777" w:rsidR="00F13715" w:rsidRPr="000E217C" w:rsidRDefault="00F13715" w:rsidP="00D53EC8">
      <w:pPr>
        <w:pStyle w:val="SCVbullet1"/>
        <w:rPr>
          <w:rFonts w:eastAsia="Times New Roman"/>
        </w:rPr>
      </w:pPr>
      <w:r w:rsidRPr="000E217C">
        <w:rPr>
          <w:rFonts w:eastAsia="Times New Roman"/>
        </w:rPr>
        <w:t xml:space="preserve">Screening may be discontinued when infant is on full enteral feeds with 3 consecutive TBG’s ≥ 2.6mmol/L without intervention. </w:t>
      </w:r>
    </w:p>
    <w:p w14:paraId="4298777E" w14:textId="77777777" w:rsidR="00F13715" w:rsidRPr="00F13715" w:rsidRDefault="00F13715" w:rsidP="00F13715">
      <w:pPr>
        <w:rPr>
          <w:b/>
          <w:bCs/>
          <w:sz w:val="22"/>
          <w:szCs w:val="22"/>
        </w:rPr>
      </w:pPr>
    </w:p>
    <w:p w14:paraId="6E2CFDBA" w14:textId="77777777" w:rsidR="00F13715" w:rsidRPr="00F13715" w:rsidRDefault="00F13715" w:rsidP="00F13715">
      <w:pPr>
        <w:rPr>
          <w:b/>
          <w:bCs/>
          <w:sz w:val="22"/>
          <w:szCs w:val="22"/>
        </w:rPr>
      </w:pPr>
      <w:r w:rsidRPr="00F13715">
        <w:rPr>
          <w:b/>
          <w:bCs/>
          <w:sz w:val="22"/>
          <w:szCs w:val="22"/>
        </w:rPr>
        <w:lastRenderedPageBreak/>
        <w:t>Establishing feeding</w:t>
      </w:r>
    </w:p>
    <w:p w14:paraId="4F0ECA6C" w14:textId="77777777" w:rsidR="00F13715" w:rsidRPr="00F13715" w:rsidRDefault="00F13715" w:rsidP="00D53EC8">
      <w:pPr>
        <w:pStyle w:val="SCVbullet1"/>
        <w:rPr>
          <w:rFonts w:eastAsia="Times New Roman"/>
        </w:rPr>
      </w:pPr>
      <w:r w:rsidRPr="00F13715">
        <w:rPr>
          <w:rFonts w:eastAsia="Times New Roman"/>
        </w:rPr>
        <w:t xml:space="preserve">Screening should be recommenced if the feeding regimen changes (e.g. transition from EBM/formula to exclusive breast feeds) or if the infant’s clinical condition changes. </w:t>
      </w:r>
    </w:p>
    <w:p w14:paraId="057862D6" w14:textId="77777777" w:rsidR="00F13715" w:rsidRPr="00F13715" w:rsidRDefault="00F13715" w:rsidP="00D53EC8">
      <w:pPr>
        <w:pStyle w:val="SCVbullet1"/>
        <w:rPr>
          <w:rFonts w:eastAsia="Times New Roman"/>
        </w:rPr>
      </w:pPr>
      <w:r w:rsidRPr="00F13715">
        <w:rPr>
          <w:rFonts w:eastAsia="Times New Roman"/>
        </w:rPr>
        <w:t>Continue enteral feeds as tolerated and support breastfeeding as per parental choice.</w:t>
      </w:r>
    </w:p>
    <w:p w14:paraId="767457CC" w14:textId="77777777" w:rsidR="00F13715" w:rsidRPr="00F13715" w:rsidRDefault="00F13715" w:rsidP="00D53EC8">
      <w:pPr>
        <w:pStyle w:val="SCVbullet1"/>
        <w:rPr>
          <w:rFonts w:eastAsia="Times New Roman"/>
        </w:rPr>
      </w:pPr>
      <w:r w:rsidRPr="00F13715">
        <w:rPr>
          <w:rFonts w:eastAsia="Times New Roman"/>
        </w:rPr>
        <w:t xml:space="preserve">Increase feeds gradually, reducing IV glucose infusion accordingly when TBG readings are stable (at least 2 consecutive readings ≥ 2.6 mmol/L). </w:t>
      </w:r>
    </w:p>
    <w:p w14:paraId="685925D1" w14:textId="77777777" w:rsidR="00F13715" w:rsidRPr="00F13715" w:rsidRDefault="00F13715" w:rsidP="00D53EC8">
      <w:pPr>
        <w:pStyle w:val="SCVbullet1"/>
        <w:rPr>
          <w:rFonts w:eastAsia="Times New Roman"/>
        </w:rPr>
      </w:pPr>
      <w:r w:rsidRPr="00F13715">
        <w:rPr>
          <w:rFonts w:eastAsia="Times New Roman"/>
        </w:rPr>
        <w:t xml:space="preserve">Infants on three hourly sucking feeds, are otherwise well and of appropriate size and maturity may be transferred to postnatal ward as soon as TBG ≥ 2.6 mmol/L on 2 consecutive occasions. Monitoring should </w:t>
      </w:r>
      <w:bookmarkStart w:id="36" w:name="_Int_lK5r72jH"/>
      <w:proofErr w:type="gramStart"/>
      <w:r w:rsidRPr="00F13715">
        <w:rPr>
          <w:rFonts w:eastAsia="Times New Roman"/>
        </w:rPr>
        <w:t>continue on</w:t>
      </w:r>
      <w:bookmarkEnd w:id="36"/>
      <w:proofErr w:type="gramEnd"/>
      <w:r w:rsidRPr="00F13715">
        <w:rPr>
          <w:rFonts w:eastAsia="Times New Roman"/>
        </w:rPr>
        <w:t xml:space="preserve"> the postnatal ward as per Flowchart. If hypoglycaemia has occurred, complementary feeds after breastfeeding may be necessary for 1 to 2 days until maternal breastmilk supply is established. </w:t>
      </w:r>
    </w:p>
    <w:p w14:paraId="3F0CB4BE" w14:textId="77777777" w:rsidR="00F13715" w:rsidRPr="00F13715" w:rsidRDefault="00F13715" w:rsidP="00E4073B">
      <w:pPr>
        <w:spacing w:before="60" w:after="60"/>
        <w:rPr>
          <w:rFonts w:eastAsia="Times New Roman" w:cstheme="minorHAnsi"/>
          <w:sz w:val="22"/>
          <w:szCs w:val="22"/>
        </w:rPr>
      </w:pPr>
    </w:p>
    <w:p w14:paraId="657EB37D" w14:textId="77777777" w:rsidR="00F13715" w:rsidRPr="00F13715" w:rsidRDefault="00F13715" w:rsidP="00F13715">
      <w:pPr>
        <w:rPr>
          <w:b/>
          <w:bCs/>
          <w:sz w:val="22"/>
          <w:szCs w:val="22"/>
        </w:rPr>
      </w:pPr>
      <w:r w:rsidRPr="00F13715">
        <w:rPr>
          <w:b/>
          <w:bCs/>
          <w:sz w:val="22"/>
          <w:szCs w:val="22"/>
        </w:rPr>
        <w:t>Persistent hypoglycaemia</w:t>
      </w:r>
    </w:p>
    <w:p w14:paraId="48B8B3C7" w14:textId="77777777" w:rsidR="00F13715" w:rsidRPr="00F13715" w:rsidRDefault="00F13715" w:rsidP="00F13715">
      <w:pPr>
        <w:rPr>
          <w:rFonts w:eastAsia="Times New Roman" w:cstheme="minorHAnsi"/>
          <w:sz w:val="22"/>
          <w:szCs w:val="22"/>
          <w:vertAlign w:val="superscript"/>
        </w:rPr>
      </w:pPr>
      <w:r w:rsidRPr="00F13715">
        <w:rPr>
          <w:rFonts w:eastAsia="Times New Roman" w:cstheme="minorHAnsi"/>
          <w:sz w:val="22"/>
          <w:szCs w:val="22"/>
        </w:rPr>
        <w:t>Persistent hypoglycaemia occurs when hypoglycaemia persists beyond 4 hours despite treatment, or where episodes of hypoglycaemia occur ≥ 3 times in 24 hours.</w:t>
      </w:r>
      <w:r w:rsidRPr="00F13715">
        <w:rPr>
          <w:rFonts w:eastAsia="Times New Roman" w:cstheme="minorHAnsi"/>
          <w:sz w:val="22"/>
          <w:szCs w:val="22"/>
          <w:vertAlign w:val="superscript"/>
        </w:rPr>
        <w:t>7</w:t>
      </w:r>
    </w:p>
    <w:p w14:paraId="70D5AC50" w14:textId="77777777" w:rsidR="00F13715" w:rsidRPr="00F13715" w:rsidRDefault="00F13715" w:rsidP="00F13715">
      <w:pPr>
        <w:rPr>
          <w:rFonts w:eastAsia="Times New Roman" w:cstheme="minorHAnsi"/>
          <w:sz w:val="22"/>
          <w:szCs w:val="22"/>
        </w:rPr>
      </w:pPr>
      <w:r w:rsidRPr="00F13715">
        <w:rPr>
          <w:rFonts w:eastAsia="Times New Roman" w:cstheme="minorHAnsi"/>
          <w:sz w:val="22"/>
          <w:szCs w:val="22"/>
        </w:rPr>
        <w:t xml:space="preserve">Persistent hypoglycaemia may reflect hyperinsulinism, inadequate availability of substrate or increased metabolic demand.  </w:t>
      </w:r>
    </w:p>
    <w:p w14:paraId="50405CCB" w14:textId="77777777" w:rsidR="00F13715" w:rsidRPr="00F13715" w:rsidRDefault="00F13715" w:rsidP="00F13715">
      <w:pPr>
        <w:rPr>
          <w:rFonts w:eastAsia="Times New Roman" w:cstheme="minorHAnsi"/>
          <w:sz w:val="22"/>
          <w:szCs w:val="22"/>
        </w:rPr>
      </w:pPr>
      <w:r w:rsidRPr="00F13715">
        <w:rPr>
          <w:rFonts w:eastAsia="Times New Roman" w:cstheme="minorHAnsi"/>
          <w:sz w:val="22"/>
          <w:szCs w:val="22"/>
        </w:rPr>
        <w:t xml:space="preserve">Management </w:t>
      </w:r>
      <w:r w:rsidRPr="00F13715">
        <w:rPr>
          <w:rFonts w:eastAsiaTheme="minorHAnsi" w:cstheme="minorHAnsi"/>
          <w:sz w:val="22"/>
          <w:szCs w:val="22"/>
          <w:lang w:eastAsia="en-US"/>
        </w:rPr>
        <w:t>comprises of increasing the glucose supply and investigating for severe or prolonged hypoglycaemia.</w:t>
      </w:r>
    </w:p>
    <w:p w14:paraId="5034A898" w14:textId="77777777" w:rsidR="00F13715" w:rsidRPr="00F13715" w:rsidRDefault="00F13715" w:rsidP="00F13715">
      <w:pPr>
        <w:rPr>
          <w:rFonts w:eastAsia="Times New Roman"/>
          <w:sz w:val="22"/>
          <w:szCs w:val="22"/>
          <w:vertAlign w:val="superscript"/>
        </w:rPr>
      </w:pPr>
      <w:r w:rsidRPr="00F13715">
        <w:rPr>
          <w:rFonts w:eastAsia="Times New Roman"/>
          <w:sz w:val="22"/>
          <w:szCs w:val="22"/>
        </w:rPr>
        <w:t>Infants with hyperinsulinism should continue small enteral feeds where possible.</w:t>
      </w:r>
      <w:r w:rsidRPr="00F13715">
        <w:rPr>
          <w:rFonts w:eastAsia="Times New Roman"/>
          <w:sz w:val="22"/>
          <w:szCs w:val="22"/>
          <w:vertAlign w:val="superscript"/>
        </w:rPr>
        <w:t>17</w:t>
      </w:r>
    </w:p>
    <w:p w14:paraId="0F34A8B0" w14:textId="77777777" w:rsidR="00F13715" w:rsidRPr="00F13715" w:rsidRDefault="00F13715" w:rsidP="00F13715">
      <w:pPr>
        <w:rPr>
          <w:rFonts w:eastAsia="Times New Roman"/>
          <w:sz w:val="22"/>
          <w:szCs w:val="22"/>
          <w:vertAlign w:val="superscript"/>
        </w:rPr>
      </w:pPr>
    </w:p>
    <w:p w14:paraId="723816C4" w14:textId="77777777" w:rsidR="00F13715" w:rsidRPr="00F13715" w:rsidRDefault="00F13715" w:rsidP="00F13715">
      <w:pPr>
        <w:rPr>
          <w:b/>
          <w:bCs/>
          <w:sz w:val="22"/>
          <w:szCs w:val="22"/>
        </w:rPr>
      </w:pPr>
      <w:r w:rsidRPr="00F13715">
        <w:rPr>
          <w:b/>
          <w:bCs/>
          <w:sz w:val="22"/>
          <w:szCs w:val="22"/>
        </w:rPr>
        <w:t>Treatment/medications</w:t>
      </w:r>
    </w:p>
    <w:p w14:paraId="6CCE4B32" w14:textId="77777777" w:rsidR="00F13715" w:rsidRPr="00F13715" w:rsidRDefault="00F13715" w:rsidP="00F13715">
      <w:pPr>
        <w:rPr>
          <w:rFonts w:cstheme="minorHAnsi"/>
          <w:sz w:val="22"/>
          <w:szCs w:val="22"/>
        </w:rPr>
      </w:pPr>
      <w:r w:rsidRPr="00F13715">
        <w:rPr>
          <w:rFonts w:cstheme="minorHAnsi"/>
          <w:sz w:val="22"/>
          <w:szCs w:val="22"/>
        </w:rPr>
        <w:t>Treatment options include the following.</w:t>
      </w:r>
    </w:p>
    <w:p w14:paraId="4127AFE1" w14:textId="77777777" w:rsidR="00F13715" w:rsidRPr="00F13715" w:rsidRDefault="00F13715" w:rsidP="00F13715">
      <w:pPr>
        <w:spacing w:after="0" w:line="240" w:lineRule="auto"/>
        <w:textAlignment w:val="baseline"/>
        <w:rPr>
          <w:rFonts w:cstheme="minorHAnsi"/>
          <w:b/>
          <w:bCs/>
          <w:sz w:val="22"/>
          <w:szCs w:val="22"/>
        </w:rPr>
      </w:pPr>
      <w:bookmarkStart w:id="37" w:name="_Toc178176053"/>
      <w:r w:rsidRPr="00F13715">
        <w:rPr>
          <w:rFonts w:cstheme="minorHAnsi"/>
          <w:b/>
          <w:bCs/>
          <w:sz w:val="22"/>
          <w:szCs w:val="22"/>
        </w:rPr>
        <w:t xml:space="preserve">40 % </w:t>
      </w:r>
      <w:r w:rsidRPr="00F13715" w:rsidDel="00446A60">
        <w:rPr>
          <w:rFonts w:cstheme="minorHAnsi"/>
          <w:b/>
          <w:bCs/>
          <w:sz w:val="22"/>
          <w:szCs w:val="22"/>
        </w:rPr>
        <w:t>glucos</w:t>
      </w:r>
      <w:r w:rsidRPr="00F13715" w:rsidDel="00B4132A">
        <w:rPr>
          <w:rFonts w:cstheme="minorHAnsi"/>
          <w:b/>
          <w:bCs/>
          <w:sz w:val="22"/>
          <w:szCs w:val="22"/>
        </w:rPr>
        <w:t>e</w:t>
      </w:r>
      <w:r w:rsidRPr="00F13715">
        <w:rPr>
          <w:rFonts w:cstheme="minorHAnsi"/>
          <w:b/>
          <w:bCs/>
          <w:sz w:val="22"/>
          <w:szCs w:val="22"/>
        </w:rPr>
        <w:t xml:space="preserve"> gel</w:t>
      </w:r>
      <w:bookmarkEnd w:id="37"/>
    </w:p>
    <w:p w14:paraId="2A93282D" w14:textId="77777777" w:rsidR="00F13715" w:rsidRPr="00F13715" w:rsidRDefault="00F13715" w:rsidP="00F13715">
      <w:pPr>
        <w:spacing w:after="0" w:line="240" w:lineRule="auto"/>
        <w:textAlignment w:val="baseline"/>
        <w:rPr>
          <w:rFonts w:eastAsia="Times New Roman"/>
          <w:sz w:val="22"/>
          <w:szCs w:val="22"/>
        </w:rPr>
      </w:pPr>
      <w:r w:rsidRPr="00F13715">
        <w:rPr>
          <w:rFonts w:eastAsia="Times New Roman"/>
          <w:color w:val="4A4A4A"/>
          <w:sz w:val="22"/>
          <w:szCs w:val="22"/>
        </w:rPr>
        <w:t xml:space="preserve">0.5 mL/kg </w:t>
      </w:r>
      <w:r w:rsidRPr="00F13715">
        <w:rPr>
          <w:rFonts w:eastAsia="Times New Roman"/>
          <w:sz w:val="22"/>
          <w:szCs w:val="22"/>
        </w:rPr>
        <w:t>40% glucose gel is the first-line treatment for hypoglycaemia in well infants ≥ 34 weeks’ gestation.</w:t>
      </w:r>
      <w:r w:rsidRPr="00F13715">
        <w:rPr>
          <w:rFonts w:eastAsia="Times New Roman"/>
          <w:sz w:val="22"/>
          <w:szCs w:val="22"/>
          <w:vertAlign w:val="superscript"/>
        </w:rPr>
        <w:t xml:space="preserve">16 </w:t>
      </w:r>
      <w:r w:rsidRPr="00F13715">
        <w:rPr>
          <w:rFonts w:eastAsia="Times New Roman"/>
          <w:sz w:val="22"/>
          <w:szCs w:val="22"/>
        </w:rPr>
        <w:t xml:space="preserve">Glucose gel is massaged into the buccal mucosa.  It is never for oral administration. </w:t>
      </w:r>
    </w:p>
    <w:p w14:paraId="6A790D3A" w14:textId="77777777" w:rsidR="00F13715" w:rsidRPr="00F13715" w:rsidRDefault="00F13715" w:rsidP="00F13715">
      <w:pPr>
        <w:spacing w:before="0"/>
        <w:rPr>
          <w:rFonts w:eastAsiaTheme="majorEastAsia" w:cstheme="minorHAnsi"/>
          <w:b/>
          <w:bCs/>
          <w:iCs/>
          <w:color w:val="000000" w:themeColor="text1"/>
          <w:sz w:val="22"/>
          <w:szCs w:val="22"/>
        </w:rPr>
      </w:pPr>
    </w:p>
    <w:p w14:paraId="40FD63D4" w14:textId="77777777" w:rsidR="00F13715" w:rsidRPr="00F13715" w:rsidRDefault="00F13715" w:rsidP="00F13715">
      <w:pPr>
        <w:spacing w:before="0"/>
        <w:rPr>
          <w:rFonts w:eastAsiaTheme="majorEastAsia" w:cstheme="minorHAnsi"/>
          <w:b/>
          <w:bCs/>
          <w:iCs/>
          <w:color w:val="000000" w:themeColor="text1"/>
          <w:sz w:val="22"/>
          <w:szCs w:val="22"/>
        </w:rPr>
      </w:pPr>
      <w:r w:rsidRPr="00F13715">
        <w:rPr>
          <w:rFonts w:eastAsiaTheme="majorEastAsia" w:cstheme="minorHAnsi"/>
          <w:b/>
          <w:bCs/>
          <w:iCs/>
          <w:color w:val="000000" w:themeColor="text1"/>
          <w:sz w:val="22"/>
          <w:szCs w:val="22"/>
        </w:rPr>
        <w:t xml:space="preserve">Administration of 40% </w:t>
      </w:r>
      <w:r w:rsidRPr="00F13715" w:rsidDel="00877D63">
        <w:rPr>
          <w:rFonts w:eastAsiaTheme="majorEastAsia" w:cstheme="minorHAnsi"/>
          <w:b/>
          <w:bCs/>
          <w:iCs/>
          <w:color w:val="000000" w:themeColor="text1"/>
          <w:sz w:val="22"/>
          <w:szCs w:val="22"/>
        </w:rPr>
        <w:t>glucose</w:t>
      </w:r>
      <w:r w:rsidRPr="00F13715">
        <w:rPr>
          <w:rFonts w:eastAsiaTheme="majorEastAsia" w:cstheme="minorHAnsi"/>
          <w:b/>
          <w:bCs/>
          <w:iCs/>
          <w:color w:val="000000" w:themeColor="text1"/>
          <w:sz w:val="22"/>
          <w:szCs w:val="22"/>
        </w:rPr>
        <w:t xml:space="preserve"> gel by buccal route:</w:t>
      </w:r>
    </w:p>
    <w:p w14:paraId="53EB9C39" w14:textId="77777777" w:rsidR="00F13715" w:rsidRPr="00F13715" w:rsidRDefault="00F13715" w:rsidP="00E4073B">
      <w:pPr>
        <w:pStyle w:val="SCVbullet1"/>
      </w:pPr>
      <w:r w:rsidRPr="00F13715">
        <w:t>Dry the inside of the infant’s cheek with gauze.</w:t>
      </w:r>
    </w:p>
    <w:p w14:paraId="10D5193E" w14:textId="77777777" w:rsidR="00F13715" w:rsidRPr="00F13715" w:rsidRDefault="00F13715" w:rsidP="00E4073B">
      <w:pPr>
        <w:pStyle w:val="SCVbullet1"/>
      </w:pPr>
      <w:r w:rsidRPr="00F13715">
        <w:t>Measure the required amount of glucose gel with oral dispenser.</w:t>
      </w:r>
    </w:p>
    <w:p w14:paraId="5A360D87" w14:textId="77777777" w:rsidR="00F13715" w:rsidRPr="00F13715" w:rsidRDefault="00F13715" w:rsidP="00E4073B">
      <w:pPr>
        <w:pStyle w:val="SCVbullet1"/>
      </w:pPr>
      <w:r w:rsidRPr="00F13715">
        <w:t>Using a clean, gloved finger, apply small amounts of gel at a time to the buccal mucosa (inside the cheek) and massage gently to ensure absorption.</w:t>
      </w:r>
    </w:p>
    <w:p w14:paraId="66B1E21C" w14:textId="77777777" w:rsidR="00F13715" w:rsidRPr="00F13715" w:rsidRDefault="00F13715" w:rsidP="00E4073B">
      <w:pPr>
        <w:pStyle w:val="SCVbullet1"/>
      </w:pPr>
      <w:r w:rsidRPr="00F13715">
        <w:t>Do not put the gel in the back of the mouth and make sure that the throat does not become blocked by the gel</w:t>
      </w:r>
    </w:p>
    <w:p w14:paraId="513C45DB" w14:textId="77777777" w:rsidR="00F13715" w:rsidRPr="00F13715" w:rsidRDefault="00F13715" w:rsidP="00E4073B">
      <w:pPr>
        <w:pStyle w:val="SCVbullet1"/>
      </w:pPr>
      <w:r w:rsidRPr="00F13715">
        <w:t xml:space="preserve">Nurses may initiate 2 doses of glucose gel. </w:t>
      </w:r>
    </w:p>
    <w:p w14:paraId="1050BBCD" w14:textId="77777777" w:rsidR="00F13715" w:rsidRPr="00F13715" w:rsidRDefault="00F13715" w:rsidP="00E4073B">
      <w:pPr>
        <w:pStyle w:val="SCVbullet1"/>
      </w:pPr>
      <w:r w:rsidRPr="00F13715">
        <w:t>Doctors may order up to 4 additional doses – maximum 6 doses in the first 48 hours after birth.</w:t>
      </w:r>
    </w:p>
    <w:p w14:paraId="044167C4" w14:textId="77777777" w:rsidR="00F13715" w:rsidRPr="00F13715" w:rsidRDefault="00F13715" w:rsidP="00F13715">
      <w:pPr>
        <w:spacing w:before="0"/>
        <w:rPr>
          <w:b/>
          <w:bCs/>
          <w:sz w:val="22"/>
          <w:szCs w:val="22"/>
        </w:rPr>
      </w:pPr>
    </w:p>
    <w:p w14:paraId="5C3677D5" w14:textId="77777777" w:rsidR="00F13715" w:rsidRPr="00F13715" w:rsidRDefault="00F13715" w:rsidP="00F13715">
      <w:pPr>
        <w:spacing w:before="0"/>
        <w:rPr>
          <w:b/>
          <w:bCs/>
          <w:sz w:val="22"/>
          <w:szCs w:val="22"/>
        </w:rPr>
      </w:pPr>
      <w:bookmarkStart w:id="38" w:name="_Toc178176054"/>
      <w:r w:rsidRPr="00F13715">
        <w:rPr>
          <w:b/>
          <w:bCs/>
          <w:sz w:val="22"/>
          <w:szCs w:val="22"/>
        </w:rPr>
        <w:lastRenderedPageBreak/>
        <w:t>IV glucose</w:t>
      </w:r>
      <w:bookmarkEnd w:id="38"/>
    </w:p>
    <w:p w14:paraId="30A017F9" w14:textId="77777777" w:rsidR="00F13715" w:rsidRPr="00F13715" w:rsidRDefault="00F13715" w:rsidP="00F13715">
      <w:pPr>
        <w:spacing w:after="0"/>
        <w:textAlignment w:val="baseline"/>
        <w:rPr>
          <w:rFonts w:eastAsia="Times New Roman" w:cstheme="minorHAnsi"/>
          <w:sz w:val="22"/>
          <w:szCs w:val="22"/>
        </w:rPr>
      </w:pPr>
      <w:r w:rsidRPr="00F13715">
        <w:rPr>
          <w:rFonts w:eastAsia="Times New Roman" w:cstheme="minorHAnsi"/>
          <w:sz w:val="22"/>
          <w:szCs w:val="22"/>
        </w:rPr>
        <w:t xml:space="preserve">Give an IV bolus of 2 mL/kg of 10% glucose followed by a continuous IV infusion of 10% glucose at 60 mL/kg/day to prevent rebound hypoglycaemia. </w:t>
      </w:r>
    </w:p>
    <w:p w14:paraId="08C46D06" w14:textId="77777777" w:rsidR="00F13715" w:rsidRPr="00F13715" w:rsidRDefault="00F13715" w:rsidP="00F13715">
      <w:pPr>
        <w:spacing w:after="0"/>
        <w:textAlignment w:val="baseline"/>
        <w:rPr>
          <w:rFonts w:eastAsia="Times New Roman" w:cstheme="minorHAnsi"/>
          <w:sz w:val="22"/>
          <w:szCs w:val="22"/>
        </w:rPr>
      </w:pPr>
    </w:p>
    <w:p w14:paraId="7297302E" w14:textId="77777777" w:rsidR="00F13715" w:rsidRPr="00F13715" w:rsidRDefault="00F13715" w:rsidP="00F13715">
      <w:pPr>
        <w:spacing w:before="0"/>
        <w:rPr>
          <w:b/>
          <w:bCs/>
          <w:sz w:val="22"/>
          <w:szCs w:val="22"/>
        </w:rPr>
      </w:pPr>
      <w:r w:rsidRPr="00F13715">
        <w:rPr>
          <w:b/>
          <w:bCs/>
          <w:sz w:val="22"/>
          <w:szCs w:val="22"/>
        </w:rPr>
        <w:t>Increase glucose supply</w:t>
      </w:r>
    </w:p>
    <w:p w14:paraId="2D204CF9" w14:textId="77777777" w:rsidR="00F13715" w:rsidRPr="00F13715" w:rsidRDefault="00F13715" w:rsidP="00E4073B">
      <w:pPr>
        <w:pStyle w:val="SCVbullet1"/>
      </w:pPr>
      <w:r w:rsidRPr="00F13715">
        <w:t>Increase frequency of enteral feeds (e.g.</w:t>
      </w:r>
      <w:r w:rsidRPr="00F13715" w:rsidDel="0011297B">
        <w:t xml:space="preserve"> </w:t>
      </w:r>
      <w:r w:rsidRPr="00F13715">
        <w:t>2-hourly), maintain same total volume.</w:t>
      </w:r>
    </w:p>
    <w:p w14:paraId="4B35B476" w14:textId="77777777" w:rsidR="00F13715" w:rsidRPr="00F13715" w:rsidRDefault="00F13715" w:rsidP="00E4073B">
      <w:pPr>
        <w:pStyle w:val="SCVbullet1"/>
      </w:pPr>
      <w:r w:rsidRPr="00F13715">
        <w:t>Increase total fluid intake incrementally by 10 or 20 mL/kg/day to a maximum of 100 mL/kg/day (IV only) or 120 mL/kg/day (enteral as tolerated) within the first 24 hours of life.</w:t>
      </w:r>
    </w:p>
    <w:p w14:paraId="6659020F" w14:textId="77777777" w:rsidR="00F13715" w:rsidRPr="00F13715" w:rsidRDefault="00F13715" w:rsidP="00E4073B">
      <w:pPr>
        <w:pStyle w:val="SCVbullet1"/>
      </w:pPr>
      <w:r w:rsidRPr="00F13715">
        <w:t>Increase concentration of delivered glucose if hypoglycaemia is persistent:</w:t>
      </w:r>
    </w:p>
    <w:p w14:paraId="7FB0E890" w14:textId="77777777" w:rsidR="00F13715" w:rsidRPr="00F13715" w:rsidRDefault="00F13715" w:rsidP="00E4073B">
      <w:pPr>
        <w:pStyle w:val="SCVbullet1"/>
      </w:pPr>
      <w:r w:rsidRPr="00F13715">
        <w:t>12.5% glucose may be given via a peripheral venous cannula</w:t>
      </w:r>
    </w:p>
    <w:p w14:paraId="40D6EAD4" w14:textId="77777777" w:rsidR="00F13715" w:rsidRPr="00F13715" w:rsidRDefault="00F13715" w:rsidP="00E4073B">
      <w:pPr>
        <w:pStyle w:val="SCVbullet1"/>
      </w:pPr>
      <w:r w:rsidRPr="00F13715">
        <w:t xml:space="preserve">15% glucose </w:t>
      </w:r>
      <w:r w:rsidRPr="00F13715">
        <w:rPr>
          <w:b/>
          <w:bCs/>
        </w:rPr>
        <w:t>MUST</w:t>
      </w:r>
      <w:r w:rsidRPr="00F13715">
        <w:t xml:space="preserve"> be given via central venous line i.e. umbilical venous catheter (UVC) or peripherally inserted central catheter (PICC). May be given via peripheral cannula whilst obtaining central access.</w:t>
      </w:r>
    </w:p>
    <w:p w14:paraId="0FFB8D14" w14:textId="77777777" w:rsidR="00F13715" w:rsidRPr="00F13715" w:rsidRDefault="00F13715" w:rsidP="00F13715">
      <w:pPr>
        <w:keepNext/>
        <w:keepLines/>
        <w:spacing w:before="280" w:after="80" w:line="240" w:lineRule="auto"/>
        <w:outlineLvl w:val="1"/>
        <w:rPr>
          <w:rFonts w:asciiTheme="majorHAnsi" w:eastAsiaTheme="majorEastAsia" w:hAnsiTheme="majorHAnsi" w:cstheme="majorBidi"/>
          <w:b/>
          <w:bCs/>
          <w:sz w:val="26"/>
          <w:szCs w:val="26"/>
        </w:rPr>
      </w:pPr>
      <w:bookmarkStart w:id="39" w:name="_Toc178176055"/>
      <w:bookmarkStart w:id="40" w:name="_Toc182909903"/>
      <w:r w:rsidRPr="00F13715">
        <w:rPr>
          <w:rFonts w:asciiTheme="majorHAnsi" w:eastAsiaTheme="majorEastAsia" w:hAnsiTheme="majorHAnsi" w:cstheme="majorBidi"/>
          <w:b/>
          <w:bCs/>
          <w:sz w:val="26"/>
          <w:szCs w:val="26"/>
        </w:rPr>
        <w:t>Table 1: Additive calculations to prepare 12.5% and 15% Glucose infusion</w:t>
      </w:r>
      <w:bookmarkEnd w:id="39"/>
      <w:bookmarkEnd w:id="40"/>
    </w:p>
    <w:tbl>
      <w:tblPr>
        <w:tblStyle w:val="TableGrid"/>
        <w:tblW w:w="0" w:type="auto"/>
        <w:tblLook w:val="04A0" w:firstRow="1" w:lastRow="0" w:firstColumn="1" w:lastColumn="0" w:noHBand="0" w:noVBand="1"/>
      </w:tblPr>
      <w:tblGrid>
        <w:gridCol w:w="2480"/>
        <w:gridCol w:w="2198"/>
        <w:gridCol w:w="2977"/>
        <w:gridCol w:w="2481"/>
      </w:tblGrid>
      <w:tr w:rsidR="00F13715" w:rsidRPr="00F13715" w14:paraId="39D5B473" w14:textId="77777777" w:rsidTr="00F42295">
        <w:trPr>
          <w:cnfStyle w:val="100000000000" w:firstRow="1" w:lastRow="0" w:firstColumn="0" w:lastColumn="0" w:oddVBand="0" w:evenVBand="0" w:oddHBand="0" w:evenHBand="0" w:firstRowFirstColumn="0" w:firstRowLastColumn="0" w:lastRowFirstColumn="0" w:lastRowLastColumn="0"/>
          <w:tblHeader/>
        </w:trPr>
        <w:tc>
          <w:tcPr>
            <w:tcW w:w="2480" w:type="dxa"/>
          </w:tcPr>
          <w:p w14:paraId="405FE55F" w14:textId="77777777" w:rsidR="00F13715" w:rsidRPr="00F13715" w:rsidRDefault="00F13715" w:rsidP="00F13715">
            <w:pPr>
              <w:keepNext/>
              <w:keepLines/>
              <w:spacing w:before="80" w:after="60"/>
              <w:rPr>
                <w:rFonts w:eastAsia="Times New Roman" w:cstheme="minorHAnsi"/>
                <w:b/>
              </w:rPr>
            </w:pPr>
            <w:r w:rsidRPr="00F13715">
              <w:rPr>
                <w:rFonts w:eastAsia="Times New Roman" w:cstheme="minorHAnsi"/>
                <w:b/>
              </w:rPr>
              <w:t xml:space="preserve">Fluid to be prepared </w:t>
            </w:r>
          </w:p>
        </w:tc>
        <w:tc>
          <w:tcPr>
            <w:tcW w:w="2198" w:type="dxa"/>
          </w:tcPr>
          <w:p w14:paraId="39EF54B0" w14:textId="77777777" w:rsidR="00F13715" w:rsidRPr="00F13715" w:rsidRDefault="00F13715" w:rsidP="00F13715">
            <w:pPr>
              <w:keepNext/>
              <w:keepLines/>
              <w:spacing w:before="80" w:after="60"/>
              <w:rPr>
                <w:rFonts w:eastAsia="Times New Roman" w:cstheme="minorHAnsi"/>
                <w:b/>
              </w:rPr>
            </w:pPr>
            <w:r w:rsidRPr="00F13715">
              <w:rPr>
                <w:rFonts w:eastAsia="Times New Roman" w:cstheme="minorHAnsi"/>
                <w:b/>
              </w:rPr>
              <w:t>Fluid bag (500 mL)</w:t>
            </w:r>
          </w:p>
        </w:tc>
        <w:tc>
          <w:tcPr>
            <w:tcW w:w="2977" w:type="dxa"/>
          </w:tcPr>
          <w:p w14:paraId="2D90C259" w14:textId="77777777" w:rsidR="00F13715" w:rsidRPr="00F13715" w:rsidRDefault="00F13715" w:rsidP="00F13715">
            <w:pPr>
              <w:keepNext/>
              <w:keepLines/>
              <w:spacing w:before="80" w:after="60"/>
              <w:rPr>
                <w:rFonts w:eastAsia="Times New Roman" w:cstheme="minorHAnsi"/>
                <w:b/>
              </w:rPr>
            </w:pPr>
            <w:r w:rsidRPr="00F13715">
              <w:rPr>
                <w:rFonts w:eastAsia="Times New Roman" w:cstheme="minorHAnsi"/>
                <w:b/>
              </w:rPr>
              <w:t>Volume to withdraw before additions are made</w:t>
            </w:r>
          </w:p>
        </w:tc>
        <w:tc>
          <w:tcPr>
            <w:tcW w:w="2481" w:type="dxa"/>
          </w:tcPr>
          <w:p w14:paraId="257CA514" w14:textId="77777777" w:rsidR="00F13715" w:rsidRPr="00F13715" w:rsidRDefault="00F13715" w:rsidP="00F13715">
            <w:pPr>
              <w:keepNext/>
              <w:keepLines/>
              <w:spacing w:before="80" w:after="60"/>
              <w:rPr>
                <w:rFonts w:eastAsia="Times New Roman" w:cstheme="minorHAnsi"/>
                <w:b/>
              </w:rPr>
            </w:pPr>
            <w:r w:rsidRPr="00F13715">
              <w:rPr>
                <w:rFonts w:eastAsia="Times New Roman" w:cstheme="minorHAnsi"/>
                <w:b/>
              </w:rPr>
              <w:t>Additions</w:t>
            </w:r>
            <w:r w:rsidRPr="00F13715">
              <w:rPr>
                <w:rFonts w:eastAsia="Times New Roman" w:cstheme="minorHAnsi"/>
                <w:b/>
              </w:rPr>
              <w:br/>
              <w:t xml:space="preserve">50% glucose </w:t>
            </w:r>
          </w:p>
        </w:tc>
      </w:tr>
      <w:tr w:rsidR="00F13715" w:rsidRPr="00F13715" w14:paraId="669C5C0A" w14:textId="77777777" w:rsidTr="00F42295">
        <w:tc>
          <w:tcPr>
            <w:tcW w:w="2480" w:type="dxa"/>
          </w:tcPr>
          <w:p w14:paraId="567884DB" w14:textId="77777777" w:rsidR="00F13715" w:rsidRPr="00F13715" w:rsidRDefault="00F13715" w:rsidP="00F13715">
            <w:pPr>
              <w:spacing w:before="60" w:after="60"/>
              <w:rPr>
                <w:rFonts w:cstheme="minorHAnsi"/>
              </w:rPr>
            </w:pPr>
            <w:r w:rsidRPr="00F13715">
              <w:rPr>
                <w:rFonts w:cstheme="minorHAnsi"/>
              </w:rPr>
              <w:t>Glucose 12.5%</w:t>
            </w:r>
          </w:p>
        </w:tc>
        <w:tc>
          <w:tcPr>
            <w:tcW w:w="2198" w:type="dxa"/>
          </w:tcPr>
          <w:p w14:paraId="688DA0AB" w14:textId="77777777" w:rsidR="00F13715" w:rsidRPr="00F13715" w:rsidRDefault="00F13715" w:rsidP="00F13715">
            <w:pPr>
              <w:spacing w:before="60" w:after="60"/>
              <w:rPr>
                <w:rFonts w:cstheme="minorHAnsi"/>
              </w:rPr>
            </w:pPr>
            <w:r w:rsidRPr="00F13715">
              <w:rPr>
                <w:rFonts w:cstheme="minorHAnsi"/>
              </w:rPr>
              <w:t>Glucose 10%</w:t>
            </w:r>
          </w:p>
        </w:tc>
        <w:tc>
          <w:tcPr>
            <w:tcW w:w="2977" w:type="dxa"/>
          </w:tcPr>
          <w:p w14:paraId="1C59BB88" w14:textId="77777777" w:rsidR="00F13715" w:rsidRPr="00F13715" w:rsidRDefault="00F13715" w:rsidP="00F13715">
            <w:pPr>
              <w:spacing w:before="60" w:after="60"/>
              <w:rPr>
                <w:rFonts w:cstheme="minorHAnsi"/>
              </w:rPr>
            </w:pPr>
            <w:r w:rsidRPr="00F13715">
              <w:rPr>
                <w:rFonts w:cstheme="minorHAnsi"/>
              </w:rPr>
              <w:t>Nil</w:t>
            </w:r>
          </w:p>
        </w:tc>
        <w:tc>
          <w:tcPr>
            <w:tcW w:w="2481" w:type="dxa"/>
          </w:tcPr>
          <w:p w14:paraId="397C0A1A" w14:textId="77777777" w:rsidR="00F13715" w:rsidRPr="00F13715" w:rsidRDefault="00F13715" w:rsidP="00F13715">
            <w:pPr>
              <w:spacing w:before="60" w:after="60"/>
              <w:rPr>
                <w:rFonts w:cstheme="minorHAnsi"/>
              </w:rPr>
            </w:pPr>
            <w:r w:rsidRPr="00F13715">
              <w:rPr>
                <w:rFonts w:cstheme="minorHAnsi"/>
              </w:rPr>
              <w:t>35 mL</w:t>
            </w:r>
          </w:p>
        </w:tc>
      </w:tr>
      <w:tr w:rsidR="00F13715" w:rsidRPr="00F13715" w14:paraId="103B5624" w14:textId="77777777" w:rsidTr="00F42295">
        <w:tc>
          <w:tcPr>
            <w:tcW w:w="2480" w:type="dxa"/>
          </w:tcPr>
          <w:p w14:paraId="1783C83F" w14:textId="77777777" w:rsidR="00F13715" w:rsidRPr="00F13715" w:rsidRDefault="00F13715" w:rsidP="00F13715">
            <w:pPr>
              <w:spacing w:before="60" w:after="60"/>
              <w:rPr>
                <w:rFonts w:cstheme="minorHAnsi"/>
              </w:rPr>
            </w:pPr>
            <w:r w:rsidRPr="00F13715">
              <w:rPr>
                <w:rFonts w:cstheme="minorHAnsi"/>
              </w:rPr>
              <w:t>Glucose 15%</w:t>
            </w:r>
          </w:p>
        </w:tc>
        <w:tc>
          <w:tcPr>
            <w:tcW w:w="2198" w:type="dxa"/>
          </w:tcPr>
          <w:p w14:paraId="35A5DFD8" w14:textId="77777777" w:rsidR="00F13715" w:rsidRPr="00F13715" w:rsidRDefault="00F13715" w:rsidP="00F13715">
            <w:pPr>
              <w:spacing w:before="60" w:after="60"/>
              <w:rPr>
                <w:rFonts w:cstheme="minorHAnsi"/>
              </w:rPr>
            </w:pPr>
            <w:r w:rsidRPr="00F13715">
              <w:rPr>
                <w:rFonts w:cstheme="minorHAnsi"/>
              </w:rPr>
              <w:t>Glucose 10%</w:t>
            </w:r>
          </w:p>
        </w:tc>
        <w:tc>
          <w:tcPr>
            <w:tcW w:w="2977" w:type="dxa"/>
          </w:tcPr>
          <w:p w14:paraId="37893BD5" w14:textId="77777777" w:rsidR="00F13715" w:rsidRPr="00F13715" w:rsidRDefault="00F13715" w:rsidP="00F13715">
            <w:pPr>
              <w:spacing w:before="60" w:after="60"/>
              <w:rPr>
                <w:rFonts w:cstheme="minorHAnsi"/>
              </w:rPr>
            </w:pPr>
            <w:r w:rsidRPr="00F13715">
              <w:rPr>
                <w:rFonts w:cstheme="minorHAnsi"/>
              </w:rPr>
              <w:t>50 mL</w:t>
            </w:r>
          </w:p>
        </w:tc>
        <w:tc>
          <w:tcPr>
            <w:tcW w:w="2481" w:type="dxa"/>
          </w:tcPr>
          <w:p w14:paraId="26C93678" w14:textId="77777777" w:rsidR="00F13715" w:rsidRPr="00F13715" w:rsidRDefault="00F13715" w:rsidP="00F13715">
            <w:pPr>
              <w:spacing w:before="60" w:after="60"/>
              <w:rPr>
                <w:rFonts w:cstheme="minorHAnsi"/>
              </w:rPr>
            </w:pPr>
            <w:r w:rsidRPr="00F13715">
              <w:rPr>
                <w:rFonts w:cstheme="minorHAnsi"/>
              </w:rPr>
              <w:t>70 mL</w:t>
            </w:r>
          </w:p>
        </w:tc>
      </w:tr>
    </w:tbl>
    <w:p w14:paraId="4F644D90" w14:textId="77777777" w:rsidR="00F13715" w:rsidRPr="00F13715" w:rsidRDefault="00F13715" w:rsidP="00F13715">
      <w:pPr>
        <w:spacing w:before="80" w:after="80" w:line="264" w:lineRule="auto"/>
        <w:rPr>
          <w:sz w:val="17"/>
          <w:szCs w:val="17"/>
        </w:rPr>
      </w:pPr>
      <w:r w:rsidRPr="00F13715">
        <w:rPr>
          <w:sz w:val="17"/>
          <w:szCs w:val="17"/>
        </w:rPr>
        <w:t xml:space="preserve">Adapted from </w:t>
      </w:r>
      <w:hyperlink r:id="rId31">
        <w:r w:rsidRPr="00F13715">
          <w:rPr>
            <w:color w:val="004C97"/>
            <w:sz w:val="17"/>
            <w:szCs w:val="17"/>
            <w:u w:val="single"/>
          </w:rPr>
          <w:t>https://pig.rch.org.au.acs.hcn.com.au/appendices/iv-fluid-calc-500ml/</w:t>
        </w:r>
      </w:hyperlink>
      <w:r w:rsidRPr="00F13715">
        <w:rPr>
          <w:sz w:val="17"/>
          <w:szCs w:val="17"/>
          <w:vertAlign w:val="superscript"/>
        </w:rPr>
        <w:t>18</w:t>
      </w:r>
      <w:r w:rsidRPr="00F13715">
        <w:rPr>
          <w:sz w:val="17"/>
          <w:szCs w:val="17"/>
        </w:rPr>
        <w:t>(login required)</w:t>
      </w:r>
    </w:p>
    <w:p w14:paraId="560066C7" w14:textId="77777777" w:rsidR="00F13715" w:rsidRPr="00F13715" w:rsidRDefault="00F13715" w:rsidP="00F13715">
      <w:pPr>
        <w:rPr>
          <w:rFonts w:cstheme="minorHAnsi"/>
          <w:sz w:val="22"/>
          <w:szCs w:val="22"/>
        </w:rPr>
      </w:pPr>
      <w:r w:rsidRPr="00F13715">
        <w:rPr>
          <w:rFonts w:cstheme="minorHAnsi"/>
          <w:sz w:val="22"/>
          <w:szCs w:val="22"/>
        </w:rPr>
        <w:t xml:space="preserve">Calculate glucose infusion rates using a glucose calculator (e.g. </w:t>
      </w:r>
      <w:hyperlink r:id="rId32">
        <w:r w:rsidRPr="00F13715">
          <w:rPr>
            <w:rFonts w:cstheme="minorHAnsi"/>
            <w:color w:val="004C97"/>
            <w:sz w:val="22"/>
            <w:szCs w:val="22"/>
            <w:u w:val="single"/>
          </w:rPr>
          <w:t>https://nicutools.org/</w:t>
        </w:r>
      </w:hyperlink>
      <w:r w:rsidRPr="00F13715">
        <w:rPr>
          <w:rFonts w:cstheme="minorHAnsi"/>
          <w:sz w:val="22"/>
          <w:szCs w:val="22"/>
        </w:rPr>
        <w:t>).</w:t>
      </w:r>
    </w:p>
    <w:p w14:paraId="6873B57C" w14:textId="77777777" w:rsidR="00F13715" w:rsidRPr="00F13715" w:rsidRDefault="00F13715" w:rsidP="00F13715">
      <w:pPr>
        <w:rPr>
          <w:b/>
          <w:bCs/>
          <w:sz w:val="22"/>
          <w:szCs w:val="22"/>
        </w:rPr>
      </w:pPr>
      <w:r w:rsidRPr="00F13715">
        <w:rPr>
          <w:b/>
          <w:bCs/>
          <w:sz w:val="22"/>
          <w:szCs w:val="22"/>
        </w:rPr>
        <w:t>Glucagon</w:t>
      </w:r>
    </w:p>
    <w:p w14:paraId="3A06440B" w14:textId="77777777" w:rsidR="00F13715" w:rsidRPr="00F13715" w:rsidRDefault="00F13715" w:rsidP="00E4073B">
      <w:pPr>
        <w:pStyle w:val="SCVbullet1"/>
        <w:rPr>
          <w:rFonts w:eastAsia="Times New Roman"/>
        </w:rPr>
      </w:pPr>
      <w:r w:rsidRPr="00F13715">
        <w:t xml:space="preserve">Glucagon may be used as an intramuscular (IM) injection (200 mcg/kg/dose. Do not exceed 1mg/dose) for the emergency management of hypoglycaemia in infants ≥ 34 weeks’ gestation, or as a continuous infusion (5–20 mcg/kg/hour) where hypoglycaemia is treatment resistant </w:t>
      </w:r>
      <w:r w:rsidRPr="00F13715">
        <w:rPr>
          <w:rFonts w:eastAsia="Times New Roman"/>
        </w:rPr>
        <w:t>(i.e. infants with hyperinsulinism).</w:t>
      </w:r>
    </w:p>
    <w:p w14:paraId="1D6D265A" w14:textId="77777777" w:rsidR="00F13715" w:rsidRPr="00F13715" w:rsidRDefault="00F13715" w:rsidP="00E4073B">
      <w:pPr>
        <w:pStyle w:val="SCVbullet1"/>
      </w:pPr>
      <w:r w:rsidRPr="00F13715">
        <w:t xml:space="preserve">Allows mobilisation of hepatic glycogen stores. </w:t>
      </w:r>
    </w:p>
    <w:p w14:paraId="7F6501B0" w14:textId="77777777" w:rsidR="00F13715" w:rsidRPr="00F13715" w:rsidRDefault="00F13715" w:rsidP="00E4073B">
      <w:pPr>
        <w:pStyle w:val="SCVbullet1"/>
      </w:pPr>
      <w:r w:rsidRPr="00F13715">
        <w:t>Glucagon is less likely to be useful in infants &lt; 34 weeks (due to minimal glycogen stores) or infants &gt; 24 hours postnatal age with inadequate feeding (stores deplete within 24 hours).</w:t>
      </w:r>
    </w:p>
    <w:p w14:paraId="60FEC994" w14:textId="77777777" w:rsidR="00F13715" w:rsidRPr="00F13715" w:rsidRDefault="00F13715" w:rsidP="00E4073B">
      <w:pPr>
        <w:pStyle w:val="SCVbullet1"/>
      </w:pPr>
      <w:r w:rsidRPr="00F13715">
        <w:rPr>
          <w:rFonts w:eastAsia="Times New Roman"/>
        </w:rPr>
        <w:t xml:space="preserve">Glucagon IM injection may be repeated once if the initial response was good i.e. TBG ≥ 2.6 mmol/L. </w:t>
      </w:r>
    </w:p>
    <w:p w14:paraId="29880A5C" w14:textId="77777777" w:rsidR="00F13715" w:rsidRPr="00F13715" w:rsidRDefault="00F13715" w:rsidP="00E4073B">
      <w:pPr>
        <w:pStyle w:val="SCVbullet1"/>
        <w:numPr>
          <w:ilvl w:val="0"/>
          <w:numId w:val="0"/>
        </w:numPr>
        <w:ind w:left="284"/>
        <w:rPr>
          <w:rFonts w:eastAsiaTheme="majorEastAsia"/>
          <w:b/>
          <w:bCs/>
          <w:color w:val="007586" w:themeColor="text2"/>
          <w:sz w:val="44"/>
          <w:szCs w:val="32"/>
        </w:rPr>
      </w:pPr>
    </w:p>
    <w:p w14:paraId="63022BDC"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sz w:val="44"/>
          <w:szCs w:val="32"/>
        </w:rPr>
      </w:pPr>
      <w:bookmarkStart w:id="41" w:name="_Toc178176056"/>
      <w:bookmarkStart w:id="42" w:name="_Toc182909904"/>
      <w:r w:rsidRPr="00F13715">
        <w:rPr>
          <w:rFonts w:eastAsiaTheme="majorEastAsia" w:cstheme="minorHAnsi"/>
          <w:b/>
          <w:bCs/>
          <w:color w:val="007586" w:themeColor="text2"/>
          <w:sz w:val="44"/>
          <w:szCs w:val="32"/>
        </w:rPr>
        <w:t>Advice regarding escalation of care</w:t>
      </w:r>
      <w:bookmarkEnd w:id="41"/>
      <w:bookmarkEnd w:id="42"/>
      <w:r w:rsidRPr="00F13715">
        <w:rPr>
          <w:rFonts w:eastAsiaTheme="majorEastAsia" w:cstheme="minorHAnsi"/>
          <w:b/>
          <w:bCs/>
          <w:color w:val="007586" w:themeColor="text2"/>
          <w:sz w:val="44"/>
          <w:szCs w:val="32"/>
        </w:rPr>
        <w:t xml:space="preserve"> </w:t>
      </w:r>
    </w:p>
    <w:p w14:paraId="655978DA" w14:textId="77777777" w:rsidR="00F13715" w:rsidRPr="00F13715" w:rsidRDefault="00F13715" w:rsidP="00F13715">
      <w:pPr>
        <w:spacing w:before="0"/>
        <w:rPr>
          <w:rFonts w:cstheme="minorHAnsi"/>
          <w:b/>
          <w:bCs/>
          <w:sz w:val="22"/>
          <w:szCs w:val="22"/>
        </w:rPr>
      </w:pPr>
      <w:r w:rsidRPr="00F13715">
        <w:rPr>
          <w:rFonts w:cstheme="minorHAnsi"/>
          <w:b/>
          <w:bCs/>
          <w:sz w:val="22"/>
          <w:szCs w:val="22"/>
        </w:rPr>
        <w:t>Indication for urgent escalation (e.g</w:t>
      </w:r>
      <w:r w:rsidRPr="00F13715" w:rsidDel="00D53603">
        <w:rPr>
          <w:rFonts w:cstheme="minorHAnsi"/>
          <w:b/>
          <w:bCs/>
          <w:sz w:val="22"/>
          <w:szCs w:val="22"/>
        </w:rPr>
        <w:t>.</w:t>
      </w:r>
      <w:r w:rsidRPr="00F13715">
        <w:rPr>
          <w:rFonts w:cstheme="minorHAnsi"/>
          <w:b/>
          <w:bCs/>
          <w:sz w:val="22"/>
          <w:szCs w:val="22"/>
        </w:rPr>
        <w:t xml:space="preserve"> Medical Emergency Team (MET) call):</w:t>
      </w:r>
    </w:p>
    <w:p w14:paraId="347E2C8C" w14:textId="77777777" w:rsidR="00F13715" w:rsidRPr="00F13715" w:rsidRDefault="00F13715" w:rsidP="00E4073B">
      <w:pPr>
        <w:pStyle w:val="SCVbullet1"/>
        <w:rPr>
          <w:b/>
          <w:bCs/>
        </w:rPr>
      </w:pPr>
      <w:r w:rsidRPr="00F13715">
        <w:rPr>
          <w:rFonts w:eastAsia="Times New Roman"/>
        </w:rPr>
        <w:t xml:space="preserve">TBG &lt; 1.5 mmol/L </w:t>
      </w:r>
      <w:r w:rsidRPr="00F13715">
        <w:rPr>
          <w:rFonts w:eastAsia="Times New Roman"/>
          <w:b/>
          <w:bCs/>
        </w:rPr>
        <w:t>at any time</w:t>
      </w:r>
      <w:r w:rsidRPr="00F13715">
        <w:rPr>
          <w:rFonts w:eastAsia="Times New Roman"/>
        </w:rPr>
        <w:t>.</w:t>
      </w:r>
    </w:p>
    <w:p w14:paraId="677FB92B" w14:textId="77777777" w:rsidR="00F13715" w:rsidRPr="00F13715" w:rsidRDefault="00F13715" w:rsidP="00F13715">
      <w:pPr>
        <w:spacing w:before="0"/>
        <w:rPr>
          <w:rFonts w:cstheme="minorHAnsi"/>
          <w:b/>
          <w:bCs/>
        </w:rPr>
      </w:pPr>
    </w:p>
    <w:p w14:paraId="29EF9D4F" w14:textId="77777777" w:rsidR="00F13715" w:rsidRPr="00F13715" w:rsidRDefault="00F13715" w:rsidP="00F13715">
      <w:pPr>
        <w:spacing w:before="0"/>
        <w:rPr>
          <w:rFonts w:cstheme="minorHAnsi"/>
          <w:b/>
          <w:bCs/>
          <w:sz w:val="22"/>
          <w:szCs w:val="22"/>
        </w:rPr>
      </w:pPr>
      <w:r w:rsidRPr="00F13715">
        <w:rPr>
          <w:rFonts w:cstheme="minorHAnsi"/>
          <w:b/>
          <w:bCs/>
          <w:sz w:val="22"/>
          <w:szCs w:val="22"/>
        </w:rPr>
        <w:lastRenderedPageBreak/>
        <w:t xml:space="preserve">Indications for neonatal unit admission: </w:t>
      </w:r>
    </w:p>
    <w:p w14:paraId="6872AEBF" w14:textId="77777777" w:rsidR="00F13715" w:rsidRPr="00F13715" w:rsidRDefault="00F13715" w:rsidP="00E4073B">
      <w:pPr>
        <w:pStyle w:val="SCVbullet1"/>
        <w:rPr>
          <w:rFonts w:eastAsia="Times New Roman"/>
        </w:rPr>
      </w:pPr>
      <w:r w:rsidRPr="00F13715">
        <w:rPr>
          <w:rFonts w:eastAsia="Times New Roman"/>
        </w:rPr>
        <w:t xml:space="preserve">TBG &lt; 1.5 mmol/L </w:t>
      </w:r>
      <w:r w:rsidRPr="00F13715">
        <w:rPr>
          <w:rFonts w:eastAsia="Times New Roman"/>
          <w:b/>
          <w:bCs/>
        </w:rPr>
        <w:t>at any time</w:t>
      </w:r>
      <w:r w:rsidRPr="00F13715">
        <w:rPr>
          <w:rFonts w:eastAsia="Times New Roman"/>
        </w:rPr>
        <w:t>.</w:t>
      </w:r>
    </w:p>
    <w:p w14:paraId="12A6C76E" w14:textId="77777777" w:rsidR="00F13715" w:rsidRPr="00F13715" w:rsidRDefault="00F13715" w:rsidP="00E4073B">
      <w:pPr>
        <w:pStyle w:val="SCVbullet1"/>
        <w:rPr>
          <w:rFonts w:eastAsia="Times New Roman"/>
        </w:rPr>
      </w:pPr>
      <w:r w:rsidRPr="00F13715">
        <w:rPr>
          <w:rFonts w:eastAsia="Times New Roman"/>
        </w:rPr>
        <w:t>TBG &lt; 2.6 mmol/L 2 hours after initiation of treatment.</w:t>
      </w:r>
    </w:p>
    <w:p w14:paraId="233D8BF9" w14:textId="77777777" w:rsidR="00F13715" w:rsidRPr="00F13715" w:rsidRDefault="00F13715" w:rsidP="00E4073B">
      <w:pPr>
        <w:pStyle w:val="SCVbullet1"/>
        <w:rPr>
          <w:rFonts w:eastAsia="Times New Roman"/>
        </w:rPr>
      </w:pPr>
      <w:r w:rsidRPr="00F13715">
        <w:rPr>
          <w:rFonts w:eastAsia="Times New Roman"/>
        </w:rPr>
        <w:t xml:space="preserve">TBG &lt; 2.6 mmol/L on ≥ 3 consecutive pre-feed samples. </w:t>
      </w:r>
    </w:p>
    <w:p w14:paraId="0B2F8E1A" w14:textId="77777777" w:rsidR="00F13715" w:rsidRDefault="00F13715" w:rsidP="00E4073B">
      <w:pPr>
        <w:pStyle w:val="SCVbullet1"/>
        <w:rPr>
          <w:rFonts w:eastAsia="Times New Roman"/>
        </w:rPr>
      </w:pPr>
      <w:r w:rsidRPr="00F13715">
        <w:rPr>
          <w:rFonts w:eastAsia="Times New Roman"/>
        </w:rPr>
        <w:t>Infant appears unwell</w:t>
      </w:r>
      <w:r w:rsidRPr="00F13715" w:rsidDel="0011297B">
        <w:rPr>
          <w:rFonts w:eastAsia="Times New Roman"/>
        </w:rPr>
        <w:t>.</w:t>
      </w:r>
    </w:p>
    <w:p w14:paraId="218ABC14" w14:textId="77777777" w:rsidR="00E4073B" w:rsidRPr="00F13715" w:rsidRDefault="00E4073B" w:rsidP="00E4073B">
      <w:pPr>
        <w:pStyle w:val="SCVbullet1"/>
        <w:numPr>
          <w:ilvl w:val="0"/>
          <w:numId w:val="0"/>
        </w:numPr>
        <w:ind w:left="284"/>
        <w:rPr>
          <w:rFonts w:eastAsia="Times New Roman"/>
        </w:rPr>
      </w:pPr>
    </w:p>
    <w:p w14:paraId="3A6B293A" w14:textId="77777777" w:rsidR="00F13715" w:rsidRPr="00F13715" w:rsidRDefault="00F13715" w:rsidP="00F13715">
      <w:pPr>
        <w:spacing w:before="60" w:after="60"/>
        <w:rPr>
          <w:rFonts w:cstheme="minorHAnsi"/>
          <w:b/>
          <w:bCs/>
          <w:sz w:val="22"/>
          <w:szCs w:val="22"/>
        </w:rPr>
      </w:pPr>
      <w:r w:rsidRPr="00F13715">
        <w:rPr>
          <w:rFonts w:cstheme="minorHAnsi"/>
          <w:b/>
          <w:bCs/>
          <w:sz w:val="22"/>
          <w:szCs w:val="22"/>
        </w:rPr>
        <w:t xml:space="preserve">Any infant requiring a glucose infusion rate of &gt; 10 mg/kg/min should be investigated for hyperinsulinism and may require further management. </w:t>
      </w:r>
    </w:p>
    <w:p w14:paraId="3C196F3C" w14:textId="77777777" w:rsidR="00F13715" w:rsidRPr="00F13715" w:rsidRDefault="00F13715" w:rsidP="00F13715">
      <w:pPr>
        <w:spacing w:before="60" w:after="60"/>
        <w:rPr>
          <w:rFonts w:cstheme="minorHAnsi"/>
          <w:b/>
          <w:bCs/>
          <w:sz w:val="22"/>
          <w:szCs w:val="22"/>
        </w:rPr>
      </w:pPr>
    </w:p>
    <w:p w14:paraId="36CD307B" w14:textId="77777777" w:rsidR="00F13715" w:rsidRPr="00F13715" w:rsidRDefault="00F13715" w:rsidP="00F13715">
      <w:pPr>
        <w:rPr>
          <w:rFonts w:cstheme="minorHAnsi"/>
          <w:b/>
          <w:bCs/>
          <w:sz w:val="22"/>
          <w:szCs w:val="22"/>
        </w:rPr>
      </w:pPr>
      <w:r w:rsidRPr="00F13715">
        <w:rPr>
          <w:rFonts w:cstheme="minorHAnsi"/>
          <w:b/>
          <w:bCs/>
          <w:sz w:val="22"/>
          <w:szCs w:val="22"/>
        </w:rPr>
        <w:t xml:space="preserve">Advice regarding escalation of care beyond local service </w:t>
      </w:r>
    </w:p>
    <w:p w14:paraId="78C9B6CC" w14:textId="77777777" w:rsidR="00F13715" w:rsidRPr="00F13715" w:rsidRDefault="00F13715" w:rsidP="00F13715">
      <w:pPr>
        <w:rPr>
          <w:rFonts w:eastAsia="Times New Roman" w:cstheme="minorHAnsi"/>
          <w:color w:val="004C97" w:themeColor="accent4"/>
          <w:sz w:val="22"/>
          <w:szCs w:val="22"/>
        </w:rPr>
      </w:pPr>
      <w:r w:rsidRPr="00F13715">
        <w:rPr>
          <w:rFonts w:eastAsia="Times New Roman" w:cstheme="minorHAnsi"/>
          <w:sz w:val="22"/>
          <w:szCs w:val="22"/>
        </w:rPr>
        <w:t xml:space="preserve">There should be a discussion with Paediatric Infant Perinatal Emergency Retrieval </w:t>
      </w:r>
      <w:r w:rsidRPr="00F13715">
        <w:rPr>
          <w:rFonts w:eastAsia="Times New Roman" w:cstheme="minorHAnsi"/>
          <w:color w:val="004C97" w:themeColor="accent4"/>
          <w:sz w:val="22"/>
          <w:szCs w:val="22"/>
        </w:rPr>
        <w:t>(</w:t>
      </w:r>
      <w:hyperlink r:id="rId33">
        <w:r w:rsidRPr="00F13715">
          <w:rPr>
            <w:rFonts w:eastAsia="Times New Roman" w:cstheme="minorHAnsi"/>
            <w:color w:val="004C97" w:themeColor="accent4"/>
            <w:sz w:val="22"/>
            <w:szCs w:val="22"/>
            <w:u w:val="single"/>
          </w:rPr>
          <w:t>PIPER</w:t>
        </w:r>
      </w:hyperlink>
      <w:r w:rsidRPr="00F13715">
        <w:rPr>
          <w:rFonts w:eastAsia="Times New Roman" w:cstheme="minorHAnsi"/>
          <w:color w:val="2793FF" w:themeColor="accent4" w:themeTint="99"/>
          <w:sz w:val="22"/>
          <w:szCs w:val="22"/>
        </w:rPr>
        <w:t>)</w:t>
      </w:r>
      <w:r w:rsidRPr="00F13715">
        <w:rPr>
          <w:rFonts w:eastAsia="Times New Roman" w:cstheme="minorHAnsi"/>
          <w:sz w:val="22"/>
          <w:szCs w:val="22"/>
        </w:rPr>
        <w:t xml:space="preserve"> </w:t>
      </w:r>
      <w:r w:rsidRPr="00F13715">
        <w:rPr>
          <w:rFonts w:eastAsia="Times New Roman" w:cstheme="minorHAnsi"/>
          <w:b/>
          <w:bCs/>
          <w:sz w:val="22"/>
          <w:szCs w:val="22"/>
        </w:rPr>
        <w:t>1300 137 650</w:t>
      </w:r>
      <w:r w:rsidRPr="00F13715">
        <w:rPr>
          <w:rFonts w:eastAsia="Times New Roman" w:cstheme="minorHAnsi"/>
          <w:sz w:val="22"/>
          <w:szCs w:val="22"/>
        </w:rPr>
        <w:t xml:space="preserve"> if an infant is requiring a Glucose Infusion Rate (GIR) &gt;10mg/kg/min at any time. Calculate the </w:t>
      </w:r>
      <w:hyperlink r:id="rId34">
        <w:r w:rsidRPr="00F13715">
          <w:rPr>
            <w:rFonts w:eastAsia="Times New Roman" w:cstheme="minorHAnsi"/>
            <w:color w:val="004C97"/>
            <w:sz w:val="22"/>
            <w:szCs w:val="22"/>
            <w:u w:val="single"/>
          </w:rPr>
          <w:t>GIR</w:t>
        </w:r>
      </w:hyperlink>
      <w:r w:rsidRPr="00F13715">
        <w:rPr>
          <w:rFonts w:eastAsia="Times New Roman" w:cstheme="minorHAnsi"/>
          <w:sz w:val="22"/>
          <w:szCs w:val="22"/>
        </w:rPr>
        <w:t xml:space="preserve"> in </w:t>
      </w:r>
      <w:r w:rsidRPr="00F13715">
        <w:rPr>
          <w:rFonts w:cstheme="minorHAnsi"/>
          <w:sz w:val="22"/>
          <w:szCs w:val="22"/>
        </w:rPr>
        <w:t xml:space="preserve">mg/kg/minute including IV fluids and enteral feeds. </w:t>
      </w:r>
      <w:r w:rsidRPr="00F13715">
        <w:rPr>
          <w:rFonts w:cstheme="minorHAnsi"/>
          <w:color w:val="004C97" w:themeColor="accent4"/>
          <w:sz w:val="22"/>
          <w:szCs w:val="22"/>
        </w:rPr>
        <w:t xml:space="preserve">www.nicutools.org </w:t>
      </w:r>
    </w:p>
    <w:p w14:paraId="6D76A153" w14:textId="77777777" w:rsidR="00F13715" w:rsidRPr="00F13715" w:rsidRDefault="00F13715" w:rsidP="00F13715">
      <w:pPr>
        <w:spacing w:after="0"/>
        <w:textAlignment w:val="baseline"/>
        <w:rPr>
          <w:rFonts w:eastAsia="Times New Roman" w:cstheme="minorHAnsi"/>
          <w:b/>
          <w:bCs/>
          <w:sz w:val="22"/>
          <w:szCs w:val="22"/>
        </w:rPr>
      </w:pPr>
      <w:r w:rsidRPr="00F13715" w:rsidDel="00D53603">
        <w:rPr>
          <w:rFonts w:cstheme="minorHAnsi"/>
          <w:sz w:val="22"/>
          <w:szCs w:val="22"/>
        </w:rPr>
        <w:br/>
      </w:r>
      <w:r w:rsidRPr="00F13715">
        <w:rPr>
          <w:rFonts w:eastAsia="Times New Roman" w:cstheme="minorHAnsi"/>
          <w:b/>
          <w:bCs/>
          <w:sz w:val="22"/>
          <w:szCs w:val="22"/>
        </w:rPr>
        <w:t xml:space="preserve">Discuss with a paediatrician, retrieval neonatologist, or </w:t>
      </w:r>
      <w:r w:rsidRPr="00F13715">
        <w:rPr>
          <w:rFonts w:cstheme="minorHAnsi"/>
          <w:b/>
          <w:bCs/>
          <w:sz w:val="22"/>
          <w:szCs w:val="22"/>
        </w:rPr>
        <w:t>paediatric endocrinologist</w:t>
      </w:r>
      <w:r w:rsidRPr="00F13715">
        <w:rPr>
          <w:rFonts w:eastAsia="Times New Roman" w:cstheme="minorHAnsi"/>
          <w:b/>
          <w:bCs/>
          <w:sz w:val="22"/>
          <w:szCs w:val="22"/>
        </w:rPr>
        <w:t xml:space="preserve">. </w:t>
      </w:r>
    </w:p>
    <w:p w14:paraId="7B17D8AC" w14:textId="77777777" w:rsidR="00F13715" w:rsidRPr="00F13715" w:rsidRDefault="00F13715" w:rsidP="00F13715">
      <w:pPr>
        <w:rPr>
          <w:rFonts w:eastAsia="Times New Roman" w:cstheme="minorHAnsi"/>
          <w:sz w:val="22"/>
          <w:szCs w:val="22"/>
        </w:rPr>
      </w:pPr>
      <w:r w:rsidRPr="00F13715">
        <w:rPr>
          <w:rFonts w:cstheme="minorHAnsi"/>
          <w:sz w:val="22"/>
          <w:szCs w:val="22"/>
        </w:rPr>
        <w:t xml:space="preserve">Any infant with severe hypoglycaemia (glucose infusion rate of &gt; 10 mg/kg/min) or in whom hypoglycaemia presents after 48 hours, or </w:t>
      </w:r>
      <w:r w:rsidRPr="00F13715">
        <w:rPr>
          <w:rFonts w:eastAsia="Times New Roman" w:cstheme="minorHAnsi"/>
          <w:sz w:val="22"/>
          <w:szCs w:val="22"/>
          <w:lang w:val="en-US"/>
        </w:rPr>
        <w:t xml:space="preserve">where </w:t>
      </w:r>
      <w:proofErr w:type="spellStart"/>
      <w:r w:rsidRPr="00F13715">
        <w:rPr>
          <w:rFonts w:eastAsia="Times New Roman" w:cstheme="minorHAnsi"/>
          <w:sz w:val="22"/>
          <w:szCs w:val="22"/>
          <w:lang w:val="en-US"/>
        </w:rPr>
        <w:t>hypoglycaemia</w:t>
      </w:r>
      <w:proofErr w:type="spellEnd"/>
      <w:r w:rsidRPr="00F13715">
        <w:rPr>
          <w:rFonts w:eastAsia="Times New Roman" w:cstheme="minorHAnsi"/>
          <w:sz w:val="22"/>
          <w:szCs w:val="22"/>
          <w:lang w:val="en-US"/>
        </w:rPr>
        <w:t xml:space="preserve"> is prolonged (beyond 48–72 hours), or associated with a dysmorphism [</w:t>
      </w:r>
      <w:r w:rsidRPr="00F13715">
        <w:rPr>
          <w:rFonts w:eastAsia="Times New Roman" w:cstheme="minorHAnsi"/>
          <w:sz w:val="22"/>
          <w:szCs w:val="22"/>
        </w:rPr>
        <w:t xml:space="preserve">exomphalos, ear notching, hemihypertrophy, macrosomia (Beckwith-Wiedemann syndrome), </w:t>
      </w:r>
      <w:proofErr w:type="spellStart"/>
      <w:r w:rsidRPr="00F13715">
        <w:rPr>
          <w:rFonts w:eastAsia="Times New Roman" w:cstheme="minorHAnsi"/>
          <w:sz w:val="22"/>
          <w:szCs w:val="22"/>
        </w:rPr>
        <w:t>micropenis</w:t>
      </w:r>
      <w:proofErr w:type="spellEnd"/>
      <w:r w:rsidRPr="00F13715">
        <w:rPr>
          <w:rFonts w:eastAsia="Times New Roman" w:cstheme="minorHAnsi"/>
          <w:sz w:val="22"/>
          <w:szCs w:val="22"/>
        </w:rPr>
        <w:t xml:space="preserve">, ambiguous genitalia, cleft lip/palate, or other midline facial defect, (hypopituitarism, </w:t>
      </w:r>
      <w:proofErr w:type="spellStart"/>
      <w:r w:rsidRPr="00F13715">
        <w:rPr>
          <w:rFonts w:eastAsia="Times New Roman" w:cstheme="minorHAnsi"/>
          <w:sz w:val="22"/>
          <w:szCs w:val="22"/>
        </w:rPr>
        <w:t>septo</w:t>
      </w:r>
      <w:proofErr w:type="spellEnd"/>
      <w:r w:rsidRPr="00F13715">
        <w:rPr>
          <w:rFonts w:eastAsia="Times New Roman" w:cstheme="minorHAnsi"/>
          <w:sz w:val="22"/>
          <w:szCs w:val="22"/>
        </w:rPr>
        <w:t>-optic dysplasia)]</w:t>
      </w:r>
      <w:r w:rsidRPr="00F13715">
        <w:rPr>
          <w:rFonts w:eastAsia="Times New Roman" w:cstheme="minorHAnsi"/>
          <w:sz w:val="22"/>
          <w:szCs w:val="22"/>
          <w:lang w:val="en-US"/>
        </w:rPr>
        <w:t xml:space="preserve"> further investigations should be undertaken.</w:t>
      </w:r>
    </w:p>
    <w:p w14:paraId="5CE0317F" w14:textId="77777777" w:rsidR="00F13715" w:rsidRPr="00F13715" w:rsidRDefault="00F13715" w:rsidP="00F13715">
      <w:pPr>
        <w:keepNext/>
        <w:keepLines/>
        <w:spacing w:before="280" w:after="80" w:line="240" w:lineRule="auto"/>
        <w:outlineLvl w:val="1"/>
        <w:rPr>
          <w:rFonts w:asciiTheme="majorHAnsi" w:eastAsiaTheme="majorEastAsia" w:hAnsiTheme="majorHAnsi" w:cstheme="majorBidi"/>
          <w:b/>
          <w:bCs/>
          <w:sz w:val="18"/>
          <w:szCs w:val="18"/>
        </w:rPr>
      </w:pPr>
      <w:bookmarkStart w:id="43" w:name="_Investigations_for_severe"/>
      <w:bookmarkStart w:id="44" w:name="_Toc178176057"/>
      <w:bookmarkStart w:id="45" w:name="_Toc182909905"/>
      <w:bookmarkEnd w:id="43"/>
      <w:r w:rsidRPr="00F13715">
        <w:rPr>
          <w:rFonts w:asciiTheme="majorHAnsi" w:eastAsiaTheme="majorEastAsia" w:hAnsiTheme="majorHAnsi" w:cstheme="majorBidi"/>
          <w:b/>
          <w:bCs/>
          <w:sz w:val="26"/>
          <w:szCs w:val="26"/>
          <w:lang w:val="en-US"/>
        </w:rPr>
        <w:t xml:space="preserve">Investigations for severe or prolonged </w:t>
      </w:r>
      <w:proofErr w:type="spellStart"/>
      <w:r w:rsidRPr="00F13715">
        <w:rPr>
          <w:rFonts w:asciiTheme="majorHAnsi" w:eastAsiaTheme="majorEastAsia" w:hAnsiTheme="majorHAnsi" w:cstheme="majorBidi"/>
          <w:b/>
          <w:bCs/>
          <w:sz w:val="26"/>
          <w:szCs w:val="26"/>
          <w:lang w:val="en-US"/>
        </w:rPr>
        <w:t>hypoglycaemia</w:t>
      </w:r>
      <w:bookmarkEnd w:id="44"/>
      <w:bookmarkEnd w:id="45"/>
      <w:proofErr w:type="spellEnd"/>
    </w:p>
    <w:p w14:paraId="1FD7CE73" w14:textId="77777777" w:rsidR="00F13715" w:rsidRPr="00F13715" w:rsidRDefault="00F13715" w:rsidP="00F13715">
      <w:pPr>
        <w:rPr>
          <w:rFonts w:eastAsia="Times New Roman" w:cstheme="minorHAnsi"/>
          <w:sz w:val="22"/>
          <w:szCs w:val="22"/>
        </w:rPr>
      </w:pPr>
      <w:r w:rsidRPr="00F13715">
        <w:rPr>
          <w:rFonts w:eastAsia="Times New Roman" w:cstheme="minorHAnsi"/>
          <w:sz w:val="22"/>
          <w:szCs w:val="22"/>
        </w:rPr>
        <w:t>The following investigations may be performed together, or in a tiered way as described below. Of note, if there are concerns that hypoglycaemia may be the result of an inborn error of metabolism</w:t>
      </w:r>
      <w:r w:rsidRPr="00F13715">
        <w:rPr>
          <w:rFonts w:eastAsia="Times New Roman" w:cstheme="minorHAnsi"/>
          <w:b/>
          <w:bCs/>
          <w:sz w:val="22"/>
          <w:szCs w:val="22"/>
        </w:rPr>
        <w:t xml:space="preserve">, </w:t>
      </w:r>
      <w:r w:rsidRPr="00F13715">
        <w:rPr>
          <w:rFonts w:eastAsia="Times New Roman" w:cstheme="minorHAnsi"/>
          <w:sz w:val="22"/>
          <w:szCs w:val="22"/>
        </w:rPr>
        <w:t xml:space="preserve">ammonia, lactate and acyl-carnitine samples should be sent urgently regardless of TBG value. </w:t>
      </w:r>
    </w:p>
    <w:p w14:paraId="3517C82D" w14:textId="77777777" w:rsidR="00F13715" w:rsidRPr="00F13715" w:rsidRDefault="00F13715" w:rsidP="00F13715">
      <w:pPr>
        <w:keepNext/>
        <w:keepLines/>
        <w:spacing w:before="280" w:after="80" w:line="240" w:lineRule="auto"/>
        <w:outlineLvl w:val="1"/>
        <w:rPr>
          <w:rFonts w:asciiTheme="majorHAnsi" w:eastAsiaTheme="majorEastAsia" w:hAnsiTheme="majorHAnsi" w:cstheme="majorBidi"/>
          <w:b/>
          <w:bCs/>
          <w:sz w:val="26"/>
          <w:szCs w:val="26"/>
        </w:rPr>
      </w:pPr>
      <w:bookmarkStart w:id="46" w:name="_Toc178176058"/>
      <w:bookmarkStart w:id="47" w:name="_Toc182909906"/>
      <w:r w:rsidRPr="00F13715">
        <w:rPr>
          <w:rFonts w:asciiTheme="majorHAnsi" w:eastAsiaTheme="majorEastAsia" w:hAnsiTheme="majorHAnsi" w:cstheme="majorBidi"/>
          <w:b/>
          <w:bCs/>
          <w:sz w:val="26"/>
          <w:szCs w:val="26"/>
        </w:rPr>
        <w:t>Hypoglycaemia screen</w:t>
      </w:r>
      <w:bookmarkEnd w:id="46"/>
      <w:bookmarkEnd w:id="47"/>
    </w:p>
    <w:p w14:paraId="6C673B3D" w14:textId="77777777" w:rsidR="00F13715" w:rsidRPr="00F13715" w:rsidRDefault="00F13715" w:rsidP="00F13715">
      <w:pPr>
        <w:rPr>
          <w:rFonts w:eastAsia="Times New Roman"/>
          <w:b/>
          <w:bCs/>
          <w:sz w:val="22"/>
          <w:szCs w:val="22"/>
        </w:rPr>
      </w:pPr>
      <w:proofErr w:type="spellStart"/>
      <w:r w:rsidRPr="00F13715">
        <w:rPr>
          <w:rFonts w:eastAsia="Times New Roman"/>
          <w:sz w:val="22"/>
          <w:szCs w:val="22"/>
          <w:shd w:val="clear" w:color="auto" w:fill="FFFFFF"/>
          <w:lang w:val="en-US"/>
        </w:rPr>
        <w:t>Hypoglycaemia</w:t>
      </w:r>
      <w:proofErr w:type="spellEnd"/>
      <w:r w:rsidRPr="00F13715">
        <w:rPr>
          <w:rFonts w:eastAsia="Times New Roman"/>
          <w:sz w:val="22"/>
          <w:szCs w:val="22"/>
          <w:shd w:val="clear" w:color="auto" w:fill="FFFFFF"/>
          <w:lang w:val="en-US"/>
        </w:rPr>
        <w:t xml:space="preserve"> screen</w:t>
      </w:r>
      <w:r w:rsidRPr="00F13715">
        <w:rPr>
          <w:rFonts w:eastAsia="Times New Roman"/>
          <w:sz w:val="22"/>
          <w:szCs w:val="22"/>
          <w:shd w:val="clear" w:color="auto" w:fill="FFFFFF"/>
          <w:vertAlign w:val="superscript"/>
          <w:lang w:val="en-US"/>
        </w:rPr>
        <w:t>19</w:t>
      </w:r>
      <w:r w:rsidRPr="00F13715">
        <w:rPr>
          <w:rFonts w:eastAsia="Times New Roman"/>
          <w:sz w:val="22"/>
          <w:szCs w:val="22"/>
          <w:shd w:val="clear" w:color="auto" w:fill="FFFFFF"/>
          <w:lang w:val="en-US"/>
        </w:rPr>
        <w:t xml:space="preserve"> to investigate the hormonal response to low blood glucose concentrations, should be performed when TBG &lt; 2.0 mmol/L) and is most useful when done more than 48 hours after birth.</w:t>
      </w:r>
      <w:r w:rsidRPr="00F13715">
        <w:rPr>
          <w:rFonts w:eastAsia="Times New Roman"/>
          <w:sz w:val="22"/>
          <w:szCs w:val="22"/>
          <w:shd w:val="clear" w:color="auto" w:fill="FFFFFF"/>
          <w:vertAlign w:val="superscript"/>
          <w:lang w:val="en-US"/>
        </w:rPr>
        <w:t>5</w:t>
      </w:r>
      <w:r w:rsidRPr="00F13715">
        <w:rPr>
          <w:rFonts w:eastAsia="Times New Roman"/>
          <w:b/>
          <w:bCs/>
          <w:sz w:val="22"/>
          <w:szCs w:val="22"/>
          <w:shd w:val="clear" w:color="auto" w:fill="FFFFFF"/>
          <w:lang w:val="en-US"/>
        </w:rPr>
        <w:t xml:space="preserve"> </w:t>
      </w:r>
    </w:p>
    <w:p w14:paraId="4F588BA5" w14:textId="77777777" w:rsidR="00F13715" w:rsidRPr="00F13715" w:rsidRDefault="00F13715" w:rsidP="00F13715">
      <w:pPr>
        <w:spacing w:after="0" w:line="240" w:lineRule="auto"/>
        <w:textAlignment w:val="baseline"/>
        <w:rPr>
          <w:rFonts w:eastAsia="Times New Roman" w:cstheme="minorHAnsi"/>
          <w:sz w:val="22"/>
          <w:szCs w:val="22"/>
        </w:rPr>
      </w:pPr>
      <w:r w:rsidRPr="00F13715">
        <w:rPr>
          <w:rFonts w:eastAsiaTheme="majorEastAsia" w:cstheme="minorHAnsi"/>
          <w:b/>
          <w:bCs/>
          <w:iCs/>
          <w:color w:val="000000" w:themeColor="text1"/>
          <w:sz w:val="22"/>
          <w:szCs w:val="22"/>
        </w:rPr>
        <w:t>Tier 1 investigations</w:t>
      </w:r>
      <w:r w:rsidRPr="00F13715">
        <w:rPr>
          <w:rFonts w:eastAsia="Times New Roman" w:cstheme="minorHAnsi"/>
          <w:b/>
          <w:bCs/>
          <w:sz w:val="22"/>
          <w:szCs w:val="22"/>
        </w:rPr>
        <w:t>: venous or arterial samples – to exclude hyperinsulinism and panhypopituitarism</w:t>
      </w:r>
      <w:r w:rsidRPr="00F13715">
        <w:rPr>
          <w:rFonts w:eastAsia="Times New Roman" w:cstheme="minorHAnsi"/>
          <w:sz w:val="22"/>
          <w:szCs w:val="22"/>
        </w:rPr>
        <w:t xml:space="preserve"> </w:t>
      </w:r>
    </w:p>
    <w:p w14:paraId="12F215C8" w14:textId="77777777" w:rsidR="00F13715" w:rsidRPr="00F13715" w:rsidRDefault="00F13715" w:rsidP="00E66504">
      <w:pPr>
        <w:pStyle w:val="SCVbullet1"/>
        <w:rPr>
          <w:rFonts w:eastAsia="Times New Roman"/>
        </w:rPr>
      </w:pPr>
      <w:r w:rsidRPr="00F13715">
        <w:rPr>
          <w:rFonts w:eastAsia="Times New Roman"/>
        </w:rPr>
        <w:t xml:space="preserve">Insulin </w:t>
      </w:r>
    </w:p>
    <w:p w14:paraId="6C3A4F27" w14:textId="77777777" w:rsidR="00F13715" w:rsidRPr="00F13715" w:rsidRDefault="00F13715" w:rsidP="00E66504">
      <w:pPr>
        <w:pStyle w:val="SCVbullet1"/>
        <w:rPr>
          <w:rFonts w:eastAsia="Times New Roman"/>
        </w:rPr>
      </w:pPr>
      <w:r w:rsidRPr="00F13715">
        <w:rPr>
          <w:rFonts w:eastAsia="Times New Roman"/>
        </w:rPr>
        <w:t xml:space="preserve">Glucose (simultaneously with insulin level) </w:t>
      </w:r>
    </w:p>
    <w:p w14:paraId="13FB7F89" w14:textId="77777777" w:rsidR="00F13715" w:rsidRPr="00F13715" w:rsidRDefault="00F13715" w:rsidP="00E66504">
      <w:pPr>
        <w:pStyle w:val="SCVbullet1"/>
        <w:rPr>
          <w:rFonts w:eastAsia="Times New Roman"/>
        </w:rPr>
      </w:pPr>
      <w:r w:rsidRPr="00F13715">
        <w:rPr>
          <w:rFonts w:eastAsia="Times New Roman"/>
        </w:rPr>
        <w:t xml:space="preserve">Cortisol </w:t>
      </w:r>
    </w:p>
    <w:p w14:paraId="325861B1" w14:textId="77777777" w:rsidR="00F13715" w:rsidRPr="00F13715" w:rsidRDefault="00F13715" w:rsidP="00E66504">
      <w:pPr>
        <w:pStyle w:val="SCVbullet1"/>
        <w:rPr>
          <w:rFonts w:eastAsia="Times New Roman"/>
        </w:rPr>
      </w:pPr>
      <w:r w:rsidRPr="00F13715">
        <w:rPr>
          <w:rFonts w:eastAsia="Times New Roman"/>
        </w:rPr>
        <w:t>Growth hormone.</w:t>
      </w:r>
    </w:p>
    <w:p w14:paraId="03A8A29D" w14:textId="77777777" w:rsidR="00F13715" w:rsidRPr="00F13715" w:rsidRDefault="00F13715" w:rsidP="00E66504">
      <w:pPr>
        <w:pStyle w:val="SCVbullet1"/>
        <w:rPr>
          <w:rFonts w:eastAsia="Times New Roman"/>
        </w:rPr>
      </w:pPr>
      <w:r w:rsidRPr="00F13715">
        <w:rPr>
          <w:rFonts w:eastAsia="Times New Roman"/>
        </w:rPr>
        <w:t xml:space="preserve">Sodium, potassium </w:t>
      </w:r>
    </w:p>
    <w:p w14:paraId="7773164E" w14:textId="77777777" w:rsidR="00F13715" w:rsidRPr="00F13715" w:rsidRDefault="00F13715" w:rsidP="00F13715">
      <w:pPr>
        <w:spacing w:after="0"/>
        <w:textAlignment w:val="baseline"/>
        <w:rPr>
          <w:rFonts w:eastAsia="Times New Roman" w:cstheme="minorHAnsi"/>
          <w:color w:val="000000"/>
          <w:sz w:val="22"/>
          <w:szCs w:val="22"/>
        </w:rPr>
      </w:pPr>
      <w:r w:rsidRPr="00F13715">
        <w:rPr>
          <w:rFonts w:eastAsia="Times New Roman" w:cstheme="minorHAnsi"/>
          <w:color w:val="000000" w:themeColor="text1"/>
          <w:sz w:val="22"/>
          <w:szCs w:val="22"/>
        </w:rPr>
        <w:lastRenderedPageBreak/>
        <w:t xml:space="preserve">If insulin secretion is </w:t>
      </w:r>
      <w:r w:rsidRPr="00F13715">
        <w:rPr>
          <w:rFonts w:eastAsia="Times New Roman" w:cstheme="minorHAnsi"/>
          <w:color w:val="000000" w:themeColor="text1"/>
          <w:sz w:val="22"/>
          <w:szCs w:val="22"/>
          <w:u w:val="single"/>
        </w:rPr>
        <w:t>not</w:t>
      </w:r>
      <w:r w:rsidRPr="00F13715">
        <w:rPr>
          <w:rFonts w:eastAsia="Times New Roman" w:cstheme="minorHAnsi"/>
          <w:color w:val="000000" w:themeColor="text1"/>
          <w:sz w:val="22"/>
          <w:szCs w:val="22"/>
        </w:rPr>
        <w:t xml:space="preserve"> suppressed (i.e. not zero) and the diagnosis of hyperinsulinism is established, continue to treat and in severe cases, with input from the paediatric endocrinologists at the Royal Children’s or Monash Children’s Hospitals and/or PIPER. </w:t>
      </w:r>
    </w:p>
    <w:p w14:paraId="152BB429" w14:textId="77777777" w:rsidR="00F13715" w:rsidRPr="00F13715" w:rsidRDefault="00F13715" w:rsidP="00F13715">
      <w:pPr>
        <w:spacing w:after="0"/>
        <w:textAlignment w:val="baseline"/>
        <w:rPr>
          <w:rFonts w:eastAsia="Times New Roman" w:cstheme="minorHAnsi"/>
          <w:color w:val="000000"/>
          <w:sz w:val="22"/>
          <w:szCs w:val="22"/>
        </w:rPr>
      </w:pPr>
      <w:r w:rsidRPr="00F13715">
        <w:rPr>
          <w:rFonts w:eastAsia="Times New Roman" w:cstheme="minorHAnsi"/>
          <w:color w:val="000000" w:themeColor="text1"/>
          <w:sz w:val="22"/>
          <w:szCs w:val="22"/>
        </w:rPr>
        <w:t xml:space="preserve">If the insulin concentration is suppressed, the diagnosis of hyperinsulinism is not established then tier 2 investigations should be performed. </w:t>
      </w:r>
    </w:p>
    <w:p w14:paraId="48AB4C41" w14:textId="77777777" w:rsidR="00F13715" w:rsidRPr="00F13715" w:rsidRDefault="00F13715" w:rsidP="00F13715">
      <w:pPr>
        <w:spacing w:after="0" w:line="240" w:lineRule="auto"/>
        <w:textAlignment w:val="baseline"/>
        <w:rPr>
          <w:rFonts w:eastAsia="Times New Roman" w:cstheme="minorHAnsi"/>
          <w:color w:val="000000"/>
          <w:sz w:val="22"/>
          <w:szCs w:val="22"/>
        </w:rPr>
      </w:pPr>
      <w:r w:rsidRPr="00F13715">
        <w:rPr>
          <w:rFonts w:eastAsia="Times New Roman" w:cstheme="minorHAnsi"/>
          <w:color w:val="000000" w:themeColor="text1"/>
          <w:sz w:val="22"/>
          <w:szCs w:val="22"/>
        </w:rPr>
        <w:t xml:space="preserve">Any abnormal growth hormone or cortisol levels requires tier 2 investigations. </w:t>
      </w:r>
    </w:p>
    <w:p w14:paraId="6E993EC4" w14:textId="77777777" w:rsidR="00F13715" w:rsidRPr="00F13715" w:rsidRDefault="00F13715" w:rsidP="00F13715">
      <w:pPr>
        <w:spacing w:after="0" w:line="240" w:lineRule="auto"/>
        <w:textAlignment w:val="baseline"/>
        <w:rPr>
          <w:rFonts w:eastAsia="Times New Roman" w:cstheme="minorHAnsi"/>
          <w:color w:val="000000"/>
          <w:sz w:val="22"/>
          <w:szCs w:val="22"/>
        </w:rPr>
      </w:pPr>
      <w:r w:rsidRPr="00F13715">
        <w:rPr>
          <w:rFonts w:eastAsiaTheme="majorEastAsia" w:cstheme="minorHAnsi"/>
          <w:b/>
          <w:bCs/>
          <w:iCs/>
          <w:color w:val="000000" w:themeColor="text1"/>
          <w:sz w:val="22"/>
          <w:szCs w:val="22"/>
        </w:rPr>
        <w:t>Tier 2 investigations</w:t>
      </w:r>
      <w:r w:rsidRPr="00F13715">
        <w:rPr>
          <w:rFonts w:eastAsia="Times New Roman" w:cstheme="minorHAnsi"/>
          <w:b/>
          <w:color w:val="000000" w:themeColor="text1"/>
          <w:sz w:val="22"/>
          <w:szCs w:val="22"/>
        </w:rPr>
        <w:t>: to exclude panhypopituitarism and congenital adrenal hyperplasia</w:t>
      </w:r>
      <w:r w:rsidRPr="00F13715">
        <w:rPr>
          <w:rFonts w:eastAsia="Times New Roman" w:cstheme="minorHAnsi"/>
          <w:color w:val="000000" w:themeColor="text1"/>
          <w:sz w:val="22"/>
          <w:szCs w:val="22"/>
        </w:rPr>
        <w:t xml:space="preserve"> </w:t>
      </w:r>
    </w:p>
    <w:p w14:paraId="0809C74A" w14:textId="77777777" w:rsidR="00F13715" w:rsidRPr="00F13715" w:rsidRDefault="00F13715" w:rsidP="00E66504">
      <w:pPr>
        <w:pStyle w:val="SCVbullet1"/>
        <w:rPr>
          <w:rFonts w:eastAsia="Times New Roman"/>
        </w:rPr>
      </w:pPr>
      <w:r w:rsidRPr="00F13715">
        <w:rPr>
          <w:rFonts w:eastAsia="Times New Roman"/>
        </w:rPr>
        <w:t xml:space="preserve">17-hydroxyprogesterone (17-OHP) </w:t>
      </w:r>
    </w:p>
    <w:p w14:paraId="7A2F0C84" w14:textId="77777777" w:rsidR="00F13715" w:rsidRPr="00F13715" w:rsidRDefault="00F13715" w:rsidP="00E66504">
      <w:pPr>
        <w:pStyle w:val="SCVbullet1"/>
        <w:rPr>
          <w:rFonts w:eastAsia="Times New Roman"/>
        </w:rPr>
      </w:pPr>
      <w:r w:rsidRPr="00F13715">
        <w:rPr>
          <w:rFonts w:eastAsia="Times New Roman"/>
        </w:rPr>
        <w:t xml:space="preserve">Thyroid function (TSH and FT4) </w:t>
      </w:r>
    </w:p>
    <w:p w14:paraId="7A000B5A" w14:textId="77777777" w:rsidR="00F13715" w:rsidRPr="00F13715" w:rsidRDefault="00F13715" w:rsidP="00E66504">
      <w:pPr>
        <w:pStyle w:val="SCVbullet1"/>
        <w:rPr>
          <w:rFonts w:eastAsia="Times New Roman"/>
        </w:rPr>
      </w:pPr>
      <w:r w:rsidRPr="00F13715">
        <w:rPr>
          <w:rFonts w:eastAsia="Times New Roman"/>
        </w:rPr>
        <w:t xml:space="preserve">Urine osmolality and specific gravity </w:t>
      </w:r>
    </w:p>
    <w:p w14:paraId="6EC06F02" w14:textId="77777777" w:rsidR="00F13715" w:rsidRPr="00F13715" w:rsidRDefault="00F13715" w:rsidP="00E66504">
      <w:pPr>
        <w:pStyle w:val="SCVbullet1"/>
        <w:rPr>
          <w:rFonts w:eastAsia="Times New Roman"/>
        </w:rPr>
      </w:pPr>
      <w:r w:rsidRPr="00F13715">
        <w:rPr>
          <w:rFonts w:eastAsia="Times New Roman"/>
        </w:rPr>
        <w:t xml:space="preserve">Cranial ultrasound </w:t>
      </w:r>
    </w:p>
    <w:p w14:paraId="676F8E8B" w14:textId="77777777" w:rsidR="00F13715" w:rsidRPr="00F13715" w:rsidRDefault="00F13715" w:rsidP="00E66504">
      <w:pPr>
        <w:pStyle w:val="SCVbullet1"/>
        <w:rPr>
          <w:rFonts w:eastAsia="Times New Roman"/>
        </w:rPr>
      </w:pPr>
      <w:r w:rsidRPr="00F13715">
        <w:rPr>
          <w:rFonts w:eastAsia="Times New Roman"/>
        </w:rPr>
        <w:t xml:space="preserve">Eye examination by ophthalmologist </w:t>
      </w:r>
    </w:p>
    <w:p w14:paraId="3DBC5D36" w14:textId="77777777" w:rsidR="00F13715" w:rsidRPr="00F13715" w:rsidRDefault="00F13715" w:rsidP="00E66504">
      <w:pPr>
        <w:pStyle w:val="SCVbullet1"/>
        <w:rPr>
          <w:rFonts w:eastAsia="Times New Roman"/>
        </w:rPr>
      </w:pPr>
      <w:r w:rsidRPr="00F13715">
        <w:rPr>
          <w:rFonts w:eastAsia="Times New Roman"/>
        </w:rPr>
        <w:t xml:space="preserve">Growth hormone and cortisol (if not already done with tier 1 investigations) </w:t>
      </w:r>
    </w:p>
    <w:p w14:paraId="7E50BDF9" w14:textId="77777777" w:rsidR="00F13715" w:rsidRPr="00F13715" w:rsidRDefault="00F13715" w:rsidP="00F13715">
      <w:pPr>
        <w:spacing w:after="0" w:line="240" w:lineRule="auto"/>
        <w:textAlignment w:val="baseline"/>
        <w:rPr>
          <w:rFonts w:eastAsiaTheme="majorEastAsia" w:cstheme="minorHAnsi"/>
          <w:b/>
          <w:bCs/>
          <w:iCs/>
          <w:color w:val="000000" w:themeColor="text1"/>
          <w:sz w:val="22"/>
          <w:szCs w:val="22"/>
        </w:rPr>
      </w:pPr>
    </w:p>
    <w:p w14:paraId="7A950618" w14:textId="77777777" w:rsidR="00F13715" w:rsidRPr="00F13715" w:rsidRDefault="00F13715" w:rsidP="00F13715">
      <w:pPr>
        <w:spacing w:after="0" w:line="240" w:lineRule="auto"/>
        <w:textAlignment w:val="baseline"/>
        <w:rPr>
          <w:rFonts w:eastAsia="Times New Roman" w:cstheme="minorHAnsi"/>
          <w:sz w:val="22"/>
          <w:szCs w:val="22"/>
        </w:rPr>
      </w:pPr>
      <w:r w:rsidRPr="00F13715">
        <w:rPr>
          <w:rFonts w:eastAsiaTheme="majorEastAsia" w:cstheme="minorHAnsi"/>
          <w:b/>
          <w:bCs/>
          <w:iCs/>
          <w:color w:val="000000" w:themeColor="text1"/>
          <w:sz w:val="22"/>
          <w:szCs w:val="22"/>
        </w:rPr>
        <w:t>Tier 3 investigations:</w:t>
      </w:r>
      <w:r w:rsidRPr="00F13715" w:rsidDel="00D53603">
        <w:rPr>
          <w:rFonts w:eastAsiaTheme="majorEastAsia" w:cstheme="minorHAnsi"/>
          <w:b/>
          <w:bCs/>
          <w:iCs/>
          <w:color w:val="000000" w:themeColor="text1"/>
          <w:sz w:val="22"/>
          <w:szCs w:val="22"/>
        </w:rPr>
        <w:t xml:space="preserve"> </w:t>
      </w:r>
      <w:r w:rsidRPr="00F13715">
        <w:rPr>
          <w:rFonts w:eastAsiaTheme="majorEastAsia" w:cstheme="minorHAnsi"/>
          <w:b/>
          <w:bCs/>
          <w:iCs/>
          <w:color w:val="000000" w:themeColor="text1"/>
          <w:sz w:val="22"/>
          <w:szCs w:val="22"/>
        </w:rPr>
        <w:t>to exclude inborn errors of metabolism</w:t>
      </w:r>
      <w:r w:rsidRPr="00F13715">
        <w:rPr>
          <w:rFonts w:eastAsia="Times New Roman" w:cstheme="minorHAnsi"/>
          <w:sz w:val="22"/>
          <w:szCs w:val="22"/>
        </w:rPr>
        <w:t xml:space="preserve"> (</w:t>
      </w:r>
      <w:hyperlink r:id="rId35" w:history="1">
        <w:r w:rsidRPr="00F13715">
          <w:rPr>
            <w:rFonts w:eastAsia="Times New Roman" w:cstheme="minorHAnsi"/>
            <w:color w:val="004C97"/>
            <w:sz w:val="22"/>
            <w:szCs w:val="22"/>
            <w:u w:val="single"/>
          </w:rPr>
          <w:t>RCH metabolic guideline</w:t>
        </w:r>
      </w:hyperlink>
      <w:r w:rsidRPr="00F13715">
        <w:rPr>
          <w:rFonts w:eastAsia="Times New Roman" w:cstheme="minorHAnsi"/>
          <w:sz w:val="22"/>
          <w:szCs w:val="22"/>
        </w:rPr>
        <w:t>)</w:t>
      </w:r>
    </w:p>
    <w:p w14:paraId="4217C4AC" w14:textId="77777777" w:rsidR="00F13715" w:rsidRPr="00F13715" w:rsidRDefault="00F13715" w:rsidP="00F13715">
      <w:pPr>
        <w:spacing w:after="0"/>
        <w:textAlignment w:val="baseline"/>
        <w:rPr>
          <w:rFonts w:eastAsia="Times New Roman" w:cstheme="minorHAnsi"/>
          <w:sz w:val="22"/>
          <w:szCs w:val="22"/>
        </w:rPr>
      </w:pPr>
      <w:r w:rsidRPr="00F13715">
        <w:rPr>
          <w:rFonts w:eastAsia="Times New Roman" w:cstheme="minorHAnsi"/>
          <w:sz w:val="22"/>
          <w:szCs w:val="22"/>
        </w:rPr>
        <w:t xml:space="preserve">If hypoglycaemia persists despite normal tier 1 and tier 2 investigations, or where there are clinical features consistent with metabolic disease (encephalopathy, cardiomyopathy), the following tests should be performed without delay and advice sought from the RCH metabolic team: </w:t>
      </w:r>
    </w:p>
    <w:p w14:paraId="24E0E15D" w14:textId="77777777" w:rsidR="00F13715" w:rsidRPr="00F13715" w:rsidRDefault="00F13715" w:rsidP="00E66504">
      <w:pPr>
        <w:pStyle w:val="SCVbullet1"/>
        <w:rPr>
          <w:rFonts w:eastAsia="Times New Roman"/>
        </w:rPr>
      </w:pPr>
      <w:r w:rsidRPr="00F13715">
        <w:rPr>
          <w:rFonts w:eastAsia="Times New Roman"/>
        </w:rPr>
        <w:t xml:space="preserve">ammonia level (free flowing sample) </w:t>
      </w:r>
    </w:p>
    <w:p w14:paraId="62326F52" w14:textId="77777777" w:rsidR="00F13715" w:rsidRPr="00F13715" w:rsidRDefault="00F13715" w:rsidP="00E66504">
      <w:pPr>
        <w:pStyle w:val="SCVbullet1"/>
        <w:rPr>
          <w:rFonts w:eastAsia="Times New Roman"/>
        </w:rPr>
      </w:pPr>
      <w:r w:rsidRPr="00F13715">
        <w:rPr>
          <w:rFonts w:eastAsia="Times New Roman"/>
        </w:rPr>
        <w:t xml:space="preserve">lactate and pyruvate (arterial sample) </w:t>
      </w:r>
    </w:p>
    <w:p w14:paraId="43E58204" w14:textId="77777777" w:rsidR="00F13715" w:rsidRPr="00F13715" w:rsidRDefault="00F13715" w:rsidP="00E66504">
      <w:pPr>
        <w:pStyle w:val="SCVbullet1"/>
        <w:rPr>
          <w:rFonts w:eastAsia="Times New Roman"/>
        </w:rPr>
      </w:pPr>
      <w:r w:rsidRPr="00F13715">
        <w:rPr>
          <w:rFonts w:eastAsia="Times New Roman"/>
        </w:rPr>
        <w:t xml:space="preserve">free fatty acids and acyl carnitine profile </w:t>
      </w:r>
    </w:p>
    <w:p w14:paraId="56B9BC80" w14:textId="77777777" w:rsidR="00F13715" w:rsidRPr="00F13715" w:rsidRDefault="00F13715" w:rsidP="00E66504">
      <w:pPr>
        <w:pStyle w:val="SCVbullet1"/>
        <w:rPr>
          <w:rFonts w:eastAsia="Times New Roman"/>
        </w:rPr>
      </w:pPr>
      <w:r w:rsidRPr="00F13715">
        <w:rPr>
          <w:rFonts w:eastAsia="Times New Roman"/>
        </w:rPr>
        <w:t xml:space="preserve">triglyceride level </w:t>
      </w:r>
    </w:p>
    <w:p w14:paraId="2E816DAB" w14:textId="77777777" w:rsidR="00F13715" w:rsidRPr="00F13715" w:rsidRDefault="00F13715" w:rsidP="00E66504">
      <w:pPr>
        <w:pStyle w:val="SCVbullet1"/>
        <w:rPr>
          <w:rFonts w:eastAsia="Times New Roman"/>
        </w:rPr>
      </w:pPr>
      <w:r w:rsidRPr="00F13715">
        <w:rPr>
          <w:rFonts w:eastAsia="Times New Roman"/>
        </w:rPr>
        <w:t xml:space="preserve">urine organic acids </w:t>
      </w:r>
    </w:p>
    <w:p w14:paraId="3658F391" w14:textId="77777777" w:rsidR="00F13715" w:rsidRPr="00F13715" w:rsidRDefault="00F13715" w:rsidP="00E66504">
      <w:pPr>
        <w:pStyle w:val="SCVbullet1"/>
        <w:rPr>
          <w:rFonts w:eastAsia="Times New Roman"/>
        </w:rPr>
      </w:pPr>
      <w:r w:rsidRPr="00F13715">
        <w:rPr>
          <w:rFonts w:eastAsia="Times New Roman"/>
        </w:rPr>
        <w:t xml:space="preserve">urine metabolic screen, including reducing substances and ketones </w:t>
      </w:r>
    </w:p>
    <w:p w14:paraId="0D84CF3B" w14:textId="77777777" w:rsidR="00F13715" w:rsidRPr="00F13715" w:rsidRDefault="00F13715" w:rsidP="00E66504">
      <w:pPr>
        <w:pStyle w:val="SCVbullet1"/>
        <w:rPr>
          <w:rFonts w:eastAsia="Times New Roman"/>
        </w:rPr>
      </w:pPr>
      <w:r w:rsidRPr="00F13715">
        <w:rPr>
          <w:rFonts w:eastAsia="Times New Roman"/>
        </w:rPr>
        <w:t xml:space="preserve">plasma amino acids </w:t>
      </w:r>
    </w:p>
    <w:p w14:paraId="3B0EBDD6" w14:textId="77777777" w:rsidR="00F13715" w:rsidRPr="00F13715" w:rsidRDefault="00F13715" w:rsidP="00E66504">
      <w:pPr>
        <w:pStyle w:val="SCVbullet1"/>
        <w:rPr>
          <w:rFonts w:eastAsia="Times New Roman"/>
        </w:rPr>
      </w:pPr>
      <w:r w:rsidRPr="00F13715">
        <w:rPr>
          <w:rFonts w:eastAsia="Times New Roman"/>
        </w:rPr>
        <w:t xml:space="preserve">accelerated completion of the </w:t>
      </w:r>
      <w:r w:rsidRPr="00F13715">
        <w:rPr>
          <w:rFonts w:eastAsia="Times New Roman"/>
          <w:i/>
          <w:iCs/>
        </w:rPr>
        <w:t>newborn screening test</w:t>
      </w:r>
      <w:r w:rsidRPr="00F13715">
        <w:rPr>
          <w:rFonts w:eastAsia="Times New Roman"/>
        </w:rPr>
        <w:t xml:space="preserve"> - contact the </w:t>
      </w:r>
      <w:hyperlink r:id="rId36">
        <w:r w:rsidRPr="00F13715">
          <w:rPr>
            <w:color w:val="004C97"/>
            <w:u w:val="single"/>
          </w:rPr>
          <w:t>Victorian Clinical Genetics Services</w:t>
        </w:r>
      </w:hyperlink>
      <w:r w:rsidRPr="00F13715">
        <w:rPr>
          <w:rFonts w:eastAsia="Times New Roman"/>
        </w:rPr>
        <w:t xml:space="preserve"> screening laboratory and ask for the infant to be flagged as having a possible metabolic disorder. </w:t>
      </w:r>
    </w:p>
    <w:p w14:paraId="3F958572" w14:textId="77777777" w:rsidR="00F13715" w:rsidRPr="00F13715" w:rsidRDefault="00F13715" w:rsidP="00F13715">
      <w:pPr>
        <w:keepNext/>
        <w:keepLines/>
        <w:suppressAutoHyphens/>
        <w:spacing w:before="0" w:after="320" w:line="240" w:lineRule="auto"/>
        <w:outlineLvl w:val="0"/>
        <w:rPr>
          <w:rFonts w:asciiTheme="majorHAnsi" w:eastAsiaTheme="majorEastAsia" w:hAnsiTheme="majorHAnsi" w:cstheme="majorBidi"/>
          <w:b/>
          <w:bCs/>
          <w:color w:val="007586" w:themeColor="text2"/>
          <w:sz w:val="44"/>
          <w:szCs w:val="32"/>
        </w:rPr>
      </w:pPr>
    </w:p>
    <w:p w14:paraId="662D43EC" w14:textId="77777777" w:rsidR="00F13715" w:rsidRPr="00F13715" w:rsidRDefault="00F13715" w:rsidP="00F13715">
      <w:pPr>
        <w:keepNext/>
        <w:keepLines/>
        <w:suppressAutoHyphens/>
        <w:spacing w:before="0" w:after="320" w:line="240" w:lineRule="auto"/>
        <w:outlineLvl w:val="0"/>
        <w:rPr>
          <w:rFonts w:asciiTheme="majorHAnsi" w:eastAsiaTheme="majorEastAsia" w:hAnsiTheme="majorHAnsi" w:cstheme="majorBidi"/>
          <w:b/>
          <w:bCs/>
          <w:color w:val="007586" w:themeColor="text2"/>
          <w:sz w:val="18"/>
          <w:szCs w:val="18"/>
        </w:rPr>
      </w:pPr>
      <w:bookmarkStart w:id="48" w:name="_Toc178176059"/>
      <w:bookmarkStart w:id="49" w:name="_Toc182909907"/>
      <w:r w:rsidRPr="00F13715">
        <w:rPr>
          <w:rFonts w:asciiTheme="majorHAnsi" w:eastAsiaTheme="majorEastAsia" w:hAnsiTheme="majorHAnsi" w:cstheme="majorBidi"/>
          <w:b/>
          <w:bCs/>
          <w:color w:val="007586" w:themeColor="text2"/>
          <w:sz w:val="44"/>
          <w:szCs w:val="32"/>
        </w:rPr>
        <w:t>Follow-up</w:t>
      </w:r>
      <w:bookmarkEnd w:id="48"/>
      <w:bookmarkEnd w:id="49"/>
      <w:r w:rsidRPr="00F13715">
        <w:rPr>
          <w:rFonts w:asciiTheme="majorHAnsi" w:eastAsiaTheme="majorEastAsia" w:hAnsiTheme="majorHAnsi" w:cstheme="majorBidi"/>
          <w:b/>
          <w:bCs/>
          <w:color w:val="007586" w:themeColor="text2"/>
          <w:sz w:val="44"/>
          <w:szCs w:val="32"/>
        </w:rPr>
        <w:t xml:space="preserve"> </w:t>
      </w:r>
    </w:p>
    <w:p w14:paraId="7193A8F2" w14:textId="77777777" w:rsidR="00F13715" w:rsidRPr="00F13715" w:rsidRDefault="00F13715" w:rsidP="00F13715">
      <w:pPr>
        <w:spacing w:after="0"/>
        <w:textAlignment w:val="baseline"/>
        <w:rPr>
          <w:rFonts w:eastAsia="Times New Roman" w:cstheme="minorHAnsi"/>
          <w:sz w:val="22"/>
          <w:szCs w:val="22"/>
        </w:rPr>
      </w:pPr>
      <w:r w:rsidRPr="00F13715">
        <w:rPr>
          <w:rFonts w:eastAsia="Times New Roman" w:cstheme="minorHAnsi"/>
          <w:sz w:val="22"/>
          <w:szCs w:val="22"/>
        </w:rPr>
        <w:t xml:space="preserve">Infants managed for hypoglycaemia in the postnatal ward do not require routine outpatient follow-up. </w:t>
      </w:r>
    </w:p>
    <w:p w14:paraId="48C5418D" w14:textId="77777777" w:rsidR="00F13715" w:rsidRPr="00F13715" w:rsidRDefault="00F13715" w:rsidP="00F13715">
      <w:pPr>
        <w:spacing w:after="0"/>
        <w:rPr>
          <w:rFonts w:eastAsia="Times New Roman"/>
          <w:sz w:val="22"/>
          <w:szCs w:val="22"/>
        </w:rPr>
      </w:pPr>
      <w:r w:rsidRPr="00F13715">
        <w:rPr>
          <w:rFonts w:eastAsia="Times New Roman"/>
          <w:sz w:val="22"/>
          <w:szCs w:val="22"/>
        </w:rPr>
        <w:t xml:space="preserve">Infants admitted to a neonatal unit for management whose hypoglycaemia is refractory to simple intravenous therapy should be reviewed post discharge according to specialist endocrine advice. </w:t>
      </w:r>
    </w:p>
    <w:p w14:paraId="52709EF4" w14:textId="77777777" w:rsidR="00F13715" w:rsidRPr="00F13715" w:rsidRDefault="00F13715" w:rsidP="00F13715">
      <w:pPr>
        <w:spacing w:before="0"/>
        <w:rPr>
          <w:rFonts w:eastAsia="Times New Roman" w:cstheme="minorHAnsi"/>
          <w:sz w:val="22"/>
          <w:szCs w:val="22"/>
        </w:rPr>
      </w:pPr>
    </w:p>
    <w:p w14:paraId="458EE396" w14:textId="77777777" w:rsidR="00F13715" w:rsidRPr="00F13715" w:rsidRDefault="00F13715" w:rsidP="00F13715">
      <w:pPr>
        <w:spacing w:before="0" w:after="0"/>
        <w:rPr>
          <w:rFonts w:asciiTheme="majorHAnsi" w:eastAsiaTheme="majorEastAsia" w:hAnsiTheme="majorHAnsi" w:cstheme="majorBidi"/>
          <w:b/>
          <w:bCs/>
          <w:color w:val="007586" w:themeColor="text2"/>
          <w:sz w:val="44"/>
          <w:szCs w:val="32"/>
        </w:rPr>
      </w:pPr>
      <w:bookmarkStart w:id="50" w:name="_Toc178176060"/>
      <w:r w:rsidRPr="00F13715">
        <w:rPr>
          <w:rFonts w:asciiTheme="majorHAnsi" w:eastAsiaTheme="majorEastAsia" w:hAnsiTheme="majorHAnsi" w:cstheme="majorBidi"/>
          <w:b/>
          <w:bCs/>
          <w:color w:val="007586" w:themeColor="text2"/>
          <w:sz w:val="44"/>
          <w:szCs w:val="32"/>
        </w:rPr>
        <w:lastRenderedPageBreak/>
        <w:t>Management flow charts</w:t>
      </w:r>
      <w:bookmarkEnd w:id="50"/>
      <w:r w:rsidRPr="00F13715">
        <w:rPr>
          <w:rFonts w:asciiTheme="majorHAnsi" w:eastAsiaTheme="majorEastAsia" w:hAnsiTheme="majorHAnsi" w:cstheme="majorBidi"/>
          <w:b/>
          <w:bCs/>
          <w:color w:val="007586" w:themeColor="text2"/>
          <w:sz w:val="44"/>
          <w:szCs w:val="32"/>
        </w:rPr>
        <w:t xml:space="preserve"> </w:t>
      </w:r>
    </w:p>
    <w:p w14:paraId="15BDCF61" w14:textId="77777777" w:rsidR="00F13715" w:rsidRPr="00F13715" w:rsidRDefault="00F13715" w:rsidP="00F13715">
      <w:pPr>
        <w:spacing w:before="0" w:after="0"/>
        <w:rPr>
          <w:rFonts w:cstheme="minorHAnsi"/>
          <w:sz w:val="22"/>
          <w:szCs w:val="22"/>
        </w:rPr>
      </w:pPr>
      <w:r w:rsidRPr="00F13715">
        <w:rPr>
          <w:rFonts w:cstheme="minorHAnsi"/>
          <w:sz w:val="22"/>
          <w:szCs w:val="22"/>
        </w:rPr>
        <w:t>To be used in conjunction with this guidance:</w:t>
      </w:r>
    </w:p>
    <w:p w14:paraId="2DC98692" w14:textId="77777777" w:rsidR="00F13715" w:rsidRPr="00F13715" w:rsidRDefault="00F13715" w:rsidP="00C86C45">
      <w:pPr>
        <w:pStyle w:val="SCVbullet1"/>
        <w:rPr>
          <w:rFonts w:eastAsia="Times New Roman"/>
          <w:b/>
          <w:bCs/>
        </w:rPr>
      </w:pPr>
      <w:r w:rsidRPr="00F13715">
        <w:t>Flow Chart: Management of hypoglycaemia in birthing environments and postnatal wards</w:t>
      </w:r>
    </w:p>
    <w:p w14:paraId="273C49B6" w14:textId="77777777" w:rsidR="00F13715" w:rsidRPr="00F13715" w:rsidRDefault="00F13715" w:rsidP="00C86C45">
      <w:pPr>
        <w:pStyle w:val="SCVbullet1"/>
      </w:pPr>
      <w:r w:rsidRPr="00F13715">
        <w:t>Flow Chart: Management of hypoglycaemia in neonatal units</w:t>
      </w:r>
    </w:p>
    <w:p w14:paraId="4EE48736" w14:textId="77777777" w:rsidR="00F13715" w:rsidRPr="00F13715" w:rsidRDefault="00F13715" w:rsidP="00C86C45">
      <w:pPr>
        <w:pStyle w:val="SCVbullet1"/>
        <w:numPr>
          <w:ilvl w:val="0"/>
          <w:numId w:val="0"/>
        </w:numPr>
        <w:ind w:left="284"/>
        <w:rPr>
          <w:rFonts w:eastAsiaTheme="majorEastAsia"/>
          <w:b/>
          <w:bCs/>
          <w:color w:val="007586" w:themeColor="text2"/>
          <w:sz w:val="28"/>
          <w:szCs w:val="32"/>
        </w:rPr>
      </w:pPr>
    </w:p>
    <w:p w14:paraId="3023F005" w14:textId="77777777" w:rsidR="00F13715" w:rsidRPr="00F13715" w:rsidRDefault="00F13715" w:rsidP="00F13715">
      <w:pPr>
        <w:keepNext/>
        <w:keepLines/>
        <w:suppressAutoHyphens/>
        <w:spacing w:before="0" w:after="320" w:line="240" w:lineRule="auto"/>
        <w:outlineLvl w:val="0"/>
        <w:rPr>
          <w:rFonts w:eastAsiaTheme="majorEastAsia" w:cstheme="minorHAnsi"/>
          <w:b/>
          <w:bCs/>
          <w:color w:val="007586" w:themeColor="text2"/>
        </w:rPr>
      </w:pPr>
      <w:bookmarkStart w:id="51" w:name="_Toc178176061"/>
      <w:bookmarkStart w:id="52" w:name="_Toc182909908"/>
      <w:r w:rsidRPr="00F13715">
        <w:rPr>
          <w:rFonts w:eastAsiaTheme="majorEastAsia" w:cstheme="minorHAnsi"/>
          <w:b/>
          <w:bCs/>
          <w:color w:val="007586" w:themeColor="text2"/>
          <w:sz w:val="44"/>
          <w:szCs w:val="32"/>
        </w:rPr>
        <w:t>References</w:t>
      </w:r>
      <w:bookmarkEnd w:id="51"/>
      <w:bookmarkEnd w:id="52"/>
      <w:r w:rsidRPr="00F13715">
        <w:rPr>
          <w:rFonts w:eastAsiaTheme="majorEastAsia" w:cstheme="minorHAnsi"/>
          <w:b/>
          <w:bCs/>
          <w:color w:val="007586" w:themeColor="text2"/>
          <w:sz w:val="44"/>
          <w:szCs w:val="32"/>
        </w:rPr>
        <w:t xml:space="preserve"> </w:t>
      </w:r>
    </w:p>
    <w:p w14:paraId="6DBBBBA4" w14:textId="77777777" w:rsidR="00F13715" w:rsidRPr="00F13715" w:rsidRDefault="00F13715" w:rsidP="00F13715">
      <w:pPr>
        <w:widowControl w:val="0"/>
        <w:numPr>
          <w:ilvl w:val="0"/>
          <w:numId w:val="19"/>
        </w:numPr>
        <w:spacing w:before="120" w:after="120" w:line="240" w:lineRule="auto"/>
        <w:ind w:left="426" w:hanging="426"/>
        <w:contextualSpacing/>
        <w:rPr>
          <w:rFonts w:eastAsia="Aptos" w:cstheme="minorHAnsi"/>
          <w:color w:val="000000" w:themeColor="text1"/>
          <w:sz w:val="22"/>
          <w:szCs w:val="22"/>
        </w:rPr>
      </w:pPr>
      <w:r w:rsidRPr="00F13715">
        <w:rPr>
          <w:rFonts w:eastAsia="Aptos" w:cstheme="minorHAnsi"/>
          <w:color w:val="000000" w:themeColor="text1"/>
          <w:sz w:val="22"/>
          <w:szCs w:val="22"/>
        </w:rPr>
        <w:t xml:space="preserve">Harris DL, Weston PJ, Gamble GD, Harding JE. Glucose profiles in healthy term infants in the first 5 days: the glucose in well babies (GLOW) study. </w:t>
      </w:r>
      <w:r w:rsidRPr="00F13715">
        <w:rPr>
          <w:rFonts w:eastAsia="Aptos" w:cstheme="minorHAnsi"/>
          <w:i/>
          <w:iCs/>
          <w:color w:val="000000" w:themeColor="text1"/>
          <w:sz w:val="22"/>
          <w:szCs w:val="22"/>
        </w:rPr>
        <w:t xml:space="preserve">J </w:t>
      </w:r>
      <w:proofErr w:type="spellStart"/>
      <w:r w:rsidRPr="00F13715">
        <w:rPr>
          <w:rFonts w:eastAsia="Aptos" w:cstheme="minorHAnsi"/>
          <w:i/>
          <w:iCs/>
          <w:color w:val="000000" w:themeColor="text1"/>
          <w:sz w:val="22"/>
          <w:szCs w:val="22"/>
        </w:rPr>
        <w:t>Pediatr</w:t>
      </w:r>
      <w:proofErr w:type="spellEnd"/>
      <w:r w:rsidRPr="00F13715">
        <w:rPr>
          <w:rFonts w:eastAsia="Aptos" w:cstheme="minorHAnsi"/>
          <w:color w:val="000000" w:themeColor="text1"/>
          <w:sz w:val="22"/>
          <w:szCs w:val="22"/>
        </w:rPr>
        <w:t xml:space="preserve"> (2020) 223:34–41. 10.1016/j.jpeds.2020.02.079 </w:t>
      </w:r>
    </w:p>
    <w:p w14:paraId="561A7BE3" w14:textId="77777777" w:rsidR="00F13715" w:rsidRPr="00F13715" w:rsidRDefault="00F13715" w:rsidP="00F13715">
      <w:pPr>
        <w:widowControl w:val="0"/>
        <w:numPr>
          <w:ilvl w:val="0"/>
          <w:numId w:val="19"/>
        </w:numPr>
        <w:spacing w:before="120" w:after="120" w:line="240" w:lineRule="auto"/>
        <w:ind w:left="426" w:hanging="426"/>
        <w:contextualSpacing/>
        <w:rPr>
          <w:rFonts w:cstheme="minorHAnsi"/>
          <w:color w:val="222222"/>
          <w:sz w:val="22"/>
          <w:szCs w:val="22"/>
          <w:shd w:val="clear" w:color="auto" w:fill="FFFFFF"/>
        </w:rPr>
      </w:pPr>
      <w:r w:rsidRPr="00F13715">
        <w:rPr>
          <w:rFonts w:cstheme="minorHAnsi"/>
          <w:color w:val="222222"/>
          <w:sz w:val="22"/>
          <w:szCs w:val="22"/>
          <w:shd w:val="clear" w:color="auto" w:fill="FFFFFF"/>
        </w:rPr>
        <w:t xml:space="preserve">Kaiser JR, Bai S, Gibson N, Holland G, Lin TM, Swearingen CJ, Mehl JK, </w:t>
      </w:r>
      <w:proofErr w:type="spellStart"/>
      <w:r w:rsidRPr="00F13715">
        <w:rPr>
          <w:rFonts w:cstheme="minorHAnsi"/>
          <w:color w:val="222222"/>
          <w:sz w:val="22"/>
          <w:szCs w:val="22"/>
          <w:shd w:val="clear" w:color="auto" w:fill="FFFFFF"/>
        </w:rPr>
        <w:t>ElHassan</w:t>
      </w:r>
      <w:proofErr w:type="spellEnd"/>
      <w:r w:rsidRPr="00F13715">
        <w:rPr>
          <w:rFonts w:cstheme="minorHAnsi"/>
          <w:color w:val="222222"/>
          <w:sz w:val="22"/>
          <w:szCs w:val="22"/>
          <w:shd w:val="clear" w:color="auto" w:fill="FFFFFF"/>
        </w:rPr>
        <w:t xml:space="preserve"> NO. Association between transient newborn </w:t>
      </w:r>
      <w:proofErr w:type="spellStart"/>
      <w:r w:rsidRPr="00F13715">
        <w:rPr>
          <w:rFonts w:cstheme="minorHAnsi"/>
          <w:color w:val="222222"/>
          <w:sz w:val="22"/>
          <w:szCs w:val="22"/>
          <w:shd w:val="clear" w:color="auto" w:fill="FFFFFF"/>
        </w:rPr>
        <w:t>hypoglycemia</w:t>
      </w:r>
      <w:proofErr w:type="spellEnd"/>
      <w:r w:rsidRPr="00F13715">
        <w:rPr>
          <w:rFonts w:cstheme="minorHAnsi"/>
          <w:color w:val="222222"/>
          <w:sz w:val="22"/>
          <w:szCs w:val="22"/>
          <w:shd w:val="clear" w:color="auto" w:fill="FFFFFF"/>
        </w:rPr>
        <w:t xml:space="preserve"> and fourth-grade achievement test proficiency: a population-based study. JAMA </w:t>
      </w:r>
      <w:proofErr w:type="spellStart"/>
      <w:r w:rsidRPr="00F13715">
        <w:rPr>
          <w:rFonts w:cstheme="minorHAnsi"/>
          <w:color w:val="222222"/>
          <w:sz w:val="22"/>
          <w:szCs w:val="22"/>
          <w:shd w:val="clear" w:color="auto" w:fill="FFFFFF"/>
        </w:rPr>
        <w:t>Pediatrics</w:t>
      </w:r>
      <w:proofErr w:type="spellEnd"/>
      <w:r w:rsidRPr="00F13715">
        <w:rPr>
          <w:rFonts w:cstheme="minorHAnsi"/>
          <w:color w:val="222222"/>
          <w:sz w:val="22"/>
          <w:szCs w:val="22"/>
          <w:shd w:val="clear" w:color="auto" w:fill="FFFFFF"/>
        </w:rPr>
        <w:t>. 2015 Oct 1;169(10):913-21.</w:t>
      </w:r>
    </w:p>
    <w:p w14:paraId="510F904D" w14:textId="77777777" w:rsidR="00F13715" w:rsidRPr="00F13715" w:rsidRDefault="00F13715" w:rsidP="00F13715">
      <w:pPr>
        <w:widowControl w:val="0"/>
        <w:numPr>
          <w:ilvl w:val="0"/>
          <w:numId w:val="19"/>
        </w:numPr>
        <w:spacing w:before="120" w:after="120" w:line="240" w:lineRule="auto"/>
        <w:ind w:left="426" w:hanging="426"/>
        <w:contextualSpacing/>
        <w:rPr>
          <w:rFonts w:cstheme="minorHAnsi"/>
          <w:color w:val="222222"/>
          <w:sz w:val="22"/>
          <w:szCs w:val="22"/>
          <w:shd w:val="clear" w:color="auto" w:fill="FFFFFF"/>
        </w:rPr>
      </w:pPr>
      <w:r w:rsidRPr="00F13715">
        <w:rPr>
          <w:rFonts w:cstheme="minorHAnsi"/>
          <w:color w:val="222222"/>
          <w:sz w:val="22"/>
          <w:szCs w:val="22"/>
          <w:shd w:val="clear" w:color="auto" w:fill="FFFFFF"/>
        </w:rPr>
        <w:t xml:space="preserve">McKinlay CJ, </w:t>
      </w:r>
      <w:proofErr w:type="spellStart"/>
      <w:r w:rsidRPr="00F13715">
        <w:rPr>
          <w:rFonts w:cstheme="minorHAnsi"/>
          <w:color w:val="222222"/>
          <w:sz w:val="22"/>
          <w:szCs w:val="22"/>
          <w:shd w:val="clear" w:color="auto" w:fill="FFFFFF"/>
        </w:rPr>
        <w:t>Alsweiler</w:t>
      </w:r>
      <w:proofErr w:type="spellEnd"/>
      <w:r w:rsidRPr="00F13715">
        <w:rPr>
          <w:rFonts w:cstheme="minorHAnsi"/>
          <w:color w:val="222222"/>
          <w:sz w:val="22"/>
          <w:szCs w:val="22"/>
          <w:shd w:val="clear" w:color="auto" w:fill="FFFFFF"/>
        </w:rPr>
        <w:t xml:space="preserve"> JM, Anstice NS, </w:t>
      </w:r>
      <w:proofErr w:type="spellStart"/>
      <w:r w:rsidRPr="00F13715">
        <w:rPr>
          <w:rFonts w:cstheme="minorHAnsi"/>
          <w:color w:val="222222"/>
          <w:sz w:val="22"/>
          <w:szCs w:val="22"/>
          <w:shd w:val="clear" w:color="auto" w:fill="FFFFFF"/>
        </w:rPr>
        <w:t>Burakevych</w:t>
      </w:r>
      <w:proofErr w:type="spellEnd"/>
      <w:r w:rsidRPr="00F13715">
        <w:rPr>
          <w:rFonts w:cstheme="minorHAnsi"/>
          <w:color w:val="222222"/>
          <w:sz w:val="22"/>
          <w:szCs w:val="22"/>
          <w:shd w:val="clear" w:color="auto" w:fill="FFFFFF"/>
        </w:rPr>
        <w:t xml:space="preserve"> N, Chakraborty A, Chase JG, Gamble GD, Harris DL, Jacobs RJ, Jiang Y, Paudel N. Association of neonatal glycemia with neurodevelopmental outcomes at 4.5 years. JAMA </w:t>
      </w:r>
      <w:proofErr w:type="spellStart"/>
      <w:r w:rsidRPr="00F13715">
        <w:rPr>
          <w:rFonts w:cstheme="minorHAnsi"/>
          <w:color w:val="222222"/>
          <w:sz w:val="22"/>
          <w:szCs w:val="22"/>
          <w:shd w:val="clear" w:color="auto" w:fill="FFFFFF"/>
        </w:rPr>
        <w:t>Pediatrics</w:t>
      </w:r>
      <w:proofErr w:type="spellEnd"/>
      <w:r w:rsidRPr="00F13715">
        <w:rPr>
          <w:rFonts w:cstheme="minorHAnsi"/>
          <w:color w:val="222222"/>
          <w:sz w:val="22"/>
          <w:szCs w:val="22"/>
          <w:shd w:val="clear" w:color="auto" w:fill="FFFFFF"/>
        </w:rPr>
        <w:t>. 2017 Oct 1;171(10):972-83.</w:t>
      </w:r>
    </w:p>
    <w:p w14:paraId="5D1FB5D5" w14:textId="77777777" w:rsidR="00F13715" w:rsidRPr="00F13715" w:rsidRDefault="00F13715" w:rsidP="00F13715">
      <w:pPr>
        <w:widowControl w:val="0"/>
        <w:numPr>
          <w:ilvl w:val="0"/>
          <w:numId w:val="19"/>
        </w:numPr>
        <w:spacing w:before="120" w:after="120" w:line="240" w:lineRule="auto"/>
        <w:ind w:left="426" w:hanging="426"/>
        <w:contextualSpacing/>
        <w:rPr>
          <w:rFonts w:cstheme="minorHAnsi"/>
          <w:sz w:val="22"/>
          <w:szCs w:val="22"/>
        </w:rPr>
      </w:pPr>
      <w:r w:rsidRPr="00F13715">
        <w:rPr>
          <w:rFonts w:cstheme="minorHAnsi"/>
          <w:color w:val="222222"/>
          <w:sz w:val="22"/>
          <w:szCs w:val="22"/>
          <w:shd w:val="clear" w:color="auto" w:fill="FFFFFF"/>
        </w:rPr>
        <w:t>Kaiser JR, Bai S, Rozance PJ. Newborn plasma glucose concentration nadirs by gestational-age group. Neonatology. 2018;113(4):353-9.</w:t>
      </w:r>
    </w:p>
    <w:p w14:paraId="248FA0BF" w14:textId="77777777" w:rsidR="00F13715" w:rsidRPr="00F13715" w:rsidRDefault="00F13715" w:rsidP="00F13715">
      <w:pPr>
        <w:widowControl w:val="0"/>
        <w:numPr>
          <w:ilvl w:val="0"/>
          <w:numId w:val="19"/>
        </w:numPr>
        <w:spacing w:before="120" w:after="120" w:line="240" w:lineRule="auto"/>
        <w:ind w:left="426" w:hanging="426"/>
        <w:contextualSpacing/>
        <w:rPr>
          <w:rFonts w:cstheme="minorHAnsi"/>
          <w:color w:val="222222"/>
          <w:sz w:val="22"/>
          <w:szCs w:val="22"/>
          <w:shd w:val="clear" w:color="auto" w:fill="FFFFFF"/>
        </w:rPr>
      </w:pPr>
      <w:r w:rsidRPr="00F13715">
        <w:rPr>
          <w:rFonts w:cstheme="minorHAnsi"/>
          <w:color w:val="222222"/>
          <w:sz w:val="22"/>
          <w:szCs w:val="22"/>
          <w:shd w:val="clear" w:color="auto" w:fill="FFFFFF"/>
        </w:rPr>
        <w:t xml:space="preserve">McKinlay CJ, </w:t>
      </w:r>
      <w:proofErr w:type="spellStart"/>
      <w:r w:rsidRPr="00F13715">
        <w:rPr>
          <w:rFonts w:cstheme="minorHAnsi"/>
          <w:color w:val="222222"/>
          <w:sz w:val="22"/>
          <w:szCs w:val="22"/>
          <w:shd w:val="clear" w:color="auto" w:fill="FFFFFF"/>
        </w:rPr>
        <w:t>Alsweiler</w:t>
      </w:r>
      <w:proofErr w:type="spellEnd"/>
      <w:r w:rsidRPr="00F13715">
        <w:rPr>
          <w:rFonts w:cstheme="minorHAnsi"/>
          <w:color w:val="222222"/>
          <w:sz w:val="22"/>
          <w:szCs w:val="22"/>
          <w:shd w:val="clear" w:color="auto" w:fill="FFFFFF"/>
        </w:rPr>
        <w:t xml:space="preserve"> JM, Ansell JM, Anstice NS, Chase JG, Gamble GD, Harris DL, Jacobs RJ, Jiang Y, Paudel N, Signal M. Neonatal glycemia and neurodevelopmental outcomes at 2 years. New England Journal of Medicine. 2015 Oct 15;373(16):1507-18.</w:t>
      </w:r>
    </w:p>
    <w:p w14:paraId="3516763C" w14:textId="77777777" w:rsidR="00F13715" w:rsidRPr="00F13715" w:rsidRDefault="00F13715" w:rsidP="00F13715">
      <w:pPr>
        <w:widowControl w:val="0"/>
        <w:numPr>
          <w:ilvl w:val="0"/>
          <w:numId w:val="19"/>
        </w:numPr>
        <w:spacing w:before="120" w:after="120" w:line="240" w:lineRule="auto"/>
        <w:ind w:left="426" w:hanging="426"/>
        <w:contextualSpacing/>
        <w:rPr>
          <w:rFonts w:cstheme="minorHAnsi"/>
          <w:color w:val="000000" w:themeColor="text1"/>
          <w:sz w:val="22"/>
          <w:szCs w:val="22"/>
        </w:rPr>
      </w:pPr>
      <w:r w:rsidRPr="00F13715">
        <w:rPr>
          <w:rFonts w:cstheme="minorHAnsi"/>
          <w:color w:val="000000" w:themeColor="text1"/>
          <w:sz w:val="22"/>
          <w:szCs w:val="22"/>
        </w:rPr>
        <w:t xml:space="preserve">Glasgow MJ, Harding JE, Edlin R, CHYLD Study Team. Cost analysis of cot-side screening methods for neonatal hypoglycaemia. Neonatology. 2018;114(2):155-62. </w:t>
      </w:r>
    </w:p>
    <w:p w14:paraId="39C2B423" w14:textId="77777777" w:rsidR="00F13715" w:rsidRPr="00F13715" w:rsidRDefault="00F13715" w:rsidP="00F13715">
      <w:pPr>
        <w:widowControl w:val="0"/>
        <w:numPr>
          <w:ilvl w:val="0"/>
          <w:numId w:val="19"/>
        </w:numPr>
        <w:spacing w:before="120" w:after="120" w:line="240" w:lineRule="auto"/>
        <w:ind w:left="426" w:hanging="426"/>
        <w:contextualSpacing/>
        <w:rPr>
          <w:rFonts w:cstheme="minorHAnsi"/>
          <w:sz w:val="22"/>
          <w:szCs w:val="22"/>
        </w:rPr>
      </w:pPr>
      <w:r w:rsidRPr="00F13715">
        <w:rPr>
          <w:rFonts w:cstheme="minorHAnsi"/>
          <w:color w:val="000000" w:themeColor="text1"/>
          <w:sz w:val="22"/>
          <w:szCs w:val="22"/>
        </w:rPr>
        <w:t xml:space="preserve">Jane E Harding, Jane M </w:t>
      </w:r>
      <w:proofErr w:type="spellStart"/>
      <w:r w:rsidRPr="00F13715">
        <w:rPr>
          <w:rFonts w:cstheme="minorHAnsi"/>
          <w:color w:val="000000" w:themeColor="text1"/>
          <w:sz w:val="22"/>
          <w:szCs w:val="22"/>
        </w:rPr>
        <w:t>Alsweiler</w:t>
      </w:r>
      <w:proofErr w:type="spellEnd"/>
      <w:r w:rsidRPr="00F13715">
        <w:rPr>
          <w:rFonts w:cstheme="minorHAnsi"/>
          <w:color w:val="000000" w:themeColor="text1"/>
          <w:sz w:val="22"/>
          <w:szCs w:val="22"/>
        </w:rPr>
        <w:t xml:space="preserve">, Taygen E Edwards, Chris JD McKinlay. Neonatal </w:t>
      </w:r>
      <w:proofErr w:type="spellStart"/>
      <w:r w:rsidRPr="00F13715">
        <w:rPr>
          <w:rFonts w:cstheme="minorHAnsi"/>
          <w:color w:val="000000" w:themeColor="text1"/>
          <w:sz w:val="22"/>
          <w:szCs w:val="22"/>
        </w:rPr>
        <w:t>Hypoglycemia</w:t>
      </w:r>
      <w:proofErr w:type="spellEnd"/>
      <w:r w:rsidRPr="00F13715">
        <w:rPr>
          <w:rFonts w:cstheme="minorHAnsi"/>
          <w:color w:val="000000" w:themeColor="text1"/>
          <w:sz w:val="22"/>
          <w:szCs w:val="22"/>
        </w:rPr>
        <w:t xml:space="preserve">. </w:t>
      </w:r>
      <w:r w:rsidRPr="00F13715">
        <w:rPr>
          <w:rFonts w:cstheme="minorHAnsi"/>
          <w:sz w:val="22"/>
          <w:szCs w:val="22"/>
        </w:rPr>
        <w:t xml:space="preserve">BMJ Med. 2024; 3(1): e000544. Published online 2024 Apr 9. </w:t>
      </w:r>
      <w:proofErr w:type="spellStart"/>
      <w:r w:rsidRPr="00F13715">
        <w:rPr>
          <w:rFonts w:cstheme="minorHAnsi"/>
          <w:sz w:val="22"/>
          <w:szCs w:val="22"/>
        </w:rPr>
        <w:t>doi</w:t>
      </w:r>
      <w:proofErr w:type="spellEnd"/>
      <w:r w:rsidRPr="00F13715">
        <w:rPr>
          <w:rFonts w:cstheme="minorHAnsi"/>
          <w:sz w:val="22"/>
          <w:szCs w:val="22"/>
        </w:rPr>
        <w:t>: 10.1136/bmjmed-2023-000544</w:t>
      </w:r>
    </w:p>
    <w:p w14:paraId="7D858278" w14:textId="77777777" w:rsidR="00F13715" w:rsidRPr="00F13715" w:rsidRDefault="00F13715" w:rsidP="00F13715">
      <w:pPr>
        <w:widowControl w:val="0"/>
        <w:numPr>
          <w:ilvl w:val="0"/>
          <w:numId w:val="19"/>
        </w:numPr>
        <w:spacing w:before="120" w:after="120" w:line="240" w:lineRule="auto"/>
        <w:ind w:left="426" w:hanging="426"/>
        <w:contextualSpacing/>
        <w:rPr>
          <w:color w:val="000000" w:themeColor="text1"/>
          <w:sz w:val="22"/>
          <w:szCs w:val="22"/>
        </w:rPr>
      </w:pPr>
      <w:r w:rsidRPr="00F13715">
        <w:rPr>
          <w:color w:val="000000" w:themeColor="text1"/>
          <w:sz w:val="22"/>
          <w:szCs w:val="22"/>
        </w:rPr>
        <w:t xml:space="preserve">The Women’s Hospital Clinical Guidelines: Hypoglycaemia – Newborn management. Updated July 2024. Available from: </w:t>
      </w:r>
      <w:hyperlink r:id="rId37">
        <w:r w:rsidRPr="00F13715">
          <w:rPr>
            <w:color w:val="004C97"/>
            <w:sz w:val="22"/>
            <w:szCs w:val="22"/>
            <w:u w:val="single"/>
          </w:rPr>
          <w:t>https://www.thewomens.org.au/health-professionals/clinical-resources/clinical-guidelines-gps</w:t>
        </w:r>
      </w:hyperlink>
      <w:r w:rsidRPr="00F13715">
        <w:rPr>
          <w:color w:val="000000" w:themeColor="text1"/>
          <w:sz w:val="22"/>
          <w:szCs w:val="22"/>
        </w:rPr>
        <w:t>. [reviewed July 2024; Accessed August 2024]</w:t>
      </w:r>
    </w:p>
    <w:p w14:paraId="05EB3B0B" w14:textId="77777777" w:rsidR="00F13715" w:rsidRPr="00F13715" w:rsidRDefault="00F13715" w:rsidP="00F13715">
      <w:pPr>
        <w:widowControl w:val="0"/>
        <w:numPr>
          <w:ilvl w:val="0"/>
          <w:numId w:val="19"/>
        </w:numPr>
        <w:spacing w:before="120" w:after="120" w:line="240" w:lineRule="auto"/>
        <w:ind w:left="426" w:hanging="426"/>
        <w:contextualSpacing/>
        <w:rPr>
          <w:color w:val="000000" w:themeColor="text1"/>
          <w:sz w:val="22"/>
          <w:szCs w:val="22"/>
        </w:rPr>
      </w:pPr>
      <w:r w:rsidRPr="00F13715">
        <w:rPr>
          <w:color w:val="000000" w:themeColor="text1"/>
          <w:sz w:val="22"/>
          <w:szCs w:val="22"/>
        </w:rPr>
        <w:t xml:space="preserve">World Health Organization: The WHO Child Growth Standards  </w:t>
      </w:r>
      <w:hyperlink r:id="rId38">
        <w:r w:rsidRPr="00F13715">
          <w:rPr>
            <w:color w:val="004C97"/>
            <w:sz w:val="22"/>
            <w:szCs w:val="22"/>
            <w:u w:val="single"/>
          </w:rPr>
          <w:t>http://www.who.int/childgrowth/standards/en/a</w:t>
        </w:r>
      </w:hyperlink>
      <w:r w:rsidRPr="00F13715">
        <w:rPr>
          <w:color w:val="000000" w:themeColor="text1"/>
          <w:sz w:val="22"/>
          <w:szCs w:val="22"/>
        </w:rPr>
        <w:t xml:space="preserve"> [Accessed August 2024]</w:t>
      </w:r>
    </w:p>
    <w:p w14:paraId="2C44DBCE" w14:textId="77777777" w:rsidR="00F13715" w:rsidRPr="00F13715" w:rsidRDefault="00F13715" w:rsidP="00F13715">
      <w:pPr>
        <w:widowControl w:val="0"/>
        <w:numPr>
          <w:ilvl w:val="0"/>
          <w:numId w:val="19"/>
        </w:numPr>
        <w:spacing w:before="120" w:after="120" w:line="240" w:lineRule="auto"/>
        <w:ind w:left="426" w:hanging="426"/>
        <w:contextualSpacing/>
        <w:rPr>
          <w:color w:val="000000" w:themeColor="text1"/>
          <w:sz w:val="22"/>
          <w:szCs w:val="22"/>
        </w:rPr>
      </w:pPr>
      <w:hyperlink r:id="rId39">
        <w:r w:rsidRPr="00F13715">
          <w:rPr>
            <w:color w:val="96607D"/>
            <w:sz w:val="22"/>
            <w:szCs w:val="22"/>
            <w:u w:val="single"/>
          </w:rPr>
          <w:t>www.ucalgary.ca/fenton</w:t>
        </w:r>
      </w:hyperlink>
      <w:r w:rsidRPr="00F13715">
        <w:rPr>
          <w:color w:val="000000" w:themeColor="text1"/>
          <w:sz w:val="22"/>
          <w:szCs w:val="22"/>
        </w:rPr>
        <w:t xml:space="preserve">  accessed [August 2024]</w:t>
      </w:r>
    </w:p>
    <w:p w14:paraId="68B13A43" w14:textId="77777777" w:rsidR="00F13715" w:rsidRPr="00F13715" w:rsidRDefault="00F13715" w:rsidP="00F13715">
      <w:pPr>
        <w:widowControl w:val="0"/>
        <w:numPr>
          <w:ilvl w:val="0"/>
          <w:numId w:val="19"/>
        </w:numPr>
        <w:spacing w:before="120" w:after="120" w:line="240" w:lineRule="auto"/>
        <w:ind w:left="426" w:hanging="426"/>
        <w:contextualSpacing/>
        <w:rPr>
          <w:rFonts w:ascii="Aptos" w:eastAsia="Aptos" w:hAnsi="Aptos" w:cs="Aptos"/>
          <w:color w:val="000000" w:themeColor="text1"/>
          <w:sz w:val="24"/>
          <w:szCs w:val="24"/>
        </w:rPr>
      </w:pPr>
      <w:hyperlink r:id="rId40">
        <w:r w:rsidRPr="00F13715">
          <w:rPr>
            <w:color w:val="96607D"/>
            <w:sz w:val="22"/>
            <w:szCs w:val="22"/>
            <w:u w:val="single"/>
          </w:rPr>
          <w:t>https://intergrowth21.com/tools-resources/newborn-size</w:t>
        </w:r>
      </w:hyperlink>
      <w:r w:rsidRPr="00F13715">
        <w:rPr>
          <w:color w:val="000000" w:themeColor="text1"/>
          <w:sz w:val="22"/>
          <w:szCs w:val="22"/>
        </w:rPr>
        <w:t xml:space="preserve"> </w:t>
      </w:r>
      <w:r w:rsidRPr="00F13715">
        <w:rPr>
          <w:rFonts w:ascii="Aptos" w:eastAsia="Aptos" w:hAnsi="Aptos" w:cs="Aptos"/>
          <w:color w:val="000000" w:themeColor="text1"/>
          <w:sz w:val="24"/>
          <w:szCs w:val="24"/>
        </w:rPr>
        <w:t>[accessed August 2024]</w:t>
      </w:r>
    </w:p>
    <w:p w14:paraId="721500AB" w14:textId="77777777" w:rsidR="00F13715" w:rsidRPr="00F13715" w:rsidRDefault="00F13715" w:rsidP="00F13715">
      <w:pPr>
        <w:widowControl w:val="0"/>
        <w:numPr>
          <w:ilvl w:val="0"/>
          <w:numId w:val="19"/>
        </w:numPr>
        <w:spacing w:before="120" w:after="120" w:line="240" w:lineRule="auto"/>
        <w:ind w:left="426" w:hanging="426"/>
        <w:contextualSpacing/>
        <w:rPr>
          <w:rFonts w:cstheme="minorHAnsi"/>
          <w:color w:val="000000" w:themeColor="text1"/>
          <w:sz w:val="22"/>
          <w:szCs w:val="22"/>
        </w:rPr>
      </w:pPr>
      <w:proofErr w:type="spellStart"/>
      <w:r w:rsidRPr="00F13715">
        <w:rPr>
          <w:rFonts w:cstheme="minorHAnsi"/>
          <w:color w:val="000000" w:themeColor="text1"/>
          <w:sz w:val="22"/>
          <w:szCs w:val="22"/>
        </w:rPr>
        <w:t>Farmey</w:t>
      </w:r>
      <w:proofErr w:type="spellEnd"/>
      <w:r w:rsidRPr="00F13715">
        <w:rPr>
          <w:rFonts w:cstheme="minorHAnsi"/>
          <w:color w:val="000000" w:themeColor="text1"/>
          <w:sz w:val="22"/>
          <w:szCs w:val="22"/>
        </w:rPr>
        <w:t xml:space="preserve"> A Joseph, Jonathan A Hyett, Philip J Schluter, Andrew McLennan, Adrienne Gordon, Georgina M Chambers, Lisa Hilder, Stephanie KY Choi and Bradley Vries. </w:t>
      </w:r>
      <w:r w:rsidRPr="00F13715">
        <w:rPr>
          <w:rFonts w:cstheme="minorHAnsi"/>
          <w:sz w:val="22"/>
          <w:szCs w:val="22"/>
        </w:rPr>
        <w:t xml:space="preserve">New Australian Birthweight Centiles. Med J Aust 2020; 213 (2): 79-85. || </w:t>
      </w:r>
      <w:proofErr w:type="spellStart"/>
      <w:r w:rsidRPr="00F13715">
        <w:rPr>
          <w:rFonts w:cstheme="minorHAnsi"/>
          <w:sz w:val="22"/>
          <w:szCs w:val="22"/>
        </w:rPr>
        <w:t>doi</w:t>
      </w:r>
      <w:proofErr w:type="spellEnd"/>
      <w:r w:rsidRPr="00F13715">
        <w:rPr>
          <w:rFonts w:cstheme="minorHAnsi"/>
          <w:sz w:val="22"/>
          <w:szCs w:val="22"/>
        </w:rPr>
        <w:t>: 10.5694/mja2.50676</w:t>
      </w:r>
    </w:p>
    <w:p w14:paraId="2AC78247" w14:textId="77777777" w:rsidR="00F13715" w:rsidRPr="00F13715" w:rsidRDefault="00F13715" w:rsidP="00F13715">
      <w:pPr>
        <w:widowControl w:val="0"/>
        <w:numPr>
          <w:ilvl w:val="0"/>
          <w:numId w:val="19"/>
        </w:numPr>
        <w:spacing w:before="120" w:after="120" w:line="240" w:lineRule="auto"/>
        <w:ind w:left="426" w:hanging="426"/>
        <w:contextualSpacing/>
        <w:rPr>
          <w:sz w:val="22"/>
          <w:szCs w:val="22"/>
        </w:rPr>
      </w:pPr>
      <w:r w:rsidRPr="00F13715">
        <w:rPr>
          <w:sz w:val="22"/>
          <w:szCs w:val="22"/>
        </w:rPr>
        <w:t xml:space="preserve">Queensland Clinical Guidelines. Hypoglycaemia-newborn. 2023; Available from: </w:t>
      </w:r>
      <w:hyperlink r:id="rId41">
        <w:r w:rsidRPr="00F13715">
          <w:rPr>
            <w:color w:val="004C97"/>
            <w:sz w:val="22"/>
            <w:szCs w:val="22"/>
            <w:u w:val="single"/>
          </w:rPr>
          <w:t>http://www.health.qld.gov.au/qcq</w:t>
        </w:r>
      </w:hyperlink>
      <w:r w:rsidRPr="00F13715">
        <w:rPr>
          <w:sz w:val="22"/>
          <w:szCs w:val="22"/>
        </w:rPr>
        <w:t xml:space="preserve"> [Accessed August 2024]</w:t>
      </w:r>
    </w:p>
    <w:p w14:paraId="42DDB5D5" w14:textId="77777777" w:rsidR="00F13715" w:rsidRPr="00F13715" w:rsidRDefault="00F13715" w:rsidP="00F13715">
      <w:pPr>
        <w:widowControl w:val="0"/>
        <w:numPr>
          <w:ilvl w:val="0"/>
          <w:numId w:val="19"/>
        </w:numPr>
        <w:spacing w:before="120" w:after="120" w:line="240" w:lineRule="auto"/>
        <w:ind w:left="426" w:hanging="426"/>
        <w:contextualSpacing/>
        <w:rPr>
          <w:rFonts w:eastAsia="Aptos"/>
          <w:color w:val="000000" w:themeColor="text1"/>
          <w:sz w:val="22"/>
          <w:szCs w:val="22"/>
        </w:rPr>
      </w:pPr>
      <w:r w:rsidRPr="00F13715">
        <w:rPr>
          <w:rFonts w:eastAsia="Aptos"/>
          <w:color w:val="000000" w:themeColor="text1"/>
          <w:sz w:val="22"/>
          <w:szCs w:val="22"/>
        </w:rPr>
        <w:t>Harris DL, Weston PJ, Harding JE. Incidence of neonatal</w:t>
      </w:r>
      <w:r w:rsidRPr="00F13715">
        <w:rPr>
          <w:rFonts w:eastAsia="Arial"/>
          <w:color w:val="000000" w:themeColor="text1"/>
          <w:sz w:val="22"/>
          <w:szCs w:val="22"/>
        </w:rPr>
        <w:t> </w:t>
      </w:r>
      <w:r w:rsidRPr="00F13715">
        <w:rPr>
          <w:rFonts w:eastAsia="Aptos"/>
          <w:color w:val="000000" w:themeColor="text1"/>
          <w:sz w:val="22"/>
          <w:szCs w:val="22"/>
        </w:rPr>
        <w:t>hypoglycaemia</w:t>
      </w:r>
      <w:r w:rsidRPr="00F13715">
        <w:rPr>
          <w:rFonts w:eastAsia="Arial"/>
          <w:color w:val="000000" w:themeColor="text1"/>
          <w:sz w:val="22"/>
          <w:szCs w:val="22"/>
        </w:rPr>
        <w:t> </w:t>
      </w:r>
      <w:r w:rsidRPr="00F13715">
        <w:rPr>
          <w:rFonts w:eastAsia="Aptos"/>
          <w:color w:val="000000" w:themeColor="text1"/>
          <w:sz w:val="22"/>
          <w:szCs w:val="22"/>
        </w:rPr>
        <w:t>in babies identified as at risk. The Journal of</w:t>
      </w:r>
      <w:r w:rsidRPr="00F13715">
        <w:rPr>
          <w:rFonts w:eastAsia="Arial"/>
          <w:color w:val="000000" w:themeColor="text1"/>
          <w:sz w:val="22"/>
          <w:szCs w:val="22"/>
        </w:rPr>
        <w:t> </w:t>
      </w:r>
      <w:proofErr w:type="spellStart"/>
      <w:r w:rsidRPr="00F13715">
        <w:rPr>
          <w:rFonts w:eastAsia="Arial"/>
          <w:color w:val="000000" w:themeColor="text1"/>
          <w:sz w:val="22"/>
          <w:szCs w:val="22"/>
        </w:rPr>
        <w:t>P</w:t>
      </w:r>
      <w:r w:rsidRPr="00F13715">
        <w:rPr>
          <w:rFonts w:eastAsia="Aptos"/>
          <w:color w:val="000000" w:themeColor="text1"/>
          <w:sz w:val="22"/>
          <w:szCs w:val="22"/>
        </w:rPr>
        <w:t>ediatrics</w:t>
      </w:r>
      <w:proofErr w:type="spellEnd"/>
      <w:r w:rsidRPr="00F13715">
        <w:rPr>
          <w:rFonts w:eastAsia="Aptos"/>
          <w:color w:val="000000" w:themeColor="text1"/>
          <w:sz w:val="22"/>
          <w:szCs w:val="22"/>
        </w:rPr>
        <w:t>. 2012 Nov 1;161(5):787-91.</w:t>
      </w:r>
      <w:r w:rsidRPr="00F13715">
        <w:rPr>
          <w:rFonts w:eastAsia="Arial"/>
          <w:color w:val="000000" w:themeColor="text1"/>
          <w:sz w:val="22"/>
          <w:szCs w:val="22"/>
        </w:rPr>
        <w:t> </w:t>
      </w:r>
    </w:p>
    <w:p w14:paraId="4E9596A0" w14:textId="77777777" w:rsidR="00F13715" w:rsidRPr="00F13715" w:rsidRDefault="00F13715" w:rsidP="00F13715">
      <w:pPr>
        <w:widowControl w:val="0"/>
        <w:numPr>
          <w:ilvl w:val="0"/>
          <w:numId w:val="19"/>
        </w:numPr>
        <w:spacing w:before="120" w:after="120" w:line="240" w:lineRule="auto"/>
        <w:ind w:left="426" w:hanging="426"/>
        <w:contextualSpacing/>
        <w:rPr>
          <w:rFonts w:cstheme="minorHAnsi"/>
          <w:color w:val="000000" w:themeColor="text1"/>
          <w:sz w:val="22"/>
          <w:szCs w:val="22"/>
        </w:rPr>
      </w:pPr>
      <w:r w:rsidRPr="00F13715">
        <w:rPr>
          <w:rFonts w:cstheme="minorHAnsi"/>
          <w:color w:val="000000" w:themeColor="text1"/>
          <w:sz w:val="22"/>
          <w:szCs w:val="22"/>
        </w:rPr>
        <w:t xml:space="preserve">Forster DA, Moorhead AM, Jacobs SE, Davis PG, Walker SP, </w:t>
      </w:r>
      <w:proofErr w:type="spellStart"/>
      <w:r w:rsidRPr="00F13715">
        <w:rPr>
          <w:rFonts w:cstheme="minorHAnsi"/>
          <w:color w:val="000000" w:themeColor="text1"/>
          <w:sz w:val="22"/>
          <w:szCs w:val="22"/>
        </w:rPr>
        <w:t>McEgan</w:t>
      </w:r>
      <w:proofErr w:type="spellEnd"/>
      <w:r w:rsidRPr="00F13715">
        <w:rPr>
          <w:rFonts w:cstheme="minorHAnsi"/>
          <w:color w:val="000000" w:themeColor="text1"/>
          <w:sz w:val="22"/>
          <w:szCs w:val="22"/>
        </w:rPr>
        <w:t xml:space="preserve"> KM, Opie GF, Donath SM, Gold L, McNamara C, Aylward A. Advising women with diabetes in pregnancy to express breastmilk in late pregnancy (Diabetes and Antenatal Milk Expressing [DAME]): a multicentre, unblinded, randomised controlled trial. The Lancet. 2017 Jun 3;389(10085):2204-13.</w:t>
      </w:r>
    </w:p>
    <w:p w14:paraId="5BC067B1" w14:textId="77777777" w:rsidR="00F13715" w:rsidRPr="00F13715" w:rsidRDefault="00F13715" w:rsidP="00F13715">
      <w:pPr>
        <w:widowControl w:val="0"/>
        <w:numPr>
          <w:ilvl w:val="0"/>
          <w:numId w:val="19"/>
        </w:numPr>
        <w:spacing w:before="120" w:after="120" w:line="240" w:lineRule="auto"/>
        <w:ind w:left="426" w:hanging="426"/>
        <w:contextualSpacing/>
        <w:rPr>
          <w:rFonts w:eastAsia="Aptos" w:cstheme="minorHAnsi"/>
          <w:color w:val="000000" w:themeColor="text1"/>
          <w:sz w:val="22"/>
          <w:szCs w:val="22"/>
        </w:rPr>
      </w:pPr>
      <w:r w:rsidRPr="00F13715">
        <w:rPr>
          <w:rFonts w:eastAsia="Aptos" w:cstheme="minorHAnsi"/>
          <w:color w:val="000000" w:themeColor="text1"/>
          <w:sz w:val="22"/>
          <w:szCs w:val="22"/>
        </w:rPr>
        <w:t>Harris DL, Weston PJ, Signal M, Chase JG, Harding JE. Dextrose gel for neonatal hypoglycaemia (the Sugar Babies Study): a randomised, double-blind, placebo-controlled trial. The Lancet. 2013 Dec 21;382(9910):2077-83.</w:t>
      </w:r>
    </w:p>
    <w:p w14:paraId="7F56DCE5" w14:textId="77777777" w:rsidR="00F13715" w:rsidRPr="00F13715" w:rsidRDefault="00F13715" w:rsidP="00F13715">
      <w:pPr>
        <w:widowControl w:val="0"/>
        <w:numPr>
          <w:ilvl w:val="0"/>
          <w:numId w:val="19"/>
        </w:numPr>
        <w:spacing w:before="120" w:after="120" w:line="240" w:lineRule="auto"/>
        <w:ind w:left="426" w:hanging="426"/>
        <w:contextualSpacing/>
        <w:rPr>
          <w:rFonts w:eastAsia="Aptos"/>
          <w:color w:val="000000" w:themeColor="text1"/>
          <w:sz w:val="22"/>
          <w:szCs w:val="22"/>
        </w:rPr>
      </w:pPr>
      <w:proofErr w:type="spellStart"/>
      <w:r w:rsidRPr="00F13715">
        <w:rPr>
          <w:rFonts w:eastAsia="Aptos"/>
          <w:color w:val="000000" w:themeColor="text1"/>
          <w:sz w:val="22"/>
          <w:szCs w:val="22"/>
        </w:rPr>
        <w:t>Tottman</w:t>
      </w:r>
      <w:proofErr w:type="spellEnd"/>
      <w:r w:rsidRPr="00F13715">
        <w:rPr>
          <w:rFonts w:eastAsia="Aptos"/>
          <w:color w:val="000000" w:themeColor="text1"/>
          <w:sz w:val="22"/>
          <w:szCs w:val="22"/>
        </w:rPr>
        <w:t xml:space="preserve"> AC, Bloomfield FH, Cormack BE, Harding JE, Slim MA, Weston AF, </w:t>
      </w:r>
      <w:proofErr w:type="spellStart"/>
      <w:r w:rsidRPr="00F13715">
        <w:rPr>
          <w:rFonts w:eastAsia="Aptos"/>
          <w:color w:val="000000" w:themeColor="text1"/>
          <w:sz w:val="22"/>
          <w:szCs w:val="22"/>
        </w:rPr>
        <w:t>Alsweiler</w:t>
      </w:r>
      <w:proofErr w:type="spellEnd"/>
      <w:r w:rsidRPr="00F13715">
        <w:rPr>
          <w:rFonts w:eastAsia="Aptos"/>
          <w:color w:val="000000" w:themeColor="text1"/>
          <w:sz w:val="22"/>
          <w:szCs w:val="22"/>
        </w:rPr>
        <w:t xml:space="preserve"> JM. </w:t>
      </w:r>
      <w:r w:rsidRPr="00F13715">
        <w:rPr>
          <w:rFonts w:eastAsia="Aptos"/>
          <w:color w:val="000000" w:themeColor="text1"/>
          <w:sz w:val="22"/>
          <w:szCs w:val="22"/>
        </w:rPr>
        <w:lastRenderedPageBreak/>
        <w:t xml:space="preserve">Relationships between early nutrition and blood glucose concentrations in very preterm infants. Journal of </w:t>
      </w:r>
      <w:proofErr w:type="spellStart"/>
      <w:r w:rsidRPr="00F13715">
        <w:rPr>
          <w:rFonts w:eastAsia="Aptos"/>
          <w:color w:val="000000" w:themeColor="text1"/>
          <w:sz w:val="22"/>
          <w:szCs w:val="22"/>
        </w:rPr>
        <w:t>Pediatric</w:t>
      </w:r>
      <w:proofErr w:type="spellEnd"/>
      <w:r w:rsidRPr="00F13715">
        <w:rPr>
          <w:rFonts w:eastAsia="Aptos"/>
          <w:color w:val="000000" w:themeColor="text1"/>
          <w:sz w:val="22"/>
          <w:szCs w:val="22"/>
        </w:rPr>
        <w:t xml:space="preserve"> Gastroenterology and Nutrition. 2018 Jun 1;66(6):960-6.</w:t>
      </w:r>
    </w:p>
    <w:p w14:paraId="4265371A" w14:textId="77777777" w:rsidR="00F13715" w:rsidRPr="00F13715" w:rsidRDefault="00F13715" w:rsidP="00F13715">
      <w:pPr>
        <w:widowControl w:val="0"/>
        <w:numPr>
          <w:ilvl w:val="0"/>
          <w:numId w:val="19"/>
        </w:numPr>
        <w:spacing w:before="120" w:after="120" w:line="240" w:lineRule="auto"/>
        <w:ind w:left="426" w:hanging="426"/>
        <w:contextualSpacing/>
        <w:rPr>
          <w:rFonts w:eastAsia="Aptos" w:cstheme="minorHAnsi"/>
          <w:color w:val="000000" w:themeColor="text1"/>
          <w:sz w:val="22"/>
          <w:szCs w:val="22"/>
        </w:rPr>
      </w:pPr>
      <w:r w:rsidRPr="00F13715">
        <w:rPr>
          <w:rFonts w:eastAsia="Arial" w:cstheme="minorHAnsi"/>
          <w:color w:val="000000" w:themeColor="text1"/>
          <w:sz w:val="22"/>
          <w:szCs w:val="22"/>
        </w:rPr>
        <w:t>The Royal Children’s Hospital Paediatric Injectable Guidelines-Online by subscription. Updated 2024.</w:t>
      </w:r>
      <w:r w:rsidRPr="00F13715">
        <w:rPr>
          <w:rFonts w:cstheme="minorHAnsi"/>
          <w:sz w:val="22"/>
          <w:szCs w:val="22"/>
        </w:rPr>
        <w:t xml:space="preserve"> [Accessed August 2024] </w:t>
      </w:r>
      <w:hyperlink r:id="rId42" w:history="1">
        <w:r w:rsidRPr="00F13715">
          <w:rPr>
            <w:rFonts w:eastAsia="Arial" w:cstheme="minorHAnsi"/>
            <w:color w:val="004C97"/>
            <w:sz w:val="22"/>
            <w:szCs w:val="22"/>
            <w:u w:val="single"/>
          </w:rPr>
          <w:t>https://pig.rch.org.au/</w:t>
        </w:r>
      </w:hyperlink>
      <w:r w:rsidRPr="00F13715">
        <w:rPr>
          <w:rFonts w:eastAsia="Arial" w:cstheme="minorHAnsi"/>
          <w:color w:val="000000" w:themeColor="text1"/>
          <w:sz w:val="22"/>
          <w:szCs w:val="22"/>
        </w:rPr>
        <w:t xml:space="preserve"> </w:t>
      </w:r>
    </w:p>
    <w:p w14:paraId="3FFFA84D" w14:textId="77777777" w:rsidR="00F13715" w:rsidRPr="00F13715" w:rsidRDefault="00F13715" w:rsidP="00F13715">
      <w:pPr>
        <w:widowControl w:val="0"/>
        <w:numPr>
          <w:ilvl w:val="0"/>
          <w:numId w:val="19"/>
        </w:numPr>
        <w:spacing w:before="0" w:after="120" w:line="240" w:lineRule="auto"/>
        <w:ind w:left="426" w:hanging="426"/>
        <w:contextualSpacing/>
        <w:rPr>
          <w:rFonts w:cstheme="minorHAnsi"/>
        </w:rPr>
      </w:pPr>
      <w:r w:rsidRPr="00F13715">
        <w:rPr>
          <w:rFonts w:eastAsia="Aptos" w:cstheme="minorHAnsi"/>
          <w:color w:val="000000" w:themeColor="text1"/>
          <w:sz w:val="22"/>
          <w:szCs w:val="22"/>
        </w:rPr>
        <w:t xml:space="preserve">Thornton PS, Stanley CA, De Leon DD, Harris D, Haymond MW, Hussain K, Levitsky LL, Murad MH, Rozance PJ, Simmons RA, Sperling MA. Recommendations from the </w:t>
      </w:r>
      <w:proofErr w:type="spellStart"/>
      <w:r w:rsidRPr="00F13715">
        <w:rPr>
          <w:rFonts w:eastAsia="Aptos" w:cstheme="minorHAnsi"/>
          <w:color w:val="000000" w:themeColor="text1"/>
          <w:sz w:val="22"/>
          <w:szCs w:val="22"/>
        </w:rPr>
        <w:t>Pediatric</w:t>
      </w:r>
      <w:proofErr w:type="spellEnd"/>
      <w:r w:rsidRPr="00F13715">
        <w:rPr>
          <w:rFonts w:eastAsia="Aptos" w:cstheme="minorHAnsi"/>
          <w:color w:val="000000" w:themeColor="text1"/>
          <w:sz w:val="22"/>
          <w:szCs w:val="22"/>
        </w:rPr>
        <w:t xml:space="preserve"> Endocrine Society for evaluation and management of persistent </w:t>
      </w:r>
      <w:proofErr w:type="spellStart"/>
      <w:r w:rsidRPr="00F13715">
        <w:rPr>
          <w:rFonts w:eastAsia="Aptos" w:cstheme="minorHAnsi"/>
          <w:color w:val="000000" w:themeColor="text1"/>
          <w:sz w:val="22"/>
          <w:szCs w:val="22"/>
        </w:rPr>
        <w:t>hypoglycemia</w:t>
      </w:r>
      <w:proofErr w:type="spellEnd"/>
      <w:r w:rsidRPr="00F13715">
        <w:rPr>
          <w:rFonts w:eastAsia="Aptos" w:cstheme="minorHAnsi"/>
          <w:color w:val="000000" w:themeColor="text1"/>
          <w:sz w:val="22"/>
          <w:szCs w:val="22"/>
        </w:rPr>
        <w:t xml:space="preserve"> in neonates, infants, and children. The Journal of </w:t>
      </w:r>
      <w:proofErr w:type="spellStart"/>
      <w:r w:rsidRPr="00F13715">
        <w:rPr>
          <w:rFonts w:eastAsia="Aptos" w:cstheme="minorHAnsi"/>
          <w:color w:val="000000" w:themeColor="text1"/>
          <w:sz w:val="22"/>
          <w:szCs w:val="22"/>
        </w:rPr>
        <w:t>pediatrics</w:t>
      </w:r>
      <w:proofErr w:type="spellEnd"/>
      <w:r w:rsidRPr="00F13715">
        <w:rPr>
          <w:rFonts w:eastAsia="Aptos" w:cstheme="minorHAnsi"/>
          <w:color w:val="000000" w:themeColor="text1"/>
          <w:sz w:val="22"/>
          <w:szCs w:val="22"/>
        </w:rPr>
        <w:t>. 2015 Aug 1;167(2):238-45.</w:t>
      </w:r>
      <w:bookmarkStart w:id="53" w:name="_Toc174626566"/>
    </w:p>
    <w:p w14:paraId="4DE8733B" w14:textId="77777777" w:rsidR="00F13715" w:rsidRPr="00F13715" w:rsidRDefault="00F13715" w:rsidP="00F13715">
      <w:pPr>
        <w:widowControl w:val="0"/>
        <w:spacing w:before="0" w:after="120" w:line="240" w:lineRule="auto"/>
        <w:rPr>
          <w:rFonts w:cstheme="minorHAnsi"/>
        </w:rPr>
      </w:pPr>
    </w:p>
    <w:p w14:paraId="69996F6E" w14:textId="77777777" w:rsidR="00F13715" w:rsidRPr="00F13715" w:rsidRDefault="00F13715" w:rsidP="00F13715">
      <w:pPr>
        <w:keepNext/>
        <w:keepLines/>
        <w:suppressAutoHyphens/>
        <w:spacing w:before="240" w:after="320" w:line="240" w:lineRule="auto"/>
        <w:outlineLvl w:val="0"/>
        <w:rPr>
          <w:rFonts w:eastAsiaTheme="majorEastAsia" w:cstheme="minorHAnsi"/>
          <w:b/>
          <w:bCs/>
          <w:color w:val="007586" w:themeColor="text2"/>
          <w:sz w:val="44"/>
          <w:szCs w:val="32"/>
        </w:rPr>
      </w:pPr>
      <w:bookmarkStart w:id="54" w:name="_Toc178176062"/>
      <w:bookmarkStart w:id="55" w:name="_Toc182909909"/>
      <w:r w:rsidRPr="00F13715">
        <w:rPr>
          <w:rFonts w:eastAsiaTheme="majorEastAsia" w:cstheme="minorHAnsi"/>
          <w:b/>
          <w:bCs/>
          <w:color w:val="007586" w:themeColor="text2"/>
          <w:sz w:val="44"/>
          <w:szCs w:val="32"/>
        </w:rPr>
        <w:t>Citation</w:t>
      </w:r>
      <w:bookmarkEnd w:id="54"/>
      <w:bookmarkEnd w:id="55"/>
    </w:p>
    <w:p w14:paraId="3E54B65D" w14:textId="77777777" w:rsidR="00F13715" w:rsidRPr="00F13715" w:rsidRDefault="00F13715" w:rsidP="00F13715">
      <w:pPr>
        <w:spacing w:after="120"/>
        <w:rPr>
          <w:rFonts w:cstheme="minorHAnsi"/>
          <w:color w:val="1A97D9" w:themeColor="accent3" w:themeShade="BF"/>
          <w:sz w:val="22"/>
          <w:szCs w:val="22"/>
        </w:rPr>
      </w:pPr>
      <w:r w:rsidRPr="00F13715">
        <w:rPr>
          <w:rFonts w:cstheme="minorHAnsi"/>
          <w:color w:val="000000"/>
          <w:sz w:val="22"/>
          <w:szCs w:val="22"/>
          <w:shd w:val="clear" w:color="auto" w:fill="FFFFFF"/>
        </w:rPr>
        <w:t>To cite this document use: Safer Care Victoria. Hypoglycaemia in Neonates</w:t>
      </w:r>
      <w:r w:rsidRPr="00F13715">
        <w:rPr>
          <w:rFonts w:cstheme="minorHAnsi"/>
          <w:color w:val="1A97D9" w:themeColor="accent3" w:themeShade="BF"/>
          <w:sz w:val="22"/>
          <w:szCs w:val="22"/>
          <w:shd w:val="clear" w:color="auto" w:fill="FFFFFF"/>
        </w:rPr>
        <w:t xml:space="preserve"> </w:t>
      </w:r>
      <w:r w:rsidRPr="00F13715">
        <w:rPr>
          <w:rFonts w:cstheme="minorHAnsi"/>
          <w:color w:val="000000"/>
          <w:sz w:val="22"/>
          <w:szCs w:val="22"/>
          <w:shd w:val="clear" w:color="auto" w:fill="FFFFFF"/>
        </w:rPr>
        <w:t xml:space="preserve">[Internet]. Victoria: </w:t>
      </w:r>
      <w:r w:rsidRPr="00F13715">
        <w:rPr>
          <w:rFonts w:cstheme="minorHAnsi"/>
          <w:sz w:val="22"/>
          <w:szCs w:val="22"/>
          <w:shd w:val="clear" w:color="auto" w:fill="FFFFFF"/>
        </w:rPr>
        <w:t xml:space="preserve">Neonatal </w:t>
      </w:r>
      <w:r w:rsidRPr="00F13715">
        <w:rPr>
          <w:rFonts w:cstheme="minorHAnsi"/>
          <w:color w:val="000000"/>
          <w:sz w:val="22"/>
          <w:szCs w:val="22"/>
          <w:shd w:val="clear" w:color="auto" w:fill="FFFFFF"/>
        </w:rPr>
        <w:t xml:space="preserve">eHandbook; 2024 [cited </w:t>
      </w:r>
      <w:proofErr w:type="spellStart"/>
      <w:r w:rsidRPr="00F13715">
        <w:rPr>
          <w:rFonts w:cstheme="minorHAnsi"/>
          <w:i/>
          <w:iCs/>
          <w:color w:val="000000"/>
          <w:sz w:val="22"/>
          <w:szCs w:val="22"/>
          <w:shd w:val="clear" w:color="auto" w:fill="FFFFFF"/>
        </w:rPr>
        <w:t>xxxx</w:t>
      </w:r>
      <w:proofErr w:type="spellEnd"/>
      <w:r w:rsidRPr="00F13715">
        <w:rPr>
          <w:rFonts w:cstheme="minorHAnsi"/>
          <w:color w:val="000000"/>
          <w:sz w:val="22"/>
          <w:szCs w:val="22"/>
          <w:shd w:val="clear" w:color="auto" w:fill="FFFFFF"/>
        </w:rPr>
        <w:t xml:space="preserve">] Available from: </w:t>
      </w:r>
      <w:hyperlink r:id="rId43" w:history="1">
        <w:r w:rsidRPr="00F13715">
          <w:rPr>
            <w:rFonts w:cstheme="minorHAnsi"/>
            <w:color w:val="004C97"/>
            <w:sz w:val="22"/>
            <w:szCs w:val="22"/>
            <w:u w:val="single"/>
            <w:shd w:val="clear" w:color="auto" w:fill="FFFFFF"/>
          </w:rPr>
          <w:t>https://www.safercare.vic.gov.au/clinical-guidance/neonatal</w:t>
        </w:r>
      </w:hyperlink>
    </w:p>
    <w:p w14:paraId="52E4DABC" w14:textId="77777777" w:rsidR="00F13715" w:rsidRPr="00F13715" w:rsidRDefault="00F13715" w:rsidP="00F13715">
      <w:pPr>
        <w:widowControl w:val="0"/>
        <w:spacing w:before="0" w:after="120" w:line="240" w:lineRule="auto"/>
        <w:rPr>
          <w:rFonts w:cstheme="minorHAnsi"/>
        </w:rPr>
      </w:pPr>
    </w:p>
    <w:bookmarkEnd w:id="53"/>
    <w:p w14:paraId="55015613" w14:textId="77777777" w:rsidR="001C1F35" w:rsidRDefault="001C1F35">
      <w:pPr>
        <w:rPr>
          <w:rFonts w:cstheme="minorHAnsi"/>
        </w:rPr>
      </w:pPr>
      <w:r>
        <w:rPr>
          <w:rFonts w:cstheme="minorHAnsi"/>
        </w:rPr>
        <w:br w:type="page"/>
      </w:r>
    </w:p>
    <w:p w14:paraId="216E76DD" w14:textId="77777777" w:rsidR="00D50A31" w:rsidRDefault="006D7264" w:rsidP="00D50A31">
      <w:pPr>
        <w:pStyle w:val="Heading1"/>
        <w:rPr>
          <w:sz w:val="28"/>
          <w:szCs w:val="28"/>
        </w:rPr>
      </w:pPr>
      <w:r w:rsidRPr="007A1100">
        <w:rPr>
          <w:sz w:val="28"/>
          <w:szCs w:val="28"/>
        </w:rPr>
        <w:lastRenderedPageBreak/>
        <w:t>Flowchart 1. Management of hypoglycaemia in birthing or postnatal ward</w:t>
      </w:r>
      <w:r w:rsidR="00D50A31" w:rsidRPr="00D50A31">
        <w:drawing>
          <wp:inline distT="0" distB="0" distL="0" distR="0" wp14:anchorId="4977BF2A" wp14:editId="7259981F">
            <wp:extent cx="5964566" cy="7866127"/>
            <wp:effectExtent l="0" t="0" r="0" b="1905"/>
            <wp:docPr id="1534181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t="7066"/>
                    <a:stretch/>
                  </pic:blipFill>
                  <pic:spPr bwMode="auto">
                    <a:xfrm>
                      <a:off x="0" y="0"/>
                      <a:ext cx="5964566" cy="7866127"/>
                    </a:xfrm>
                    <a:prstGeom prst="rect">
                      <a:avLst/>
                    </a:prstGeom>
                    <a:noFill/>
                    <a:ln>
                      <a:noFill/>
                    </a:ln>
                    <a:extLst>
                      <a:ext uri="{53640926-AAD7-44D8-BBD7-CCE9431645EC}">
                        <a14:shadowObscured xmlns:a14="http://schemas.microsoft.com/office/drawing/2010/main"/>
                      </a:ext>
                    </a:extLst>
                  </pic:spPr>
                </pic:pic>
              </a:graphicData>
            </a:graphic>
          </wp:inline>
        </w:drawing>
      </w:r>
    </w:p>
    <w:p w14:paraId="69DFE3E1" w14:textId="568565EF" w:rsidR="001C1F35" w:rsidRPr="00E65F11" w:rsidRDefault="00E65F11" w:rsidP="00E65F11">
      <w:pPr>
        <w:keepNext/>
        <w:keepLines/>
        <w:suppressAutoHyphens/>
        <w:spacing w:before="0" w:after="320" w:line="240" w:lineRule="auto"/>
        <w:jc w:val="center"/>
        <w:outlineLvl w:val="0"/>
        <w:rPr>
          <w:rFonts w:eastAsiaTheme="majorEastAsia" w:cstheme="minorHAnsi"/>
          <w:b/>
          <w:bCs/>
          <w:color w:val="007586" w:themeColor="text2"/>
          <w:sz w:val="32"/>
          <w:szCs w:val="32"/>
        </w:rPr>
      </w:pPr>
      <w:r>
        <w:rPr>
          <w:noProof/>
        </w:rPr>
        <w:lastRenderedPageBreak/>
        <w:drawing>
          <wp:anchor distT="0" distB="0" distL="114300" distR="114300" simplePos="0" relativeHeight="251660288" behindDoc="0" locked="0" layoutInCell="1" allowOverlap="1" wp14:anchorId="4BE74911" wp14:editId="4FB8F146">
            <wp:simplePos x="0" y="0"/>
            <wp:positionH relativeFrom="column">
              <wp:posOffset>374014</wp:posOffset>
            </wp:positionH>
            <wp:positionV relativeFrom="paragraph">
              <wp:posOffset>426720</wp:posOffset>
            </wp:positionV>
            <wp:extent cx="6105525" cy="7866508"/>
            <wp:effectExtent l="0" t="0" r="0" b="1270"/>
            <wp:wrapTopAndBottom/>
            <wp:docPr id="20672076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07179" cy="7868639"/>
                    </a:xfrm>
                    <a:prstGeom prst="rect">
                      <a:avLst/>
                    </a:prstGeom>
                    <a:noFill/>
                    <a:ln>
                      <a:noFill/>
                    </a:ln>
                  </pic:spPr>
                </pic:pic>
              </a:graphicData>
            </a:graphic>
            <wp14:sizeRelH relativeFrom="page">
              <wp14:pctWidth>0</wp14:pctWidth>
            </wp14:sizeRelH>
            <wp14:sizeRelV relativeFrom="page">
              <wp14:pctHeight>0</wp14:pctHeight>
            </wp14:sizeRelV>
          </wp:anchor>
        </w:drawing>
      </w:r>
      <w:r w:rsidR="004160F2" w:rsidRPr="00E65F11">
        <w:rPr>
          <w:rFonts w:eastAsiaTheme="majorEastAsia" w:cstheme="minorHAnsi"/>
          <w:b/>
          <w:bCs/>
          <w:color w:val="007586" w:themeColor="text2"/>
          <w:sz w:val="28"/>
          <w:szCs w:val="28"/>
        </w:rPr>
        <w:t>F</w:t>
      </w:r>
      <w:r w:rsidR="004160F2" w:rsidRPr="004160F2">
        <w:rPr>
          <w:rFonts w:eastAsiaTheme="majorEastAsia" w:cstheme="minorHAnsi"/>
          <w:b/>
          <w:bCs/>
          <w:color w:val="007586" w:themeColor="text2"/>
          <w:sz w:val="28"/>
          <w:szCs w:val="28"/>
        </w:rPr>
        <w:t>lowchart 2. Management of hypoglycaemia in the</w:t>
      </w:r>
      <w:r w:rsidR="004160F2" w:rsidRPr="004160F2">
        <w:rPr>
          <w:rFonts w:eastAsiaTheme="majorEastAsia" w:cstheme="minorHAnsi"/>
          <w:b/>
          <w:bCs/>
          <w:color w:val="007586" w:themeColor="text2"/>
          <w:sz w:val="32"/>
          <w:szCs w:val="32"/>
        </w:rPr>
        <w:t xml:space="preserve"> neonatal unit</w:t>
      </w:r>
    </w:p>
    <w:p w14:paraId="2081AB39" w14:textId="2013629D" w:rsidR="005C12A8" w:rsidRPr="0059267A" w:rsidRDefault="005C12A8" w:rsidP="00E65F11">
      <w:pPr>
        <w:pStyle w:val="SCVbody"/>
        <w:jc w:val="center"/>
        <w:sectPr w:rsidR="005C12A8" w:rsidRPr="0059267A" w:rsidSect="00D50A31">
          <w:headerReference w:type="even" r:id="rId46"/>
          <w:headerReference w:type="default" r:id="rId47"/>
          <w:pgSz w:w="11906" w:h="16838" w:code="9"/>
          <w:pgMar w:top="2410" w:right="851" w:bottom="1361" w:left="851" w:header="851" w:footer="851" w:gutter="0"/>
          <w:cols w:space="284"/>
          <w:docGrid w:linePitch="360"/>
        </w:sectPr>
      </w:pPr>
    </w:p>
    <w:p w14:paraId="29925CBC" w14:textId="77777777" w:rsidR="00E22A20" w:rsidRPr="0059267A" w:rsidRDefault="00E22A20" w:rsidP="00A45CB0">
      <w:pPr>
        <w:pStyle w:val="SCVbody"/>
      </w:pPr>
    </w:p>
    <w:sectPr w:rsidR="00E22A20" w:rsidRPr="0059267A" w:rsidSect="00BB1C9A">
      <w:headerReference w:type="even" r:id="rId48"/>
      <w:headerReference w:type="default" r:id="rId49"/>
      <w:footerReference w:type="even" r:id="rId50"/>
      <w:footerReference w:type="default" r:id="rId51"/>
      <w:pgSz w:w="11906" w:h="16838" w:code="9"/>
      <w:pgMar w:top="3402" w:right="851" w:bottom="1361" w:left="85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89071" w14:textId="77777777" w:rsidR="005012DA" w:rsidRDefault="005012DA" w:rsidP="002D711A">
      <w:pPr>
        <w:spacing w:after="0" w:line="240" w:lineRule="auto"/>
      </w:pPr>
      <w:r>
        <w:separator/>
      </w:r>
    </w:p>
  </w:endnote>
  <w:endnote w:type="continuationSeparator" w:id="0">
    <w:p w14:paraId="3C2EC1F3" w14:textId="77777777" w:rsidR="005012DA" w:rsidRDefault="005012DA"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DF89" w14:textId="77777777" w:rsidR="00C50A2B" w:rsidRDefault="00651BA6">
    <w:pPr>
      <w:pStyle w:val="Footer"/>
    </w:pPr>
    <w:r>
      <mc:AlternateContent>
        <mc:Choice Requires="wps">
          <w:drawing>
            <wp:anchor distT="0" distB="0" distL="114300" distR="114300" simplePos="0" relativeHeight="251665408" behindDoc="0" locked="0" layoutInCell="0" allowOverlap="1" wp14:anchorId="5E77A0B3" wp14:editId="2E5CE2BF">
              <wp:simplePos x="0" y="0"/>
              <wp:positionH relativeFrom="page">
                <wp:posOffset>0</wp:posOffset>
              </wp:positionH>
              <wp:positionV relativeFrom="page">
                <wp:posOffset>10189687</wp:posOffset>
              </wp:positionV>
              <wp:extent cx="7560310" cy="311785"/>
              <wp:effectExtent l="0" t="0" r="0" b="12065"/>
              <wp:wrapNone/>
              <wp:docPr id="8" name="MSIPCM85da41e59cf8990602f6e330"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E0531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77A0B3" id="_x0000_t202" coordsize="21600,21600" o:spt="202" path="m,l,21600r21600,l21600,xe">
              <v:stroke joinstyle="miter"/>
              <v:path gradientshapeok="t" o:connecttype="rect"/>
            </v:shapetype>
            <v:shape id="MSIPCM85da41e59cf8990602f6e330" o:spid="_x0000_s1027" type="#_x0000_t202" alt="{&quot;HashCode&quot;:904758361,&quot;Height&quot;:841.0,&quot;Width&quot;:595.0,&quot;Placement&quot;:&quot;Footer&quot;,&quot;Index&quot;:&quot;OddAndEven&quot;,&quot;Section&quot;:1,&quot;Top&quot;:0.0,&quot;Left&quot;:0.0}" style="position:absolute;margin-left:0;margin-top:802.35pt;width:595.3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61E0531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7DE75" w14:textId="77777777" w:rsidR="00C50A2B" w:rsidRPr="006B337A" w:rsidRDefault="00651BA6" w:rsidP="006B337A">
    <w:pPr>
      <w:pStyle w:val="SCVheaderempty"/>
    </w:pPr>
    <w:r>
      <w:rPr>
        <w:noProof/>
      </w:rPr>
      <mc:AlternateContent>
        <mc:Choice Requires="wps">
          <w:drawing>
            <wp:anchor distT="0" distB="0" distL="114300" distR="114300" simplePos="0" relativeHeight="251659264" behindDoc="0" locked="0" layoutInCell="0" allowOverlap="1" wp14:anchorId="3C738C8F" wp14:editId="37E41541">
              <wp:simplePos x="0" y="0"/>
              <wp:positionH relativeFrom="page">
                <wp:posOffset>0</wp:posOffset>
              </wp:positionH>
              <wp:positionV relativeFrom="page">
                <wp:posOffset>10189210</wp:posOffset>
              </wp:positionV>
              <wp:extent cx="7560310" cy="311785"/>
              <wp:effectExtent l="0" t="0" r="0" b="12065"/>
              <wp:wrapNone/>
              <wp:docPr id="2" name="MSIPCM4fe946caa31db4b464ad4a8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21E4E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738C8F" id="_x0000_t202" coordsize="21600,21600" o:spt="202" path="m,l,21600r21600,l21600,xe">
              <v:stroke joinstyle="miter"/>
              <v:path gradientshapeok="t" o:connecttype="rect"/>
            </v:shapetype>
            <v:shape id="MSIPCM4fe946caa31db4b464ad4a8e" o:spid="_x0000_s1028" type="#_x0000_t202" alt="{&quot;HashCode&quot;:904758361,&quot;Height&quot;:841.0,&quot;Width&quot;:595.0,&quot;Placement&quot;:&quot;Footer&quot;,&quot;Index&quot;:&quot;Primary&quot;,&quot;Section&quot;:1,&quot;Top&quot;:0.0,&quot;Left&quot;:0.0}" style="position:absolute;margin-left:0;margin-top:802.3pt;width:595.3pt;height:24.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3521E4E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9153B" w14:textId="77777777" w:rsidR="00C50A2B" w:rsidRPr="002A5891" w:rsidRDefault="00651BA6" w:rsidP="006B337A">
    <w:pPr>
      <w:pStyle w:val="SCVfooterempty"/>
    </w:pPr>
    <w:r>
      <w:rPr>
        <w:noProof/>
      </w:rPr>
      <mc:AlternateContent>
        <mc:Choice Requires="wps">
          <w:drawing>
            <wp:anchor distT="0" distB="0" distL="114300" distR="114300" simplePos="0" relativeHeight="251724800" behindDoc="0" locked="0" layoutInCell="0" allowOverlap="1" wp14:anchorId="2140F736" wp14:editId="54589707">
              <wp:simplePos x="0" y="0"/>
              <wp:positionH relativeFrom="page">
                <wp:posOffset>0</wp:posOffset>
              </wp:positionH>
              <wp:positionV relativeFrom="page">
                <wp:posOffset>10189210</wp:posOffset>
              </wp:positionV>
              <wp:extent cx="7560310" cy="311785"/>
              <wp:effectExtent l="0" t="0" r="0" b="12065"/>
              <wp:wrapNone/>
              <wp:docPr id="14" name="MSIPCM95f549839bdbab76079cfd26"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18CEE4"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40F736" id="_x0000_t202" coordsize="21600,21600" o:spt="202" path="m,l,21600r21600,l21600,xe">
              <v:stroke joinstyle="miter"/>
              <v:path gradientshapeok="t" o:connecttype="rect"/>
            </v:shapetype>
            <v:shape id="MSIPCM95f549839bdbab76079cfd26" o:spid="_x0000_s1029" type="#_x0000_t202" alt="{&quot;HashCode&quot;:904758361,&quot;Height&quot;:841.0,&quot;Width&quot;:595.0,&quot;Placement&quot;:&quot;Footer&quot;,&quot;Index&quot;:&quot;OddAndEven&quot;,&quot;Section&quot;:2,&quot;Top&quot;:0.0,&quot;Left&quot;:0.0}" style="position:absolute;margin-left:0;margin-top:802.3pt;width:595.3pt;height:24.55pt;z-index:251724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5118CEE4"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01A32" w14:textId="77777777" w:rsidR="00C50A2B" w:rsidRPr="006B337A" w:rsidRDefault="00651BA6" w:rsidP="006B337A">
    <w:pPr>
      <w:pStyle w:val="SCVheaderempty"/>
    </w:pPr>
    <w:r>
      <w:rPr>
        <w:noProof/>
      </w:rPr>
      <mc:AlternateContent>
        <mc:Choice Requires="wps">
          <w:drawing>
            <wp:anchor distT="0" distB="0" distL="114300" distR="114300" simplePos="0" relativeHeight="251723776" behindDoc="0" locked="0" layoutInCell="0" allowOverlap="1" wp14:anchorId="65A6BB29" wp14:editId="48670902">
              <wp:simplePos x="0" y="0"/>
              <wp:positionH relativeFrom="page">
                <wp:posOffset>0</wp:posOffset>
              </wp:positionH>
              <wp:positionV relativeFrom="page">
                <wp:posOffset>10189687</wp:posOffset>
              </wp:positionV>
              <wp:extent cx="7560310" cy="311785"/>
              <wp:effectExtent l="0" t="0" r="0" b="12065"/>
              <wp:wrapNone/>
              <wp:docPr id="13" name="MSIPCMcb4047618476c565b29a716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1CF8DC"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A6BB29" id="_x0000_t202" coordsize="21600,21600" o:spt="202" path="m,l,21600r21600,l21600,xe">
              <v:stroke joinstyle="miter"/>
              <v:path gradientshapeok="t" o:connecttype="rect"/>
            </v:shapetype>
            <v:shape id="MSIPCMcb4047618476c565b29a7162" o:spid="_x0000_s1030" type="#_x0000_t202" alt="{&quot;HashCode&quot;:904758361,&quot;Height&quot;:841.0,&quot;Width&quot;:595.0,&quot;Placement&quot;:&quot;Footer&quot;,&quot;Index&quot;:&quot;Primary&quot;,&quot;Section&quot;:2,&quot;Top&quot;:0.0,&quot;Left&quot;:0.0}" style="position:absolute;margin-left:0;margin-top:802.35pt;width:595.3pt;height:24.55pt;z-index:251723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281CF8DC"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C4EB9" w14:textId="77777777" w:rsidR="00C50A2B" w:rsidRDefault="00C50A2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8978" w14:textId="00989D9B" w:rsidR="00C50A2B" w:rsidRPr="002A5891" w:rsidRDefault="00BB1C9A" w:rsidP="00BC437C">
    <w:pPr>
      <w:pStyle w:val="SCVfooterempty"/>
    </w:pPr>
    <w:r>
      <w:rPr>
        <w:noProof/>
      </w:rPr>
      <mc:AlternateContent>
        <mc:Choice Requires="wps">
          <w:drawing>
            <wp:anchor distT="0" distB="0" distL="114300" distR="114300" simplePos="0" relativeHeight="251730944" behindDoc="0" locked="0" layoutInCell="0" allowOverlap="1" wp14:anchorId="79E2EDD4" wp14:editId="4C9216ED">
              <wp:simplePos x="0" y="0"/>
              <wp:positionH relativeFrom="page">
                <wp:posOffset>0</wp:posOffset>
              </wp:positionH>
              <wp:positionV relativeFrom="page">
                <wp:posOffset>10189687</wp:posOffset>
              </wp:positionV>
              <wp:extent cx="7560310" cy="311785"/>
              <wp:effectExtent l="0" t="0" r="0" b="12065"/>
              <wp:wrapNone/>
              <wp:docPr id="1895614206" name="MSIPCM790c44d2b80542a2fcd0de7a"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ADE172" w14:textId="508F0C03" w:rsidR="00BB1C9A" w:rsidRPr="00BB1C9A" w:rsidRDefault="00BB1C9A" w:rsidP="00BB1C9A">
                          <w:pPr>
                            <w:spacing w:before="0" w:after="0"/>
                            <w:jc w:val="center"/>
                            <w:rPr>
                              <w:rFonts w:ascii="Arial Black" w:hAnsi="Arial Black"/>
                              <w:color w:val="000000"/>
                            </w:rPr>
                          </w:pPr>
                          <w:r w:rsidRPr="00BB1C9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E2EDD4" id="_x0000_t202" coordsize="21600,21600" o:spt="202" path="m,l,21600r21600,l21600,xe">
              <v:stroke joinstyle="miter"/>
              <v:path gradientshapeok="t" o:connecttype="rect"/>
            </v:shapetype>
            <v:shape id="MSIPCM790c44d2b80542a2fcd0de7a" o:spid="_x0000_s1031" type="#_x0000_t202" alt="{&quot;HashCode&quot;:904758361,&quot;Height&quot;:841.0,&quot;Width&quot;:595.0,&quot;Placement&quot;:&quot;Footer&quot;,&quot;Index&quot;:&quot;OddAndEven&quot;,&quot;Section&quot;:4,&quot;Top&quot;:0.0,&quot;Left&quot;:0.0}" style="position:absolute;margin-left:0;margin-top:802.35pt;width:595.3pt;height:24.55pt;z-index:2517309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fill o:detectmouseclick="t"/>
              <v:textbox inset=",0,,0">
                <w:txbxContent>
                  <w:p w14:paraId="13ADE172" w14:textId="508F0C03" w:rsidR="00BB1C9A" w:rsidRPr="00BB1C9A" w:rsidRDefault="00BB1C9A" w:rsidP="00BB1C9A">
                    <w:pPr>
                      <w:spacing w:before="0" w:after="0"/>
                      <w:jc w:val="center"/>
                      <w:rPr>
                        <w:rFonts w:ascii="Arial Black" w:hAnsi="Arial Black"/>
                        <w:color w:val="000000"/>
                      </w:rPr>
                    </w:pPr>
                    <w:r w:rsidRPr="00BB1C9A">
                      <w:rPr>
                        <w:rFonts w:ascii="Arial Black" w:hAnsi="Arial Black"/>
                        <w:color w:val="000000"/>
                      </w:rPr>
                      <w:t>OFFICIAL</w:t>
                    </w:r>
                  </w:p>
                </w:txbxContent>
              </v:textbox>
              <w10:wrap anchorx="page" anchory="page"/>
            </v:shape>
          </w:pict>
        </mc:Fallback>
      </mc:AlternateContent>
    </w:r>
    <w:r w:rsidR="00651BA6">
      <w:rPr>
        <w:noProof/>
      </w:rPr>
      <mc:AlternateContent>
        <mc:Choice Requires="wps">
          <w:drawing>
            <wp:anchor distT="0" distB="0" distL="114300" distR="114300" simplePos="0" relativeHeight="251728896" behindDoc="0" locked="0" layoutInCell="0" allowOverlap="1" wp14:anchorId="0222C687" wp14:editId="0B26CF2F">
              <wp:simplePos x="0" y="0"/>
              <wp:positionH relativeFrom="page">
                <wp:posOffset>0</wp:posOffset>
              </wp:positionH>
              <wp:positionV relativeFrom="page">
                <wp:posOffset>10189687</wp:posOffset>
              </wp:positionV>
              <wp:extent cx="7560310" cy="311785"/>
              <wp:effectExtent l="0" t="0" r="0" b="12065"/>
              <wp:wrapNone/>
              <wp:docPr id="20" name="MSIPCMd08d4d098ab544d95265a8fb"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A24E8"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222C687" id="MSIPCMd08d4d098ab544d95265a8fb" o:spid="_x0000_s1032" type="#_x0000_t202" alt="{&quot;HashCode&quot;:904758361,&quot;Height&quot;:841.0,&quot;Width&quot;:595.0,&quot;Placement&quot;:&quot;Footer&quot;,&quot;Index&quot;:&quot;OddAndEven&quot;,&quot;Section&quot;:5,&quot;Top&quot;:0.0,&quot;Left&quot;:0.0}" style="position:absolute;margin-left:0;margin-top:802.35pt;width:595.3pt;height:24.55pt;z-index:2517288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347A24E8"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77592" w14:textId="5A8BBDCE" w:rsidR="00C50A2B" w:rsidRPr="002A5891" w:rsidRDefault="00BB1C9A" w:rsidP="00BC437C">
    <w:pPr>
      <w:pStyle w:val="SCVfooterempty"/>
    </w:pPr>
    <w:r>
      <w:rPr>
        <w:noProof/>
      </w:rPr>
      <mc:AlternateContent>
        <mc:Choice Requires="wps">
          <w:drawing>
            <wp:anchor distT="0" distB="0" distL="114300" distR="114300" simplePos="0" relativeHeight="251729920" behindDoc="0" locked="0" layoutInCell="0" allowOverlap="1" wp14:anchorId="3DFD790E" wp14:editId="01182B6B">
              <wp:simplePos x="0" y="0"/>
              <wp:positionH relativeFrom="page">
                <wp:posOffset>0</wp:posOffset>
              </wp:positionH>
              <wp:positionV relativeFrom="page">
                <wp:posOffset>10189210</wp:posOffset>
              </wp:positionV>
              <wp:extent cx="7560310" cy="311785"/>
              <wp:effectExtent l="0" t="0" r="0" b="12065"/>
              <wp:wrapNone/>
              <wp:docPr id="679538219" name="MSIPCMd2d94d3fa6e5e57f34a3d635"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080B3F" w14:textId="3D940BB6" w:rsidR="00BB1C9A" w:rsidRPr="00BB1C9A" w:rsidRDefault="00BB1C9A" w:rsidP="00BB1C9A">
                          <w:pPr>
                            <w:spacing w:before="0" w:after="0"/>
                            <w:jc w:val="center"/>
                            <w:rPr>
                              <w:rFonts w:ascii="Arial Black" w:hAnsi="Arial Black"/>
                              <w:color w:val="000000"/>
                            </w:rPr>
                          </w:pPr>
                          <w:r w:rsidRPr="00BB1C9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FD790E" id="_x0000_t202" coordsize="21600,21600" o:spt="202" path="m,l,21600r21600,l21600,xe">
              <v:stroke joinstyle="miter"/>
              <v:path gradientshapeok="t" o:connecttype="rect"/>
            </v:shapetype>
            <v:shape id="MSIPCMd2d94d3fa6e5e57f34a3d635" o:spid="_x0000_s1033" type="#_x0000_t202" alt="{&quot;HashCode&quot;:904758361,&quot;Height&quot;:841.0,&quot;Width&quot;:595.0,&quot;Placement&quot;:&quot;Footer&quot;,&quot;Index&quot;:&quot;Primary&quot;,&quot;Section&quot;:4,&quot;Top&quot;:0.0,&quot;Left&quot;:0.0}" style="position:absolute;margin-left:0;margin-top:802.3pt;width:595.3pt;height:24.55pt;z-index:2517299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fill o:detectmouseclick="t"/>
              <v:textbox inset=",0,,0">
                <w:txbxContent>
                  <w:p w14:paraId="23080B3F" w14:textId="3D940BB6" w:rsidR="00BB1C9A" w:rsidRPr="00BB1C9A" w:rsidRDefault="00BB1C9A" w:rsidP="00BB1C9A">
                    <w:pPr>
                      <w:spacing w:before="0" w:after="0"/>
                      <w:jc w:val="center"/>
                      <w:rPr>
                        <w:rFonts w:ascii="Arial Black" w:hAnsi="Arial Black"/>
                        <w:color w:val="000000"/>
                      </w:rPr>
                    </w:pPr>
                    <w:r w:rsidRPr="00BB1C9A">
                      <w:rPr>
                        <w:rFonts w:ascii="Arial Black" w:hAnsi="Arial Black"/>
                        <w:color w:val="000000"/>
                      </w:rPr>
                      <w:t>OFFICIAL</w:t>
                    </w:r>
                  </w:p>
                </w:txbxContent>
              </v:textbox>
              <w10:wrap anchorx="page" anchory="page"/>
            </v:shape>
          </w:pict>
        </mc:Fallback>
      </mc:AlternateContent>
    </w:r>
    <w:r w:rsidR="00651BA6">
      <w:rPr>
        <w:noProof/>
      </w:rPr>
      <mc:AlternateContent>
        <mc:Choice Requires="wps">
          <w:drawing>
            <wp:anchor distT="0" distB="0" distL="114300" distR="114300" simplePos="0" relativeHeight="251727872" behindDoc="0" locked="0" layoutInCell="0" allowOverlap="1" wp14:anchorId="6AE70302" wp14:editId="3B6B58C1">
              <wp:simplePos x="0" y="0"/>
              <wp:positionH relativeFrom="page">
                <wp:posOffset>0</wp:posOffset>
              </wp:positionH>
              <wp:positionV relativeFrom="page">
                <wp:posOffset>10189210</wp:posOffset>
              </wp:positionV>
              <wp:extent cx="7560310" cy="311785"/>
              <wp:effectExtent l="0" t="0" r="0" b="12065"/>
              <wp:wrapNone/>
              <wp:docPr id="19" name="MSIPCM27e14e23aaba14f2ae2f9ee4"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35D002"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E70302" id="MSIPCM27e14e23aaba14f2ae2f9ee4" o:spid="_x0000_s1034" type="#_x0000_t202" alt="{&quot;HashCode&quot;:904758361,&quot;Height&quot;:841.0,&quot;Width&quot;:595.0,&quot;Placement&quot;:&quot;Footer&quot;,&quot;Index&quot;:&quot;Primary&quot;,&quot;Section&quot;:5,&quot;Top&quot;:0.0,&quot;Left&quot;:0.0}" style="position:absolute;margin-left:0;margin-top:802.3pt;width:595.3pt;height:24.55pt;z-index:251727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4535D002"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0B9B6" w14:textId="77777777" w:rsidR="005012DA" w:rsidRDefault="005012DA" w:rsidP="00E33E08">
      <w:pPr>
        <w:spacing w:before="0" w:after="0" w:line="240" w:lineRule="auto"/>
      </w:pPr>
    </w:p>
  </w:footnote>
  <w:footnote w:type="continuationSeparator" w:id="0">
    <w:p w14:paraId="370E8A17" w14:textId="77777777" w:rsidR="005012DA" w:rsidRDefault="005012DA" w:rsidP="00E33E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39A4" w14:textId="77777777" w:rsidR="00AA4288" w:rsidRDefault="005619BB" w:rsidP="00AA4288">
    <w:pPr>
      <w:pStyle w:val="SCVheaderempty"/>
    </w:pPr>
    <w:r>
      <w:rPr>
        <w:noProof/>
      </w:rPr>
      <w:drawing>
        <wp:anchor distT="0" distB="0" distL="114300" distR="114300" simplePos="0" relativeHeight="251653120" behindDoc="1" locked="1" layoutInCell="1" allowOverlap="1" wp14:anchorId="099CE42F" wp14:editId="347078CD">
          <wp:simplePos x="0" y="0"/>
          <wp:positionH relativeFrom="page">
            <wp:posOffset>0</wp:posOffset>
          </wp:positionH>
          <wp:positionV relativeFrom="page">
            <wp:posOffset>-593725</wp:posOffset>
          </wp:positionV>
          <wp:extent cx="7563485" cy="10877550"/>
          <wp:effectExtent l="0" t="0" r="0" b="0"/>
          <wp:wrapNone/>
          <wp:docPr id="1447311796" name="Picture 1447311796"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877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BA661" w14:textId="77777777" w:rsidR="00C50A2B" w:rsidRDefault="00C50A2B" w:rsidP="00947A0F">
    <w:pPr>
      <w:pStyle w:val="SCVheaderempty"/>
    </w:pPr>
    <w:r>
      <w:rPr>
        <w:noProof/>
      </w:rPr>
      <w:drawing>
        <wp:anchor distT="0" distB="0" distL="114300" distR="114300" simplePos="0" relativeHeight="251696128" behindDoc="1" locked="1" layoutInCell="1" allowOverlap="1" wp14:anchorId="44102725" wp14:editId="43A0A53A">
          <wp:simplePos x="0" y="0"/>
          <wp:positionH relativeFrom="page">
            <wp:posOffset>546100</wp:posOffset>
          </wp:positionH>
          <wp:positionV relativeFrom="page">
            <wp:posOffset>723900</wp:posOffset>
          </wp:positionV>
          <wp:extent cx="6504940" cy="6483350"/>
          <wp:effectExtent l="0" t="0" r="0" b="0"/>
          <wp:wrapNone/>
          <wp:docPr id="1077982440" name="Picture 10779824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6504940" cy="6483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1E0C" w14:textId="77777777" w:rsidR="000C0AE9" w:rsidRDefault="000C0AE9" w:rsidP="00AA4288">
    <w:pPr>
      <w:pStyle w:val="SCVheaderempt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474C" w14:textId="77777777" w:rsidR="00C50A2B" w:rsidRDefault="00C50A2B" w:rsidP="0086277A">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1B55F" w14:textId="77777777" w:rsidR="00C50A2B" w:rsidRDefault="00C50A2B" w:rsidP="00BC437C">
    <w:pPr>
      <w:pStyle w:val="SCV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7C055" w14:textId="77777777" w:rsidR="00C50A2B" w:rsidRDefault="00C50A2B" w:rsidP="00972812">
    <w:pPr>
      <w:pStyle w:val="SCV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F9A2F" w14:textId="77777777" w:rsidR="00C50A2B" w:rsidRDefault="000C0AE9" w:rsidP="006B337A">
    <w:pPr>
      <w:pStyle w:val="SCVheaderempty"/>
    </w:pPr>
    <w:r>
      <w:rPr>
        <w:noProof/>
      </w:rPr>
      <w:drawing>
        <wp:anchor distT="0" distB="0" distL="114300" distR="114300" simplePos="0" relativeHeight="251720704" behindDoc="1" locked="1" layoutInCell="1" allowOverlap="1" wp14:anchorId="3E6B3DFF" wp14:editId="333637D4">
          <wp:simplePos x="0" y="0"/>
          <wp:positionH relativeFrom="page">
            <wp:align>left</wp:align>
          </wp:positionH>
          <wp:positionV relativeFrom="page">
            <wp:align>top</wp:align>
          </wp:positionV>
          <wp:extent cx="7559640" cy="10691640"/>
          <wp:effectExtent l="0" t="0" r="3810" b="0"/>
          <wp:wrapNone/>
          <wp:docPr id="9"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B5816" w14:textId="77777777" w:rsidR="00C50A2B" w:rsidRDefault="00F504CA" w:rsidP="00BC437C">
    <w:pPr>
      <w:pStyle w:val="SCVheaderempty"/>
    </w:pPr>
    <w:r>
      <w:rPr>
        <w:noProof/>
      </w:rPr>
      <w:drawing>
        <wp:anchor distT="0" distB="0" distL="114300" distR="114300" simplePos="0" relativeHeight="251718656" behindDoc="1" locked="1" layoutInCell="1" allowOverlap="1" wp14:anchorId="420891D6" wp14:editId="5DCFA611">
          <wp:simplePos x="538163" y="671513"/>
          <wp:positionH relativeFrom="page">
            <wp:align>left</wp:align>
          </wp:positionH>
          <wp:positionV relativeFrom="page">
            <wp:align>top</wp:align>
          </wp:positionV>
          <wp:extent cx="7560000" cy="10692000"/>
          <wp:effectExtent l="0" t="0" r="3175" b="0"/>
          <wp:wrapNone/>
          <wp:docPr id="7"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B4A79"/>
    <w:multiLevelType w:val="hybridMultilevel"/>
    <w:tmpl w:val="BA84F250"/>
    <w:lvl w:ilvl="0" w:tplc="582029CC">
      <w:start w:val="1"/>
      <w:numFmt w:val="bullet"/>
      <w:lvlText w:val=""/>
      <w:lvlJc w:val="left"/>
      <w:pPr>
        <w:ind w:left="720" w:hanging="360"/>
      </w:pPr>
      <w:rPr>
        <w:rFonts w:ascii="Symbol" w:hAnsi="Symbol" w:hint="default"/>
        <w:color w:val="004D9A"/>
        <w:sz w:val="28"/>
        <w:u w:color="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FF6B43"/>
    <w:multiLevelType w:val="multilevel"/>
    <w:tmpl w:val="2702BF94"/>
    <w:lvl w:ilvl="0">
      <w:start w:val="1"/>
      <w:numFmt w:val="none"/>
      <w:lvlText w:val=""/>
      <w:lvlJc w:val="left"/>
      <w:pPr>
        <w:ind w:left="0" w:firstLine="0"/>
      </w:pPr>
      <w:rPr>
        <w:rFonts w:hint="default"/>
        <w:color w:val="004C97" w:themeColor="accent4"/>
        <w:position w:val="2"/>
        <w:sz w:val="16"/>
      </w:rPr>
    </w:lvl>
    <w:lvl w:ilvl="1">
      <w:start w:val="1"/>
      <w:numFmt w:val="bullet"/>
      <w:lvlText w:val=""/>
      <w:lvlJc w:val="left"/>
      <w:pPr>
        <w:ind w:left="757" w:hanging="360"/>
      </w:pPr>
      <w:rPr>
        <w:rFonts w:ascii="Symbol" w:hAnsi="Symbol" w:hint="default"/>
        <w:color w:val="004D9A"/>
        <w:sz w:val="28"/>
        <w:u w:color="009999"/>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A5A438D"/>
    <w:multiLevelType w:val="hybridMultilevel"/>
    <w:tmpl w:val="85F46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86EE4"/>
    <w:multiLevelType w:val="hybridMultilevel"/>
    <w:tmpl w:val="DEF4E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1329E7"/>
    <w:multiLevelType w:val="hybridMultilevel"/>
    <w:tmpl w:val="9BC417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ED93FFD"/>
    <w:multiLevelType w:val="multilevel"/>
    <w:tmpl w:val="905A408E"/>
    <w:lvl w:ilvl="0">
      <w:start w:val="1"/>
      <w:numFmt w:val="none"/>
      <w:lvlText w:val=""/>
      <w:lvlJc w:val="left"/>
      <w:pPr>
        <w:ind w:left="0" w:firstLine="0"/>
      </w:pPr>
      <w:rPr>
        <w:rFonts w:hint="default"/>
        <w:color w:val="004C97" w:themeColor="accent4"/>
        <w:position w:val="2"/>
        <w:sz w:val="16"/>
      </w:rPr>
    </w:lvl>
    <w:lvl w:ilvl="1">
      <w:start w:val="1"/>
      <w:numFmt w:val="bullet"/>
      <w:lvlText w:val=""/>
      <w:lvlJc w:val="left"/>
      <w:pPr>
        <w:ind w:left="757" w:hanging="360"/>
      </w:pPr>
      <w:rPr>
        <w:rFonts w:ascii="Symbol" w:hAnsi="Symbol" w:hint="default"/>
        <w:color w:val="0070C0"/>
        <w:u w:color="009999"/>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119F23B5"/>
    <w:multiLevelType w:val="hybridMultilevel"/>
    <w:tmpl w:val="2062A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41273E"/>
    <w:multiLevelType w:val="hybridMultilevel"/>
    <w:tmpl w:val="3B302F4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1CFA686E"/>
    <w:multiLevelType w:val="hybridMultilevel"/>
    <w:tmpl w:val="01464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6E5FFB"/>
    <w:multiLevelType w:val="multilevel"/>
    <w:tmpl w:val="11B2157C"/>
    <w:lvl w:ilvl="0">
      <w:start w:val="1"/>
      <w:numFmt w:val="bullet"/>
      <w:lvlText w:val=""/>
      <w:lvlJc w:val="left"/>
      <w:pPr>
        <w:ind w:left="227" w:hanging="227"/>
      </w:pPr>
      <w:rPr>
        <w:rFonts w:ascii="Symbol" w:hAnsi="Symbol" w:hint="default"/>
        <w:color w:val="004D9A"/>
        <w:sz w:val="28"/>
        <w:u w:color="009999"/>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1" w15:restartNumberingAfterBreak="0">
    <w:nsid w:val="29013424"/>
    <w:multiLevelType w:val="hybridMultilevel"/>
    <w:tmpl w:val="02E43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606B81"/>
    <w:multiLevelType w:val="hybridMultilevel"/>
    <w:tmpl w:val="D8802498"/>
    <w:lvl w:ilvl="0" w:tplc="FA88FAE8">
      <w:start w:val="1"/>
      <w:numFmt w:val="decimal"/>
      <w:lvlText w:val="%1."/>
      <w:lvlJc w:val="left"/>
      <w:pPr>
        <w:ind w:left="720" w:hanging="360"/>
      </w:pPr>
      <w:rPr>
        <w:rFonts w:ascii="Arial" w:hAnsi="Arial" w:cs="Arial" w:hint="default"/>
        <w:color w:val="222222"/>
        <w:sz w:val="1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1D75BE"/>
    <w:multiLevelType w:val="hybridMultilevel"/>
    <w:tmpl w:val="77BE12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E680D4A"/>
    <w:multiLevelType w:val="hybridMultilevel"/>
    <w:tmpl w:val="EADC9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9A5B51"/>
    <w:multiLevelType w:val="multilevel"/>
    <w:tmpl w:val="82E62936"/>
    <w:lvl w:ilvl="0">
      <w:start w:val="1"/>
      <w:numFmt w:val="bullet"/>
      <w:lvlText w:val=""/>
      <w:lvlJc w:val="left"/>
      <w:pPr>
        <w:ind w:left="284" w:hanging="284"/>
      </w:pPr>
      <w:rPr>
        <w:rFonts w:ascii="Wingdings 2" w:hAnsi="Wingdings 2" w:hint="default"/>
        <w:color w:val="004C97" w:themeColor="accent4"/>
        <w:position w:val="2"/>
        <w:sz w:val="16"/>
      </w:rPr>
    </w:lvl>
    <w:lvl w:ilvl="1">
      <w:start w:val="1"/>
      <w:numFmt w:val="bullet"/>
      <w:lvlText w:val=""/>
      <w:lvlJc w:val="left"/>
      <w:pPr>
        <w:ind w:left="757" w:hanging="360"/>
      </w:pPr>
      <w:rPr>
        <w:rFonts w:ascii="Symbol" w:hAnsi="Symbol" w:hint="default"/>
        <w:color w:val="007586"/>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4DC0F36"/>
    <w:multiLevelType w:val="hybridMultilevel"/>
    <w:tmpl w:val="88DA7D50"/>
    <w:lvl w:ilvl="0" w:tplc="DC1A92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8" w15:restartNumberingAfterBreak="0">
    <w:nsid w:val="39CB6F4C"/>
    <w:multiLevelType w:val="multilevel"/>
    <w:tmpl w:val="77E634FA"/>
    <w:lvl w:ilvl="0">
      <w:start w:val="1"/>
      <w:numFmt w:val="bullet"/>
      <w:lvlText w:val=""/>
      <w:lvlJc w:val="left"/>
      <w:pPr>
        <w:ind w:left="227" w:hanging="227"/>
      </w:pPr>
      <w:rPr>
        <w:rFonts w:ascii="Symbol" w:hAnsi="Symbol" w:hint="default"/>
        <w:color w:val="004D9A"/>
        <w:sz w:val="28"/>
        <w:u w:color="009999"/>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9" w15:restartNumberingAfterBreak="0">
    <w:nsid w:val="3C61246E"/>
    <w:multiLevelType w:val="multilevel"/>
    <w:tmpl w:val="E00CCE24"/>
    <w:lvl w:ilvl="0">
      <w:start w:val="1"/>
      <w:numFmt w:val="bullet"/>
      <w:lvlText w:val=""/>
      <w:lvlJc w:val="left"/>
      <w:pPr>
        <w:ind w:left="227" w:hanging="227"/>
      </w:pPr>
      <w:rPr>
        <w:rFonts w:ascii="Symbol" w:hAnsi="Symbol" w:hint="default"/>
        <w:color w:val="004D9A"/>
        <w:sz w:val="28"/>
        <w:u w:color="009999"/>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20"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21" w15:restartNumberingAfterBreak="0">
    <w:nsid w:val="402E7937"/>
    <w:multiLevelType w:val="hybridMultilevel"/>
    <w:tmpl w:val="EEBC3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CF46F52"/>
    <w:multiLevelType w:val="multilevel"/>
    <w:tmpl w:val="E00CCE24"/>
    <w:lvl w:ilvl="0">
      <w:start w:val="1"/>
      <w:numFmt w:val="bullet"/>
      <w:lvlText w:val=""/>
      <w:lvlJc w:val="left"/>
      <w:pPr>
        <w:ind w:left="227" w:hanging="227"/>
      </w:pPr>
      <w:rPr>
        <w:rFonts w:ascii="Symbol" w:hAnsi="Symbol" w:hint="default"/>
        <w:color w:val="004D9A"/>
        <w:sz w:val="28"/>
        <w:u w:color="009999"/>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24" w15:restartNumberingAfterBreak="0">
    <w:nsid w:val="4D5467B0"/>
    <w:multiLevelType w:val="hybridMultilevel"/>
    <w:tmpl w:val="101C4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26" w15:restartNumberingAfterBreak="0">
    <w:nsid w:val="55311378"/>
    <w:multiLevelType w:val="hybridMultilevel"/>
    <w:tmpl w:val="37644672"/>
    <w:lvl w:ilvl="0" w:tplc="DC1A92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943332"/>
    <w:multiLevelType w:val="hybridMultilevel"/>
    <w:tmpl w:val="84763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984323"/>
    <w:multiLevelType w:val="multilevel"/>
    <w:tmpl w:val="F1C81358"/>
    <w:lvl w:ilvl="0">
      <w:start w:val="1"/>
      <w:numFmt w:val="none"/>
      <w:lvlText w:val=""/>
      <w:lvlJc w:val="left"/>
      <w:pPr>
        <w:ind w:left="0" w:firstLine="0"/>
      </w:pPr>
      <w:rPr>
        <w:rFonts w:hint="default"/>
        <w:color w:val="004C97" w:themeColor="accent4"/>
        <w:position w:val="2"/>
        <w:sz w:val="16"/>
      </w:rPr>
    </w:lvl>
    <w:lvl w:ilvl="1">
      <w:start w:val="1"/>
      <w:numFmt w:val="bullet"/>
      <w:lvlText w:val=""/>
      <w:lvlJc w:val="left"/>
      <w:pPr>
        <w:ind w:left="757" w:hanging="360"/>
      </w:pPr>
      <w:rPr>
        <w:rFonts w:ascii="Symbol" w:hAnsi="Symbol" w:hint="default"/>
        <w:color w:val="003871" w:themeColor="accent4" w:themeShade="BF"/>
        <w:sz w:val="24"/>
        <w:u w:color="009999"/>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1320433"/>
    <w:multiLevelType w:val="multilevel"/>
    <w:tmpl w:val="69C2D2B4"/>
    <w:styleLink w:val="ZZBullets"/>
    <w:lvl w:ilvl="0">
      <w:start w:val="1"/>
      <w:numFmt w:val="bullet"/>
      <w:pStyle w:val="SCVbullet1"/>
      <w:lvlText w:val=""/>
      <w:lvlJc w:val="left"/>
      <w:pPr>
        <w:ind w:left="284" w:hanging="284"/>
      </w:pPr>
      <w:rPr>
        <w:rFonts w:ascii="Wingdings 2" w:hAnsi="Wingdings 2" w:hint="default"/>
        <w:color w:val="004C97" w:themeColor="accent4"/>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16F3B45"/>
    <w:multiLevelType w:val="multilevel"/>
    <w:tmpl w:val="77E634FA"/>
    <w:lvl w:ilvl="0">
      <w:start w:val="1"/>
      <w:numFmt w:val="bullet"/>
      <w:lvlText w:val=""/>
      <w:lvlJc w:val="left"/>
      <w:pPr>
        <w:ind w:left="227" w:hanging="227"/>
      </w:pPr>
      <w:rPr>
        <w:rFonts w:ascii="Symbol" w:hAnsi="Symbol" w:hint="default"/>
        <w:color w:val="004D9A"/>
        <w:sz w:val="28"/>
        <w:u w:color="009999"/>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1" w15:restartNumberingAfterBreak="0">
    <w:nsid w:val="6309259F"/>
    <w:multiLevelType w:val="multilevel"/>
    <w:tmpl w:val="4198B78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32" w15:restartNumberingAfterBreak="0">
    <w:nsid w:val="675322D7"/>
    <w:multiLevelType w:val="multilevel"/>
    <w:tmpl w:val="77E634FA"/>
    <w:lvl w:ilvl="0">
      <w:start w:val="1"/>
      <w:numFmt w:val="bullet"/>
      <w:lvlText w:val=""/>
      <w:lvlJc w:val="left"/>
      <w:pPr>
        <w:ind w:left="227" w:hanging="227"/>
      </w:pPr>
      <w:rPr>
        <w:rFonts w:ascii="Symbol" w:hAnsi="Symbol" w:hint="default"/>
        <w:color w:val="004D9A"/>
        <w:sz w:val="28"/>
        <w:u w:color="009999"/>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3" w15:restartNumberingAfterBreak="0">
    <w:nsid w:val="6AFD31D1"/>
    <w:multiLevelType w:val="hybridMultilevel"/>
    <w:tmpl w:val="DB525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3F211F"/>
    <w:multiLevelType w:val="hybridMultilevel"/>
    <w:tmpl w:val="7868C648"/>
    <w:lvl w:ilvl="0" w:tplc="DC1A92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2020B7"/>
    <w:multiLevelType w:val="hybridMultilevel"/>
    <w:tmpl w:val="846E18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C76719"/>
    <w:multiLevelType w:val="multilevel"/>
    <w:tmpl w:val="E0D49F02"/>
    <w:numStyleLink w:val="ZZTablebullets"/>
  </w:abstractNum>
  <w:abstractNum w:abstractNumId="37"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7FA827CA"/>
    <w:multiLevelType w:val="multilevel"/>
    <w:tmpl w:val="77E634FA"/>
    <w:lvl w:ilvl="0">
      <w:start w:val="1"/>
      <w:numFmt w:val="bullet"/>
      <w:lvlText w:val=""/>
      <w:lvlJc w:val="left"/>
      <w:pPr>
        <w:ind w:left="227" w:hanging="227"/>
      </w:pPr>
      <w:rPr>
        <w:rFonts w:ascii="Symbol" w:hAnsi="Symbol" w:hint="default"/>
        <w:color w:val="004D9A"/>
        <w:sz w:val="28"/>
        <w:u w:color="009999"/>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39"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9230303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09634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66391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40679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25997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970783">
    <w:abstractNumId w:val="29"/>
  </w:num>
  <w:num w:numId="7" w16cid:durableId="923227505">
    <w:abstractNumId w:val="37"/>
  </w:num>
  <w:num w:numId="8" w16cid:durableId="1021660768">
    <w:abstractNumId w:val="20"/>
  </w:num>
  <w:num w:numId="9" w16cid:durableId="670913307">
    <w:abstractNumId w:val="8"/>
  </w:num>
  <w:num w:numId="10" w16cid:durableId="47460287">
    <w:abstractNumId w:val="31"/>
  </w:num>
  <w:num w:numId="11" w16cid:durableId="1438404703">
    <w:abstractNumId w:val="25"/>
  </w:num>
  <w:num w:numId="12" w16cid:durableId="544371940">
    <w:abstractNumId w:val="22"/>
  </w:num>
  <w:num w:numId="13" w16cid:durableId="988750169">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6713755">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7636867">
    <w:abstractNumId w:val="35"/>
  </w:num>
  <w:num w:numId="16" w16cid:durableId="101658467">
    <w:abstractNumId w:val="16"/>
  </w:num>
  <w:num w:numId="17" w16cid:durableId="471870335">
    <w:abstractNumId w:val="26"/>
  </w:num>
  <w:num w:numId="18" w16cid:durableId="1502312018">
    <w:abstractNumId w:val="34"/>
  </w:num>
  <w:num w:numId="19" w16cid:durableId="278338901">
    <w:abstractNumId w:val="12"/>
  </w:num>
  <w:num w:numId="20" w16cid:durableId="745495138">
    <w:abstractNumId w:val="15"/>
  </w:num>
  <w:num w:numId="21" w16cid:durableId="1707102323">
    <w:abstractNumId w:val="3"/>
  </w:num>
  <w:num w:numId="22" w16cid:durableId="1450120535">
    <w:abstractNumId w:val="33"/>
  </w:num>
  <w:num w:numId="23" w16cid:durableId="589242633">
    <w:abstractNumId w:val="2"/>
  </w:num>
  <w:num w:numId="24" w16cid:durableId="1342126611">
    <w:abstractNumId w:val="11"/>
  </w:num>
  <w:num w:numId="25" w16cid:durableId="293102846">
    <w:abstractNumId w:val="21"/>
  </w:num>
  <w:num w:numId="26" w16cid:durableId="1115561128">
    <w:abstractNumId w:val="7"/>
  </w:num>
  <w:num w:numId="27" w16cid:durableId="1535730542">
    <w:abstractNumId w:val="13"/>
  </w:num>
  <w:num w:numId="28" w16cid:durableId="455955685">
    <w:abstractNumId w:val="4"/>
  </w:num>
  <w:num w:numId="29" w16cid:durableId="1922375405">
    <w:abstractNumId w:val="9"/>
  </w:num>
  <w:num w:numId="30" w16cid:durableId="1941832117">
    <w:abstractNumId w:val="14"/>
  </w:num>
  <w:num w:numId="31" w16cid:durableId="2025283582">
    <w:abstractNumId w:val="24"/>
  </w:num>
  <w:num w:numId="32" w16cid:durableId="1805854812">
    <w:abstractNumId w:val="6"/>
  </w:num>
  <w:num w:numId="33" w16cid:durableId="1306357525">
    <w:abstractNumId w:val="27"/>
  </w:num>
  <w:num w:numId="34" w16cid:durableId="2079739954">
    <w:abstractNumId w:val="5"/>
  </w:num>
  <w:num w:numId="35" w16cid:durableId="1416323611">
    <w:abstractNumId w:val="28"/>
  </w:num>
  <w:num w:numId="36" w16cid:durableId="1042827128">
    <w:abstractNumId w:val="1"/>
  </w:num>
  <w:num w:numId="37" w16cid:durableId="1005402157">
    <w:abstractNumId w:val="0"/>
  </w:num>
  <w:num w:numId="38" w16cid:durableId="203179207">
    <w:abstractNumId w:val="30"/>
  </w:num>
  <w:num w:numId="39" w16cid:durableId="393243164">
    <w:abstractNumId w:val="38"/>
  </w:num>
  <w:num w:numId="40" w16cid:durableId="2026511616">
    <w:abstractNumId w:val="18"/>
  </w:num>
  <w:num w:numId="41" w16cid:durableId="742261632">
    <w:abstractNumId w:val="32"/>
  </w:num>
  <w:num w:numId="42" w16cid:durableId="1011222714">
    <w:abstractNumId w:val="36"/>
  </w:num>
  <w:num w:numId="43" w16cid:durableId="1402632826">
    <w:abstractNumId w:val="19"/>
  </w:num>
  <w:num w:numId="44" w16cid:durableId="1702248016">
    <w:abstractNumId w:val="23"/>
  </w:num>
  <w:num w:numId="45" w16cid:durableId="155137995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EF5"/>
    <w:rsid w:val="00012F6F"/>
    <w:rsid w:val="00014213"/>
    <w:rsid w:val="00014B55"/>
    <w:rsid w:val="00020E3E"/>
    <w:rsid w:val="0002328B"/>
    <w:rsid w:val="00023BF3"/>
    <w:rsid w:val="0002602C"/>
    <w:rsid w:val="00026811"/>
    <w:rsid w:val="0004185E"/>
    <w:rsid w:val="0004698F"/>
    <w:rsid w:val="000477DC"/>
    <w:rsid w:val="00056988"/>
    <w:rsid w:val="00064208"/>
    <w:rsid w:val="00072279"/>
    <w:rsid w:val="00075E6C"/>
    <w:rsid w:val="00081C12"/>
    <w:rsid w:val="00087D42"/>
    <w:rsid w:val="00087DF3"/>
    <w:rsid w:val="000A2620"/>
    <w:rsid w:val="000B29AD"/>
    <w:rsid w:val="000B42B7"/>
    <w:rsid w:val="000B7B42"/>
    <w:rsid w:val="000C0AE9"/>
    <w:rsid w:val="000C6372"/>
    <w:rsid w:val="000D0EF6"/>
    <w:rsid w:val="000D7841"/>
    <w:rsid w:val="000E1232"/>
    <w:rsid w:val="000E217C"/>
    <w:rsid w:val="000E392D"/>
    <w:rsid w:val="000E39B6"/>
    <w:rsid w:val="000E3D05"/>
    <w:rsid w:val="000F4288"/>
    <w:rsid w:val="000F7165"/>
    <w:rsid w:val="000F768F"/>
    <w:rsid w:val="00100361"/>
    <w:rsid w:val="00102379"/>
    <w:rsid w:val="00103722"/>
    <w:rsid w:val="00105EB8"/>
    <w:rsid w:val="001065D6"/>
    <w:rsid w:val="001068D5"/>
    <w:rsid w:val="00121252"/>
    <w:rsid w:val="00124609"/>
    <w:rsid w:val="001254CE"/>
    <w:rsid w:val="0012641C"/>
    <w:rsid w:val="00127D7A"/>
    <w:rsid w:val="001422CC"/>
    <w:rsid w:val="00142CC3"/>
    <w:rsid w:val="00143AB7"/>
    <w:rsid w:val="00145346"/>
    <w:rsid w:val="00150333"/>
    <w:rsid w:val="00160CF0"/>
    <w:rsid w:val="001617B6"/>
    <w:rsid w:val="00165E66"/>
    <w:rsid w:val="00174F38"/>
    <w:rsid w:val="001849FD"/>
    <w:rsid w:val="0019351B"/>
    <w:rsid w:val="00194B79"/>
    <w:rsid w:val="00196143"/>
    <w:rsid w:val="001A24FC"/>
    <w:rsid w:val="001A6B05"/>
    <w:rsid w:val="001B5C3C"/>
    <w:rsid w:val="001C1F35"/>
    <w:rsid w:val="001C7BAE"/>
    <w:rsid w:val="001E1B94"/>
    <w:rsid w:val="001E31FA"/>
    <w:rsid w:val="001E3229"/>
    <w:rsid w:val="001E48F9"/>
    <w:rsid w:val="001E64F6"/>
    <w:rsid w:val="001E7AEB"/>
    <w:rsid w:val="00204B82"/>
    <w:rsid w:val="00205C68"/>
    <w:rsid w:val="00222BEB"/>
    <w:rsid w:val="00223217"/>
    <w:rsid w:val="00225E60"/>
    <w:rsid w:val="00230BBB"/>
    <w:rsid w:val="0023202C"/>
    <w:rsid w:val="00234253"/>
    <w:rsid w:val="00234619"/>
    <w:rsid w:val="00245043"/>
    <w:rsid w:val="0025578B"/>
    <w:rsid w:val="002570BD"/>
    <w:rsid w:val="0026028E"/>
    <w:rsid w:val="00267D39"/>
    <w:rsid w:val="00272EC4"/>
    <w:rsid w:val="00276717"/>
    <w:rsid w:val="00282118"/>
    <w:rsid w:val="00284FA2"/>
    <w:rsid w:val="00286657"/>
    <w:rsid w:val="00292657"/>
    <w:rsid w:val="00292D36"/>
    <w:rsid w:val="00294A5A"/>
    <w:rsid w:val="00297281"/>
    <w:rsid w:val="00297A47"/>
    <w:rsid w:val="002A4AD5"/>
    <w:rsid w:val="002A5891"/>
    <w:rsid w:val="002B03F1"/>
    <w:rsid w:val="002B53FF"/>
    <w:rsid w:val="002B5E2B"/>
    <w:rsid w:val="002B6DAA"/>
    <w:rsid w:val="002C644A"/>
    <w:rsid w:val="002D6F3C"/>
    <w:rsid w:val="002D70F7"/>
    <w:rsid w:val="002D711A"/>
    <w:rsid w:val="002D7336"/>
    <w:rsid w:val="002E0DBD"/>
    <w:rsid w:val="002E3396"/>
    <w:rsid w:val="002F2953"/>
    <w:rsid w:val="002F4173"/>
    <w:rsid w:val="00303E66"/>
    <w:rsid w:val="0031149C"/>
    <w:rsid w:val="00315B8F"/>
    <w:rsid w:val="00316FC9"/>
    <w:rsid w:val="00325E21"/>
    <w:rsid w:val="00345B45"/>
    <w:rsid w:val="00345F0B"/>
    <w:rsid w:val="00350441"/>
    <w:rsid w:val="00354D98"/>
    <w:rsid w:val="003564A6"/>
    <w:rsid w:val="00357CCB"/>
    <w:rsid w:val="0036778F"/>
    <w:rsid w:val="00374271"/>
    <w:rsid w:val="00382D8C"/>
    <w:rsid w:val="0038771C"/>
    <w:rsid w:val="003A24F9"/>
    <w:rsid w:val="003A430B"/>
    <w:rsid w:val="003A541A"/>
    <w:rsid w:val="003A6923"/>
    <w:rsid w:val="003A7540"/>
    <w:rsid w:val="003C2C67"/>
    <w:rsid w:val="003C2D4C"/>
    <w:rsid w:val="003C3B3A"/>
    <w:rsid w:val="003C5BA4"/>
    <w:rsid w:val="003E1B1E"/>
    <w:rsid w:val="003E3E26"/>
    <w:rsid w:val="003F1295"/>
    <w:rsid w:val="003F5102"/>
    <w:rsid w:val="003F566D"/>
    <w:rsid w:val="003F5D02"/>
    <w:rsid w:val="003F76FC"/>
    <w:rsid w:val="004002EB"/>
    <w:rsid w:val="00407A79"/>
    <w:rsid w:val="004108A6"/>
    <w:rsid w:val="004160F2"/>
    <w:rsid w:val="00422DDC"/>
    <w:rsid w:val="004231B5"/>
    <w:rsid w:val="004236C8"/>
    <w:rsid w:val="00427681"/>
    <w:rsid w:val="00427728"/>
    <w:rsid w:val="00432AA4"/>
    <w:rsid w:val="004331A3"/>
    <w:rsid w:val="00433DB7"/>
    <w:rsid w:val="0043696B"/>
    <w:rsid w:val="00453750"/>
    <w:rsid w:val="00456941"/>
    <w:rsid w:val="00463C5A"/>
    <w:rsid w:val="004702EA"/>
    <w:rsid w:val="004777DB"/>
    <w:rsid w:val="0048259C"/>
    <w:rsid w:val="00482D02"/>
    <w:rsid w:val="00484326"/>
    <w:rsid w:val="00485F38"/>
    <w:rsid w:val="00490369"/>
    <w:rsid w:val="00497EB0"/>
    <w:rsid w:val="004A7519"/>
    <w:rsid w:val="004B19C7"/>
    <w:rsid w:val="004B64B1"/>
    <w:rsid w:val="004D01AC"/>
    <w:rsid w:val="004D3518"/>
    <w:rsid w:val="004D62D6"/>
    <w:rsid w:val="004D6898"/>
    <w:rsid w:val="004D7778"/>
    <w:rsid w:val="004E0327"/>
    <w:rsid w:val="004E399E"/>
    <w:rsid w:val="004F2019"/>
    <w:rsid w:val="004F3F4E"/>
    <w:rsid w:val="004F5DD3"/>
    <w:rsid w:val="005012DA"/>
    <w:rsid w:val="00501DA9"/>
    <w:rsid w:val="005079B2"/>
    <w:rsid w:val="00510167"/>
    <w:rsid w:val="00511E12"/>
    <w:rsid w:val="00512DCB"/>
    <w:rsid w:val="00513E86"/>
    <w:rsid w:val="00515958"/>
    <w:rsid w:val="00523825"/>
    <w:rsid w:val="00523E77"/>
    <w:rsid w:val="005306A2"/>
    <w:rsid w:val="0053416C"/>
    <w:rsid w:val="005416D7"/>
    <w:rsid w:val="00541C2F"/>
    <w:rsid w:val="005447C9"/>
    <w:rsid w:val="005450D9"/>
    <w:rsid w:val="00547A71"/>
    <w:rsid w:val="00552DE4"/>
    <w:rsid w:val="005619BB"/>
    <w:rsid w:val="00563527"/>
    <w:rsid w:val="0057407A"/>
    <w:rsid w:val="00576382"/>
    <w:rsid w:val="0058124E"/>
    <w:rsid w:val="005848A5"/>
    <w:rsid w:val="005875A3"/>
    <w:rsid w:val="0058788E"/>
    <w:rsid w:val="0059267A"/>
    <w:rsid w:val="00593A04"/>
    <w:rsid w:val="005953EA"/>
    <w:rsid w:val="005A00FA"/>
    <w:rsid w:val="005A3416"/>
    <w:rsid w:val="005B27FE"/>
    <w:rsid w:val="005B76DF"/>
    <w:rsid w:val="005B79CB"/>
    <w:rsid w:val="005C04F0"/>
    <w:rsid w:val="005C07D3"/>
    <w:rsid w:val="005C12A8"/>
    <w:rsid w:val="005C1410"/>
    <w:rsid w:val="005E08D7"/>
    <w:rsid w:val="005E1CAE"/>
    <w:rsid w:val="005E4C16"/>
    <w:rsid w:val="005E57E1"/>
    <w:rsid w:val="005E5947"/>
    <w:rsid w:val="005F61DF"/>
    <w:rsid w:val="0060163A"/>
    <w:rsid w:val="006023F9"/>
    <w:rsid w:val="00610559"/>
    <w:rsid w:val="00614076"/>
    <w:rsid w:val="00616087"/>
    <w:rsid w:val="00617BB5"/>
    <w:rsid w:val="006208C4"/>
    <w:rsid w:val="00632F2E"/>
    <w:rsid w:val="006332F6"/>
    <w:rsid w:val="00633C69"/>
    <w:rsid w:val="006413F2"/>
    <w:rsid w:val="00645E9B"/>
    <w:rsid w:val="00651BA6"/>
    <w:rsid w:val="006534B2"/>
    <w:rsid w:val="0065615D"/>
    <w:rsid w:val="00657011"/>
    <w:rsid w:val="006617F6"/>
    <w:rsid w:val="006650B5"/>
    <w:rsid w:val="006651B1"/>
    <w:rsid w:val="00665778"/>
    <w:rsid w:val="00674DD1"/>
    <w:rsid w:val="00676E5F"/>
    <w:rsid w:val="006826C4"/>
    <w:rsid w:val="006945CA"/>
    <w:rsid w:val="006A3309"/>
    <w:rsid w:val="006A3A5A"/>
    <w:rsid w:val="006A5B34"/>
    <w:rsid w:val="006B3204"/>
    <w:rsid w:val="006B337A"/>
    <w:rsid w:val="006B51F3"/>
    <w:rsid w:val="006C145E"/>
    <w:rsid w:val="006C77A9"/>
    <w:rsid w:val="006D4720"/>
    <w:rsid w:val="006D5B85"/>
    <w:rsid w:val="006D7264"/>
    <w:rsid w:val="006E0A62"/>
    <w:rsid w:val="006E4C46"/>
    <w:rsid w:val="006E6CDF"/>
    <w:rsid w:val="006E7C80"/>
    <w:rsid w:val="006F37F2"/>
    <w:rsid w:val="006F6693"/>
    <w:rsid w:val="006F6B74"/>
    <w:rsid w:val="00704EAC"/>
    <w:rsid w:val="00707FE8"/>
    <w:rsid w:val="00714AAE"/>
    <w:rsid w:val="00724962"/>
    <w:rsid w:val="00724A0F"/>
    <w:rsid w:val="00726D2F"/>
    <w:rsid w:val="00736732"/>
    <w:rsid w:val="00740019"/>
    <w:rsid w:val="007432F9"/>
    <w:rsid w:val="00746426"/>
    <w:rsid w:val="00750BF9"/>
    <w:rsid w:val="00750CBE"/>
    <w:rsid w:val="007650D2"/>
    <w:rsid w:val="00766B5A"/>
    <w:rsid w:val="00767B8C"/>
    <w:rsid w:val="00772209"/>
    <w:rsid w:val="007770A5"/>
    <w:rsid w:val="007834F2"/>
    <w:rsid w:val="0078432C"/>
    <w:rsid w:val="00791020"/>
    <w:rsid w:val="00796484"/>
    <w:rsid w:val="007A04D2"/>
    <w:rsid w:val="007A1100"/>
    <w:rsid w:val="007A5F82"/>
    <w:rsid w:val="007B19B7"/>
    <w:rsid w:val="007B55C7"/>
    <w:rsid w:val="007D5F9E"/>
    <w:rsid w:val="007D6713"/>
    <w:rsid w:val="007E098F"/>
    <w:rsid w:val="007E3BA2"/>
    <w:rsid w:val="007E5ABD"/>
    <w:rsid w:val="007F1A4C"/>
    <w:rsid w:val="007F723F"/>
    <w:rsid w:val="008022C3"/>
    <w:rsid w:val="008041E6"/>
    <w:rsid w:val="008065D2"/>
    <w:rsid w:val="00815A8A"/>
    <w:rsid w:val="0082194C"/>
    <w:rsid w:val="008222FF"/>
    <w:rsid w:val="008241FF"/>
    <w:rsid w:val="00827454"/>
    <w:rsid w:val="0083539D"/>
    <w:rsid w:val="00836CC9"/>
    <w:rsid w:val="008411E9"/>
    <w:rsid w:val="00841617"/>
    <w:rsid w:val="0084200F"/>
    <w:rsid w:val="00843B2C"/>
    <w:rsid w:val="00844F16"/>
    <w:rsid w:val="00847745"/>
    <w:rsid w:val="00852CA1"/>
    <w:rsid w:val="00855FF9"/>
    <w:rsid w:val="0086277A"/>
    <w:rsid w:val="00865A5B"/>
    <w:rsid w:val="008668A8"/>
    <w:rsid w:val="008719DF"/>
    <w:rsid w:val="008768AD"/>
    <w:rsid w:val="00880AC4"/>
    <w:rsid w:val="00897447"/>
    <w:rsid w:val="008A4900"/>
    <w:rsid w:val="008A55FE"/>
    <w:rsid w:val="008B146D"/>
    <w:rsid w:val="008B3EF5"/>
    <w:rsid w:val="008B42AD"/>
    <w:rsid w:val="008B5666"/>
    <w:rsid w:val="008D0281"/>
    <w:rsid w:val="008D1DD2"/>
    <w:rsid w:val="008D6AEE"/>
    <w:rsid w:val="008E2348"/>
    <w:rsid w:val="008E347D"/>
    <w:rsid w:val="008E4DFC"/>
    <w:rsid w:val="008F04C8"/>
    <w:rsid w:val="008F1D3B"/>
    <w:rsid w:val="008F6D45"/>
    <w:rsid w:val="00903F5A"/>
    <w:rsid w:val="00903F81"/>
    <w:rsid w:val="00905E6A"/>
    <w:rsid w:val="00907FF7"/>
    <w:rsid w:val="00916FB6"/>
    <w:rsid w:val="00920E37"/>
    <w:rsid w:val="00922944"/>
    <w:rsid w:val="00931FD9"/>
    <w:rsid w:val="00932CB3"/>
    <w:rsid w:val="00934C41"/>
    <w:rsid w:val="00936479"/>
    <w:rsid w:val="00937A10"/>
    <w:rsid w:val="009464B0"/>
    <w:rsid w:val="00947A0F"/>
    <w:rsid w:val="009579EA"/>
    <w:rsid w:val="00966115"/>
    <w:rsid w:val="00972812"/>
    <w:rsid w:val="009834C0"/>
    <w:rsid w:val="00986AAC"/>
    <w:rsid w:val="009905FA"/>
    <w:rsid w:val="00995526"/>
    <w:rsid w:val="009A0E50"/>
    <w:rsid w:val="009A1DA2"/>
    <w:rsid w:val="009A2194"/>
    <w:rsid w:val="009A35AA"/>
    <w:rsid w:val="009A3704"/>
    <w:rsid w:val="009A4739"/>
    <w:rsid w:val="009A674F"/>
    <w:rsid w:val="009A6D22"/>
    <w:rsid w:val="009B199C"/>
    <w:rsid w:val="009B3849"/>
    <w:rsid w:val="009B5979"/>
    <w:rsid w:val="009B61F1"/>
    <w:rsid w:val="009B62E0"/>
    <w:rsid w:val="009C3D88"/>
    <w:rsid w:val="009D6EA9"/>
    <w:rsid w:val="009E0ECD"/>
    <w:rsid w:val="009E1651"/>
    <w:rsid w:val="009E3858"/>
    <w:rsid w:val="009E467D"/>
    <w:rsid w:val="009E70DD"/>
    <w:rsid w:val="009F128B"/>
    <w:rsid w:val="009F2ED9"/>
    <w:rsid w:val="009F3231"/>
    <w:rsid w:val="009F5450"/>
    <w:rsid w:val="009F5C58"/>
    <w:rsid w:val="009F6988"/>
    <w:rsid w:val="00A00CDF"/>
    <w:rsid w:val="00A023A0"/>
    <w:rsid w:val="00A034F7"/>
    <w:rsid w:val="00A05EBC"/>
    <w:rsid w:val="00A1562B"/>
    <w:rsid w:val="00A170F4"/>
    <w:rsid w:val="00A21408"/>
    <w:rsid w:val="00A21CFD"/>
    <w:rsid w:val="00A23BA4"/>
    <w:rsid w:val="00A25B78"/>
    <w:rsid w:val="00A27B01"/>
    <w:rsid w:val="00A400CC"/>
    <w:rsid w:val="00A40495"/>
    <w:rsid w:val="00A45CB0"/>
    <w:rsid w:val="00A46288"/>
    <w:rsid w:val="00A46BA8"/>
    <w:rsid w:val="00A47634"/>
    <w:rsid w:val="00A528D0"/>
    <w:rsid w:val="00A612FE"/>
    <w:rsid w:val="00A66F4D"/>
    <w:rsid w:val="00A703B3"/>
    <w:rsid w:val="00A70B49"/>
    <w:rsid w:val="00A740D4"/>
    <w:rsid w:val="00A8084F"/>
    <w:rsid w:val="00A92D94"/>
    <w:rsid w:val="00AA26B8"/>
    <w:rsid w:val="00AA4288"/>
    <w:rsid w:val="00AA4907"/>
    <w:rsid w:val="00AB1B76"/>
    <w:rsid w:val="00AB24E4"/>
    <w:rsid w:val="00AC0B87"/>
    <w:rsid w:val="00AC2624"/>
    <w:rsid w:val="00AC32A8"/>
    <w:rsid w:val="00AD1351"/>
    <w:rsid w:val="00AD4528"/>
    <w:rsid w:val="00AD7E4E"/>
    <w:rsid w:val="00AE271D"/>
    <w:rsid w:val="00AF4D58"/>
    <w:rsid w:val="00AF6666"/>
    <w:rsid w:val="00AF7BC5"/>
    <w:rsid w:val="00B116E3"/>
    <w:rsid w:val="00B15592"/>
    <w:rsid w:val="00B16D2B"/>
    <w:rsid w:val="00B176C8"/>
    <w:rsid w:val="00B23AE9"/>
    <w:rsid w:val="00B37FF8"/>
    <w:rsid w:val="00B41DEC"/>
    <w:rsid w:val="00B47C3A"/>
    <w:rsid w:val="00B515DB"/>
    <w:rsid w:val="00B556E1"/>
    <w:rsid w:val="00B673BB"/>
    <w:rsid w:val="00B73B9C"/>
    <w:rsid w:val="00B81B44"/>
    <w:rsid w:val="00B9053B"/>
    <w:rsid w:val="00B9059E"/>
    <w:rsid w:val="00B9777C"/>
    <w:rsid w:val="00BA059D"/>
    <w:rsid w:val="00BA0C37"/>
    <w:rsid w:val="00BA3782"/>
    <w:rsid w:val="00BA5BEB"/>
    <w:rsid w:val="00BA5E23"/>
    <w:rsid w:val="00BA5F98"/>
    <w:rsid w:val="00BB1C9A"/>
    <w:rsid w:val="00BB4D98"/>
    <w:rsid w:val="00BB4EBF"/>
    <w:rsid w:val="00BB59E0"/>
    <w:rsid w:val="00BB7DF0"/>
    <w:rsid w:val="00BC3422"/>
    <w:rsid w:val="00BC437C"/>
    <w:rsid w:val="00BC6E19"/>
    <w:rsid w:val="00BD05FA"/>
    <w:rsid w:val="00BD0B31"/>
    <w:rsid w:val="00BD4FF1"/>
    <w:rsid w:val="00BD5018"/>
    <w:rsid w:val="00BE1608"/>
    <w:rsid w:val="00BE4EDC"/>
    <w:rsid w:val="00BE5ADC"/>
    <w:rsid w:val="00BF4F96"/>
    <w:rsid w:val="00C015B9"/>
    <w:rsid w:val="00C022F9"/>
    <w:rsid w:val="00C032EA"/>
    <w:rsid w:val="00C06EB5"/>
    <w:rsid w:val="00C1145F"/>
    <w:rsid w:val="00C11CD1"/>
    <w:rsid w:val="00C15701"/>
    <w:rsid w:val="00C258F2"/>
    <w:rsid w:val="00C2715F"/>
    <w:rsid w:val="00C32D49"/>
    <w:rsid w:val="00C33AD3"/>
    <w:rsid w:val="00C41B3C"/>
    <w:rsid w:val="00C43F06"/>
    <w:rsid w:val="00C45702"/>
    <w:rsid w:val="00C47503"/>
    <w:rsid w:val="00C50A2B"/>
    <w:rsid w:val="00C51C01"/>
    <w:rsid w:val="00C539DC"/>
    <w:rsid w:val="00C561ED"/>
    <w:rsid w:val="00C637E1"/>
    <w:rsid w:val="00C67EAC"/>
    <w:rsid w:val="00C70D50"/>
    <w:rsid w:val="00C72252"/>
    <w:rsid w:val="00C75022"/>
    <w:rsid w:val="00C81050"/>
    <w:rsid w:val="00C86C45"/>
    <w:rsid w:val="00C907D7"/>
    <w:rsid w:val="00C92338"/>
    <w:rsid w:val="00C95E66"/>
    <w:rsid w:val="00C96051"/>
    <w:rsid w:val="00C97B86"/>
    <w:rsid w:val="00CA05DC"/>
    <w:rsid w:val="00CA4837"/>
    <w:rsid w:val="00CA7B47"/>
    <w:rsid w:val="00CB1DD6"/>
    <w:rsid w:val="00CB3976"/>
    <w:rsid w:val="00CB441A"/>
    <w:rsid w:val="00CB6709"/>
    <w:rsid w:val="00CC6087"/>
    <w:rsid w:val="00CD0307"/>
    <w:rsid w:val="00CD3D1B"/>
    <w:rsid w:val="00CE083F"/>
    <w:rsid w:val="00CF2474"/>
    <w:rsid w:val="00CF6EC4"/>
    <w:rsid w:val="00D02663"/>
    <w:rsid w:val="00D0633E"/>
    <w:rsid w:val="00D114DB"/>
    <w:rsid w:val="00D12E74"/>
    <w:rsid w:val="00D15955"/>
    <w:rsid w:val="00D2312F"/>
    <w:rsid w:val="00D23B04"/>
    <w:rsid w:val="00D269C1"/>
    <w:rsid w:val="00D27944"/>
    <w:rsid w:val="00D321BE"/>
    <w:rsid w:val="00D40D8B"/>
    <w:rsid w:val="00D41B2F"/>
    <w:rsid w:val="00D44953"/>
    <w:rsid w:val="00D50A31"/>
    <w:rsid w:val="00D53EC8"/>
    <w:rsid w:val="00D542F3"/>
    <w:rsid w:val="00D54513"/>
    <w:rsid w:val="00D54AAE"/>
    <w:rsid w:val="00D5644B"/>
    <w:rsid w:val="00D56E25"/>
    <w:rsid w:val="00D57E89"/>
    <w:rsid w:val="00D60E1A"/>
    <w:rsid w:val="00D6560D"/>
    <w:rsid w:val="00D65D77"/>
    <w:rsid w:val="00D662E0"/>
    <w:rsid w:val="00D7134A"/>
    <w:rsid w:val="00D718D7"/>
    <w:rsid w:val="00D814B7"/>
    <w:rsid w:val="00D84380"/>
    <w:rsid w:val="00D863EB"/>
    <w:rsid w:val="00D90688"/>
    <w:rsid w:val="00DA3AAD"/>
    <w:rsid w:val="00DB0804"/>
    <w:rsid w:val="00DB312B"/>
    <w:rsid w:val="00DC4558"/>
    <w:rsid w:val="00DC5654"/>
    <w:rsid w:val="00DC658F"/>
    <w:rsid w:val="00DC674A"/>
    <w:rsid w:val="00DD34D3"/>
    <w:rsid w:val="00DD6383"/>
    <w:rsid w:val="00DD7FAE"/>
    <w:rsid w:val="00DE0E4E"/>
    <w:rsid w:val="00DE60CC"/>
    <w:rsid w:val="00DF52CC"/>
    <w:rsid w:val="00E04902"/>
    <w:rsid w:val="00E06416"/>
    <w:rsid w:val="00E07DE5"/>
    <w:rsid w:val="00E21C8E"/>
    <w:rsid w:val="00E21F39"/>
    <w:rsid w:val="00E22A20"/>
    <w:rsid w:val="00E24F69"/>
    <w:rsid w:val="00E26B32"/>
    <w:rsid w:val="00E31CD4"/>
    <w:rsid w:val="00E31E60"/>
    <w:rsid w:val="00E33E08"/>
    <w:rsid w:val="00E363BB"/>
    <w:rsid w:val="00E4073B"/>
    <w:rsid w:val="00E407B6"/>
    <w:rsid w:val="00E41EF1"/>
    <w:rsid w:val="00E42942"/>
    <w:rsid w:val="00E45C9C"/>
    <w:rsid w:val="00E543D9"/>
    <w:rsid w:val="00E65A0A"/>
    <w:rsid w:val="00E65F11"/>
    <w:rsid w:val="00E66504"/>
    <w:rsid w:val="00E71BDF"/>
    <w:rsid w:val="00E72E8A"/>
    <w:rsid w:val="00E739E4"/>
    <w:rsid w:val="00E75CCB"/>
    <w:rsid w:val="00E8245B"/>
    <w:rsid w:val="00E82C21"/>
    <w:rsid w:val="00E82F59"/>
    <w:rsid w:val="00E83CA7"/>
    <w:rsid w:val="00E92192"/>
    <w:rsid w:val="00E95A71"/>
    <w:rsid w:val="00EA030C"/>
    <w:rsid w:val="00EA2B81"/>
    <w:rsid w:val="00EA5761"/>
    <w:rsid w:val="00EB363A"/>
    <w:rsid w:val="00EB6068"/>
    <w:rsid w:val="00EB7014"/>
    <w:rsid w:val="00EC1983"/>
    <w:rsid w:val="00EC5CDE"/>
    <w:rsid w:val="00ED3077"/>
    <w:rsid w:val="00ED487E"/>
    <w:rsid w:val="00ED64F1"/>
    <w:rsid w:val="00ED656C"/>
    <w:rsid w:val="00EE33A1"/>
    <w:rsid w:val="00EE7A0D"/>
    <w:rsid w:val="00EF295D"/>
    <w:rsid w:val="00EF4286"/>
    <w:rsid w:val="00F0222C"/>
    <w:rsid w:val="00F05AFA"/>
    <w:rsid w:val="00F12312"/>
    <w:rsid w:val="00F13715"/>
    <w:rsid w:val="00F177C7"/>
    <w:rsid w:val="00F17CE1"/>
    <w:rsid w:val="00F2115C"/>
    <w:rsid w:val="00F22ABA"/>
    <w:rsid w:val="00F349C9"/>
    <w:rsid w:val="00F36B12"/>
    <w:rsid w:val="00F47C64"/>
    <w:rsid w:val="00F504CA"/>
    <w:rsid w:val="00F55009"/>
    <w:rsid w:val="00F577A0"/>
    <w:rsid w:val="00F60F9F"/>
    <w:rsid w:val="00F635D9"/>
    <w:rsid w:val="00F64CFF"/>
    <w:rsid w:val="00F64F08"/>
    <w:rsid w:val="00F70055"/>
    <w:rsid w:val="00F71150"/>
    <w:rsid w:val="00F717B1"/>
    <w:rsid w:val="00F71D46"/>
    <w:rsid w:val="00F734F5"/>
    <w:rsid w:val="00F73B5B"/>
    <w:rsid w:val="00F7492A"/>
    <w:rsid w:val="00F81FFE"/>
    <w:rsid w:val="00F85162"/>
    <w:rsid w:val="00F857A6"/>
    <w:rsid w:val="00F90EA5"/>
    <w:rsid w:val="00F91F5A"/>
    <w:rsid w:val="00F92661"/>
    <w:rsid w:val="00F966B1"/>
    <w:rsid w:val="00F97736"/>
    <w:rsid w:val="00F97D48"/>
    <w:rsid w:val="00FA0311"/>
    <w:rsid w:val="00FA1489"/>
    <w:rsid w:val="00FA39E1"/>
    <w:rsid w:val="00FB557B"/>
    <w:rsid w:val="00FD07EF"/>
    <w:rsid w:val="00FD50F0"/>
    <w:rsid w:val="00FD640F"/>
    <w:rsid w:val="00FD6B4C"/>
    <w:rsid w:val="00FD7069"/>
    <w:rsid w:val="00FE0553"/>
    <w:rsid w:val="00FE25D0"/>
    <w:rsid w:val="00FE6CB3"/>
    <w:rsid w:val="00FF411C"/>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D650D"/>
  <w15:docId w15:val="{525D1966-2868-468E-9AD1-9C8891AC0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iPriority="99"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99"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59267A"/>
  </w:style>
  <w:style w:type="paragraph" w:styleId="Heading1">
    <w:name w:val="heading 1"/>
    <w:basedOn w:val="Normal"/>
    <w:next w:val="SCVbody"/>
    <w:link w:val="Heading1Char"/>
    <w:qFormat/>
    <w:rsid w:val="009F128B"/>
    <w:pPr>
      <w:keepNext/>
      <w:keepLines/>
      <w:suppressAutoHyphens/>
      <w:spacing w:before="0" w:after="320" w:line="240" w:lineRule="auto"/>
      <w:outlineLvl w:val="0"/>
    </w:pPr>
    <w:rPr>
      <w:rFonts w:asciiTheme="majorHAnsi" w:eastAsiaTheme="majorEastAsia" w:hAnsiTheme="majorHAnsi" w:cstheme="majorBidi"/>
      <w:b/>
      <w:bCs/>
      <w:color w:val="007586" w:themeColor="text2"/>
      <w:sz w:val="48"/>
      <w:szCs w:val="32"/>
    </w:rPr>
  </w:style>
  <w:style w:type="paragraph" w:styleId="Heading2">
    <w:name w:val="heading 2"/>
    <w:basedOn w:val="Normal"/>
    <w:next w:val="SCVbody"/>
    <w:link w:val="Heading2Char"/>
    <w:qFormat/>
    <w:rsid w:val="00E45C9C"/>
    <w:pPr>
      <w:keepNext/>
      <w:keepLines/>
      <w:spacing w:before="280" w:after="8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SCVbody"/>
    <w:link w:val="Heading3Char"/>
    <w:qFormat/>
    <w:rsid w:val="00E45C9C"/>
    <w:pPr>
      <w:keepNext/>
      <w:keepLines/>
      <w:spacing w:before="240" w:after="80" w:line="240" w:lineRule="auto"/>
      <w:outlineLvl w:val="2"/>
    </w:pPr>
    <w:rPr>
      <w:rFonts w:asciiTheme="majorHAnsi" w:eastAsiaTheme="majorEastAsia" w:hAnsiTheme="majorHAnsi" w:cstheme="majorBidi"/>
      <w:b/>
      <w:bCs/>
      <w:color w:val="007586" w:themeColor="text2"/>
      <w:sz w:val="24"/>
      <w:szCs w:val="22"/>
    </w:rPr>
  </w:style>
  <w:style w:type="paragraph" w:styleId="Heading4">
    <w:name w:val="heading 4"/>
    <w:basedOn w:val="Normal"/>
    <w:next w:val="SCVbody"/>
    <w:link w:val="Heading4Char"/>
    <w:qFormat/>
    <w:rsid w:val="00E45C9C"/>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E45C9C"/>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E45C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45C9C"/>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E45C9C"/>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E45C9C"/>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E24F69"/>
    <w:pPr>
      <w:keepNext/>
      <w:keepLines/>
      <w:pBdr>
        <w:bottom w:val="single" w:sz="2" w:space="1" w:color="000016"/>
        <w:between w:val="single" w:sz="2" w:space="1" w:color="000000" w:themeColor="text1"/>
      </w:pBdr>
      <w:tabs>
        <w:tab w:val="right" w:pos="10206"/>
      </w:tabs>
      <w:spacing w:before="120" w:after="0"/>
      <w:ind w:right="57"/>
    </w:pPr>
    <w:rPr>
      <w:b/>
      <w:noProof/>
      <w:lang w:eastAsia="en-US"/>
    </w:rPr>
  </w:style>
  <w:style w:type="paragraph" w:styleId="TOC2">
    <w:name w:val="toc 2"/>
    <w:basedOn w:val="Normal"/>
    <w:next w:val="Normal"/>
    <w:uiPriority w:val="39"/>
    <w:rsid w:val="00E24F69"/>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rPr>
  </w:style>
  <w:style w:type="paragraph" w:styleId="TOC3">
    <w:name w:val="toc 3"/>
    <w:basedOn w:val="TOC2"/>
    <w:next w:val="Normal"/>
    <w:uiPriority w:val="39"/>
    <w:rsid w:val="00E45C9C"/>
    <w:pPr>
      <w:spacing w:before="0" w:line="280" w:lineRule="atLeast"/>
    </w:pPr>
    <w:rPr>
      <w:b w:val="0"/>
      <w:bCs/>
      <w:color w:val="000000" w:themeColor="text1"/>
    </w:rPr>
  </w:style>
  <w:style w:type="paragraph" w:styleId="Index1">
    <w:name w:val="index 1"/>
    <w:basedOn w:val="Normal"/>
    <w:next w:val="Normal"/>
    <w:uiPriority w:val="1"/>
    <w:semiHidden/>
    <w:rsid w:val="00E45C9C"/>
    <w:pPr>
      <w:spacing w:after="60" w:line="240" w:lineRule="auto"/>
    </w:pPr>
    <w:rPr>
      <w:sz w:val="16"/>
    </w:rPr>
  </w:style>
  <w:style w:type="paragraph" w:styleId="Index2">
    <w:name w:val="index 2"/>
    <w:basedOn w:val="Normal"/>
    <w:next w:val="Normal"/>
    <w:uiPriority w:val="1"/>
    <w:semiHidden/>
    <w:rsid w:val="00E45C9C"/>
    <w:pPr>
      <w:spacing w:after="0" w:line="240" w:lineRule="auto"/>
      <w:ind w:left="216"/>
    </w:pPr>
    <w:rPr>
      <w:sz w:val="16"/>
      <w:szCs w:val="16"/>
    </w:rPr>
  </w:style>
  <w:style w:type="character" w:styleId="Hyperlink">
    <w:name w:val="Hyperlink"/>
    <w:basedOn w:val="DefaultParagraphFont"/>
    <w:uiPriority w:val="99"/>
    <w:rsid w:val="00E45C9C"/>
    <w:rPr>
      <w:color w:val="004C97"/>
      <w:u w:val="single"/>
    </w:rPr>
  </w:style>
  <w:style w:type="character" w:customStyle="1" w:styleId="Heading1Char">
    <w:name w:val="Heading 1 Char"/>
    <w:basedOn w:val="DefaultParagraphFont"/>
    <w:link w:val="Heading1"/>
    <w:rsid w:val="009F128B"/>
    <w:rPr>
      <w:rFonts w:asciiTheme="majorHAnsi" w:eastAsiaTheme="majorEastAsia" w:hAnsiTheme="majorHAnsi" w:cstheme="majorBidi"/>
      <w:b/>
      <w:bCs/>
      <w:color w:val="007586" w:themeColor="text2"/>
      <w:sz w:val="48"/>
      <w:szCs w:val="32"/>
    </w:rPr>
  </w:style>
  <w:style w:type="character" w:customStyle="1" w:styleId="Heading2Char">
    <w:name w:val="Heading 2 Char"/>
    <w:basedOn w:val="DefaultParagraphFont"/>
    <w:link w:val="Heading2"/>
    <w:rsid w:val="00E45C9C"/>
    <w:rPr>
      <w:rFonts w:asciiTheme="majorHAnsi" w:eastAsiaTheme="majorEastAsia" w:hAnsiTheme="majorHAnsi" w:cstheme="majorBidi"/>
      <w:b/>
      <w:bCs/>
      <w:sz w:val="26"/>
      <w:szCs w:val="26"/>
    </w:rPr>
  </w:style>
  <w:style w:type="paragraph" w:customStyle="1" w:styleId="SCVbullet1">
    <w:name w:val="SCV bullet 1"/>
    <w:basedOn w:val="SCVbody"/>
    <w:uiPriority w:val="9"/>
    <w:qFormat/>
    <w:rsid w:val="00D84380"/>
    <w:pPr>
      <w:numPr>
        <w:numId w:val="6"/>
      </w:numPr>
      <w:spacing w:before="60" w:after="60"/>
    </w:pPr>
    <w:rPr>
      <w:sz w:val="22"/>
    </w:rPr>
  </w:style>
  <w:style w:type="paragraph" w:customStyle="1" w:styleId="SCVbullet2">
    <w:name w:val="SCV bullet 2"/>
    <w:basedOn w:val="SCVbullet1"/>
    <w:uiPriority w:val="9"/>
    <w:qFormat/>
    <w:rsid w:val="00E45C9C"/>
    <w:pPr>
      <w:numPr>
        <w:ilvl w:val="1"/>
      </w:numPr>
    </w:pPr>
  </w:style>
  <w:style w:type="paragraph" w:styleId="Quote">
    <w:name w:val="Quote"/>
    <w:basedOn w:val="Normal"/>
    <w:next w:val="Normal"/>
    <w:link w:val="QuoteChar"/>
    <w:uiPriority w:val="1"/>
    <w:semiHidden/>
    <w:qFormat/>
    <w:rsid w:val="00E45C9C"/>
    <w:pPr>
      <w:ind w:left="567" w:right="567"/>
      <w:jc w:val="center"/>
    </w:pPr>
    <w:rPr>
      <w:i/>
      <w:iCs/>
      <w:color w:val="000000" w:themeColor="text1"/>
    </w:rPr>
  </w:style>
  <w:style w:type="paragraph" w:customStyle="1" w:styleId="SCVbody">
    <w:name w:val="SCV body"/>
    <w:basedOn w:val="Normal"/>
    <w:link w:val="SCVbodyChar"/>
    <w:qFormat/>
    <w:rsid w:val="00E45C9C"/>
  </w:style>
  <w:style w:type="paragraph" w:customStyle="1" w:styleId="SCVfigurecaption">
    <w:name w:val="SCV figure caption"/>
    <w:basedOn w:val="SCVtablecaption"/>
    <w:uiPriority w:val="14"/>
    <w:qFormat/>
    <w:rsid w:val="00E45C9C"/>
    <w:pPr>
      <w:spacing w:before="300"/>
    </w:pPr>
  </w:style>
  <w:style w:type="paragraph" w:customStyle="1" w:styleId="SCVbodyafterheading">
    <w:name w:val="SCV body after heading"/>
    <w:basedOn w:val="SCVbody"/>
    <w:qFormat/>
    <w:rsid w:val="00E45C9C"/>
    <w:pPr>
      <w:spacing w:before="0"/>
    </w:pPr>
  </w:style>
  <w:style w:type="character" w:customStyle="1" w:styleId="Heading3Char">
    <w:name w:val="Heading 3 Char"/>
    <w:basedOn w:val="DefaultParagraphFont"/>
    <w:link w:val="Heading3"/>
    <w:uiPriority w:val="9"/>
    <w:rsid w:val="00E45C9C"/>
    <w:rPr>
      <w:rFonts w:asciiTheme="majorHAnsi" w:eastAsiaTheme="majorEastAsia" w:hAnsiTheme="majorHAnsi" w:cstheme="majorBidi"/>
      <w:b/>
      <w:bCs/>
      <w:color w:val="007586" w:themeColor="text2"/>
      <w:sz w:val="24"/>
      <w:szCs w:val="22"/>
    </w:rPr>
  </w:style>
  <w:style w:type="numbering" w:customStyle="1" w:styleId="ZZBullets">
    <w:name w:val="ZZ Bullets"/>
    <w:basedOn w:val="NoList"/>
    <w:uiPriority w:val="99"/>
    <w:rsid w:val="00E45C9C"/>
    <w:pPr>
      <w:numPr>
        <w:numId w:val="6"/>
      </w:numPr>
    </w:pPr>
  </w:style>
  <w:style w:type="character" w:customStyle="1" w:styleId="Heading4Char">
    <w:name w:val="Heading 4 Char"/>
    <w:basedOn w:val="DefaultParagraphFont"/>
    <w:link w:val="Heading4"/>
    <w:rsid w:val="00E45C9C"/>
    <w:rPr>
      <w:rFonts w:asciiTheme="majorHAnsi" w:eastAsiaTheme="majorEastAsia" w:hAnsiTheme="majorHAnsi" w:cstheme="majorBidi"/>
      <w:b/>
      <w:bCs/>
      <w:iCs/>
      <w:color w:val="000000" w:themeColor="text1"/>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E45C9C"/>
    <w:pPr>
      <w:spacing w:before="80" w:after="80" w:line="264" w:lineRule="auto"/>
    </w:pPr>
    <w:rPr>
      <w:sz w:val="17"/>
      <w:szCs w:val="17"/>
    </w:rPr>
  </w:style>
  <w:style w:type="paragraph" w:customStyle="1" w:styleId="Spacer">
    <w:name w:val="Spacer"/>
    <w:basedOn w:val="Normal"/>
    <w:uiPriority w:val="1"/>
    <w:semiHidden/>
    <w:qFormat/>
    <w:rsid w:val="00E45C9C"/>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E45C9C"/>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E45C9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45C9C"/>
    <w:pPr>
      <w:spacing w:after="100"/>
      <w:ind w:left="600"/>
    </w:pPr>
  </w:style>
  <w:style w:type="paragraph" w:styleId="Title">
    <w:name w:val="Title"/>
    <w:next w:val="Subtitle"/>
    <w:link w:val="TitleChar"/>
    <w:uiPriority w:val="99"/>
    <w:semiHidden/>
    <w:rsid w:val="00E45C9C"/>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E45C9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E4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E45C9C"/>
    <w:rPr>
      <w:rFonts w:ascii="Tahoma" w:hAnsi="Tahoma" w:cs="Tahoma"/>
      <w:sz w:val="16"/>
      <w:szCs w:val="16"/>
    </w:rPr>
  </w:style>
  <w:style w:type="character" w:customStyle="1" w:styleId="QuoteChar">
    <w:name w:val="Quote Char"/>
    <w:basedOn w:val="DefaultParagraphFont"/>
    <w:link w:val="Quote"/>
    <w:uiPriority w:val="1"/>
    <w:semiHidden/>
    <w:rsid w:val="00E45C9C"/>
    <w:rPr>
      <w:i/>
      <w:iCs/>
      <w:color w:val="000000" w:themeColor="text1"/>
    </w:rPr>
  </w:style>
  <w:style w:type="paragraph" w:styleId="IndexHeading">
    <w:name w:val="index heading"/>
    <w:basedOn w:val="Normal"/>
    <w:next w:val="Index1"/>
    <w:uiPriority w:val="1"/>
    <w:semiHidden/>
    <w:rsid w:val="00E45C9C"/>
    <w:rPr>
      <w:rFonts w:asciiTheme="majorHAnsi" w:eastAsiaTheme="majorEastAsia" w:hAnsiTheme="majorHAnsi" w:cstheme="majorBidi"/>
      <w:b/>
      <w:bCs/>
    </w:rPr>
  </w:style>
  <w:style w:type="paragraph" w:styleId="Header">
    <w:name w:val="header"/>
    <w:basedOn w:val="Normal"/>
    <w:link w:val="HeaderChar"/>
    <w:uiPriority w:val="99"/>
    <w:rsid w:val="00E45C9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45C9C"/>
  </w:style>
  <w:style w:type="paragraph" w:styleId="Footer">
    <w:name w:val="footer"/>
    <w:basedOn w:val="Normal"/>
    <w:link w:val="FooterChar"/>
    <w:uiPriority w:val="99"/>
    <w:rsid w:val="00E45C9C"/>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E45C9C"/>
    <w:rPr>
      <w:noProof/>
      <w:sz w:val="13"/>
      <w:szCs w:val="18"/>
    </w:rPr>
  </w:style>
  <w:style w:type="character" w:styleId="PageNumber">
    <w:name w:val="page number"/>
    <w:uiPriority w:val="1"/>
    <w:semiHidden/>
    <w:rsid w:val="00E45C9C"/>
    <w:rPr>
      <w:rFonts w:asciiTheme="minorHAnsi" w:hAnsiTheme="minorHAnsi"/>
      <w:b w:val="0"/>
      <w:color w:val="000000" w:themeColor="text1"/>
    </w:rPr>
  </w:style>
  <w:style w:type="paragraph" w:styleId="TOCHeading">
    <w:name w:val="TOC Heading"/>
    <w:basedOn w:val="Heading1"/>
    <w:next w:val="Normal"/>
    <w:uiPriority w:val="39"/>
    <w:qFormat/>
    <w:rsid w:val="00E45C9C"/>
    <w:pPr>
      <w:outlineLvl w:val="9"/>
    </w:pPr>
    <w:rPr>
      <w:spacing w:val="2"/>
    </w:rPr>
  </w:style>
  <w:style w:type="paragraph" w:customStyle="1" w:styleId="NormalTight">
    <w:name w:val="Normal Tight"/>
    <w:uiPriority w:val="1"/>
    <w:semiHidden/>
    <w:rsid w:val="00E45C9C"/>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E45C9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E45C9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45C9C"/>
    <w:pPr>
      <w:spacing w:before="5800"/>
      <w:ind w:right="1382"/>
    </w:pPr>
  </w:style>
  <w:style w:type="table" w:styleId="ColorfulGrid">
    <w:name w:val="Colorful Grid"/>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E45C9C"/>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aliases w:val="A List Paragraph,Colorful List - Accent 11"/>
    <w:basedOn w:val="Normal"/>
    <w:uiPriority w:val="34"/>
    <w:qFormat/>
    <w:rsid w:val="00E45C9C"/>
    <w:pPr>
      <w:ind w:left="720"/>
      <w:contextualSpacing/>
    </w:pPr>
  </w:style>
  <w:style w:type="paragraph" w:styleId="FootnoteText">
    <w:name w:val="footnote text"/>
    <w:basedOn w:val="Normal"/>
    <w:link w:val="FootnoteTextChar"/>
    <w:uiPriority w:val="8"/>
    <w:rsid w:val="00E45C9C"/>
    <w:pPr>
      <w:spacing w:before="0" w:after="60" w:line="288" w:lineRule="auto"/>
    </w:pPr>
    <w:rPr>
      <w:sz w:val="17"/>
      <w:szCs w:val="17"/>
    </w:rPr>
  </w:style>
  <w:style w:type="character" w:customStyle="1" w:styleId="FootnoteTextChar">
    <w:name w:val="Footnote Text Char"/>
    <w:basedOn w:val="DefaultParagraphFont"/>
    <w:link w:val="FootnoteText"/>
    <w:uiPriority w:val="8"/>
    <w:rsid w:val="00E45C9C"/>
    <w:rPr>
      <w:sz w:val="17"/>
      <w:szCs w:val="17"/>
    </w:rPr>
  </w:style>
  <w:style w:type="character" w:styleId="FootnoteReference">
    <w:name w:val="footnote reference"/>
    <w:basedOn w:val="DefaultParagraphFont"/>
    <w:uiPriority w:val="8"/>
    <w:rsid w:val="00E45C9C"/>
    <w:rPr>
      <w:vertAlign w:val="superscript"/>
    </w:rPr>
  </w:style>
  <w:style w:type="table" w:styleId="ColorfulGrid-Accent2">
    <w:name w:val="Colorful Grid Accent 2"/>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E45C9C"/>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E45C9C"/>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E45C9C"/>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59267A"/>
    <w:pPr>
      <w:spacing w:before="400" w:after="240"/>
    </w:pPr>
    <w:rPr>
      <w:b/>
      <w:color w:val="007586" w:themeColor="text2"/>
    </w:rPr>
  </w:style>
  <w:style w:type="paragraph" w:styleId="NoSpacing">
    <w:name w:val="No Spacing"/>
    <w:uiPriority w:val="1"/>
    <w:semiHidden/>
    <w:qFormat/>
    <w:rsid w:val="00E45C9C"/>
    <w:pPr>
      <w:spacing w:before="0" w:after="0" w:line="240" w:lineRule="auto"/>
    </w:pPr>
  </w:style>
  <w:style w:type="table" w:styleId="ColorfulGrid-Accent4">
    <w:name w:val="Colorful Grid Accent 4"/>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E45C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E45C9C"/>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E45C9C"/>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E45C9C"/>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E45C9C"/>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E45C9C"/>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E45C9C"/>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E45C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E45C9C"/>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E45C9C"/>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E45C9C"/>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E45C9C"/>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E45C9C"/>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E45C9C"/>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5C9C"/>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E45C9C"/>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E45C9C"/>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E45C9C"/>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E45C9C"/>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E45C9C"/>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E45C9C"/>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E45C9C"/>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E45C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E45C9C"/>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E45C9C"/>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E45C9C"/>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E45C9C"/>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E45C9C"/>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E45C9C"/>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E45C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E45C9C"/>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E45C9C"/>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E45C9C"/>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E45C9C"/>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E45C9C"/>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E45C9C"/>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E45C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E45C9C"/>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E45C9C"/>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E45C9C"/>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E45C9C"/>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E45C9C"/>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E45C9C"/>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E4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E45C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E4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E4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E45C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E45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E45C9C"/>
    <w:pPr>
      <w:spacing w:after="120"/>
    </w:pPr>
    <w:rPr>
      <w:color w:val="007586" w:themeColor="text2"/>
    </w:rPr>
  </w:style>
  <w:style w:type="paragraph" w:customStyle="1" w:styleId="SCVpulloutheading">
    <w:name w:val="SCV pullout heading"/>
    <w:basedOn w:val="SCVpullouttext"/>
    <w:next w:val="SCVpullouttext"/>
    <w:uiPriority w:val="13"/>
    <w:qFormat/>
    <w:rsid w:val="00E45C9C"/>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E45C9C"/>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45C9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E45C9C"/>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E45C9C"/>
    <w:pPr>
      <w:numPr>
        <w:ilvl w:val="1"/>
        <w:numId w:val="8"/>
      </w:numPr>
      <w:spacing w:before="60" w:after="60"/>
    </w:pPr>
    <w:rPr>
      <w:rFonts w:eastAsia="Times New Roman" w:cstheme="minorHAnsi"/>
      <w:lang w:eastAsia="en-US"/>
    </w:rPr>
  </w:style>
  <w:style w:type="paragraph" w:customStyle="1" w:styleId="SCVtablebody">
    <w:name w:val="SCV table body"/>
    <w:uiPriority w:val="22"/>
    <w:qFormat/>
    <w:rsid w:val="00E45C9C"/>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5C07D3"/>
    <w:pPr>
      <w:numPr>
        <w:numId w:val="8"/>
      </w:numPr>
      <w:spacing w:before="60" w:after="60"/>
    </w:pPr>
    <w:rPr>
      <w:rFonts w:eastAsia="Times New Roman" w:cstheme="minorHAnsi"/>
      <w:lang w:eastAsia="en-US"/>
    </w:rPr>
  </w:style>
  <w:style w:type="paragraph" w:customStyle="1" w:styleId="SCVtablecolhead">
    <w:name w:val="SCV table col head"/>
    <w:uiPriority w:val="3"/>
    <w:qFormat/>
    <w:rsid w:val="00E45C9C"/>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E45C9C"/>
    <w:pPr>
      <w:spacing w:before="240"/>
    </w:pPr>
    <w:rPr>
      <w:rFonts w:eastAsia="Times New Roman" w:cstheme="minorHAnsi"/>
      <w:lang w:eastAsia="en-US"/>
    </w:rPr>
  </w:style>
  <w:style w:type="paragraph" w:customStyle="1" w:styleId="SCVquote">
    <w:name w:val="SCV quote"/>
    <w:basedOn w:val="SCVbody"/>
    <w:uiPriority w:val="29"/>
    <w:rsid w:val="00E45C9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E45C9C"/>
    <w:pPr>
      <w:numPr>
        <w:numId w:val="7"/>
      </w:numPr>
    </w:pPr>
  </w:style>
  <w:style w:type="paragraph" w:customStyle="1" w:styleId="SCVbulletafternumbers">
    <w:name w:val="SCV bullet after numbers"/>
    <w:basedOn w:val="SCVbody"/>
    <w:uiPriority w:val="24"/>
    <w:rsid w:val="00E45C9C"/>
    <w:pPr>
      <w:numPr>
        <w:ilvl w:val="1"/>
        <w:numId w:val="7"/>
      </w:numPr>
      <w:spacing w:before="60" w:after="60"/>
    </w:pPr>
  </w:style>
  <w:style w:type="paragraph" w:customStyle="1" w:styleId="SCVquotebullet1">
    <w:name w:val="SCV quote bullet 1"/>
    <w:basedOn w:val="SCVquote"/>
    <w:uiPriority w:val="29"/>
    <w:rsid w:val="000B7B42"/>
    <w:pPr>
      <w:numPr>
        <w:numId w:val="10"/>
      </w:numPr>
      <w:spacing w:before="60" w:after="60"/>
    </w:pPr>
  </w:style>
  <w:style w:type="paragraph" w:customStyle="1" w:styleId="SCVquotebullet2">
    <w:name w:val="SCV quote bullet 2"/>
    <w:basedOn w:val="SCVquote"/>
    <w:uiPriority w:val="29"/>
    <w:rsid w:val="000B7B42"/>
    <w:pPr>
      <w:numPr>
        <w:ilvl w:val="1"/>
        <w:numId w:val="10"/>
      </w:numPr>
      <w:spacing w:before="60" w:after="60"/>
    </w:pPr>
  </w:style>
  <w:style w:type="paragraph" w:customStyle="1" w:styleId="SCVtablebullet1">
    <w:name w:val="SCV table bullet 1"/>
    <w:basedOn w:val="SCVtablebody"/>
    <w:uiPriority w:val="23"/>
    <w:qFormat/>
    <w:rsid w:val="00E45C9C"/>
    <w:pPr>
      <w:numPr>
        <w:numId w:val="11"/>
      </w:numPr>
    </w:pPr>
    <w:rPr>
      <w:szCs w:val="18"/>
    </w:rPr>
  </w:style>
  <w:style w:type="paragraph" w:customStyle="1" w:styleId="SCVtablebullet2">
    <w:name w:val="SCV table bullet 2"/>
    <w:basedOn w:val="SCVtablebody"/>
    <w:uiPriority w:val="23"/>
    <w:rsid w:val="00E45C9C"/>
    <w:pPr>
      <w:numPr>
        <w:ilvl w:val="1"/>
        <w:numId w:val="11"/>
      </w:numPr>
    </w:pPr>
    <w:rPr>
      <w:szCs w:val="18"/>
    </w:rPr>
  </w:style>
  <w:style w:type="character" w:customStyle="1" w:styleId="SCVbodyChar">
    <w:name w:val="SCV body Char"/>
    <w:basedOn w:val="DefaultParagraphFont"/>
    <w:link w:val="SCVbody"/>
    <w:locked/>
    <w:rsid w:val="00E45C9C"/>
  </w:style>
  <w:style w:type="numbering" w:customStyle="1" w:styleId="ZZNumbersdigit">
    <w:name w:val="ZZ Numbers digit"/>
    <w:rsid w:val="00E45C9C"/>
    <w:pPr>
      <w:numPr>
        <w:numId w:val="8"/>
      </w:numPr>
    </w:pPr>
  </w:style>
  <w:style w:type="numbering" w:customStyle="1" w:styleId="ZZTablebullets">
    <w:name w:val="ZZ Table bullets"/>
    <w:rsid w:val="00E45C9C"/>
    <w:pPr>
      <w:numPr>
        <w:numId w:val="11"/>
      </w:numPr>
    </w:pPr>
  </w:style>
  <w:style w:type="numbering" w:customStyle="1" w:styleId="ZZQuotebullets">
    <w:name w:val="ZZ Quote bullets"/>
    <w:rsid w:val="000B7B42"/>
    <w:pPr>
      <w:numPr>
        <w:numId w:val="10"/>
      </w:numPr>
    </w:pPr>
  </w:style>
  <w:style w:type="paragraph" w:customStyle="1" w:styleId="SCVheader">
    <w:name w:val="SCV header"/>
    <w:basedOn w:val="Header"/>
    <w:uiPriority w:val="1"/>
    <w:rsid w:val="00E45C9C"/>
    <w:pPr>
      <w:pBdr>
        <w:bottom w:val="single" w:sz="24" w:space="1" w:color="CCCCD0"/>
      </w:pBdr>
    </w:pPr>
  </w:style>
  <w:style w:type="paragraph" w:customStyle="1" w:styleId="SCVtablerowhead">
    <w:name w:val="SCV table row head"/>
    <w:basedOn w:val="SCVtablecolhead"/>
    <w:uiPriority w:val="21"/>
    <w:qFormat/>
    <w:rsid w:val="00E45C9C"/>
    <w:rPr>
      <w:rFonts w:cs="Times New Roman"/>
    </w:rPr>
  </w:style>
  <w:style w:type="paragraph" w:customStyle="1" w:styleId="SCVaccessibilitypara">
    <w:name w:val="SCV accessibility para"/>
    <w:basedOn w:val="SCVbody"/>
    <w:uiPriority w:val="29"/>
    <w:rsid w:val="00E45C9C"/>
    <w:rPr>
      <w:sz w:val="24"/>
    </w:rPr>
  </w:style>
  <w:style w:type="character" w:styleId="UnresolvedMention">
    <w:name w:val="Unresolved Mention"/>
    <w:basedOn w:val="DefaultParagraphFont"/>
    <w:uiPriority w:val="99"/>
    <w:semiHidden/>
    <w:unhideWhenUsed/>
    <w:rsid w:val="00E45C9C"/>
    <w:rPr>
      <w:color w:val="605E5C"/>
      <w:shd w:val="clear" w:color="auto" w:fill="E1DFDD"/>
    </w:rPr>
  </w:style>
  <w:style w:type="character" w:styleId="FollowedHyperlink">
    <w:name w:val="FollowedHyperlink"/>
    <w:basedOn w:val="DefaultParagraphFont"/>
    <w:uiPriority w:val="1"/>
    <w:rsid w:val="00E45C9C"/>
    <w:rPr>
      <w:color w:val="007586" w:themeColor="text2"/>
      <w:u w:val="single"/>
    </w:rPr>
  </w:style>
  <w:style w:type="table" w:customStyle="1" w:styleId="SCVpulloutbox">
    <w:name w:val="SCV pullout box"/>
    <w:basedOn w:val="PlainTable1"/>
    <w:uiPriority w:val="99"/>
    <w:rsid w:val="00E45C9C"/>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E45C9C"/>
    <w:pPr>
      <w:numPr>
        <w:numId w:val="12"/>
      </w:numPr>
    </w:pPr>
  </w:style>
  <w:style w:type="paragraph" w:customStyle="1" w:styleId="SCVtablenumber1">
    <w:name w:val="SCV table number 1"/>
    <w:basedOn w:val="SCVtablebody"/>
    <w:uiPriority w:val="29"/>
    <w:rsid w:val="00E45C9C"/>
    <w:pPr>
      <w:numPr>
        <w:numId w:val="12"/>
      </w:numPr>
    </w:pPr>
  </w:style>
  <w:style w:type="paragraph" w:customStyle="1" w:styleId="SCVtablenumber2">
    <w:name w:val="SCV table number 2"/>
    <w:basedOn w:val="SCVtablebody"/>
    <w:uiPriority w:val="29"/>
    <w:rsid w:val="00E45C9C"/>
    <w:pPr>
      <w:numPr>
        <w:ilvl w:val="1"/>
        <w:numId w:val="12"/>
      </w:numPr>
      <w:spacing w:before="60" w:line="192" w:lineRule="atLeast"/>
    </w:pPr>
    <w:rPr>
      <w:rFonts w:eastAsiaTheme="minorHAnsi"/>
    </w:rPr>
  </w:style>
  <w:style w:type="paragraph" w:customStyle="1" w:styleId="SCVTOCheading">
    <w:name w:val="SCV TOC heading"/>
    <w:basedOn w:val="Heading1"/>
    <w:uiPriority w:val="29"/>
    <w:rsid w:val="00E45C9C"/>
  </w:style>
  <w:style w:type="paragraph" w:customStyle="1" w:styleId="SCVprotectivemarkingbelowsubtitle">
    <w:name w:val="SCV protective marking below subtitle"/>
    <w:basedOn w:val="SCVbody"/>
    <w:uiPriority w:val="1"/>
    <w:rsid w:val="00F64CFF"/>
    <w:pPr>
      <w:spacing w:before="400" w:after="400" w:line="240" w:lineRule="auto"/>
    </w:pPr>
    <w:rPr>
      <w:caps/>
      <w:sz w:val="24"/>
      <w:szCs w:val="24"/>
    </w:rPr>
  </w:style>
  <w:style w:type="character" w:styleId="CommentReference">
    <w:name w:val="annotation reference"/>
    <w:basedOn w:val="DefaultParagraphFont"/>
    <w:uiPriority w:val="99"/>
    <w:semiHidden/>
    <w:unhideWhenUsed/>
    <w:rsid w:val="00E45C9C"/>
    <w:rPr>
      <w:sz w:val="16"/>
      <w:szCs w:val="16"/>
    </w:rPr>
  </w:style>
  <w:style w:type="paragraph" w:styleId="CommentText">
    <w:name w:val="annotation text"/>
    <w:basedOn w:val="Normal"/>
    <w:link w:val="CommentTextChar"/>
    <w:uiPriority w:val="99"/>
    <w:unhideWhenUsed/>
    <w:rsid w:val="00E45C9C"/>
    <w:pPr>
      <w:spacing w:line="240" w:lineRule="auto"/>
    </w:pPr>
  </w:style>
  <w:style w:type="character" w:customStyle="1" w:styleId="CommentTextChar">
    <w:name w:val="Comment Text Char"/>
    <w:basedOn w:val="DefaultParagraphFont"/>
    <w:link w:val="CommentText"/>
    <w:uiPriority w:val="99"/>
    <w:rsid w:val="00E45C9C"/>
  </w:style>
  <w:style w:type="paragraph" w:styleId="CommentSubject">
    <w:name w:val="annotation subject"/>
    <w:basedOn w:val="CommentText"/>
    <w:next w:val="CommentText"/>
    <w:link w:val="CommentSubjectChar"/>
    <w:uiPriority w:val="1"/>
    <w:semiHidden/>
    <w:unhideWhenUsed/>
    <w:rsid w:val="00E45C9C"/>
    <w:rPr>
      <w:b/>
      <w:bCs/>
    </w:rPr>
  </w:style>
  <w:style w:type="character" w:customStyle="1" w:styleId="CommentSubjectChar">
    <w:name w:val="Comment Subject Char"/>
    <w:basedOn w:val="CommentTextChar"/>
    <w:link w:val="CommentSubject"/>
    <w:uiPriority w:val="1"/>
    <w:semiHidden/>
    <w:rsid w:val="00E45C9C"/>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E45C9C"/>
    <w:pPr>
      <w:spacing w:before="0" w:after="120"/>
    </w:pPr>
    <w:rPr>
      <w:sz w:val="18"/>
      <w:szCs w:val="18"/>
    </w:rPr>
  </w:style>
  <w:style w:type="paragraph" w:customStyle="1" w:styleId="SCVpulloutbullet">
    <w:name w:val="SCV pullout bullet"/>
    <w:basedOn w:val="SCVpullouttext"/>
    <w:uiPriority w:val="1"/>
    <w:rsid w:val="00E45C9C"/>
    <w:pPr>
      <w:numPr>
        <w:numId w:val="9"/>
      </w:numPr>
      <w:spacing w:before="0"/>
    </w:pPr>
  </w:style>
  <w:style w:type="numbering" w:customStyle="1" w:styleId="ZZPulloutbullets">
    <w:name w:val="ZZ Pullout bullets"/>
    <w:basedOn w:val="NoList"/>
    <w:uiPriority w:val="99"/>
    <w:rsid w:val="00E45C9C"/>
    <w:pPr>
      <w:numPr>
        <w:numId w:val="9"/>
      </w:numPr>
    </w:pPr>
  </w:style>
  <w:style w:type="paragraph" w:customStyle="1" w:styleId="SCVdate">
    <w:name w:val="SCV date"/>
    <w:basedOn w:val="SCVbody"/>
    <w:uiPriority w:val="1"/>
    <w:rsid w:val="00E45C9C"/>
    <w:pPr>
      <w:spacing w:before="0" w:after="0"/>
    </w:pPr>
    <w:rPr>
      <w:b/>
      <w:bCs/>
      <w:sz w:val="28"/>
      <w:szCs w:val="28"/>
    </w:rPr>
  </w:style>
  <w:style w:type="paragraph" w:customStyle="1" w:styleId="SCVborderabovetitle">
    <w:name w:val="SCV border above title"/>
    <w:basedOn w:val="SCVbody"/>
    <w:uiPriority w:val="1"/>
    <w:rsid w:val="00E45C9C"/>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E45C9C"/>
    <w:pPr>
      <w:pBdr>
        <w:top w:val="single" w:sz="8" w:space="6" w:color="CCCCD0"/>
      </w:pBdr>
      <w:spacing w:line="240" w:lineRule="auto"/>
    </w:pPr>
    <w:rPr>
      <w:sz w:val="18"/>
    </w:rPr>
  </w:style>
  <w:style w:type="numbering" w:customStyle="1" w:styleId="ZZBullets1">
    <w:name w:val="ZZ Bullets1"/>
    <w:basedOn w:val="NoList"/>
    <w:uiPriority w:val="99"/>
    <w:rsid w:val="006F6B74"/>
  </w:style>
  <w:style w:type="numbering" w:customStyle="1" w:styleId="ZZBullets2">
    <w:name w:val="ZZ Bullets2"/>
    <w:basedOn w:val="NoList"/>
    <w:uiPriority w:val="99"/>
    <w:rsid w:val="00F13715"/>
    <w:pPr>
      <w:numPr>
        <w:numId w:val="2"/>
      </w:numPr>
    </w:pPr>
  </w:style>
  <w:style w:type="numbering" w:customStyle="1" w:styleId="ZZBulletsafternumbers1">
    <w:name w:val="ZZ Bullets after numbers1"/>
    <w:basedOn w:val="NoList"/>
    <w:uiPriority w:val="99"/>
    <w:rsid w:val="00F13715"/>
    <w:pPr>
      <w:numPr>
        <w:numId w:val="3"/>
      </w:numPr>
    </w:pPr>
  </w:style>
  <w:style w:type="numbering" w:customStyle="1" w:styleId="ZZNumbersdigit1">
    <w:name w:val="ZZ Numbers digit1"/>
    <w:rsid w:val="00F13715"/>
    <w:pPr>
      <w:numPr>
        <w:numId w:val="4"/>
      </w:numPr>
    </w:pPr>
  </w:style>
  <w:style w:type="numbering" w:customStyle="1" w:styleId="ZZTablebullets1">
    <w:name w:val="ZZ Table bullets1"/>
    <w:rsid w:val="00F13715"/>
    <w:pPr>
      <w:numPr>
        <w:numId w:val="7"/>
      </w:numPr>
    </w:pPr>
  </w:style>
  <w:style w:type="numbering" w:customStyle="1" w:styleId="ZZQuotebullets1">
    <w:name w:val="ZZ Quote bullets1"/>
    <w:rsid w:val="00F13715"/>
    <w:pPr>
      <w:numPr>
        <w:numId w:val="6"/>
      </w:numPr>
    </w:pPr>
  </w:style>
  <w:style w:type="numbering" w:customStyle="1" w:styleId="ZZTablenumbers1">
    <w:name w:val="ZZ Table numbers1"/>
    <w:basedOn w:val="NoList"/>
    <w:uiPriority w:val="99"/>
    <w:rsid w:val="00F13715"/>
    <w:pPr>
      <w:numPr>
        <w:numId w:val="1"/>
      </w:numPr>
    </w:pPr>
  </w:style>
  <w:style w:type="numbering" w:customStyle="1" w:styleId="ZZPulloutbullets1">
    <w:name w:val="ZZ Pullout bullets1"/>
    <w:basedOn w:val="NoList"/>
    <w:uiPriority w:val="99"/>
    <w:rsid w:val="00F13715"/>
    <w:pPr>
      <w:numPr>
        <w:numId w:val="5"/>
      </w:numPr>
    </w:pPr>
  </w:style>
  <w:style w:type="paragraph" w:customStyle="1" w:styleId="paragraph">
    <w:name w:val="paragraph"/>
    <w:basedOn w:val="Normal"/>
    <w:rsid w:val="00F137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3715"/>
  </w:style>
  <w:style w:type="character" w:customStyle="1" w:styleId="eop">
    <w:name w:val="eop"/>
    <w:basedOn w:val="DefaultParagraphFont"/>
    <w:rsid w:val="00F13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779906270">
      <w:bodyDiv w:val="1"/>
      <w:marLeft w:val="0"/>
      <w:marRight w:val="0"/>
      <w:marTop w:val="0"/>
      <w:marBottom w:val="0"/>
      <w:divBdr>
        <w:top w:val="none" w:sz="0" w:space="0" w:color="auto"/>
        <w:left w:val="none" w:sz="0" w:space="0" w:color="auto"/>
        <w:bottom w:val="none" w:sz="0" w:space="0" w:color="auto"/>
        <w:right w:val="none" w:sz="0" w:space="0" w:color="auto"/>
      </w:divBdr>
    </w:div>
    <w:div w:id="184813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s://www.cdc.gov/growthcharts/who_charts.htm" TargetMode="External"/><Relationship Id="rId39" Type="http://schemas.openxmlformats.org/officeDocument/2006/relationships/hyperlink" Target="http://www.ucalgary.ca/fenton"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nicutools.org/" TargetMode="External"/><Relationship Id="rId42" Type="http://schemas.openxmlformats.org/officeDocument/2006/relationships/hyperlink" Target="https://pig.rch.org.au/" TargetMode="External"/><Relationship Id="rId47" Type="http://schemas.openxmlformats.org/officeDocument/2006/relationships/header" Target="header6.xml"/><Relationship Id="rId50"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afercare.vic" TargetMode="External"/><Relationship Id="rId25" Type="http://schemas.openxmlformats.org/officeDocument/2006/relationships/hyperlink" Target="https://www.health.qld.gov.au/__data/assets/pdf_file/0032/881924/c-hypogly.pdf" TargetMode="External"/><Relationship Id="rId33" Type="http://schemas.openxmlformats.org/officeDocument/2006/relationships/hyperlink" Target="https://www.rch.org.au/piper/" TargetMode="External"/><Relationship Id="rId38" Type="http://schemas.openxmlformats.org/officeDocument/2006/relationships/hyperlink" Target="http://www.who.int/childgrowth/standards/en/a"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safercare.vic.gov.au" TargetMode="External"/><Relationship Id="rId20" Type="http://schemas.openxmlformats.org/officeDocument/2006/relationships/header" Target="header3.xml"/><Relationship Id="rId29" Type="http://schemas.openxmlformats.org/officeDocument/2006/relationships/hyperlink" Target="https://www.safercare.vic.gov.au/clinical-guidance/neonatal/sepsis-in-neonates" TargetMode="External"/><Relationship Id="rId41" Type="http://schemas.openxmlformats.org/officeDocument/2006/relationships/hyperlink" Target="http://www.health.qld.gov.au/qcq"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s://nicutools.org/" TargetMode="External"/><Relationship Id="rId37" Type="http://schemas.openxmlformats.org/officeDocument/2006/relationships/hyperlink" Target="https://www.thewomens.org.au/health-professionals/clinical-resources/clinical-guidelines-gps" TargetMode="External"/><Relationship Id="rId40" Type="http://schemas.openxmlformats.org/officeDocument/2006/relationships/hyperlink" Target="https://intergrowth21.com/tools-resources/newborn-size" TargetMode="External"/><Relationship Id="rId45" Type="http://schemas.openxmlformats.org/officeDocument/2006/relationships/image" Target="media/image5.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afercarevictoria@dhhs.vic" TargetMode="External"/><Relationship Id="rId23" Type="http://schemas.openxmlformats.org/officeDocument/2006/relationships/header" Target="header4.xml"/><Relationship Id="rId28" Type="http://schemas.openxmlformats.org/officeDocument/2006/relationships/hyperlink" Target="https://intergrowth21.tghn.org/newborn-size-birth/" TargetMode="External"/><Relationship Id="rId36" Type="http://schemas.openxmlformats.org/officeDocument/2006/relationships/hyperlink" Target="https://www.vcgs.org.au/contact"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pig.rch.org.au.acs.hcn.com.au/appendices/iv-fluid-calc-500ml/" TargetMode="External"/><Relationship Id="rId44" Type="http://schemas.openxmlformats.org/officeDocument/2006/relationships/image" Target="media/image4.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afercarevictoria.vic.gov.au" TargetMode="External"/><Relationship Id="rId22" Type="http://schemas.openxmlformats.org/officeDocument/2006/relationships/footer" Target="footer4.xml"/><Relationship Id="rId27" Type="http://schemas.openxmlformats.org/officeDocument/2006/relationships/hyperlink" Target="https://live-ucalgary.ucalgary.ca/resource/preterm-growth-chart/preterm-growth-chart" TargetMode="External"/><Relationship Id="rId30" Type="http://schemas.openxmlformats.org/officeDocument/2006/relationships/hyperlink" Target="https://nicutools.org/" TargetMode="External"/><Relationship Id="rId35" Type="http://schemas.openxmlformats.org/officeDocument/2006/relationships/hyperlink" Target="https://www.rch.org.au/clinicalguide/guideline_index/metabolic_disorders/" TargetMode="External"/><Relationship Id="rId43" Type="http://schemas.openxmlformats.org/officeDocument/2006/relationships/hyperlink" Target="https://www.safercare.vic.gov.au/clinical-guidance/neonatal"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HomeDirs6\wcut2209\Desktop\SCV%20Word%20template.dotx" TargetMode="External"/></Relationship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9" ma:contentTypeDescription="Create a new document." ma:contentTypeScope="" ma:versionID="51a68ecaa7838491ba8508cfd3ce297f">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f750b38550318232ff8a14c47b7d43bc"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Fil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ileComments" ma:index="26" nillable="true" ma:displayName="FileComments" ma:format="Dropdown" ma:internalName="File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405c5fd-2e4a-4ce0-a732-d705580bdaea}"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SharedWithUsers xmlns="7ee2ad8a-2b33-419f-875c-ac0e4cfc6b7f">
      <UserInfo>
        <DisplayName>Kathlene Kumar (SCV)</DisplayName>
        <AccountId>557</AccountId>
        <AccountType/>
      </UserInfo>
      <UserInfo>
        <DisplayName>Simone Pike (SCV)</DisplayName>
        <AccountId>540</AccountId>
        <AccountType/>
      </UserInfo>
      <UserInfo>
        <DisplayName>Julie Kirkpatrick (Health)</DisplayName>
        <AccountId>1416</AccountId>
        <AccountType/>
      </UserInfo>
      <UserInfo>
        <DisplayName>Ross Donnan (Health)</DisplayName>
        <AccountId>1351</AccountId>
        <AccountType/>
      </UserInfo>
    </SharedWithUsers>
    <FileComments xmlns="31b2e4f9-c376-4e2f-bd2e-796d1bcd5746" xsi:nil="true"/>
  </documentManagement>
</p:properties>
</file>

<file path=customXml/itemProps1.xml><?xml version="1.0" encoding="utf-8"?>
<ds:datastoreItem xmlns:ds="http://schemas.openxmlformats.org/officeDocument/2006/customXml" ds:itemID="{60439C66-9861-48D1-85C1-8EDD55D5858C}">
  <ds:schemaRefs>
    <ds:schemaRef ds:uri="http://schemas.openxmlformats.org/officeDocument/2006/bibliography"/>
  </ds:schemaRefs>
</ds:datastoreItem>
</file>

<file path=customXml/itemProps2.xml><?xml version="1.0" encoding="utf-8"?>
<ds:datastoreItem xmlns:ds="http://schemas.openxmlformats.org/officeDocument/2006/customXml" ds:itemID="{1E6051FF-6FCA-4247-9D2C-43C7535D77E2}"/>
</file>

<file path=customXml/itemProps3.xml><?xml version="1.0" encoding="utf-8"?>
<ds:datastoreItem xmlns:ds="http://schemas.openxmlformats.org/officeDocument/2006/customXml" ds:itemID="{20131504-940F-4015-BD5F-8C365108F276}">
  <ds:schemaRefs>
    <ds:schemaRef ds:uri="http://schemas.microsoft.com/sharepoint/v3/contenttype/forms"/>
  </ds:schemaRefs>
</ds:datastoreItem>
</file>

<file path=customXml/itemProps4.xml><?xml version="1.0" encoding="utf-8"?>
<ds:datastoreItem xmlns:ds="http://schemas.openxmlformats.org/officeDocument/2006/customXml" ds:itemID="{AA604BED-FF29-4C77-A2C9-C8DBCEC446BD}">
  <ds:schemaRefs>
    <ds:schemaRef ds:uri="http://schemas.microsoft.com/office/2006/metadata/properties"/>
    <ds:schemaRef ds:uri="http://schemas.microsoft.com/office/infopath/2007/PartnerControls"/>
    <ds:schemaRef ds:uri="5ce0f2b5-5be5-4508-bce9-d7011ece0659"/>
    <ds:schemaRef ds:uri="31b2e4f9-c376-4e2f-bd2e-796d1bcd5746"/>
    <ds:schemaRef ds:uri="7ee2ad8a-2b33-419f-875c-ac0e4cfc6b7f"/>
  </ds:schemaRefs>
</ds:datastoreItem>
</file>

<file path=docProps/app.xml><?xml version="1.0" encoding="utf-8"?>
<Properties xmlns="http://schemas.openxmlformats.org/officeDocument/2006/extended-properties" xmlns:vt="http://schemas.openxmlformats.org/officeDocument/2006/docPropsVTypes">
  <Template>SCV Word template.dotx</Template>
  <TotalTime>88</TotalTime>
  <Pages>17</Pages>
  <Words>3790</Words>
  <Characters>21608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Insert title here</vt:lpstr>
    </vt:vector>
  </TitlesOfParts>
  <Manager/>
  <Company>Safer Care Victoria</Company>
  <LinksUpToDate>false</LinksUpToDate>
  <CharactersWithSpaces>25348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Wendy Cutchie (Health)</dc:creator>
  <cp:lastModifiedBy>Wendy Cutchie (SCV)</cp:lastModifiedBy>
  <cp:revision>51</cp:revision>
  <cp:lastPrinted>2024-11-19T02:25:00Z</cp:lastPrinted>
  <dcterms:created xsi:type="dcterms:W3CDTF">2024-11-19T00:54:00Z</dcterms:created>
  <dcterms:modified xsi:type="dcterms:W3CDTF">2024-11-19T02:25:00Z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2024-11-19T02:25:32Z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7b72caa2-ea36-4c9a-bc1a-f68ddcaa3f36</vt:lpwstr>
  </property>
  <property fmtid="{D5CDD505-2E9C-101B-9397-08002B2CF9AE}" pid="11" name="MSIP_Label_43e64453-338c-4f93-8a4d-0039a0a41f2a_ContentBits">
    <vt:lpwstr>2</vt:lpwstr>
  </property>
</Properties>
</file>